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Figures about the digital economy stand for activity that no one observes directly. 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BPS’s survey of online sellers and national figures.</w:t>
      </w:r>
    </w:p>
    <w:p>
      <w:pPr>
        <w:pStyle w:val="BodyText"/>
      </w:pPr>
      <w:r>
        <w:t xml:space="preserve">Revenue shows only a small part of the commerce. In 2023, three major platforms in Indonesia kept about US$3 billion of the US$43 billion that passed through them. Revenue also stopped tracking the commerce when platforms changed the share of each sale they kept. Between 2022 and 2024, Indonesian and regional platforms changed that share about three times as much as 27 platforms abroad. So the hypothesis that revenue grows in proportion to the commerce is rejected.</w:t>
      </w:r>
    </w:p>
    <w:p>
      <w:pPr>
        <w:pStyle w:val="BodyText"/>
      </w:pPr>
      <w:r>
        <w:t xml:space="preserve">The national count of online sellers rose by 27 percent in 2023. A test registered before the survey files were opened shows that first-time entry explains only about half of that rise. More businesses account for most of the growth in online sales on the published figures. If the rest of the rise is read as wider survey coverage, that conclusion sits on its threshold.</w:t>
      </w:r>
    </w:p>
    <w:p>
      <w:pPr>
        <w:pStyle w:val="BodyText"/>
      </w:pPr>
      <w:r>
        <w:t xml:space="preserve">The two results describe one problem. A figure stops tracking the activity it stands for when the link between them changes, through a platform’s take rate or a survey’s reach. The thesis also measures how far Indonesia’s recent platform rules can reach: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1" w:name="symbols-and-abbreviations"/>
    <w:p>
      <w:pPr>
        <w:pStyle w:val="Heading1"/>
      </w:pPr>
      <w:r>
        <w:t xml:space="preserve">Symbols and Abbreviations</w:t>
      </w:r>
    </w:p>
    <w:p>
      <w:pPr>
        <w:pStyle w:val="FirstParagraph"/>
      </w:pPr>
      <w:r>
        <w:t xml:space="preserve">Each symbol is defined in Chapter 3, where it first appears in a formula. The subscripts i and t mark the platform and the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V</w:t>
            </w:r>
          </w:p>
        </w:tc>
        <w:tc>
          <w:tcPr/>
          <w:p>
            <w:pPr>
              <w:pStyle w:val="Compact"/>
              <w:jc w:val="left"/>
            </w:pPr>
            <w:r>
              <w:t xml:space="preserve">Transaction value: everything bought through a platform in a period</w:t>
            </w:r>
          </w:p>
        </w:tc>
        <w:tc>
          <w:tcPr/>
          <w:p>
            <w:pPr>
              <w:pStyle w:val="Compact"/>
              <w:jc w:val="left"/>
            </w:pPr>
            <w:r>
              <w:t xml:space="preserve">Table 3.1</w:t>
            </w:r>
          </w:p>
        </w:tc>
      </w:tr>
      <w:tr>
        <w:tc>
          <w:tcPr/>
          <w:p>
            <w:pPr>
              <w:pStyle w:val="Compact"/>
              <w:jc w:val="left"/>
            </w:pPr>
            <w:r>
              <w:t xml:space="preserve">R</w:t>
            </w:r>
          </w:p>
        </w:tc>
        <w:tc>
          <w:tcPr/>
          <w:p>
            <w:pPr>
              <w:pStyle w:val="Compact"/>
              <w:jc w:val="left"/>
            </w:pPr>
            <w:r>
              <w:t xml:space="preserve">Revenue: what the platform records as its own income</w:t>
            </w:r>
          </w:p>
        </w:tc>
        <w:tc>
          <w:tcPr/>
          <w:p>
            <w:pPr>
              <w:pStyle w:val="Compact"/>
              <w:jc w:val="left"/>
            </w:pPr>
            <w:r>
              <w:t xml:space="preserve">Table 3.1</w:t>
            </w:r>
          </w:p>
        </w:tc>
      </w:tr>
      <w:tr>
        <w:tc>
          <w:tcPr/>
          <w:p>
            <w:pPr>
              <w:pStyle w:val="Compact"/>
              <w:jc w:val="left"/>
            </w:pPr>
            <w:r>
              <w:t xml:space="preserve">m</w:t>
            </w:r>
          </w:p>
        </w:tc>
        <w:tc>
          <w:tcPr/>
          <w:p>
            <w:pPr>
              <w:pStyle w:val="Compact"/>
              <w:jc w:val="left"/>
            </w:pPr>
            <w:r>
              <w:t xml:space="preserve">Take rate, R divided by V: the share of each sale the platform keeps</w:t>
            </w:r>
          </w:p>
        </w:tc>
        <w:tc>
          <w:tcPr/>
          <w:p>
            <w:pPr>
              <w:pStyle w:val="Compact"/>
              <w:jc w:val="left"/>
            </w:pPr>
            <w:r>
              <w:t xml:space="preserve">Table 3.1</w:t>
            </w:r>
          </w:p>
        </w:tc>
      </w:tr>
      <w:tr>
        <w:tc>
          <w:tcPr/>
          <w:p>
            <w:pPr>
              <w:pStyle w:val="Compact"/>
              <w:jc w:val="left"/>
            </w:pPr>
            <w:r>
              <w:t xml:space="preserve">f</w:t>
            </w:r>
          </w:p>
        </w:tc>
        <w:tc>
          <w:tcPr/>
          <w:p>
            <w:pPr>
              <w:pStyle w:val="Compact"/>
              <w:jc w:val="left"/>
            </w:pPr>
            <w:r>
              <w:t xml:space="preserve">Fee rate: revenue before customer incentives, divided by V</w:t>
            </w:r>
          </w:p>
        </w:tc>
        <w:tc>
          <w:tcPr/>
          <w:p>
            <w:pPr>
              <w:pStyle w:val="Compact"/>
              <w:jc w:val="left"/>
            </w:pPr>
            <w:r>
              <w:t xml:space="preserve">Table 3.1</w:t>
            </w:r>
          </w:p>
        </w:tc>
      </w:tr>
      <w:tr>
        <w:tc>
          <w:tcPr/>
          <w:p>
            <w:pPr>
              <w:pStyle w:val="Compact"/>
              <w:jc w:val="left"/>
            </w:pPr>
            <w:r>
              <w:t xml:space="preserve">s</w:t>
            </w:r>
          </w:p>
        </w:tc>
        <w:tc>
          <w:tcPr/>
          <w:p>
            <w:pPr>
              <w:pStyle w:val="Compact"/>
              <w:jc w:val="left"/>
            </w:pPr>
            <w:r>
              <w:t xml:space="preserve">Incentive rate: customer incentives divided by V</w:t>
            </w:r>
          </w:p>
        </w:tc>
        <w:tc>
          <w:tcPr/>
          <w:p>
            <w:pPr>
              <w:pStyle w:val="Compact"/>
              <w:jc w:val="left"/>
            </w:pPr>
            <w:r>
              <w:t xml:space="preserve">Table 3.1</w:t>
            </w:r>
          </w:p>
        </w:tc>
      </w:tr>
      <w:tr>
        <w:tc>
          <w:tcPr/>
          <w:p>
            <w:pPr>
              <w:pStyle w:val="Compact"/>
              <w:jc w:val="left"/>
            </w:pPr>
            <w:r>
              <w:t xml:space="preserve">W</w:t>
            </w:r>
          </w:p>
        </w:tc>
        <w:tc>
          <w:tcPr/>
          <w:p>
            <w:pPr>
              <w:pStyle w:val="Compact"/>
              <w:jc w:val="left"/>
            </w:pPr>
            <w:r>
              <w:t xml:space="preserve">Invisible wedge, V minus R: what a revenue figure leaves out</w:t>
            </w:r>
          </w:p>
        </w:tc>
        <w:tc>
          <w:tcPr/>
          <w:p>
            <w:pPr>
              <w:pStyle w:val="Compact"/>
              <w:jc w:val="left"/>
            </w:pPr>
            <w:r>
              <w:t xml:space="preserve">Equation (1)</w:t>
            </w:r>
          </w:p>
        </w:tc>
      </w:tr>
      <w:tr>
        <w:tc>
          <w:tcPr/>
          <w:p>
            <w:pPr>
              <w:pStyle w:val="Compact"/>
              <w:jc w:val="left"/>
            </w:pPr>
            <w:r>
              <w:t xml:space="preserve">E</w:t>
            </w:r>
          </w:p>
        </w:tc>
        <w:tc>
          <w:tcPr/>
          <w:p>
            <w:pPr>
              <w:pStyle w:val="Compact"/>
              <w:jc w:val="left"/>
            </w:pPr>
            <w:r>
              <w:t xml:space="preserve">Ecosystem ratio, W divided by R, equal to 1/m − 1 (the author’s own measure)</w:t>
            </w:r>
          </w:p>
        </w:tc>
        <w:tc>
          <w:tcPr/>
          <w:p>
            <w:pPr>
              <w:pStyle w:val="Compact"/>
              <w:jc w:val="left"/>
            </w:pPr>
            <w:r>
              <w:t xml:space="preserve">Equation (2)</w:t>
            </w:r>
          </w:p>
        </w:tc>
      </w:tr>
      <w:tr>
        <w:tc>
          <w:tcPr/>
          <w:p>
            <w:pPr>
              <w:pStyle w:val="Compact"/>
              <w:jc w:val="left"/>
            </w:pPr>
            <w:r>
              <w:t xml:space="preserve">g(·)</w:t>
            </w:r>
          </w:p>
        </w:tc>
        <w:tc>
          <w:tcPr/>
          <w:p>
            <w:pPr>
              <w:pStyle w:val="Compact"/>
              <w:jc w:val="left"/>
            </w:pPr>
            <w:r>
              <w:t xml:space="preserve">Growth from one year to the next, as a share of the first year</w:t>
            </w:r>
          </w:p>
        </w:tc>
        <w:tc>
          <w:tcPr/>
          <w:p>
            <w:pPr>
              <w:pStyle w:val="Compact"/>
              <w:jc w:val="left"/>
            </w:pPr>
            <w:r>
              <w:t xml:space="preserve">Table 3.1</w:t>
            </w:r>
          </w:p>
        </w:tc>
      </w:tr>
      <w:tr>
        <w:tc>
          <w:tcPr/>
          <w:p>
            <w:pPr>
              <w:pStyle w:val="Compact"/>
              <w:jc w:val="left"/>
            </w:pPr>
            <w:r>
              <w:t xml:space="preserve">D</w:t>
            </w:r>
          </w:p>
        </w:tc>
        <w:tc>
          <w:tcPr/>
          <w:p>
            <w:pPr>
              <w:pStyle w:val="Compact"/>
              <w:jc w:val="left"/>
            </w:pPr>
            <w:r>
              <w:t xml:space="preserve">Growth divergence, g(R) minus g(V)</w:t>
            </w:r>
          </w:p>
        </w:tc>
        <w:tc>
          <w:tcPr/>
          <w:p>
            <w:pPr>
              <w:pStyle w:val="Compact"/>
              <w:jc w:val="left"/>
            </w:pPr>
            <w:r>
              <w:t xml:space="preserve">Equation (3)</w:t>
            </w:r>
          </w:p>
        </w:tc>
      </w:tr>
      <w:tr>
        <w:tc>
          <w:tcPr/>
          <w:p>
            <w:pPr>
              <w:pStyle w:val="Compact"/>
              <w:jc w:val="left"/>
            </w:pPr>
            <w:r>
              <w:t xml:space="preserve">Δln X</w:t>
            </w:r>
          </w:p>
        </w:tc>
        <w:tc>
          <w:tcPr/>
          <w:p>
            <w:pPr>
              <w:pStyle w:val="Compact"/>
              <w:jc w:val="left"/>
            </w:pPr>
            <w:r>
              <w:t xml:space="preserve">Change in the natural logarithm of X from one year to the next</w:t>
            </w:r>
          </w:p>
        </w:tc>
        <w:tc>
          <w:tcPr/>
          <w:p>
            <w:pPr>
              <w:pStyle w:val="Compact"/>
              <w:jc w:val="left"/>
            </w:pPr>
            <w:r>
              <w:t xml:space="preserve">Equation (5)</w:t>
            </w:r>
          </w:p>
        </w:tc>
      </w:tr>
      <w:tr>
        <w:tc>
          <w:tcPr/>
          <w:p>
            <w:pPr>
              <w:pStyle w:val="Compact"/>
              <w:jc w:val="left"/>
            </w:pPr>
            <w:r>
              <w:t xml:space="preserve">N</w:t>
            </w:r>
          </w:p>
        </w:tc>
        <w:tc>
          <w:tcPr/>
          <w:p>
            <w:pPr>
              <w:pStyle w:val="Compact"/>
              <w:jc w:val="left"/>
            </w:pPr>
            <w:r>
              <w:t xml:space="preserve">BPS’s count of businesses selling online</w:t>
            </w:r>
          </w:p>
        </w:tc>
        <w:tc>
          <w:tcPr/>
          <w:p>
            <w:pPr>
              <w:pStyle w:val="Compact"/>
              <w:jc w:val="left"/>
            </w:pPr>
            <w:r>
              <w:t xml:space="preserve">Equation (7)</w:t>
            </w:r>
          </w:p>
        </w:tc>
      </w:tr>
      <w:tr>
        <w:tc>
          <w:tcPr/>
          <w:p>
            <w:pPr>
              <w:pStyle w:val="Compact"/>
              <w:jc w:val="left"/>
            </w:pPr>
            <w:r>
              <w:t xml:space="preserve">Y</w:t>
            </w:r>
          </w:p>
        </w:tc>
        <w:tc>
          <w:tcPr/>
          <w:p>
            <w:pPr>
              <w:pStyle w:val="Compact"/>
              <w:jc w:val="left"/>
            </w:pPr>
            <w:r>
              <w:t xml:space="preserve">BPS’s total online sales value</w:t>
            </w:r>
          </w:p>
        </w:tc>
        <w:tc>
          <w:tcPr/>
          <w:p>
            <w:pPr>
              <w:pStyle w:val="Compact"/>
              <w:jc w:val="left"/>
            </w:pPr>
            <w:r>
              <w:t xml:space="preserve">Equation (7)</w:t>
            </w:r>
          </w:p>
        </w:tc>
      </w:tr>
      <w:tr>
        <w:tc>
          <w:tcPr/>
          <w:p>
            <w:pPr>
              <w:pStyle w:val="Compact"/>
              <w:jc w:val="left"/>
            </w:pPr>
            <w:r>
              <w:t xml:space="preserve">MV</w:t>
            </w:r>
          </w:p>
        </w:tc>
        <w:tc>
          <w:tcPr/>
          <w:p>
            <w:pPr>
              <w:pStyle w:val="Compact"/>
              <w:jc w:val="left"/>
            </w:pPr>
            <w:r>
              <w:t xml:space="preserve">A listed platform’s market value</w:t>
            </w:r>
          </w:p>
        </w:tc>
        <w:tc>
          <w:tcPr/>
          <w:p>
            <w:pPr>
              <w:pStyle w:val="Compact"/>
              <w:jc w:val="left"/>
            </w:pPr>
            <w:r>
              <w:t xml:space="preserve">Equation (8)</w:t>
            </w:r>
          </w:p>
        </w:tc>
      </w:tr>
      <w:tr>
        <w:tc>
          <w:tcPr/>
          <w:p>
            <w:pPr>
              <w:pStyle w:val="Compact"/>
              <w:jc w:val="left"/>
            </w:pPr>
            <w:r>
              <w:t xml:space="preserve">β_V, β_m</w:t>
            </w:r>
          </w:p>
        </w:tc>
        <w:tc>
          <w:tcPr/>
          <w:p>
            <w:pPr>
              <w:pStyle w:val="Compact"/>
              <w:jc w:val="left"/>
            </w:pPr>
            <w:r>
              <w:t xml:space="preserve">How market value moves with transaction value and with the take rate</w:t>
            </w:r>
          </w:p>
        </w:tc>
        <w:tc>
          <w:tcPr/>
          <w:p>
            <w:pPr>
              <w:pStyle w:val="Compact"/>
              <w:jc w:val="left"/>
            </w:pPr>
            <w:r>
              <w:t xml:space="preserve">Equation (8)</w:t>
            </w:r>
          </w:p>
        </w:tc>
      </w:tr>
      <w:tr>
        <w:tc>
          <w:tcPr/>
          <w:p>
            <w:pPr>
              <w:pStyle w:val="Compact"/>
              <w:jc w:val="left"/>
            </w:pPr>
            <w:r>
              <w:t xml:space="preserve">H1, H2</w:t>
            </w:r>
          </w:p>
        </w:tc>
        <w:tc>
          <w:tcPr/>
          <w:p>
            <w:pPr>
              <w:pStyle w:val="Compact"/>
              <w:jc w:val="left"/>
            </w:pPr>
            <w:r>
              <w:t xml:space="preserve">The two hypotheses</w:t>
            </w:r>
          </w:p>
        </w:tc>
        <w:tc>
          <w:tcPr/>
          <w:p>
            <w:pPr>
              <w:pStyle w:val="Compact"/>
              <w:jc w:val="left"/>
            </w:pPr>
            <w:r>
              <w:t xml:space="preserve">Section 3.4</w:t>
            </w:r>
          </w:p>
        </w:tc>
      </w:tr>
    </w:tbl>
    <w:p>
      <w:pPr>
        <w:pStyle w:val="BodyText"/>
      </w:pPr>
      <w:r>
        <w:t xml:space="preserve">The text spells out most names. These abbreviations remain.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BPS</w:t>
            </w:r>
          </w:p>
        </w:tc>
        <w:tc>
          <w:tcPr/>
          <w:p>
            <w:pPr>
              <w:pStyle w:val="Compact"/>
              <w:jc w:val="left"/>
            </w:pPr>
            <w:r>
              <w:t xml:space="preserve">Badan Pusat Statistik, Statistics Indonesia</w:t>
            </w:r>
          </w:p>
        </w:tc>
      </w:tr>
      <w:tr>
        <w:tc>
          <w:tcPr/>
          <w:p>
            <w:pPr>
              <w:pStyle w:val="Compact"/>
              <w:jc w:val="left"/>
            </w:pPr>
            <w:r>
              <w:t xml:space="preserve">GMV, GTV, TPV</w:t>
            </w:r>
          </w:p>
        </w:tc>
        <w:tc>
          <w:tcPr/>
          <w:p>
            <w:pPr>
              <w:pStyle w:val="Compact"/>
              <w:jc w:val="left"/>
            </w:pPr>
            <w:r>
              <w:t xml:space="preserve">Gross merchandise value, gross transaction value, total payment volume: company names for transaction value</w:t>
            </w:r>
          </w:p>
        </w:tc>
      </w:tr>
      <w:tr>
        <w:tc>
          <w:tcPr/>
          <w:p>
            <w:pPr>
              <w:pStyle w:val="Compact"/>
              <w:jc w:val="left"/>
            </w:pPr>
            <w:r>
              <w:t xml:space="preserve">IASB, IFRS 15</w:t>
            </w:r>
          </w:p>
        </w:tc>
        <w:tc>
          <w:tcPr/>
          <w:p>
            <w:pPr>
              <w:pStyle w:val="Compact"/>
              <w:jc w:val="left"/>
            </w:pPr>
            <w:r>
              <w:t xml:space="preserve">International Accounting Standards Board; International Financial Reporting Standard 15, its revenue standard</w:t>
            </w:r>
          </w:p>
        </w:tc>
      </w:tr>
      <w:tr>
        <w:tc>
          <w:tcPr/>
          <w:p>
            <w:pPr>
              <w:pStyle w:val="Compact"/>
              <w:jc w:val="left"/>
            </w:pPr>
            <w:r>
              <w:t xml:space="preserve">LSEG</w:t>
            </w:r>
          </w:p>
        </w:tc>
        <w:tc>
          <w:tcPr/>
          <w:p>
            <w:pPr>
              <w:pStyle w:val="Compact"/>
              <w:jc w:val="left"/>
            </w:pPr>
            <w:r>
              <w:t xml:space="preserve">London Stock Exchange Group, the source of market values</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QRIS</w:t>
            </w:r>
          </w:p>
        </w:tc>
        <w:tc>
          <w:tcPr/>
          <w:p>
            <w:pPr>
              <w:pStyle w:val="Compact"/>
              <w:jc w:val="left"/>
            </w:pPr>
            <w:r>
              <w:t xml:space="preserve">Quick Response Code Indonesian Standard, the national QR-code payment system</w:t>
            </w:r>
          </w:p>
        </w:tc>
      </w:tr>
      <w:tr>
        <w:tc>
          <w:tcPr/>
          <w:p>
            <w:pPr>
              <w:pStyle w:val="Compact"/>
              <w:jc w:val="left"/>
            </w:pPr>
            <w:r>
              <w:t xml:space="preserve">UNCTAD</w:t>
            </w:r>
          </w:p>
        </w:tc>
        <w:tc>
          <w:tcPr/>
          <w:p>
            <w:pPr>
              <w:pStyle w:val="Compact"/>
              <w:jc w:val="left"/>
            </w:pPr>
            <w:r>
              <w:t xml:space="preserve">United Nations Conference on Trade and Development</w:t>
            </w:r>
          </w:p>
        </w:tc>
      </w:tr>
      <w:tr>
        <w:tc>
          <w:tcPr/>
          <w:p>
            <w:pPr>
              <w:pStyle w:val="Compact"/>
              <w:jc w:val="left"/>
            </w:pPr>
            <w:r>
              <w:t xml:space="preserve">Rp, US$</w:t>
            </w:r>
          </w:p>
        </w:tc>
        <w:tc>
          <w:tcPr/>
          <w:p>
            <w:pPr>
              <w:pStyle w:val="Compact"/>
              <w:jc w:val="left"/>
            </w:pPr>
            <w:r>
              <w:t xml:space="preserve">Indonesian rupiah, US dollar</w:t>
            </w:r>
          </w:p>
        </w:tc>
      </w:tr>
    </w:tbl>
    <w:bookmarkEnd w:id="21"/>
    <w:bookmarkStart w:id="25" w:name="chapter-1.-introduction"/>
    <w:p>
      <w:pPr>
        <w:pStyle w:val="Heading1"/>
      </w:pPr>
      <w:r>
        <w:t xml:space="preserve">Chapter 1. Introduction</w:t>
      </w:r>
    </w:p>
    <w:p>
      <w:pPr>
        <w:pStyle w:val="FirstParagraph"/>
      </w:pPr>
      <w:r>
        <w:t xml:space="preserve">Digital commerce has changed how goods and services are bought and sold in Indonesia. Sellers in small towns reach buyers across the country, businesses run from mobile phones, and customers pay by QR code. The figures that measure this activity disagree on both its size and its growth.</w:t>
      </w:r>
    </w:p>
    <w:p>
      <w:pPr>
        <w:pStyle w:val="BodyText"/>
      </w:pPr>
      <w:r>
        <w:t xml:space="preserve">In 2023, traders at Tanah Abang, a major wholesale market in Jakarta, said their customers had moved to sellers on TikTok Shop (AFP 2023). The government then banned transactions on social media platforms, and TikTok Shop closed in Indonesia soon after (Ministry of Trade of the Republic of Indonesia 2023; Mandagie 2023). That year the national statistics office, BPS, reported that online sales rose by about 41 percent (BPS 2025a). The central bank’s measure of online shopping fell by about 5 percent (Bank Indonesia 2023; KabarBursa 2024). The two official figures moved in opposite directions.</w:t>
      </w:r>
    </w:p>
    <w:p>
      <w:pPr>
        <w:pStyle w:val="BodyText"/>
      </w:pPr>
      <w:r>
        <w:t xml:space="preserve">Tokopedia, an Indonesian online marketplace, shows revenue and commerce moving apart inside one company. Between 2022 and 2023, its net revenue rose by 53 percent while the value of transactions on the platform, its transaction value, fell by 9 percent (GoTo Gojek Tokopedia 2024a, 2024b). The two are different amounts. A platform keeps only part of each sale, as commissions and fees. The rest is the seller’s receipts, the driver’s fare or another amount that passes through. This thesis calls the difference the invisible wedge. The term means what a revenue-only measure leaves out. It does not mean activity that goes unrecorded.</w:t>
      </w:r>
    </w:p>
    <w:p>
      <w:pPr>
        <w:pStyle w:val="BodyText"/>
      </w:pPr>
      <w:r>
        <w:t xml:space="preserve">The share a platform keeps is not fixed. When it rises, revenue can grow even while transaction value falls. In Tokopedia’s accounts, about 60 percent of the extra revenue came from smaller discounts and incentives, which a platform pays for out of what it earns (GoTo Gojek Tokopedia 2024b).</w:t>
      </w:r>
    </w:p>
    <w:p>
      <w:pPr>
        <w:pStyle w:val="BodyText"/>
      </w:pPr>
      <w:r>
        <w:t xml:space="preserve">Platform and online sales figures carry weight well beyond Indonesia. Businesses in 43 economies sold almost US$27 trillion online in 2022, by the United Nations’ estimate (UNCTAD 2024), and platforms carry a growing part of that trade. Investors value the companies that run them largely on reported growth. If part of that growth is a platform keeping more of each sale, then part of the share price rests on a pricing decision. Governments use the same figures to size their digital economies and to tax online sellers.</w:t>
      </w:r>
    </w:p>
    <w:p>
      <w:pPr>
        <w:pStyle w:val="BodyText"/>
      </w:pPr>
      <w:r>
        <w:t xml:space="preserve">Research explains why platform revenue and national sales figures can differ, but not when a figure stops moving with the activity it represents, or by how much. Answering that takes two things that are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The stakes are concrete. For 2024, BPS gives about US$81 billion for online sales and the central bank about US$31 billion, more than two to one (BPS 2025b; Bank Indonesia 2025). 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 Most online sellers work through messaging and social media, outside the marketplaces, so platform and survey figures are likely to part. The events of 2023 suggest that they did.</w:t>
      </w:r>
    </w:p>
    <w:bookmarkStart w:id="22"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that platforms carry. In BPS’s survey, the marketplaces carry only about a fifth of online sales value. In Indonesia, platform revenue also grew faster than the commerce behind it, mainly because platforms kept a larger share of each sale and not because buyers bought more. National growth came mainly from more sellers, as H2 states, but about half of the 2023 rise in the count of sellers is not explained by first-time entry.</w:t>
      </w:r>
    </w:p>
    <w:bookmarkEnd w:id="22"/>
    <w:bookmarkStart w:id="23"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This matters because market values of internet firms track revenue (Bowen, Davis and Rajgopal 2002). It matters for growth as well as scale: the larger the wedge is next to revenue, the more a small change in fees or discounts moves revenue growth. When the take rate moves, market value per dollar of revenue and market value per dollar of commerce change by different amounts. The thesis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 Across all three, one point recurs. A figure can stop tracking the activity it stands for when the link between them changes, through a platform’s take rate or a survey’s reach.</w:t>
      </w:r>
    </w:p>
    <w:bookmarkEnd w:id="23"/>
    <w:bookmarkStart w:id="24"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4"/>
    <w:bookmarkEnd w:id="25"/>
    <w:bookmarkStart w:id="30"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6"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6"/>
    <w:bookmarkStart w:id="27"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United Nations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commerce and national online sales grow.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7"/>
    <w:bookmarkStart w:id="28"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8"/>
    <w:bookmarkStart w:id="29"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commerce,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commerce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9"/>
    <w:bookmarkEnd w:id="30"/>
    <w:bookmarkStart w:id="40"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2" name="Picture"/>
            <a:graphic>
              <a:graphicData uri="http://schemas.openxmlformats.org/drawingml/2006/picture">
                <pic:pic>
                  <pic:nvPicPr>
                    <pic:cNvPr descr="figures/fig3_1_two_links.png" id="33" name="Picture"/>
                    <pic:cNvPicPr>
                      <a:picLocks noChangeArrowheads="1" noChangeAspect="1"/>
                    </pic:cNvPicPr>
                  </pic:nvPicPr>
                  <pic:blipFill>
                    <a:blip r:embed="rId31"/>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4"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4"/>
    <w:bookmarkStart w:id="35"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5"/>
    <w:bookmarkStart w:id="36"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6"/>
    <w:bookmarkStart w:id="37"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7"/>
    <w:bookmarkStart w:id="38"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8"/>
    <w:bookmarkStart w:id="39"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 Rajgopal, Venkatachalam and Kotha 2003).</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9"/>
    <w:bookmarkEnd w:id="40"/>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Two regional companies, both based in Singapore, complete the group: Grab, which runs rides and deliveries across Southeast Asia, and Sea, whose marketplace is Shopee.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41"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1"/>
    <w:bookmarkStart w:id="42"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2"/>
    <w:bookmarkStart w:id="43"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3"/>
    <w:bookmarkStart w:id="44"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4"/>
    <w:bookmarkStart w:id="45"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5"/>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rests on revenue brackets, which only the 2021 and 2023 files give. The thesis assigns each bracket a low, a middle and a high amount. The amounts were fixed before the file was opened. A validation rule applies: the middle scenario’s 2022 total must lie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n.d.), and the number of merchants a company reports</w:t>
            </w:r>
          </w:p>
        </w:tc>
        <w:tc>
          <w:tcPr/>
          <w:p>
            <w:pPr>
              <w:pStyle w:val="Compact"/>
              <w:jc w:val="left"/>
            </w:pPr>
            <w:r>
              <w:t xml:space="preserve">Used as context only, since none measures Indonesian e-commerce</w:t>
            </w:r>
          </w:p>
        </w:tc>
      </w:tr>
    </w:tbl>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272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BPS and LSEG file and of the World Bank cross-country query, so anyone who obtains the same files can check them. It holds the code that reads them and the national totals that the code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and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set before the wider one, points the same way</w:t>
            </w:r>
          </w:p>
        </w:tc>
        <w:tc>
          <w:tcPr/>
          <w:p>
            <w:pPr>
              <w:pStyle w:val="Compact"/>
              <w:jc w:val="left"/>
            </w:pPr>
            <w:r>
              <w:t xml:space="preserve">Each platform dropped in turn;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capped (winsorised);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Read as wider coverage, the extra count leaves H2 near its threshold (about 42 to 54 percent)</w:t>
            </w:r>
          </w:p>
        </w:tc>
        <w:tc>
          <w:tcPr/>
          <w:p>
            <w:pPr>
              <w:pStyle w:val="Compact"/>
              <w:jc w:val="left"/>
            </w:pPr>
            <w:r>
              <w:t xml:space="preserve">Exploratory</w:t>
            </w:r>
          </w:p>
        </w:tc>
        <w:tc>
          <w:tcPr/>
          <w:p>
            <w:pPr>
              <w:pStyle w:val="Compact"/>
              <w:jc w:val="left"/>
            </w:pPr>
            <w:r>
              <w:t xml:space="preserve">Count and sales removed together; two exit rates</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author’s calculations.</w:t>
      </w:r>
    </w:p>
    <w:p>
      <w:pPr>
        <w:pStyle w:val="BodyText"/>
      </w:pPr>
      <w:r>
        <w:t xml:space="preserve">The ratios differ because the amounts were obtained in different ways. Tokopedia reports both amounts, and its ratio is about 39. Shopee’s ratio of 9 follows from the assumed take rate, and Grab’s ratio of about 8 is its company-wide ratio. Neither is separate evidence for Indonesia. Blibli and Bukalapak also report both amounts, with ratios of about 43 and 36, close to Tokopedia’s. They are left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No single platform carries the result. Dropping any one, or treating Tokopedia and GoTo as one company, keeps the Mann–Whitney p-value at 0.016 or below. The main test was set up after a first, narrower test, so it is exploratory.</w:t>
      </w:r>
    </w:p>
    <w:p>
      <w:pPr>
        <w:pStyle w:val="BodyText"/>
      </w:pPr>
      <w:r>
        <w:t xml:space="preserve">A narrower test, set before the wider one, compares the three Indonesian marketplaces with the eight foreign platforms chosen first. It points the same way. With one median per platform, the Mann–Whitney test rejects equal moves (p = 0.024). A shuffle of platform labels on pairs of years comes close without passing (p = 0.06), since three platforms give a test little power. In that sample, revenue growth and transaction value growth had a correlation of 0.10 in Indonesia and 0.98 abroad, excluding Sea.</w:t>
      </w:r>
    </w:p>
    <w:p>
      <w:pPr>
        <w:pStyle w:val="BodyText"/>
      </w:pPr>
      <w:r>
        <w:t xml:space="preserve">The direction of the moves is less telling than their size. Revenue grew faster than transaction value in 13 of the 15 Indonesian and regional pairs. In two of them, revenue and transaction value moved in opposite directions. Abroad, take rates also rose in about two thirds of pairs, but by much less. What sets the Indonesian and regional platforms apart is the size of the moves, which is what the test measures.</w:t>
      </w:r>
    </w:p>
    <w:p>
      <w:pPr>
        <w:pStyle w:val="BodyText"/>
      </w:pPr>
      <w:r>
        <w:t xml:space="preserve">Quarterly pairs do not reject H1 (p = 0.19), contrary to a prediction registered before the test was run. The quarterly Indonesian pairs mostly cover 2023 to 2026, after most of the repricing, while the large moves came between 2022 and 2024.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pPr>
      <w:r>
        <w:drawing>
          <wp:inline>
            <wp:extent cx="5334000" cy="1965026"/>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65026"/>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pPr>
      <w:r>
        <w:drawing>
          <wp:inline>
            <wp:extent cx="5334000" cy="1805277"/>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805277"/>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That estimate is too uncertain to tell from zero. The gap between the two estimates is not large enough to count (p = 0.20), or p = 0.16 with extreme values capped.</w:t>
      </w:r>
    </w:p>
    <w:p>
      <w:pPr>
        <w:pStyle w:val="BodyText"/>
      </w:pPr>
      <w:r>
        <w:t xml:space="preserve">A second run adds five segment series, including Grab, GoTo and Sea, and Mercado Libre. There the gap counts (p = 0.004), with about 0.6 for transaction value against about 0.1 for the take rate.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 How a firm records revenue matters too. After the 2000 crash, revenue explained less of the prices of internet firms that booked the full sale amount as revenue (Davis 2002). The data do not show that markets valued growth from pricing any less. Revenue and transaction value come from the platforms’ own reports, and market value from share prices.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drawing>
          <wp:inline>
            <wp:extent cx="5334000" cy="2862754"/>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62754"/>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places and channels. Across the 34 provinces, growth in the count had almost no link to the share of new sellers, a rank correlation of 0.10. It had only a weak link to growth in the sample, at 0.35. A rank correlation compares the order of provinces on two measures and runs from −1 to 1. The break sat in chat and social selling. Among sellers who began by 2022, sellers using only chat or social media rose by 13 percent, and marketplace users by 0.3 percent.</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online sales value rose by 41 percent in rupiah, from about US$53 billion to about US$72 billion at each year’s exchange rate. The thesis splits that rise by giving each kind of seller its typical size in the 2022 file. New sellers, at the size of those that began in 2022, account for 25 to 30 percent of the rise. The extra earlier sellers, at the size of chat and social sellers, account for 15 to 17 percent. The typical seller already online reported no growth, with a mean change of about −4 percent when each seller counts once. So 53 to 59 percent of the rise has no source in the sellers’ answers. A few large sellers growing fast could fill that part, and the files cannot show whether they did.</w:t>
      </w:r>
    </w:p>
    <w:p>
      <w:pPr>
        <w:pStyle w:val="BodyText"/>
      </w:pPr>
      <w:r>
        <w:t xml:space="preserve">The extra count also bears on H2, in an exploratory follow-up. H2’s split treats every seller in the count as having entered. Suppose instead that the sellers not explained by entry were reached by wider coverage, and that their sales came with them. Take both out of the 2023 figures. More businesses then account for about 54 percent of the growth if no seller stopped, and about 42 percent if sellers stopped at 5 percent a year. H2 requires more than 50 percent. So H2 holds on the published series, but it sits on its threshold once the extra count is read as coverage. Taking out the sellers but keeping their sales gives 34 to 47 percent, though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bears on the choice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Each group’s extra count compares two numbers (Section 4.7). The first is the group’s 2023 count. The second is the 2022 count grown at the group’s own yearly rate from 2020 to 2022. The extra count is the first less the second. The extra sellers total about 450 thousand, close to the 458 thousand in Table 5.5. Figure 5.4 compares each group’s share of the extra count with its share of the 2022 count.</w:t>
      </w:r>
    </w:p>
    <w:p>
      <w:pPr>
        <w:pStyle w:val="BodyText"/>
      </w:pPr>
      <w:r>
        <w:drawing>
          <wp:inline>
            <wp:extent cx="5334000" cy="2117141"/>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17141"/>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bears on whether the extra sellers were returning after a pause.</w:t>
      </w:r>
    </w:p>
    <w:p>
      <w:pPr>
        <w:pStyle w:val="BodyText"/>
      </w:pPr>
      <w:r>
        <w:t xml:space="preserve">Part-year selling weighs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weighs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Where online sellers sell, and what records they keep, complete the survey evidence.</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553101"/>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553101"/>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bears on the third question of Section 2.4, because a rule built on platform records reaches only the marketplace part. Chapter 6 measures that reach. The same split also marks where the national figures part.</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with which Chapter 1 began,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Across the scenarios it grew by 0.2 to 13 percent.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said that it had more than 14 million merchants in 2023, while BPS counted about 0.7 million marketplace sellers that year (GoTo Gojek Tokopedia 2024b).</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part most where only the survey looks. Chapter 6 turns to the rules that Indonesia is writing.</w:t>
      </w:r>
    </w:p>
    <w:bookmarkEnd w:id="76"/>
    <w:bookmarkEnd w:id="77"/>
    <w:bookmarkStart w:id="84"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 the legal texts; news reports where marked.</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with which Chapter 1 began.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is about 13 percent. At GoTo, where two-wheel rides weigh more, the same arithmetic gives about 1 to 1.4 points on a take rate of about 22 percent. In both cases the wedge grows by the same amount. The cap moves money from the platform’s revenue to the drivers’ fares, inside the same transaction value.</w:t>
      </w:r>
    </w:p>
    <w:p>
      <w:pPr>
        <w:pStyle w:val="BodyText"/>
      </w:pPr>
      <w:r>
        <w:t xml:space="preserve">The players around the cap have different stakes. Drivers asked for it,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who apply for the discount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adds a record more than revenue.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parted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part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bear on the commission cap, one on marketplace fees and one on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parted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between 2022 and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it leaves H2 on its threshold. With those sellers and their sales taken out, more businesses account for about 42 to 54 percent of the growth, against the 50 percent H2 requires.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The national figures agree that growth was small where they cover the same sellers. They part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In Indonesia, the take rate accounted for about two thirds of a revenue move at the typical pair, against about a quarter abroad. The thinner the take rate, the more a small change in fees or incentives moves revenue growth. The same split shows when market value per dollar of revenue and per dollar of commerce will disagree. Across 28 listed platforms, market value moved with transaction value, as a registered prediction stated. A 1 percent rise in transaction value went with about 0.6 percent more market value. Earlier studies used web traffic as the measure of activity; here it is the transaction value that platforms report themselves.</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part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w:t>
      </w:r>
    </w:p>
    <w:p>
      <w:pPr>
        <w:pStyle w:val="BodyText"/>
      </w:pPr>
      <w:r>
        <w:t xml:space="preserve">The platform figures carry their own limits. Shopee’s and Grab’s Indonesian amounts rest on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rest on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Three of the sources are licensed: the BPS survey files, the LSEG market values and the World Bank survey files. The repository holds the code and the national totals, and anyone who obtains the same files can rerun the analysis. The evidence concerns Indonesia, with regional series labelled as such.</w:t>
      </w:r>
    </w:p>
    <w:bookmarkEnd w:id="88"/>
    <w:bookmarkStart w:id="89" w:name="next-steps"/>
    <w:p>
      <w:pPr>
        <w:pStyle w:val="Heading2"/>
      </w:pPr>
      <w:r>
        <w:t xml:space="preserve">7.5 Next steps</w:t>
      </w:r>
    </w:p>
    <w:p>
      <w:pPr>
        <w:pStyle w:val="FirstParagraph"/>
      </w:pPr>
      <w:r>
        <w:t xml:space="preserve">The first step is to score the registered predictions on the 2026 results, as Section 6.5 sets out. The outcomes will show what the companies’ take rates did after the commission cap.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revenue and transaction value.</w:t>
      </w:r>
    </w:p>
    <w:p>
      <w:pPr>
        <w:pStyle w:val="BodyText"/>
      </w:pPr>
      <w:r>
        <w:t xml:space="preserve">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The figures disagreed because they measure different things. Revenue is what a platform keeps. Bank Indonesia’s figure comes from large e-commerce firms, and BPS’s survey counts the sellers it reaches. Each stops standing for another once a take rate or a survey’s reach changes. A reader who checks which condition holds can use any of them.</w:t>
      </w:r>
    </w:p>
    <w:bookmarkEnd w:id="89"/>
    <w:bookmarkEnd w:id="90"/>
    <w:bookmarkStart w:id="101"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5" w:name="X190ea442f22e8dfb253327d946eb3313b4f8b85"/>
    <w:p>
      <w:pPr>
        <w:pStyle w:val="Heading2"/>
      </w:pPr>
      <w:r>
        <w:t xml:space="preserve">Appendix A. Platforms, windows and the wedge by year</w:t>
      </w:r>
    </w:p>
    <w:bookmarkStart w:id="91"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(tickers NBIS, TCOM, TOUR and UXIN).</w:t>
      </w:r>
    </w:p>
    <w:bookmarkEnd w:id="91"/>
    <w:bookmarkStart w:id="92"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2"/>
    <w:bookmarkStart w:id="93"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3"/>
    <w:bookmarkStart w:id="94"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Derived value</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Derived value</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Derived value</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Derived value</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Derived value</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Derived value</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122.00</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Direct disclosure</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199.00</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Direct disclosure</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Direct disclosure</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Direct disclosure</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Direct disclosure</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Direct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Direct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Direct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Direct disclosure</w:t>
            </w:r>
          </w:p>
        </w:tc>
      </w:tr>
    </w:tbl>
    <w:bookmarkEnd w:id="94"/>
    <w:bookmarkEnd w:id="95"/>
    <w:bookmarkStart w:id="98" w:name="appendix-b.-the-checks-on-the-test-of-h1"/>
    <w:p>
      <w:pPr>
        <w:pStyle w:val="Heading2"/>
      </w:pPr>
      <w:r>
        <w:t xml:space="preserve">Appendix B. The checks on the test of H1</w:t>
      </w:r>
    </w:p>
    <w:bookmarkStart w:id="96"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6"/>
    <w:bookmarkStart w:id="97"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7"/>
    <w:bookmarkEnd w:id="98"/>
    <w:bookmarkStart w:id="99"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9"/>
    <w:bookmarkStart w:id="100"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0"/>
    <w:bookmarkEnd w:id="101"/>
    <w:bookmarkStart w:id="102"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 [UNVERIFIED: release date]</w:t>
      </w:r>
    </w:p>
    <w:p>
      <w:pPr>
        <w:pStyle w:val="BodyText"/>
      </w:pPr>
      <w:r>
        <w:t xml:space="preserve">Bank Indonesia. (2025).</w:t>
      </w:r>
      <w:r>
        <w:t xml:space="preserve"> </w:t>
      </w:r>
      <w:r>
        <w:rPr>
          <w:iCs/>
          <w:i/>
        </w:rPr>
        <w:t xml:space="preserve">Sinergi jadi energi saat UMKM naik kelas lewat digitalisasi</w:t>
      </w:r>
      <w:r>
        <w:t xml:space="preserve"> </w:t>
      </w:r>
      <w:r>
        <w:t xml:space="preserve">[Cerita BI]. https://www.bi.go.id/id/publikasi/ruang-media/cerita-bi/Pages/Sinergi-Jadi-Energi-Saat-UMKM-Naik-Kelas-Lewat-Digitalisasi.aspx [UNVERIFIED: exact date; repo notes say 30 Oct 2025]</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https://jdih.bps.go.id [UNVERIFIED: document-level URL]</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[UNVERIFIED: primary text not retrieved (403); details from GMA News, December 29, 2023,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(2026a, July 1).</w:t>
      </w:r>
      <w:r>
        <w:t xml:space="preserve"> </w:t>
      </w:r>
      <w:r>
        <w:rPr>
          <w:iCs/>
          <w:i/>
        </w:rPr>
        <w:t xml:space="preserve">[Designation of four marketplaces as collectors of income tax Article 22]</w:t>
      </w:r>
      <w:r>
        <w:t xml:space="preserve"> </w:t>
      </w:r>
      <w:r>
        <w:t xml:space="preserve">[Press release]. Ministry of Finance of the Republic of Indonesia. https://www.pajak.go.id/en/node/120146 [UNVERIFIED: exact title]</w:t>
      </w:r>
    </w:p>
    <w:p>
      <w:pPr>
        <w:pStyle w:val="BodyText"/>
      </w:pPr>
      <w:r>
        <w:t xml:space="preserve">Directorate General of Taxes. (2026b, August 5).</w:t>
      </w:r>
      <w:r>
        <w:t xml:space="preserve"> </w:t>
      </w:r>
      <w:r>
        <w:rPr>
          <w:iCs/>
          <w:i/>
        </w:rPr>
        <w:t xml:space="preserve">[Postponement of marketplace collection of income tax Article 22 to 1 November 2026] (PENG-46/PJ.09/2026)</w:t>
      </w:r>
      <w:r>
        <w:t xml:space="preserve"> </w:t>
      </w:r>
      <w:r>
        <w:t xml:space="preserve">[Announcement]. Ministry of Finance of the Republic of Indonesia. https://pajak.go.id/en/node/120353 [UNVERIFIED: exact title]</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Directorate General of Taxes. (n.d.).</w:t>
      </w:r>
      <w:r>
        <w:t xml:space="preserve"> </w:t>
      </w:r>
      <w:r>
        <w:rPr>
          <w:iCs/>
          <w:i/>
        </w:rPr>
        <w:t xml:space="preserve">Pajak atas usaha ekonomi digital terkini Rp32,32 triliun</w:t>
      </w:r>
      <w:r>
        <w:t xml:space="preserve"> </w:t>
      </w:r>
      <w:r>
        <w:t xml:space="preserve">[Press release]. Ministry of Finance of the Republic of Indonesia. https://pajak.go.id/id/siaran-pers/pajak-atas-usaha-ekonomi-digital-terkini-3232-triliun [UNVERIFIED: date and title wording; title inferred from URL]</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[UNVERIFIED: public URL; local copy</w:t>
      </w:r>
      <w:r>
        <w:t xml:space="preserve"> </w:t>
      </w:r>
      <w:r>
        <w:rPr>
          <w:rStyle w:val="VerbatimChar"/>
        </w:rPr>
        <w:t xml:space="preserve">sources/core_public_documents/goto_annual_report_2023.pdf</w:t>
      </w:r>
      <w:r>
        <w:t xml:space="preserve">]</w:t>
      </w:r>
    </w:p>
    <w:p>
      <w:pPr>
        <w:pStyle w:val="BodyText"/>
      </w:pPr>
      <w:r>
        <w:t xml:space="preserve">GoTo Gojek Tokopedia. (2026).</w:t>
      </w:r>
      <w:r>
        <w:t xml:space="preserve"> </w:t>
      </w:r>
      <w:r>
        <w:rPr>
          <w:iCs/>
          <w:i/>
        </w:rPr>
        <w:t xml:space="preserve">Second quarter 2026 earnings call transcript</w:t>
      </w:r>
      <w:r>
        <w:t xml:space="preserve"> </w:t>
      </w:r>
      <w:r>
        <w:t xml:space="preserve">[Transcript]. https://www.gotocompany.com/investor-relations/en/quarterly-results?year=2026&amp;item=Q2 [UNVERIFIED: exact title and date of the call]</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w:t>
      </w:r>
      <w:r>
        <w:t xml:space="preserve"> </w:t>
      </w:r>
      <w:r>
        <w:t xml:space="preserve">[Government Regulation No. 20 of 2026 amending Government Regulation No. 55 of 2022]. https://jdih.setneg.go.id [UNVERIFIED: document-level URL]</w:t>
      </w:r>
    </w:p>
    <w:p>
      <w:pPr>
        <w:pStyle w:val="BodyText"/>
      </w:pPr>
      <w:r>
        <w:t xml:space="preserve">Government of Viet Nam. (2025).</w:t>
      </w:r>
      <w:r>
        <w:t xml:space="preserve"> </w:t>
      </w:r>
      <w:r>
        <w:rPr>
          <w:iCs/>
          <w:i/>
        </w:rPr>
        <w:t xml:space="preserve">Decree No. 117/2025/ND-CP on tax administration for business activities on e-commerce and digital platforms of households and individuals</w:t>
      </w:r>
      <w:r>
        <w:t xml:space="preserve"> </w:t>
      </w:r>
      <w:r>
        <w:t xml:space="preserve">[Issued June 9, 2025; effective July 1, 2025]. [UNVERIFIED: primary text not retrieved; English title and details from EY Tax Alert, June 24, 2025, https://taxnews.ey.com/news/2025-1337-vietnam-promulgates-decree-on-tax-administration-for-business-activities-on-e-commerce-and-digital-platforms-of-households-and-individuals]</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check against Grab’s own webcast before submission]</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https://jdih.kemendag.go.id [UNVERIFIED: document-level URL]</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https://jdih.kemendag.go.id [UNVERIFIED: document-level URL]</w:t>
      </w:r>
    </w:p>
    <w:p>
      <w:pPr>
        <w:pStyle w:val="BodyText"/>
      </w:pPr>
      <w:r>
        <w:t xml:space="preserve">Momentum Works. (2024).</w:t>
      </w:r>
      <w:r>
        <w:t xml:space="preserve"> </w:t>
      </w:r>
      <w:r>
        <w:rPr>
          <w:iCs/>
          <w:i/>
        </w:rPr>
        <w:t xml:space="preserve">Ecommerce in Southeast Asia 2024</w:t>
      </w:r>
      <w:r>
        <w:t xml:space="preserve">. [UNVERIFIED: primary report not seen; the figure used is quoted by Katadata, July 15,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https://www.oecd.org/tax/exchange-of-tax-information/model-reporting-rules-for-digital-platforms-international-exchange-framework-and-optional-module-for-sale-of-goods.pdf</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United Nations et al. (2025).</w:t>
      </w:r>
      <w:r>
        <w:t xml:space="preserve"> </w:t>
      </w:r>
      <w:r>
        <w:rPr>
          <w:iCs/>
          <w:i/>
        </w:rPr>
        <w:t xml:space="preserve">System of national accounts 2025</w:t>
      </w:r>
      <w:r>
        <w:t xml:space="preserve"> </w:t>
      </w:r>
      <w:r>
        <w:t xml:space="preserve">(Studies in Methods, Series F). United Nations. https://doi.org/10.18356/9789211073225 [UNVERIFIED: full list of co-issuing organisations]</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2026-10-16T14:09:19Z</dcterms:created>
  <dcterms:modified xsi:type="dcterms:W3CDTF">2026-10-16T14:09:19Z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2026-10-16</vt:lpwstr>
  </property>
</Properties>
</file>