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in Indonesia. Sellers in small towns reach buyers across the country, businesses run from mobile phones, and customers pay by QR code. The figures that measure this activity disagree on both its size and its growth.</w:t>
      </w:r>
    </w:p>
    <w:p>
      <w:pPr>
        <w:pStyle w:val="BodyText"/>
      </w:pPr>
      <w:r>
        <w:t xml:space="preserve">In 2023, traders at Tanah Abang, a major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That year the national statistics office, BPS, reported that online sales rose by about 41 percent (BPS 2025a). The central bank’s measure of online shopping fell by about 5 percent (Bank Indonesia 2023; KabarBursa 2024). The two official figures moved in opposite directions.</w:t>
      </w:r>
    </w:p>
    <w:p>
      <w:pPr>
        <w:pStyle w:val="BodyText"/>
      </w:pPr>
      <w:r>
        <w:t xml:space="preserve">Tokopedia, an Indonesian online marketplace, shows revenue and commerce moving apart inside one company. Between 2022 and 2023, its net revenue rose by 53 percent while the value of transactions on the platform, its transaction value, fell by 9 percent (GoTo Gojek Tokopedia 2024a, 2024b). The two are different amounts. A platform keeps only part of each sale, as commissions and fees. The rest is the seller’s receipts, the driver’s fare or another amount that passes through. This thesis calls the difference the invisible wedge. The term means what a revenue-only measure leaves out. It does not mean activity that goes unrecorded.</w:t>
      </w:r>
    </w:p>
    <w:p>
      <w:pPr>
        <w:pStyle w:val="BodyText"/>
      </w:pPr>
      <w:r>
        <w:t xml:space="preserve">The share a platform keeps is not fixed. When it rises, revenue can grow even while transaction value falls. In Tokopedia’s accounts, about 60 percent of the extra revenue came from smaller discounts and incentives, which a platform pays for out of what it earns (GoTo Gojek Tokopedia 2024b).</w:t>
      </w:r>
    </w:p>
    <w:p>
      <w:pPr>
        <w:pStyle w:val="BodyText"/>
      </w:pPr>
      <w:r>
        <w:t xml:space="preserve">Platform and online sales figures carry weight well beyond Indonesia. Businesses in 43 economies sold almost US$27 trillion online in 2022, by the United Nations’ estimate (UNCTAD 2024), and platforms carry a growing part of that trade. Investors value the companies that run them largely on reported growth. If part of that growth is a platform keeping more of each sale, then part of the share price rests on a pricing decision. Governments use the same figures to size their digital economies and to tax online sellers.</w:t>
      </w:r>
    </w:p>
    <w:p>
      <w:pPr>
        <w:pStyle w:val="BodyText"/>
      </w:pPr>
      <w:r>
        <w:t xml:space="preserve">Research explains why platform revenue and national sales figures can differ, but not when a figure stops moving with the activity it represents, or by how much. Answering that takes two things that are rarely found together. One is a platform’s revenue and transaction value over several years. The other is a national count of online sellers whose underlying answers can be examined.</w:t>
      </w:r>
    </w:p>
    <w:p>
      <w:pPr>
        <w:pStyle w:val="BodyText"/>
      </w:pPr>
      <w:r>
        <w:t xml:space="preserve">In Indonesia, several platforms report revenue and transaction value each year, and BPS asks online sellers when they began and how their sales changed. The stakes are concrete. For 2024, BPS gives about US$81 billion for online sales and the central bank about US$31 billion, more than two to one (BPS 2025b; Bank Indonesia 2025). The government has set new rules on platform commissions, discounts and tax. Its tax on marketplace sellers can raise about US$60 million a year on one measure of the market and about US$300 million on another, before exemptions (Ministry of Finance of the Republic of Indonesia 2025; author’s calculation). Most online sellers work through messaging and social media, outside the marketplaces, so platform and survey figures are likely to part.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those who value platforms, the thesis shows how small a part of the commerce a platform’s revenue records. This matters because market values of internet firms track revenue (Bowen, Davis and Rajgopal 2002). It matters for growth as well as scale: the larger the wedge is next to revenue, the more a small change in fees or discounts moves revenue growth. When the take rate moves, market value per dollar of revenue and market value per dollar of commerce change by different amounts. The thesis also traces why revenue moved, which gives investors a check on whether reported growth came from more commerce or from a larger share of each sale. A prediction registered in advance then tests how market value moves with each of the two.</w:t>
      </w:r>
    </w:p>
    <w:p>
      <w:pPr>
        <w:pStyle w:val="BodyText"/>
      </w:pPr>
      <w:r>
        <w:t xml:space="preserve">For those who measure the economy,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those who design tax and regulation, the thesis measures how far rules based on platform records reach. A rule built on platform records reaches only the sellers who use platforms, so where most sellers work outside them, such rules cover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The contribution of this thesis is connected evidence for one country. It draws on the platforms’ accounts, the sellers’ own survey responses and the rules that act on those figures. Across all three, one point recurs.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which come from platform reports, BPS survey files and national and market figures,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commerce and national online sales grow.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 Rajgopal, Venkatachalam and Kotha 2003).</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Two regional companies, both based in Singapore, complete the group: Grab, which runs rides and deliveries across Southeast Asia, and Sea, whose marketplace is Shopee.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and with exact tests. They also drop two platforms at a time, move Sea to the regional group and keep only the first five years after listing.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and its ratio is about 39. Shopee’s ratio of 9 follows from the assumed take rate, and Grab’s ratio of about 8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Exact versions, which list every possible split of the 32 platforms, give the same answer (p = 0.004 and p = 0.021). No single platform carries the result: dropping any one, or treating Tokopedia and GoTo as one company, keeps p at 0.016 or below. Dropping two can weaken it. Without Blibli and Tokopedia, the two largest movers, p is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One check goes the other way. Quarterly pairs do not reject H1 (p = 0.19), contrary to a prediction registered before the test was run. The quarterly Indonesian pairs mostly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 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the 34 provinces, growth in the count had almost no link to the share of new sellers (a rank correlation of 0.10, on a scale from −1 to 1) and only a weak link to growth in the sample (0.35). The break sat in chat and social selling. Among sellers who began by 2022, those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splits that rise by giving each kind of seller its typical size in the 2022 file. New sellers, sized like those that began in 2022, account for 25 to 30 percent of it.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The extra count also matters for H2, in an exploratory follow-up. H2’s split treats every seller in the count as having entered. Suppose instead that the sellers not explained by entry were reached by wider coverage, and that their sales came with them. Take both out of the 2023 figures. More businesses then account for about 54 percent of the growth if no seller stopped, and about 42 percent if sellers stopped at 5 percent a year. H2 requires more than 50 percent. So H2 holds on the published series, but it sits right on its threshold once the extra count is read as coverage.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with which Chapter 1 began,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with which Chapter 1 began.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began with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2026-10-23T09:16:01Z</dcterms:created>
  <dcterms:modified xsi:type="dcterms:W3CDTF">2026-10-23T09:16:01Z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