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Indonesian digital platforms process substantially more transaction value than they recognise as revenue. This paper measures that difference, which I term the invisible wedge, and examines how it changes over time. For FY2023, three documented platform cases imply a combined wedge of US$40.07 billion, equivalent to 2.9 percent of Indonesian GDP. Within-series growth in transaction value and platform revenue diverges by a median of 42 percentage points, and disclosed revenue components account for much of the observed movement. Official statistics indicate that 98.5 percent of the 2023-2024 increase in national e-commerce value occurred outside the marketplace channel that platform accounts capture. The wedge is an accounting boundary and does not measure profit, taxable income or unreported activity. It identifies the point at which platform-held transaction records cease to appear in platform revenue, which is the margin on which Indonesia's marketplace reporting regime operates.</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without becoming platform revenue; they are merchant receipts, driver payouts, inventory costs, taxes paid elsewhere, and other pass-through payments. That 90-unit difference is what this proposal measures.</w:t>
      </w:r>
    </w:p>
    <w:p>
      <w:pPr>
        <w:spacing w:line="247" w:lineRule="auto" w:after="80" w:before="0"/>
        <w:jc w:val="both"/>
      </w:pPr>
      <w:r>
        <w:rPr>
          <w:rFonts w:ascii="Times New Roman" w:hAnsi="Times New Roman" w:cs="Times New Roman" w:eastAsia="Times New Roman"/>
          <w:i w:val="0"/>
          <w:sz w:val="24"/>
        </w:rPr>
        <w:t>For FY2023, three documented Indonesian platform cases imply a combined wedge of approximately US$40.07 billion. Indonesia’s nominal GDP that year was US$1.371 trillion, so the wedge is equivalent to about 2.9 percent of it. The comparison is offered to convey scale. It is not a claim that the wedge is national output, participant profit, or tax owed, and Section 3 sets out precisely what the measure does and does not identify.</w:t>
      </w:r>
    </w:p>
    <w:p>
      <w:pPr>
        <w:spacing w:line="247" w:lineRule="auto" w:after="80" w:before="0"/>
        <w:jc w:val="both"/>
      </w:pPr>
      <w:r>
        <w:rPr>
          <w:rFonts w:ascii="Times New Roman" w:hAnsi="Times New Roman" w:cs="Times New Roman" w:eastAsia="Times New Roman"/>
          <w:i w:val="0"/>
          <w:sz w:val="24"/>
        </w:rPr>
        <w:t>Invisible does not mean concealed. A platform may hold seller- and worker-linked transaction records even where those records do not enter routine third-party income reporting. What the wedge captures is the accounting boundary between processed transaction value and recognized revenue; whether the records behind that activity are transmitted and usable outside the platform is a separate question, taken up in Section 5.3.</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Three objectives follow. The first is to measure the wedge across years rather than at a single point, keeping observations of differing evidence quality separate rather than pooled. The second is to explain material movements using revenue components the issuers themselves disclose. The third is to set the measured boundary against wider Indonesian activity and against the reporting rules now being introduced. Platforms outside Indonesia enter only as a check on whether the same boundary appears under other business models, and are reported in Section 5.4 as corroboration rather than as a second sample.</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then determines how much facilitated commerce becomes recognized revenue: principal–agent treatment under IFRS 15 (International Accounting Standards Board 2014), customer incentives, service mix, acquisitions, and reporting perimeter can all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Pr>
                <w:b w:val="0"/>
                <w:sz w:val="18"/>
              </w:rP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Two features of the total should be read with it. Its composition is uneven: Tokopedia, the only direct pair, contributes 39.7 percent of the wedge, Shopee 48.3 percent and Grab 11.9 percent, so 60.3 percent rests on conditional reconstruction. And Shopee’s Indonesian revenue is not disclosed; it is estimated by applying Sea Limited’s disclosed Group monetization rate of 10.0 percent to an external market estimate, which is why its Ecosystem Ratio is exactly 9.000. Varying that rate between 9 and 11 percent moves the combined wedge only between US$40.29 billion and US$39.86 billion, since a higher assumed rate raises estimated revenue and lowers the residual in near-equal measure. The order of magnitude is insensitive to the assumption even though Shopee’s own ratio is determined by it. Wider one-at-a-time variation across all derived inputs moves the wedge between approximately US$37.65 billion and US$42.49 billion.</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