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1.png" ContentType="image/png"/>
  <Override PartName="/word/media/rId55.png" ContentType="image/png"/>
  <Override PartName="/word/media/rId60.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Invisible</w:t>
      </w:r>
      <w:r>
        <w:t xml:space="preserve"> </w:t>
      </w:r>
      <w:r>
        <w:t xml:space="preserve">Ledger:</w:t>
      </w:r>
      <w:r>
        <w:t xml:space="preserve"> </w:t>
      </w:r>
      <w:r>
        <w:t xml:space="preserve">Chapters</w:t>
      </w:r>
      <w:r>
        <w:t xml:space="preserve"> </w:t>
      </w:r>
      <w:r>
        <w:t xml:space="preserve">1</w:t>
      </w:r>
      <w:r>
        <w:t xml:space="preserve"> </w:t>
      </w:r>
      <w:r>
        <w:t xml:space="preserve">to</w:t>
      </w:r>
      <w:r>
        <w:t xml:space="preserve"> </w:t>
      </w:r>
      <w:r>
        <w:t xml:space="preserve">7</w:t>
      </w:r>
      <w:r>
        <w:t xml:space="preserve"> </w:t>
      </w:r>
      <w:r>
        <w:t xml:space="preserve">(compact</w:t>
      </w:r>
      <w:r>
        <w:t xml:space="preserve"> </w:t>
      </w:r>
      <w:r>
        <w:t xml:space="preserve">reading</w:t>
      </w:r>
      <w:r>
        <w:t xml:space="preserve"> </w:t>
      </w:r>
      <w:r>
        <w:t xml:space="preserve">copy)</w:t>
      </w:r>
    </w:p>
    <w:p>
      <w:pPr>
        <w:pStyle w:val="Subtitle"/>
      </w:pPr>
      <w:r>
        <w:t xml:space="preserve">2026-10-15.</w:t>
      </w:r>
      <w:r>
        <w:t xml:space="preserve"> </w:t>
      </w:r>
      <w:r>
        <w:t xml:space="preserve">Main</w:t>
      </w:r>
      <w:r>
        <w:t xml:space="preserve"> </w:t>
      </w:r>
      <w:r>
        <w:t xml:space="preserve">text</w:t>
      </w:r>
      <w:r>
        <w:t xml:space="preserve"> </w:t>
      </w:r>
      <w:r>
        <w:t xml:space="preserve">only;</w:t>
      </w:r>
      <w:r>
        <w:t xml:space="preserve"> </w:t>
      </w:r>
      <w:r>
        <w:t xml:space="preserve">appendices</w:t>
      </w:r>
      <w:r>
        <w:t xml:space="preserve"> </w:t>
      </w:r>
      <w:r>
        <w:t xml:space="preserve">and</w:t>
      </w:r>
      <w:r>
        <w:t xml:space="preserve"> </w:t>
      </w:r>
      <w:r>
        <w:t xml:space="preserve">references</w:t>
      </w:r>
      <w:r>
        <w:t xml:space="preserve"> </w:t>
      </w:r>
      <w:r>
        <w:t xml:space="preserve">are</w:t>
      </w:r>
      <w:r>
        <w:t xml:space="preserve"> </w:t>
      </w:r>
      <w:r>
        <w:t xml:space="preserve">in</w:t>
      </w:r>
      <w:r>
        <w:t xml:space="preserve"> </w:t>
      </w:r>
      <w:r>
        <w:t xml:space="preserve">the</w:t>
      </w:r>
      <w:r>
        <w:t xml:space="preserve"> </w:t>
      </w:r>
      <w:r>
        <w:t xml:space="preserve">full</w:t>
      </w:r>
      <w:r>
        <w:t xml:space="preserve"> </w:t>
      </w:r>
      <w:r>
        <w:t xml:space="preserve">copy.</w:t>
      </w:r>
    </w:p>
    <w:bookmarkStart w:id="23"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(AFP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sales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It shows why this matters for growth as well as scale: the larger the wedge is next to revenue, the more a small change in fees or discounts moves revenue growth. It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sales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the sales.</w:t>
      </w:r>
    </w:p>
    <w:p>
      <w:pPr>
        <w:pStyle w:val="BodyText"/>
      </w:pPr>
      <w:r>
        <w:t xml:space="preserve">Platform economics explains why revenue is only a small share of the sales.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sales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sales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United Nations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sales and national sales grow. The test of one figure against another has been applied to national income and night-time lights. Among the studies reviewed here, it has not been applied to platform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sales,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sales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which explains why the share is small and can move but does not test whether reported revenue stays a fair guide to the sales.</w:t>
      </w:r>
    </w:p>
    <w:p>
      <w:pPr>
        <w:numPr>
          <w:ilvl w:val="0"/>
          <w:numId w:val="1001"/>
        </w:numPr>
        <w:pStyle w:val="Compact"/>
      </w:pPr>
      <w:r>
        <w:rPr>
          <w:bCs/>
          <w:b/>
        </w:rPr>
        <w:t xml:space="preserve">Does the choice of figure change the conclusion about growth?</w:t>
      </w:r>
      <w:r>
        <w:t xml:space="preserve"> </w:t>
      </w:r>
      <w:r>
        <w:t xml:space="preserve">This follows from Section 2.2, which shows that figures differ but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which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the survey of online sellers run by BPS, the national statistics office.</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 Chapter 6 develops the reach of the rules.</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the same year, the conclusion about growth depends on the figure chosen. The thesis compares their growth rates, each in its own unit, and compares levels only after reconciling what each source covers. Household spending, from the national accounts, serves as a further point of comparison. Chapter 4 describes the data and methods behind each test and analysis.</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and the extraction tables keep the source file and the quoted passage beside every value. Where a platform does not report Indonesia alone, as with Shopee and Grab, the thesis states what it derives or borrows and labels it.</w:t>
      </w:r>
    </w:p>
    <w:p>
      <w:pPr>
        <w:pStyle w:val="BodyText"/>
      </w:pPr>
      <w:r>
        <w:t xml:space="preserve">The national side rests on a survey that BPS, the national statistics office, runs among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three of them report what they pay out in incentives, and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Wherever a company discloses both its gross fees and its incentives,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three segment series and three more whole companies as a robustness check.</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split with both and reports both.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and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n.d.), and the number of merchants a company reports</w:t>
            </w:r>
          </w:p>
        </w:tc>
        <w:tc>
          <w:tcPr/>
          <w:p>
            <w:pPr>
              <w:pStyle w:val="Compact"/>
              <w:jc w:val="left"/>
            </w:pPr>
            <w: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did not come from sellers entering for the first time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planned in advance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trimmed;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US$39.9 or US$40.3 billion; at Sea’s company-wide rate of 11.5 percent, it is US$39.8 billion. Source: company filings; Momentum Works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The test planned in advance was narrower: the three Indonesian marketplaces against the eight foreign platforms chosen first. It points the same way. With one median per platform, the Mann–Whitney test rejects equal moves (p = 0.024). The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2021 and 2024. The rejection of H1 describes that period.</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6400800" cy="2358031"/>
            <wp:effectExtent b="0" l="0" r="0" t="0"/>
            <wp:docPr descr=""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6400800" cy="2358031"/>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6400800" cy="2166333"/>
            <wp:effectExtent b="0" l="0" r="0" t="0"/>
            <wp:docPr descr=""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6400800" cy="2166333"/>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trimmed.</w:t>
      </w:r>
    </w:p>
    <w:p>
      <w:pPr>
        <w:pStyle w:val="BodyText"/>
      </w:pPr>
      <w:r>
        <w:t xml:space="preserve">A second run adds three segment series and three more whole companies.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The data do not show that markets valued growth from pricing any less. Revenue and transaction value come from the platforms’ own reports, and market value from share prices.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drawing>
          <wp:inline>
            <wp:extent cx="6400800" cy="3435305"/>
            <wp:effectExtent b="0" l="0" r="0" t="0"/>
            <wp:docPr descr=""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6400800" cy="3435305"/>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does not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value has no source in the answers of existing sellers. BPS’s online sales value rose from about US$53 billion to about US$72 billion. Entrants account for 25 to 30 percent of that rise, and sellers not explained by entry for 15 to 17 percent. Existing sellers reported a mean change of about −4 percent, so they added nothing to the rise. That leaves 53 to 59 percent of it with no source in the sellers’ answers.</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is its 2023 count above what its own yearly change from 2020 to 2022 would give (Section 4.7). The extra sellers total about 450 thousand, close to the 458 thousand in Table 5.5. Figure 5.4 compares each group’s share of the extra count with its share of the 2022 count.</w:t>
      </w:r>
    </w:p>
    <w:p>
      <w:pPr>
        <w:pStyle w:val="BodyText"/>
      </w:pPr>
      <w:r>
        <w:drawing>
          <wp:inline>
            <wp:extent cx="6400800" cy="2540569"/>
            <wp:effectExtent b="0" l="0" r="0" t="0"/>
            <wp:docPr descr=""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6400800" cy="2540569"/>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drawing>
          <wp:inline>
            <wp:extent cx="5513923" cy="2639221"/>
            <wp:effectExtent b="0" l="0" r="0" t="0"/>
            <wp:docPr descr=""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513923" cy="263922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annual reading of the brackets passes the validation rule, at about twice BPS’s total, while the monthly reading fails at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3"/>
    <w:bookmarkStart w:id="74" w:name="why-the-national-figures-disagree"/>
    <w:p>
      <w:pPr>
        <w:pStyle w:val="Heading2"/>
      </w:pPr>
      <w:r>
        <w:t xml:space="preserve">5.10 Why the national figures disagree</w:t>
      </w:r>
    </w:p>
    <w:p>
      <w:pPr>
        <w:pStyle w:val="FirstParagraph"/>
      </w:pPr>
      <w:r>
        <w:t xml:space="preserve">The national figures agree on growth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said that it had about 15 million merchants in 2022, while BPS counts about 0.6 million marketplace sellers.</w:t>
      </w:r>
    </w:p>
    <w:p>
      <w:pPr>
        <w:pStyle w:val="BodyText"/>
      </w:pPr>
      <w:r>
        <w:t xml:space="preserve">Platform sales do not always keep pace with household spending. In each of the four quarters to mid-2026, GoTo’s on-demand transaction value grew more slowly than household spending. In the last, it grew by 2 percent against 8 percent, while its revenue grew by 21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4"/>
    <w:bookmarkEnd w:id="75"/>
    <w:bookmarkStart w:id="82"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 the legal texts; news reports where marked.</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A cap on one fee does not fix the take rate, because the platform still sets its incentives. At GoTo, on-demand revenue rose by about 21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 Setyowati 2026). The government declined to cap these fees. It later required marketplaces to halve the service fee for small sellers of local products, a rule not yet in force by late August 2026 (Ayudiana 2026). The rules on the take rate cap one fee on one ride-hailing service and leave the largest marketplace fees free. How far the cap moves the companies’ take rates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 It had begun once in August 2026, then stopped, and the tax collected was returned.</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17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2021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between 2021 and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The national figures agree on growth where they cover the same sellers.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In Indonesia, the take rate accounted for about two thirds of a revenue move at the typical pair, against about a quarter abroad. The thinner the take rate, the more a small change in fees or incentives moves revenue growth. Across 28 listed platforms, market value moved with transaction value, as a registered prediction stated.</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2021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though by only 3.3 points on a second version.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Three of the sources are licensed: the BPS survey files, the LSEG market values and the World Bank survey files. The repository holds the code and the national totals, and anyone who obtains the same files can rerun the analysis. The evidence concerns Indonesia, with regional series labelled as such.</w:t>
      </w:r>
    </w:p>
    <w:bookmarkEnd w:id="86"/>
    <w:bookmarkStart w:id="87" w:name="next-steps"/>
    <w:p>
      <w:pPr>
        <w:pStyle w:val="Heading2"/>
      </w:pPr>
      <w:r>
        <w:t xml:space="preserve">7.5 Next steps</w:t>
      </w:r>
    </w:p>
    <w:p>
      <w:pPr>
        <w:pStyle w:val="FirstParagraph"/>
      </w:pPr>
      <w:r>
        <w:t xml:space="preserve">The first step is to score the registered predictions on the 2026 results, as Section 6.5 sets out. The outcomes will show how far the commission cap moved the companies’ take rates.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revenue and transaction value.</w:t>
      </w:r>
    </w:p>
    <w:p>
      <w:pPr>
        <w:pStyle w:val="BodyText"/>
      </w:pPr>
      <w:r>
        <w:t xml:space="preserve">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7"/>
    <w:bookmarkEnd w:id="88"/>
    <w:sectPr>
      <w:pgSz w:h="16838" w:w="11906"/>
      <w:pgMar w:bottom="850" w:left="907" w:right="907"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52" w:lineRule="auto"/>
    </w:pPr>
    <w:rPr>
      <w:sz w:val="19"/>
    </w:rPr>
  </w:style>
  <w:style w:styleId="BodyText" w:type="paragraph">
    <w:name w:val="Body Text"/>
    <w:basedOn w:val="Normal"/>
    <w:link w:val="BodyTextChar"/>
    <w:pPr>
      <w:spacing w:after="80" w:before="0" w:line="252" w:lineRule="auto"/>
    </w:pPr>
    <w:qFormat/>
    <w:rPr>
      <w:sz w:val="19"/>
    </w:rPr>
  </w:style>
  <w:style w:customStyle="1" w:styleId="FirstParagraph" w:type="paragraph">
    <w:name w:val="First Paragraph"/>
    <w:basedOn w:val="BodyText"/>
    <w:next w:val="BodyText"/>
    <w:qFormat/>
    <w:pPr>
      <w:spacing w:after="80" w:before="0" w:line="252" w:lineRule="auto"/>
    </w:pPr>
    <w:rPr>
      <w:sz w:val="19"/>
    </w:rPr>
  </w:style>
  <w:style w:customStyle="1" w:styleId="Compact" w:type="paragraph">
    <w:name w:val="Compact"/>
    <w:basedOn w:val="BodyText"/>
    <w:qFormat/>
    <w:pPr>
      <w:spacing w:after="80" w:before="0"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0"/>
      <w:szCs w:val="36"/>
    </w:rPr>
  </w:style>
  <w:style w:styleId="Subtitle" w:type="paragraph">
    <w:name w:val="Subtitle"/>
    <w:basedOn w:val="Title"/>
    <w:next w:val="BodyText"/>
    <w:qFormat/>
    <w:pPr>
      <w:keepNext/>
      <w:keepLines/>
      <w:spacing w:after="240" w:before="240"/>
      <w:jc w:val="center"/>
    </w:pPr>
    <w:rPr>
      <w:sz w:val="2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z w:val="17"/>
    </w:rPr>
  </w:style>
  <w:style w:customStyle="1" w:styleId="ImageCaption" w:type="paragraph">
    <w:name w:val="Image Caption"/>
    <w:basedOn w:val="Caption"/>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Invisible Ledger: Chapters 1 to 7 (compact reading copy)</dc:title>
  <dc:creator/>
  <cp:keywords/>
  <dcterms:created xsi:type="dcterms:W3CDTF">2026-10-15T18:32:51Z</dcterms:created>
  <dcterms:modified xsi:type="dcterms:W3CDTF">2026-10-15T18:32:51Z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2026-10-15. Main text only; appendices and references are in the full copy.</vt:lpwstr>
  </property>
</Properties>
</file>