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4"/>
        </w:rPr>
        <w:t>元智大學</w:t>
        <w:br/>
        <w:t>YUAN ZE UNIVERSITY</w:t>
      </w:r>
    </w:p>
    <w:p>
      <w:pPr>
        <w:jc w:val="center"/>
      </w:pPr>
      <w:r>
        <w:rPr>
          <w:rFonts w:ascii="Times New Roman" w:hAnsi="Times New Roman" w:cs="Times New Roman"/>
          <w:sz w:val="24"/>
        </w:rPr>
        <w:t>管理學院財務金融暨會計碩士班</w:t>
        <w:br/>
        <w:t>財務金融碩士學程</w:t>
      </w:r>
    </w:p>
    <w:p/>
    <w:p>
      <w:pPr>
        <w:jc w:val="center"/>
      </w:pPr>
      <w:r>
        <w:rPr>
          <w:rFonts w:ascii="Times New Roman" w:hAnsi="Times New Roman" w:cs="Times New Roman"/>
          <w:b/>
          <w:sz w:val="24"/>
        </w:rPr>
        <w:t>碩士論文計畫書</w:t>
        <w:br/>
        <w:t>MASTER'S THESIS PROPOSAL</w:t>
      </w:r>
    </w:p>
    <w:p/>
    <w:p>
      <w:pPr>
        <w:jc w:val="center"/>
      </w:pPr>
      <w:r>
        <w:rPr>
          <w:rFonts w:ascii="Times New Roman" w:hAnsi="Times New Roman" w:cs="Times New Roman"/>
          <w:b/>
          <w:sz w:val="24"/>
        </w:rPr>
        <w:t>隱形帳簿：量化印尼平台經濟中的隱形楔子</w:t>
      </w:r>
    </w:p>
    <w:p>
      <w:pPr>
        <w:jc w:val="center"/>
      </w:pPr>
      <w:r>
        <w:rPr>
          <w:rFonts w:ascii="Times New Roman" w:hAnsi="Times New Roman" w:cs="Times New Roman"/>
          <w:b/>
          <w:sz w:val="24"/>
        </w:rPr>
        <w:t>The Invisible Ledger: Quantifying the Invisible Wedge in Indonesia's Platform Economy</w:t>
      </w:r>
    </w:p>
    <w:p/>
    <w:p/>
    <w:p>
      <w:pPr>
        <w:jc w:val="center"/>
      </w:pPr>
      <w:r>
        <w:rPr>
          <w:rFonts w:ascii="Times New Roman" w:hAnsi="Times New Roman" w:cs="Times New Roman"/>
          <w:sz w:val="24"/>
        </w:rPr>
        <w:t>研究生 / Student: 王新福 Christopher Ongko</w:t>
      </w:r>
    </w:p>
    <w:p>
      <w:pPr>
        <w:jc w:val="center"/>
      </w:pPr>
      <w:r>
        <w:rPr>
          <w:rFonts w:ascii="Times New Roman" w:hAnsi="Times New Roman" w:cs="Times New Roman"/>
          <w:sz w:val="24"/>
        </w:rPr>
        <w:t>指導教授 / Advisor: 孔德蓉 De-Rong Kong</w:t>
      </w:r>
    </w:p>
    <w:p/>
    <w:p>
      <w:pPr>
        <w:jc w:val="center"/>
      </w:pPr>
      <w:r>
        <w:rPr>
          <w:rFonts w:ascii="Times New Roman" w:hAnsi="Times New Roman" w:cs="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spacing w:line="254" w:lineRule="auto" w:after="6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200" w:after="100"/>
        <w:jc w:val="left"/>
      </w:pPr>
      <w:r>
        <w:rPr>
          <w:rFonts w:ascii="Times New Roman" w:hAnsi="Times New Roman" w:cs="Times New Roman" w:eastAsia="Times New Roman"/>
          <w:b/>
          <w:sz w:val="24"/>
        </w:rPr>
        <w:t>1. Introduction</w:t>
      </w:r>
    </w:p>
    <w:p>
      <w:pPr>
        <w:spacing w:line="254" w:lineRule="auto" w:after="6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54" w:lineRule="auto" w:after="6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54" w:lineRule="auto" w:after="6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54" w:lineRule="auto" w:after="6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140" w:after="60"/>
        <w:jc w:val="left"/>
      </w:pPr>
      <w:r>
        <w:rPr>
          <w:rFonts w:ascii="Times New Roman" w:hAnsi="Times New Roman" w:cs="Times New Roman" w:eastAsia="Times New Roman"/>
          <w:b/>
          <w:sz w:val="24"/>
        </w:rPr>
        <w:t>1.1 Research question and objectives</w:t>
      </w:r>
    </w:p>
    <w:p>
      <w:pPr>
        <w:spacing w:line="254" w:lineRule="auto" w:after="60" w:before="0"/>
        <w:jc w:val="both"/>
      </w:pPr>
      <w:r>
        <w:rPr>
          <w:rFonts w:ascii="Times New Roman" w:hAnsi="Times New Roman" w:cs="Times New Roman" w:eastAsia="Times New Roman"/>
          <w:i w:val="0"/>
          <w:sz w:val="24"/>
        </w:rPr>
        <w:t>One question drives the proposal:</w:t>
      </w:r>
    </w:p>
    <w:p>
      <w:pPr>
        <w:spacing w:before="60" w:after="120" w:line="240"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54" w:lineRule="auto" w:after="6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140" w:after="60"/>
        <w:jc w:val="left"/>
      </w:pPr>
      <w:r>
        <w:rPr>
          <w:rFonts w:ascii="Times New Roman" w:hAnsi="Times New Roman" w:cs="Times New Roman" w:eastAsia="Times New Roman"/>
          <w:b/>
          <w:sz w:val="24"/>
        </w:rPr>
        <w:t>1.2 Contributions</w:t>
      </w:r>
    </w:p>
    <w:p>
      <w:pPr>
        <w:spacing w:line="254" w:lineRule="auto" w:after="6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54" w:lineRule="auto" w:after="6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54" w:lineRule="auto" w:after="6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140" w:after="60" w:line="276" w:lineRule="auto"/>
        <w:jc w:val="left"/>
      </w:pPr>
      <w:r>
        <w:rPr>
          <w:rFonts w:ascii="Times New Roman" w:hAnsi="Times New Roman" w:cs="Times New Roman" w:eastAsia="Times New Roman"/>
          <w:b/>
          <w:sz w:val="24"/>
        </w:rPr>
        <w:t>1.3 Positioning the contribution</w:t>
      </w:r>
    </w:p>
    <w:p>
      <w:pPr>
        <w:spacing w:before="0" w:after="60" w:line="254"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200" w:after="100"/>
        <w:jc w:val="left"/>
      </w:pPr>
      <w:r>
        <w:rPr>
          <w:rFonts w:ascii="Times New Roman" w:hAnsi="Times New Roman" w:cs="Times New Roman" w:eastAsia="Times New Roman"/>
          <w:b/>
          <w:sz w:val="24"/>
        </w:rPr>
        <w:t>2. Literature Review and Research Gap</w:t>
      </w:r>
    </w:p>
    <w:p>
      <w:pPr>
        <w:pStyle w:val="Heading2"/>
        <w:keepNext/>
        <w:spacing w:before="140" w:after="60"/>
        <w:jc w:val="left"/>
      </w:pPr>
      <w:r>
        <w:rPr>
          <w:rFonts w:ascii="Times New Roman" w:hAnsi="Times New Roman" w:cs="Times New Roman" w:eastAsia="Times New Roman"/>
          <w:b/>
          <w:sz w:val="24"/>
        </w:rPr>
        <w:t>2.1 Platform economics and revenue recognition</w:t>
      </w:r>
    </w:p>
    <w:p>
      <w:pPr>
        <w:spacing w:line="254" w:lineRule="auto" w:after="6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140" w:after="60"/>
        <w:jc w:val="left"/>
      </w:pPr>
      <w:r>
        <w:rPr>
          <w:rFonts w:ascii="Times New Roman" w:hAnsi="Times New Roman" w:cs="Times New Roman" w:eastAsia="Times New Roman"/>
          <w:b/>
          <w:sz w:val="24"/>
        </w:rPr>
        <w:t>2.2 Informality, digital records, and third-party information</w:t>
      </w:r>
    </w:p>
    <w:p>
      <w:pPr>
        <w:spacing w:line="254" w:lineRule="auto" w:after="6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54" w:lineRule="auto" w:after="6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140" w:after="60"/>
        <w:jc w:val="left"/>
      </w:pPr>
      <w:r>
        <w:rPr>
          <w:rFonts w:ascii="Times New Roman" w:hAnsi="Times New Roman" w:cs="Times New Roman" w:eastAsia="Times New Roman"/>
          <w:b/>
          <w:sz w:val="24"/>
        </w:rPr>
        <w:t>2.3 Measuring the digital economy</w:t>
      </w:r>
    </w:p>
    <w:p>
      <w:pPr>
        <w:spacing w:line="254" w:lineRule="auto" w:after="6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140" w:after="60"/>
        <w:jc w:val="left"/>
      </w:pPr>
      <w:r>
        <w:rPr>
          <w:rFonts w:ascii="Times New Roman" w:hAnsi="Times New Roman" w:cs="Times New Roman" w:eastAsia="Times New Roman"/>
          <w:b/>
          <w:sz w:val="24"/>
        </w:rPr>
        <w:t>2.4 Research gap</w:t>
      </w:r>
    </w:p>
    <w:p>
      <w:pPr>
        <w:spacing w:line="254" w:lineRule="auto" w:after="6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200" w:after="100"/>
        <w:jc w:val="left"/>
      </w:pPr>
      <w:r>
        <w:rPr>
          <w:rFonts w:ascii="Times New Roman" w:hAnsi="Times New Roman" w:cs="Times New Roman" w:eastAsia="Times New Roman"/>
          <w:b/>
          <w:sz w:val="24"/>
        </w:rPr>
        <w:t>3. Theoretical Framework and Key Variables</w:t>
      </w:r>
    </w:p>
    <w:p>
      <w:pPr>
        <w:spacing w:line="254" w:lineRule="auto" w:after="6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120" w:line="240" w:lineRule="auto"/>
        <w:jc w:val="center"/>
      </w:pPr>
      <w:r>
        <w:rPr>
          <w:rFonts w:ascii="Times New Roman" w:hAnsi="Times New Roman" w:cs="Times New Roman" w:eastAsia="Times New Roman"/>
          <w:i/>
          <w:sz w:val="24"/>
        </w:rPr>
        <w:t>W = V - R      E = (V - R) / R      D = g(V) - g(R)</w:t>
      </w:r>
    </w:p>
    <w:p>
      <w:pPr>
        <w:spacing w:line="254" w:lineRule="auto" w:after="6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54" w:lineRule="auto" w:after="6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200" w:after="100"/>
        <w:jc w:val="left"/>
      </w:pPr>
      <w:r>
        <w:rPr>
          <w:rFonts w:ascii="Times New Roman" w:hAnsi="Times New Roman" w:cs="Times New Roman" w:eastAsia="Times New Roman"/>
          <w:b/>
          <w:sz w:val="24"/>
        </w:rPr>
        <w:t>4. Data and Methodology</w:t>
      </w:r>
    </w:p>
    <w:p>
      <w:pPr>
        <w:pStyle w:val="Heading2"/>
        <w:keepNext/>
        <w:spacing w:before="140" w:after="60"/>
        <w:jc w:val="left"/>
      </w:pPr>
      <w:r>
        <w:rPr>
          <w:rFonts w:ascii="Times New Roman" w:hAnsi="Times New Roman" w:cs="Times New Roman" w:eastAsia="Times New Roman"/>
          <w:b/>
          <w:sz w:val="24"/>
        </w:rPr>
        <w:t>4.1 Admission rules and evidence tiers</w:t>
      </w:r>
    </w:p>
    <w:p>
      <w:pPr>
        <w:spacing w:line="254" w:lineRule="auto" w:after="6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40" w:before="120"/>
        <w:jc w:val="left"/>
      </w:pPr>
      <w:r>
        <w:rPr>
          <w:rFonts w:ascii="Times New Roman" w:hAnsi="Times New Roman" w:cs="Times New Roman" w:eastAsia="Times New Roman"/>
          <w:b/>
          <w:i w:val="0"/>
          <w:sz w:val="18"/>
        </w:rPr>
        <w:t>Table 1. Evidence tiers for Indonesian platform observations. Tiers differ in how directly each series maps to Indonesia; they are never pooled into a single monetary total.</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tier</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Series</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Retained levels</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Transitions</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Indonesia-aligned segment</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issuer, scope-pending</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Blibli 3P Retail; Bukalapak Group</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Conditional country reconstruction</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 Shopee Indonesia</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w:t>
            </w:r>
          </w:p>
        </w:tc>
      </w:tr>
      <w:tr>
        <w:trPr>
          <w:cantSplit/>
        </w:trPr>
        <w:tc>
          <w:tcPr>
            <w:tcW w:type="dxa" w:w="2835"/>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All tiers, inventory diagnostic</w:t>
            </w:r>
          </w:p>
        </w:tc>
        <w:tc>
          <w:tcPr>
            <w:tcW w:type="dxa" w:w="323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Five series</w:t>
            </w:r>
          </w:p>
        </w:tc>
        <w:tc>
          <w:tcPr>
            <w:tcW w:type="dxa" w:w="136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17</w:t>
            </w:r>
          </w:p>
        </w:tc>
        <w:tc>
          <w:tcPr>
            <w:tcW w:type="dxa" w:w="119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r>
    </w:tbl>
    <w:p>
      <w:pPr>
        <w:spacing w:line="254" w:lineRule="auto" w:after="60" w:before="0"/>
        <w:jc w:val="both"/>
      </w:pPr>
      <w:r>
        <w:rPr>
          <w:rFonts w:ascii="Times New Roman" w:hAnsi="Times New Roman" w:cs="Times New Roman" w:eastAsia="Times New Roman"/>
          <w:i w:val="0"/>
          <w:sz w:val="24"/>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54" w:lineRule="auto" w:after="6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140" w:after="60" w:line="276" w:lineRule="auto"/>
        <w:jc w:val="left"/>
      </w:pPr>
      <w:r>
        <w:rPr>
          <w:rFonts w:ascii="Times New Roman" w:hAnsi="Times New Roman" w:cs="Times New Roman" w:eastAsia="Times New Roman"/>
          <w:b/>
          <w:sz w:val="24"/>
        </w:rPr>
        <w:t>4.2 Comparability strategy</w:t>
      </w:r>
    </w:p>
    <w:p>
      <w:pPr>
        <w:spacing w:before="0" w:after="60" w:line="254"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60" w:line="254"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140" w:after="60"/>
        <w:jc w:val="left"/>
      </w:pPr>
      <w:r>
        <w:rPr>
          <w:rFonts w:ascii="Times New Roman" w:hAnsi="Times New Roman" w:cs="Times New Roman" w:eastAsia="Times New Roman"/>
          <w:b/>
          <w:sz w:val="24"/>
        </w:rPr>
        <w:t>4.3 Conditional country evidence</w:t>
      </w:r>
    </w:p>
    <w:p>
      <w:pPr>
        <w:spacing w:line="254" w:lineRule="auto" w:after="6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120" w:line="240" w:lineRule="auto"/>
        <w:jc w:val="center"/>
      </w:pPr>
      <w:r>
        <w:rPr>
          <w:rFonts w:ascii="Times New Roman" w:hAnsi="Times New Roman" w:cs="Times New Roman" w:eastAsia="Times New Roman"/>
          <w:i/>
          <w:sz w:val="24"/>
        </w:rPr>
        <w:t>Indonesia GTV = Indonesia revenue x Group GTV / Group revenue</w:t>
      </w:r>
    </w:p>
    <w:p>
      <w:pPr>
        <w:spacing w:line="254" w:lineRule="auto" w:after="6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200" w:after="100"/>
        <w:jc w:val="left"/>
      </w:pPr>
      <w:r>
        <w:rPr>
          <w:rFonts w:ascii="Times New Roman" w:hAnsi="Times New Roman" w:cs="Times New Roman" w:eastAsia="Times New Roman"/>
          <w:b/>
          <w:sz w:val="24"/>
        </w:rPr>
        <w:t>5. Preliminary Evidence and Feasibility</w:t>
      </w:r>
    </w:p>
    <w:p>
      <w:pPr>
        <w:pStyle w:val="Heading2"/>
        <w:keepNext/>
        <w:spacing w:before="140" w:after="60"/>
        <w:jc w:val="left"/>
      </w:pPr>
      <w:r>
        <w:rPr>
          <w:rFonts w:ascii="Times New Roman" w:hAnsi="Times New Roman" w:cs="Times New Roman" w:eastAsia="Times New Roman"/>
          <w:b/>
          <w:sz w:val="24"/>
        </w:rPr>
        <w:t>5.1 FY2023 scale</w:t>
      </w:r>
    </w:p>
    <w:p>
      <w:pPr>
        <w:keepNext/>
        <w:spacing w:line="240" w:lineRule="auto" w:after="40" w:before="120"/>
        <w:jc w:val="left"/>
      </w:pPr>
      <w:r>
        <w:rPr>
          <w:rFonts w:ascii="Times New Roman" w:hAnsi="Times New Roman" w:cs="Times New Roman" w:eastAsia="Times New Roman"/>
          <w:b/>
          <w:i w:val="0"/>
          <w:sz w:val="18"/>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040"/>
        <w:gridCol w:w="1080"/>
        <w:gridCol w:w="960"/>
        <w:gridCol w:w="1140"/>
        <w:gridCol w:w="1080"/>
        <w:gridCol w:w="2440"/>
      </w:tblGrid>
      <w:tr>
        <w:trPr>
          <w:tblHeader w:val="true"/>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Case</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V</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W</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class</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5.381</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0.605</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4.776</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7.895x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16.331</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0.405</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15.926</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39.296x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pair</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Shopee Indonesia</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21.520</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19.368</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9.000x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 and R</w:t>
            </w:r>
          </w:p>
        </w:tc>
      </w:tr>
      <w:tr>
        <w:trPr>
          <w:cantSplit/>
        </w:trPr>
        <w:tc>
          <w:tcPr>
            <w:tcW w:type="dxa" w:w="20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Selected platforms</w:t>
            </w:r>
          </w:p>
        </w:tc>
        <w:tc>
          <w:tcPr>
            <w:tcW w:type="dxa" w:w="108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43.233</w:t>
            </w:r>
          </w:p>
        </w:tc>
        <w:tc>
          <w:tcPr>
            <w:tcW w:type="dxa" w:w="96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3.162</w:t>
            </w:r>
          </w:p>
        </w:tc>
        <w:tc>
          <w:tcPr>
            <w:tcW w:type="dxa" w:w="11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40.070</w:t>
            </w:r>
          </w:p>
        </w:tc>
        <w:tc>
          <w:tcPr>
            <w:tcW w:type="dxa" w:w="108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12.671x</w:t>
            </w:r>
          </w:p>
        </w:tc>
        <w:tc>
          <w:tcPr>
            <w:tcW w:type="dxa" w:w="24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Sum, not national total</w:t>
            </w:r>
          </w:p>
        </w:tc>
      </w:tr>
    </w:tbl>
    <w:p>
      <w:pPr>
        <w:spacing w:line="254" w:lineRule="auto" w:after="60" w:before="0"/>
        <w:jc w:val="both"/>
      </w:pPr>
      <w:r>
        <w:rPr>
          <w:rFonts w:ascii="Times New Roman" w:hAnsi="Times New Roman" w:cs="Times New Roman" w:eastAsia="Times New Roman"/>
          <w:i w:val="0"/>
          <w:sz w:val="24"/>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140" w:after="60"/>
        <w:jc w:val="left"/>
      </w:pPr>
      <w:r>
        <w:rPr>
          <w:rFonts w:ascii="Times New Roman" w:hAnsi="Times New Roman" w:cs="Times New Roman" w:eastAsia="Times New Roman"/>
          <w:b/>
          <w:sz w:val="24"/>
        </w:rPr>
        <w:t>5.2 Longitudinal movement and mechanism</w:t>
      </w:r>
    </w:p>
    <w:p>
      <w:pPr>
        <w:keepNext/>
        <w:spacing w:line="240" w:lineRule="auto" w:after="40" w:before="120"/>
        <w:jc w:val="left"/>
      </w:pPr>
      <w:r>
        <w:rPr>
          <w:rFonts w:ascii="Times New Roman" w:hAnsi="Times New Roman" w:cs="Times New Roman" w:eastAsia="Times New Roman"/>
          <w:b/>
          <w:i w:val="0"/>
          <w:sz w:val="18"/>
        </w:rPr>
        <w:t>Table 3. Within-series annual divergence under two admission rules. Counts differ because evidence admission differs; both are reported rather than resolved into one headline.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All-tier inventory</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Direct-candidate sensitivity</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Revenue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10</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Transaction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Opposite-sign 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Median absolute divergence</w:t>
            </w:r>
          </w:p>
        </w:tc>
        <w:tc>
          <w:tcPr>
            <w:tcW w:type="dxa" w:w="243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42.02 pp</w:t>
            </w:r>
          </w:p>
        </w:tc>
        <w:tc>
          <w:tcPr>
            <w:tcW w:type="dxa" w:w="277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42.94 pp</w:t>
            </w:r>
          </w:p>
        </w:tc>
      </w:tr>
    </w:tbl>
    <w:p>
      <w:pPr>
        <w:spacing w:line="254" w:lineRule="auto" w:after="60" w:before="0"/>
        <w:jc w:val="both"/>
      </w:pPr>
      <w:r>
        <w:rPr>
          <w:rFonts w:ascii="Times New Roman" w:hAnsi="Times New Roman" w:cs="Times New Roman" w:eastAsia="Times New Roman"/>
          <w:i w:val="0"/>
          <w:sz w:val="24"/>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544000" cy="197576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544000" cy="1975766"/>
                    </a:xfrm>
                    <a:prstGeom prst="rect"/>
                  </pic:spPr>
                </pic:pic>
              </a:graphicData>
            </a:graphic>
          </wp:inline>
        </w:drawing>
      </w:r>
    </w:p>
    <w:p>
      <w:pPr>
        <w:keepNext w:val="0"/>
        <w:spacing w:before="60" w:after="100" w:line="240" w:lineRule="auto"/>
        <w:jc w:val="center"/>
      </w:pPr>
      <w:r>
        <w:rPr>
          <w:rFonts w:ascii="Times New Roman" w:hAnsi="Times New Roman" w:cs="Times New Roman" w:eastAsia="Times New Roman"/>
          <w:i/>
          <w:sz w:val="18"/>
        </w:rPr>
        <w:t>Figure 1. Ecosystem Ratio across the extended candidate series. Each line follows one disclosed or transparently reconstructed series through time; levels are shown by series and are not pooled across evidence tiers.</w:t>
      </w:r>
    </w:p>
    <w:p>
      <w:pPr>
        <w:spacing w:before="0" w:after="60" w:line="254"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140" w:after="60"/>
        <w:jc w:val="left"/>
      </w:pPr>
      <w:r>
        <w:rPr>
          <w:rFonts w:ascii="Times New Roman" w:hAnsi="Times New Roman" w:cs="Times New Roman" w:eastAsia="Times New Roman"/>
          <w:b/>
          <w:sz w:val="24"/>
        </w:rPr>
        <w:t>5.3 Wider Indonesian activity and reporting</w:t>
      </w:r>
    </w:p>
    <w:p>
      <w:pPr>
        <w:spacing w:line="254" w:lineRule="auto" w:after="6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54" w:lineRule="auto" w:after="6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54" w:lineRule="auto" w:after="6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140" w:after="60"/>
        <w:jc w:val="left"/>
      </w:pPr>
      <w:r>
        <w:rPr>
          <w:rFonts w:ascii="Times New Roman" w:hAnsi="Times New Roman" w:cs="Times New Roman" w:eastAsia="Times New Roman"/>
          <w:b/>
          <w:sz w:val="24"/>
        </w:rPr>
        <w:t>5.4 Payment traces and administrative records</w:t>
      </w:r>
    </w:p>
    <w:p>
      <w:pPr>
        <w:spacing w:line="254" w:lineRule="auto" w:after="6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140" w:after="60" w:line="276" w:lineRule="auto"/>
        <w:jc w:val="left"/>
      </w:pPr>
      <w:r>
        <w:rPr>
          <w:rFonts w:ascii="Times New Roman" w:hAnsi="Times New Roman" w:cs="Times New Roman" w:eastAsia="Times New Roman"/>
          <w:b/>
          <w:sz w:val="24"/>
        </w:rPr>
        <w:t>5.5 What the preliminary evidence establishes</w:t>
      </w:r>
    </w:p>
    <w:p>
      <w:pPr>
        <w:spacing w:before="0" w:after="60" w:line="254"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200" w:after="100"/>
        <w:jc w:val="left"/>
      </w:pPr>
      <w:r>
        <w:rPr>
          <w:rFonts w:ascii="Times New Roman" w:hAnsi="Times New Roman" w:cs="Times New Roman" w:eastAsia="Times New Roman"/>
          <w:b/>
          <w:sz w:val="24"/>
        </w:rPr>
        <w:t>6. Why the Problem Matters</w:t>
      </w:r>
    </w:p>
    <w:p>
      <w:pPr>
        <w:spacing w:line="254" w:lineRule="auto" w:after="6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200" w:after="100"/>
        <w:jc w:val="left"/>
      </w:pPr>
      <w:r>
        <w:rPr>
          <w:rFonts w:ascii="Times New Roman" w:hAnsi="Times New Roman" w:cs="Times New Roman" w:eastAsia="Times New Roman"/>
          <w:b/>
          <w:sz w:val="24"/>
        </w:rPr>
        <w:t>7. Limitations and Proposal Decisions</w:t>
      </w:r>
    </w:p>
    <w:p>
      <w:pPr>
        <w:keepNext/>
        <w:spacing w:before="120" w:after="40" w:line="240" w:lineRule="auto"/>
        <w:jc w:val="left"/>
      </w:pPr>
      <w:r>
        <w:rPr>
          <w:rFonts w:ascii="Times New Roman" w:hAnsi="Times New Roman" w:cs="Times New Roman" w:eastAsia="Times New Roman"/>
          <w:b/>
          <w:i w:val="0"/>
          <w:sz w:val="18"/>
        </w:rPr>
        <w:t>Table 4. Inference boundaries for the proposal examination.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supports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Does not by itself establish</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W = V - R and E measure the transaction-revenue boundary.</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Participant profit, taxable income, unpaid tax, tax evasion or missing GDP.</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Evidence tiers identify how directly each series maps to Indonesia.</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That direct, scope-pending and conditional observations are interchangeable or should be pooled.</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Issuer revenue components can arithmetically reconcile selected divergences.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causal treatment effect of incentives, monetization or accounting choices.</w:t>
            </w:r>
          </w:p>
        </w:tc>
      </w:tr>
      <w:tr>
        <w:trPr>
          <w:cantSplit/>
        </w:trPr>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BPS and PMK document wider activity and reporting architecture.</w:t>
            </w:r>
          </w:p>
        </w:tc>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firm-level causal effect or a completed compliance / tax-revenue effect.</w:t>
            </w:r>
          </w:p>
        </w:tc>
      </w:tr>
    </w:tbl>
    <w:p>
      <w:pPr>
        <w:spacing w:line="254" w:lineRule="auto" w:after="60" w:before="0"/>
        <w:jc w:val="both"/>
      </w:pPr>
      <w:r>
        <w:rPr>
          <w:rFonts w:ascii="Times New Roman" w:hAnsi="Times New Roman" w:cs="Times New Roman" w:eastAsia="Times New Roman"/>
          <w:sz w:val="24"/>
        </w:rPr>
        <w:t>Table 4 summarizes the inferential boundaries that govern the proposal. Measurement, accounting reconciliation and institutional interpretation are kept separate so that evidence from one layer is not used for claims belonging to another.</w:t>
      </w:r>
    </w:p>
    <w:p>
      <w:pPr>
        <w:spacing w:line="254" w:lineRule="auto" w:after="6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200" w:after="100"/>
        <w:jc w:val="left"/>
      </w:pPr>
      <w:r>
        <w:rPr>
          <w:rFonts w:ascii="Times New Roman" w:hAnsi="Times New Roman" w:cs="Times New Roman" w:eastAsia="Times New Roman"/>
          <w:b/>
          <w:sz w:val="24"/>
        </w:rPr>
        <w:t>8. Next Step</w:t>
      </w:r>
    </w:p>
    <w:p>
      <w:pPr>
        <w:spacing w:line="254" w:lineRule="auto" w:after="6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5 sets out that schedule; the empirical backend is already assembled, so what remains is sample admission, requested analysis, and manuscript construction.</w:t>
      </w:r>
    </w:p>
    <w:p>
      <w:pPr>
        <w:keepNext/>
        <w:spacing w:before="120" w:after="40" w:line="240" w:lineRule="auto"/>
        <w:jc w:val="left"/>
      </w:pPr>
      <w:r>
        <w:rPr>
          <w:rFonts w:ascii="Times New Roman" w:hAnsi="Times New Roman" w:cs="Times New Roman" w:eastAsia="Times New Roman"/>
          <w:b/>
          <w:i w:val="0"/>
          <w:sz w:val="18"/>
        </w:rPr>
        <w:t>Table 5. Planned work to the final defence.</w:t>
      </w:r>
    </w:p>
    <w:tbl>
      <w:tblPr>
        <w:tblStyle w:val="TableGrid"/>
        <w:tblW w:type="auto" w:w="0"/>
        <w:jc w:val="center"/>
        <w:tblLook w:firstColumn="1" w:firstRow="1" w:lastColumn="0" w:lastRow="0" w:noHBand="0" w:noVBand="1" w:val="04A0"/>
      </w:tblPr>
      <w:tblGrid>
        <w:gridCol w:w="4772"/>
        <w:gridCol w:w="4772"/>
      </w:tblGrid>
      <w:tr>
        <w:tc>
          <w:tcPr>
            <w:tcW w:type="dxa" w:w="4772"/>
          </w:tcPr>
          <w:p>
            <w:pPr>
              <w:spacing w:after="20"/>
            </w:pPr>
            <w:r/>
            <w:r>
              <w:rPr>
                <w:rFonts w:ascii="Times New Roman" w:hAnsi="Times New Roman"/>
                <w:b/>
                <w:sz w:val="18"/>
              </w:rPr>
              <w:t>Period</w:t>
            </w:r>
          </w:p>
        </w:tc>
        <w:tc>
          <w:tcPr>
            <w:tcW w:type="dxa" w:w="4772"/>
          </w:tcPr>
          <w:p>
            <w:pPr>
              <w:spacing w:after="20"/>
            </w:pPr>
            <w:r/>
            <w:r>
              <w:rPr>
                <w:rFonts w:ascii="Times New Roman" w:hAnsi="Times New Roman"/>
                <w:b/>
                <w:sz w:val="18"/>
              </w:rPr>
              <w:t>Planned work</w:t>
            </w:r>
          </w:p>
        </w:tc>
      </w:tr>
      <w:tr>
        <w:tc>
          <w:tcPr>
            <w:tcW w:type="dxa" w:w="4772"/>
          </w:tcPr>
          <w:p>
            <w:pPr>
              <w:spacing w:after="20"/>
            </w:pPr>
            <w:r/>
            <w:r>
              <w:rPr>
                <w:rFonts w:ascii="Times New Roman" w:hAnsi="Times New Roman"/>
                <w:sz w:val="18"/>
              </w:rPr>
              <w:t>September 2026</w:t>
            </w:r>
          </w:p>
        </w:tc>
        <w:tc>
          <w:tcPr>
            <w:tcW w:type="dxa" w:w="4772"/>
          </w:tcPr>
          <w:p>
            <w:pPr>
              <w:spacing w:after="20"/>
            </w:pPr>
            <w:r/>
            <w:r>
              <w:rPr>
                <w:rFonts w:ascii="Times New Roman" w:hAnsi="Times New Roman"/>
                <w:sz w:val="18"/>
              </w:rPr>
              <w:t>Advisor review of the empirical package; proposal oral examination; freeze the sample-admission rule and the checks the committee requests.</w:t>
            </w:r>
          </w:p>
        </w:tc>
      </w:tr>
      <w:tr>
        <w:tc>
          <w:tcPr>
            <w:tcW w:type="dxa" w:w="4772"/>
          </w:tcPr>
          <w:p>
            <w:pPr>
              <w:spacing w:after="20"/>
            </w:pPr>
            <w:r/>
            <w:r>
              <w:rPr>
                <w:rFonts w:ascii="Times New Roman" w:hAnsi="Times New Roman"/>
                <w:sz w:val="18"/>
              </w:rPr>
              <w:t>October-November 2026</w:t>
            </w:r>
          </w:p>
        </w:tc>
        <w:tc>
          <w:tcPr>
            <w:tcW w:type="dxa" w:w="4772"/>
          </w:tcPr>
          <w:p>
            <w:pPr>
              <w:spacing w:after="20"/>
            </w:pPr>
            <w:r/>
            <w:r>
              <w:rPr>
                <w:rFonts w:ascii="Times New Roman" w:hAnsi="Times New Roman"/>
                <w:sz w:val="18"/>
              </w:rPr>
              <w:t>Complete requested reconciliations and source concordance; extend sensitivity to the approved tier boundary; freeze thesis tables and figures.</w:t>
            </w:r>
          </w:p>
        </w:tc>
      </w:tr>
      <w:tr>
        <w:tc>
          <w:tcPr>
            <w:tcW w:type="dxa" w:w="4772"/>
          </w:tcPr>
          <w:p>
            <w:pPr>
              <w:spacing w:after="20"/>
            </w:pPr>
            <w:r/>
            <w:r>
              <w:rPr>
                <w:rFonts w:ascii="Times New Roman" w:hAnsi="Times New Roman"/>
                <w:sz w:val="18"/>
              </w:rPr>
              <w:t>Before the final defence</w:t>
            </w:r>
          </w:p>
        </w:tc>
        <w:tc>
          <w:tcPr>
            <w:tcW w:type="dxa" w:w="4772"/>
          </w:tcPr>
          <w:p>
            <w:pPr>
              <w:spacing w:after="20"/>
            </w:pPr>
            <w:r/>
            <w:r>
              <w:rPr>
                <w:rFonts w:ascii="Times New Roman" w:hAnsi="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200" w:after="100"/>
        <w:jc w:val="left"/>
      </w:pPr>
      <w:r>
        <w:rPr>
          <w:rFonts w:ascii="Times New Roman" w:hAnsi="Times New Roman" w:cs="Times New Roman" w:eastAsia="Times New Roman"/>
          <w:b/>
          <w:sz w:val="24"/>
        </w:rPr>
        <w:t>Appendix A - data sources by evidence class</w:t>
      </w:r>
    </w:p>
    <w:p>
      <w:pPr>
        <w:keepNext/>
        <w:spacing w:before="120" w:after="40" w:line="240" w:lineRule="auto"/>
        <w:jc w:val="left"/>
      </w:pPr>
      <w:r>
        <w:rPr>
          <w:rFonts w:ascii="Times New Roman" w:hAnsi="Times New Roman" w:cs="Times New Roman" w:eastAsia="Times New Roman"/>
          <w:b/>
          <w:i w:val="0"/>
          <w:sz w:val="18"/>
        </w:rPr>
        <w:t>Table A1. Source lineage by evidence class.</w:t>
      </w:r>
    </w:p>
    <w:p>
      <w:pPr>
        <w:keepNext/>
        <w:spacing w:line="240" w:lineRule="auto" w:after="40" w:before="120"/>
        <w:jc w:val="left"/>
      </w:pPr>
      <w:r>
        <w:rPr>
          <w:rFonts w:ascii="Times New Roman" w:hAnsi="Times New Roman" w:cs="Times New Roman" w:eastAsia="Times New Roman"/>
          <w:b/>
          <w:i w:val="0"/>
          <w:sz w:val="18"/>
        </w:rPr>
        <w:t>Table A1. Data sources by evidence tier.</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Tier</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Series</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V</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R</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Indonesia-aligned</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Tokopedia e-commerce</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e-commerce segment metrics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segment note</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Blibli 3P Retail</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Global Digital Niaga prospectus and results releases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Group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annual and sustainability reports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disclosed Indonesia revenue and Group monetization rate (Form 20-F)</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Shopee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Momentum Works Southeast Asia e-commerce estimate (third-party)</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Sea Limited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National statistics</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BPS-Statistics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E-Commerce Statistics 2023, 2024; BPS directorate presentation</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Regulatory</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PMK 37/2025; DJP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Ministry of Finance of the Republic of Indonesia</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bl>
    <w:p>
      <w:pPr>
        <w:spacing w:line="254" w:lineRule="auto" w:after="60" w:before="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80" w:after="40"/>
        <w:jc w:val="left"/>
      </w:pPr>
      <w:r>
        <w:rPr>
          <w:rFonts w:ascii="Times New Roman" w:hAnsi="Times New Roman" w:cs="Times New Roman" w:eastAsia="Times New Roman"/>
          <w:b/>
          <w:sz w:val="24"/>
        </w:rPr>
        <w:t>References</w:t>
      </w:r>
    </w:p>
    <w:p>
      <w:pPr>
        <w:pStyle w:val="Reference"/>
        <w:spacing w:before="0" w:after="0" w:line="240" w:lineRule="auto"/>
        <w:ind w:left="317" w:hanging="317"/>
        <w:jc w:val="left"/>
      </w:pPr>
      <w:r>
        <w:rPr>
          <w:rFonts w:ascii="Times New Roman" w:hAnsi="Times New Roman" w:cs="Times New Roman" w:eastAsia="Times New Roman"/>
          <w:sz w:val="22"/>
        </w:rPr>
        <w:t>Ahmad, N., &amp; Schreyer, P. (2016). Measuring GDP in a Digitalised Economy. OECD Statistics Working Papers 2016/07.</w:t>
      </w:r>
    </w:p>
    <w:p>
      <w:pPr>
        <w:pStyle w:val="Reference"/>
        <w:spacing w:before="0" w:after="0" w:line="240" w:lineRule="auto"/>
        <w:ind w:left="317" w:hanging="317"/>
        <w:jc w:val="left"/>
      </w:pPr>
      <w:r>
        <w:rPr>
          <w:rFonts w:ascii="Times New Roman" w:hAnsi="Times New Roman" w:cs="Times New Roman" w:eastAsia="Times New Roman"/>
          <w:sz w:val="22"/>
        </w:rPr>
        <w:t>Armstrong, M. (2006). Competition in two-sided markets. RAND Journal of Economics, 37(3), 668-691.</w:t>
      </w:r>
    </w:p>
    <w:p>
      <w:pPr>
        <w:pStyle w:val="Reference"/>
        <w:spacing w:before="0" w:after="0" w:line="240" w:lineRule="auto"/>
        <w:ind w:left="317" w:hanging="317"/>
        <w:jc w:val="left"/>
      </w:pPr>
      <w:r>
        <w:rPr>
          <w:rFonts w:ascii="Times New Roman" w:hAnsi="Times New Roman" w:cs="Times New Roman" w:eastAsia="Times New Roman"/>
          <w:sz w:val="22"/>
        </w:rPr>
        <w:t>BPS-Statistics Indonesia. (2025). E-Commerce Statistics 2023 and 2024. Jakarta: BPS.</w:t>
      </w:r>
    </w:p>
    <w:p>
      <w:pPr>
        <w:pStyle w:val="Reference"/>
        <w:spacing w:before="0" w:after="0" w:line="240" w:lineRule="auto"/>
        <w:ind w:left="317" w:hanging="317"/>
        <w:jc w:val="left"/>
      </w:pPr>
      <w:r>
        <w:rPr>
          <w:rFonts w:ascii="Times New Roman" w:hAnsi="Times New Roman" w:cs="Times New Roman" w:eastAsia="Times New Roman"/>
          <w:sz w:val="22"/>
        </w:rPr>
        <w:t>Barrios, J. M., Hochberg, Y. V., &amp; Yi, H. (2022). Launching with a parachute: The gig economy and new business formation. Journal of Financial Economics, 144(1), 22-43.</w:t>
      </w:r>
    </w:p>
    <w:p>
      <w:pPr>
        <w:pStyle w:val="Reference"/>
        <w:spacing w:before="0" w:after="0" w:line="240" w:lineRule="auto"/>
        <w:ind w:left="317" w:hanging="317"/>
        <w:jc w:val="left"/>
      </w:pPr>
      <w:r>
        <w:rPr>
          <w:rFonts w:ascii="Times New Roman" w:hAnsi="Times New Roman" w:cs="Times New Roman" w:eastAsia="Times New Roman"/>
          <w:sz w:val="22"/>
        </w:rPr>
        <w:t>Bank Indonesia. (2025). Payment System Statistics (SPIP) and QRIS reports. Jakarta: Bank Indonesia.</w:t>
      </w:r>
    </w:p>
    <w:p>
      <w:pPr>
        <w:pStyle w:val="Reference"/>
        <w:spacing w:before="0" w:after="0" w:line="240" w:lineRule="auto"/>
        <w:ind w:left="317" w:hanging="317"/>
        <w:jc w:val="left"/>
      </w:pPr>
      <w:r>
        <w:rPr>
          <w:rFonts w:ascii="Times New Roman" w:hAnsi="Times New Roman" w:cs="Times New Roman" w:eastAsia="Times New Roman"/>
          <w:sz w:val="22"/>
        </w:rPr>
        <w:t>Berg, T., Burg, V., Gombovic, A., &amp; Puri, M. (2020). On the rise of FinTechs: Credit scoring using digital footprints. Review of Financial Studies, 33(7), 2845-2897.</w:t>
      </w:r>
    </w:p>
    <w:p>
      <w:pPr>
        <w:pStyle w:val="Reference"/>
        <w:spacing w:before="0" w:after="0" w:line="240" w:lineRule="auto"/>
        <w:ind w:left="317" w:hanging="317"/>
        <w:jc w:val="left"/>
      </w:pPr>
      <w:r>
        <w:rPr>
          <w:rFonts w:ascii="Times New Roman" w:hAnsi="Times New Roman" w:cs="Times New Roman" w:eastAsia="Times New Roman"/>
          <w:sz w:val="22"/>
        </w:rPr>
        <w:t>Caillaud, B., &amp; Jullien, B. (2003). Chicken and egg: Competition among intermediation service providers. RAND Journal of Economics, 34(2), 309-328.</w:t>
      </w:r>
    </w:p>
    <w:p>
      <w:pPr>
        <w:pStyle w:val="Reference"/>
        <w:spacing w:before="0" w:after="0" w:line="240" w:lineRule="auto"/>
        <w:ind w:left="317" w:hanging="317"/>
        <w:jc w:val="left"/>
      </w:pPr>
      <w:r>
        <w:rPr>
          <w:rFonts w:ascii="Times New Roman" w:hAnsi="Times New Roman" w:cs="Times New Roman" w:eastAsia="Times New Roman"/>
          <w:sz w:val="22"/>
        </w:rPr>
        <w:t>De Franco, G., Kothari, S. P., &amp; Verdi, R. S. (2011). The benefits of financial statement comparability. Journal of Accounting Research, 49(4), 895-931.</w:t>
      </w:r>
    </w:p>
    <w:p>
      <w:pPr>
        <w:pStyle w:val="Reference"/>
        <w:spacing w:before="0" w:after="0" w:line="240" w:lineRule="auto"/>
        <w:ind w:left="317" w:hanging="317"/>
        <w:jc w:val="left"/>
      </w:pPr>
      <w:r>
        <w:rPr>
          <w:rFonts w:ascii="Times New Roman" w:hAnsi="Times New Roman" w:cs="Times New Roman" w:eastAsia="Times New Roman"/>
          <w:sz w:val="22"/>
        </w:rPr>
        <w:t>Denes, M. R., Lagaras, S., &amp; Tsoutsoura, M. (2025). Entrepreneurship and the gig economy: Evidence from U.S. tax returns. Journal of Financial Economics, 173, 104156.</w:t>
      </w:r>
    </w:p>
    <w:p>
      <w:pPr>
        <w:pStyle w:val="Reference"/>
        <w:spacing w:before="0" w:after="0" w:line="240" w:lineRule="auto"/>
        <w:ind w:left="317" w:hanging="317"/>
        <w:jc w:val="left"/>
      </w:pPr>
      <w:r>
        <w:rPr>
          <w:rFonts w:ascii="Times New Roman" w:hAnsi="Times New Roman" w:cs="Times New Roman" w:eastAsia="Times New Roman"/>
          <w:sz w:val="22"/>
        </w:rPr>
        <w:t>European Union. (2021). Council Directive (EU) 2021/514 amending Directive 2011/16/EU (DAC7).</w:t>
      </w:r>
    </w:p>
    <w:p>
      <w:pPr>
        <w:pStyle w:val="Reference"/>
        <w:spacing w:before="0" w:after="0" w:line="240" w:lineRule="auto"/>
        <w:ind w:left="317" w:hanging="317"/>
        <w:jc w:val="left"/>
      </w:pPr>
      <w:r>
        <w:rPr>
          <w:rFonts w:ascii="Times New Roman" w:hAnsi="Times New Roman" w:cs="Times New Roman" w:eastAsia="Times New Roman"/>
          <w:sz w:val="22"/>
        </w:rPr>
        <w:t>Evans, D. S., &amp; Schmalensee, R. (2016). Matchmakers: The New Economics of Multisided Platforms. Boston: Harvard Business Review Press.</w:t>
      </w:r>
    </w:p>
    <w:p>
      <w:pPr>
        <w:pStyle w:val="Reference"/>
        <w:spacing w:before="0" w:after="0" w:line="240" w:lineRule="auto"/>
        <w:ind w:left="317" w:hanging="317"/>
        <w:jc w:val="left"/>
      </w:pPr>
      <w:r>
        <w:rPr>
          <w:rFonts w:ascii="Times New Roman" w:hAnsi="Times New Roman" w:cs="Times New Roman" w:eastAsia="Times New Roman"/>
          <w:sz w:val="22"/>
        </w:rPr>
        <w:t>Google, Temasek, &amp; Bain &amp; Company. (2020). e-Conomy SEA 2020: At Full Velocity.</w:t>
      </w:r>
    </w:p>
    <w:p>
      <w:pPr>
        <w:pStyle w:val="Reference"/>
        <w:spacing w:before="0" w:after="0" w:line="240" w:lineRule="auto"/>
        <w:ind w:left="317" w:hanging="317"/>
        <w:jc w:val="left"/>
      </w:pPr>
      <w:r>
        <w:rPr>
          <w:rFonts w:ascii="Times New Roman" w:hAnsi="Times New Roman" w:cs="Times New Roman" w:eastAsia="Times New Roman"/>
          <w:sz w:val="22"/>
        </w:rPr>
        <w:t>Google, Temasek, &amp; Bain &amp; Company. (2024). e-Conomy SEA 2024: Profits on the Rise.</w:t>
      </w:r>
    </w:p>
    <w:p>
      <w:pPr>
        <w:pStyle w:val="Reference"/>
        <w:spacing w:before="0" w:after="0" w:line="240" w:lineRule="auto"/>
        <w:ind w:left="317" w:hanging="317"/>
        <w:jc w:val="left"/>
      </w:pPr>
      <w:r>
        <w:rPr>
          <w:rFonts w:ascii="Times New Roman" w:hAnsi="Times New Roman" w:cs="Times New Roman" w:eastAsia="Times New Roman"/>
          <w:sz w:val="22"/>
        </w:rPr>
        <w:t>Hagiu, A., &amp; Wright, J. (2015). Multi-sided platforms. International Journal of Industrial Organization, 43, 162-174.</w:t>
      </w:r>
    </w:p>
    <w:p>
      <w:pPr>
        <w:pStyle w:val="Reference"/>
        <w:spacing w:before="0" w:after="0" w:line="240" w:lineRule="auto"/>
        <w:ind w:left="317" w:hanging="317"/>
        <w:jc w:val="left"/>
      </w:pPr>
      <w:r>
        <w:rPr>
          <w:rFonts w:ascii="Times New Roman" w:hAnsi="Times New Roman" w:cs="Times New Roman" w:eastAsia="Times New Roman"/>
          <w:sz w:val="22"/>
        </w:rPr>
        <w:t>International Accounting Standards Board. (2014). IFRS 15: Revenue from Contracts with Customers.</w:t>
      </w:r>
    </w:p>
    <w:p>
      <w:pPr>
        <w:pStyle w:val="Reference"/>
        <w:spacing w:before="0" w:after="0" w:line="240" w:lineRule="auto"/>
        <w:ind w:left="317" w:hanging="317"/>
        <w:jc w:val="left"/>
      </w:pPr>
      <w:r>
        <w:rPr>
          <w:rFonts w:ascii="Times New Roman" w:hAnsi="Times New Roman" w:cs="Times New Roman" w:eastAsia="Times New Roman"/>
          <w:sz w:val="22"/>
        </w:rPr>
        <w:t>International Monetary Fund. (2018). Measuring the Digital Economy. IMF Policy Paper.</w:t>
      </w:r>
    </w:p>
    <w:p>
      <w:pPr>
        <w:pStyle w:val="Reference"/>
        <w:spacing w:before="0" w:after="0" w:line="240" w:lineRule="auto"/>
        <w:ind w:left="317" w:hanging="317"/>
        <w:jc w:val="left"/>
      </w:pPr>
      <w:r>
        <w:rPr>
          <w:rFonts w:ascii="Times New Roman" w:hAnsi="Times New Roman" w:cs="Times New Roman" w:eastAsia="Times New Roman"/>
          <w:sz w:val="22"/>
        </w:rPr>
        <w:t>Kleven, H. J., Knudsen, M. B., Kreiner, C. T., Pedersen, S., &amp; Saez, E. (2011). Unwilling or unable to cheat? Evidence from a tax audit experiment in Denmark. Econometrica, 79(3), 651-692.</w:t>
      </w:r>
    </w:p>
    <w:p>
      <w:pPr>
        <w:pStyle w:val="Reference"/>
        <w:spacing w:before="0" w:after="0" w:line="240" w:lineRule="auto"/>
        <w:ind w:left="317" w:hanging="317"/>
        <w:jc w:val="left"/>
      </w:pPr>
      <w:r>
        <w:rPr>
          <w:rFonts w:ascii="Times New Roman" w:hAnsi="Times New Roman" w:cs="Times New Roman" w:eastAsia="Times New Roman"/>
          <w:sz w:val="22"/>
        </w:rPr>
        <w:t>Kleven, H. J., Kreiner, C. T., &amp; Saez, E. (2016). Why can modern governments tax so much? Economica, 83(330), 219-246.</w:t>
      </w:r>
    </w:p>
    <w:p>
      <w:pPr>
        <w:pStyle w:val="Reference"/>
        <w:spacing w:before="0" w:after="0" w:line="240" w:lineRule="auto"/>
        <w:ind w:left="317" w:hanging="317"/>
        <w:jc w:val="left"/>
      </w:pPr>
      <w:r>
        <w:rPr>
          <w:rFonts w:ascii="Times New Roman" w:hAnsi="Times New Roman" w:cs="Times New Roman" w:eastAsia="Times New Roman"/>
          <w:sz w:val="22"/>
        </w:rPr>
        <w:t>La Porta, R., &amp; Shleifer, A. (2014). Informality and development. Journal of Economic Perspectives, 28(3), 109-126.</w:t>
      </w:r>
    </w:p>
    <w:p>
      <w:pPr>
        <w:pStyle w:val="Reference"/>
        <w:spacing w:before="0" w:after="0" w:line="240" w:lineRule="auto"/>
        <w:ind w:left="317" w:hanging="317"/>
        <w:jc w:val="left"/>
      </w:pPr>
      <w:r>
        <w:rPr>
          <w:rFonts w:ascii="Times New Roman" w:hAnsi="Times New Roman" w:cs="Times New Roman" w:eastAsia="Times New Roman"/>
          <w:sz w:val="22"/>
        </w:rPr>
        <w:t>Medina, L., &amp; Schneider, F. (2019). Shedding light on the shadow economy: A global database. CESifo Working Paper 7981.</w:t>
      </w:r>
    </w:p>
    <w:p>
      <w:pPr>
        <w:pStyle w:val="Reference"/>
        <w:spacing w:before="0" w:after="0" w:line="240" w:lineRule="auto"/>
        <w:ind w:left="317" w:hanging="317"/>
        <w:jc w:val="left"/>
      </w:pPr>
      <w:r>
        <w:rPr>
          <w:rFonts w:ascii="Times New Roman" w:hAnsi="Times New Roman" w:cs="Times New Roman" w:eastAsia="Times New Roman"/>
          <w:sz w:val="22"/>
        </w:rPr>
        <w:t>Ministry of Finance of the Republic of Indonesia. (2025). PMK 37 Tahun 2025; Directorate General of Taxes marketplace guidance.</w:t>
      </w:r>
    </w:p>
    <w:p>
      <w:pPr>
        <w:pStyle w:val="Reference"/>
        <w:spacing w:before="0" w:after="0" w:line="240" w:lineRule="auto"/>
        <w:ind w:left="317" w:hanging="317"/>
        <w:jc w:val="left"/>
      </w:pPr>
      <w:r>
        <w:rPr>
          <w:rFonts w:ascii="Times New Roman" w:hAnsi="Times New Roman" w:cs="Times New Roman" w:eastAsia="Times New Roman"/>
          <w:sz w:val="22"/>
        </w:rPr>
        <w:t>Momentum Works. (2024). Ecommerce in Southeast Asia. Singapore: Momentum Works.</w:t>
      </w:r>
    </w:p>
    <w:p>
      <w:pPr>
        <w:pStyle w:val="Reference"/>
        <w:spacing w:before="0" w:after="0" w:line="240" w:lineRule="auto"/>
        <w:ind w:left="317" w:hanging="317"/>
        <w:jc w:val="left"/>
      </w:pPr>
      <w:r>
        <w:rPr>
          <w:rFonts w:ascii="Times New Roman" w:hAnsi="Times New Roman" w:cs="Times New Roman" w:eastAsia="Times New Roman"/>
          <w:sz w:val="22"/>
        </w:rPr>
        <w:t>Naritomi, J. (2019). Consumers as tax auditors. American Economic Review, 109(9), 3031-3072.</w:t>
      </w:r>
    </w:p>
    <w:p>
      <w:pPr>
        <w:pStyle w:val="Reference"/>
        <w:spacing w:before="0" w:after="0" w:line="240" w:lineRule="auto"/>
        <w:ind w:left="317" w:hanging="317"/>
        <w:jc w:val="left"/>
      </w:pPr>
      <w:r>
        <w:rPr>
          <w:rFonts w:ascii="Times New Roman" w:hAnsi="Times New Roman" w:cs="Times New Roman" w:eastAsia="Times New Roman"/>
          <w:sz w:val="22"/>
        </w:rPr>
        <w:t>OECD. (2020). Model Rules for Reporting by Platform Operators with respect to Sellers in the Sharing and Gig Economy.</w:t>
      </w:r>
    </w:p>
    <w:p>
      <w:pPr>
        <w:pStyle w:val="Reference"/>
        <w:spacing w:before="0" w:after="0" w:line="240" w:lineRule="auto"/>
        <w:ind w:left="317" w:hanging="317"/>
        <w:jc w:val="left"/>
      </w:pPr>
      <w:r>
        <w:rPr>
          <w:rFonts w:ascii="Times New Roman" w:hAnsi="Times New Roman" w:cs="Times New Roman" w:eastAsia="Times New Roman"/>
          <w:sz w:val="22"/>
        </w:rPr>
        <w:t>OECD. (2023). OECD Handbook on Compiling Digital Supply and Use Tables. Paris: OECD Publishing.</w:t>
      </w:r>
    </w:p>
    <w:p>
      <w:pPr>
        <w:pStyle w:val="Reference"/>
        <w:spacing w:before="0" w:after="0" w:line="240" w:lineRule="auto"/>
        <w:ind w:left="317" w:hanging="317"/>
        <w:jc w:val="left"/>
      </w:pPr>
      <w:r>
        <w:rPr>
          <w:rFonts w:ascii="Times New Roman" w:hAnsi="Times New Roman" w:cs="Times New Roman" w:eastAsia="Times New Roman"/>
          <w:sz w:val="22"/>
        </w:rPr>
        <w:t>Parker, G. G., &amp; Van Alstyne, M. W. (2005). Two-sided network effects: A theory of information product design. Management Science, 51(10), 1494-1504.</w:t>
      </w:r>
    </w:p>
    <w:p>
      <w:pPr>
        <w:pStyle w:val="Reference"/>
        <w:spacing w:before="0" w:after="0" w:line="240" w:lineRule="auto"/>
        <w:ind w:left="317" w:hanging="317"/>
        <w:jc w:val="left"/>
      </w:pPr>
      <w:r>
        <w:rPr>
          <w:rFonts w:ascii="Times New Roman" w:hAnsi="Times New Roman" w:cs="Times New Roman" w:eastAsia="Times New Roman"/>
          <w:sz w:val="22"/>
        </w:rPr>
        <w:t>Pomeranz, D. (2015). No taxation without information: Deterrence and self-enforcement in the value added tax. American Economic Review, 105(8), 2539-2569.</w:t>
      </w:r>
    </w:p>
    <w:p>
      <w:pPr>
        <w:pStyle w:val="Reference"/>
        <w:spacing w:before="0" w:after="0" w:line="240" w:lineRule="auto"/>
        <w:ind w:left="317" w:hanging="317"/>
        <w:jc w:val="left"/>
      </w:pPr>
      <w:r>
        <w:rPr>
          <w:rFonts w:ascii="Times New Roman" w:hAnsi="Times New Roman" w:cs="Times New Roman" w:eastAsia="Times New Roman"/>
          <w:sz w:val="22"/>
        </w:rPr>
        <w:t>Rochet, J.-C., &amp; Tirole, J. (2003). Platform competition in two-sided markets. Journal of the European Economic Association, 1(4), 990-1029.</w:t>
      </w:r>
    </w:p>
    <w:p>
      <w:pPr>
        <w:pStyle w:val="Reference"/>
        <w:spacing w:before="0" w:after="0" w:line="240" w:lineRule="auto"/>
        <w:ind w:left="317" w:hanging="317"/>
        <w:jc w:val="left"/>
      </w:pPr>
      <w:r>
        <w:rPr>
          <w:rFonts w:ascii="Times New Roman" w:hAnsi="Times New Roman" w:cs="Times New Roman" w:eastAsia="Times New Roman"/>
          <w:sz w:val="22"/>
        </w:rPr>
        <w:t>Slemrod, J. (2019). Tax compliance and enforcement. Journal of Economic Literature, 57(4), 904-954.</w:t>
      </w:r>
    </w:p>
    <w:p>
      <w:pPr>
        <w:pStyle w:val="Reference"/>
        <w:spacing w:before="0" w:after="0" w:line="240" w:lineRule="auto"/>
        <w:ind w:left="317" w:hanging="317"/>
        <w:jc w:val="left"/>
      </w:pPr>
      <w:r>
        <w:rPr>
          <w:rFonts w:ascii="Times New Roman" w:hAnsi="Times New Roman" w:cs="Times New Roman" w:eastAsia="Times New Roman"/>
          <w:sz w:val="22"/>
        </w:rPr>
        <w:t>Ulyssea, G. (2018). Firms, informality, and development: Theory and evidence from Brazil. American Economic Review, 108(8), 2015-2047.</w:t>
      </w:r>
    </w:p>
    <w:p>
      <w:pPr>
        <w:pStyle w:val="Reference"/>
        <w:spacing w:before="0" w:after="0" w:line="240" w:lineRule="auto"/>
        <w:ind w:left="317" w:hanging="317"/>
        <w:jc w:val="left"/>
      </w:pPr>
      <w:r>
        <w:rPr>
          <w:rFonts w:ascii="Times New Roman" w:hAnsi="Times New Roman" w:cs="Times New Roman" w:eastAsia="Times New Roman"/>
          <w:sz w:val="22"/>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