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Quantifying</w:t>
      </w:r>
      <w:r>
        <w:t xml:space="preserve"> </w:t>
      </w:r>
      <w:r>
        <w:t xml:space="preserve">the</w:t>
      </w:r>
      <w:r>
        <w:t xml:space="preserve"> </w:t>
      </w:r>
      <w:r>
        <w:t xml:space="preserve">Invisible</w:t>
      </w:r>
      <w:r>
        <w:t xml:space="preserve"> </w:t>
      </w:r>
      <w:r>
        <w:t xml:space="preserve">Wedge</w:t>
      </w:r>
      <w:r>
        <w:t xml:space="preserve"> </w:t>
      </w:r>
      <w:r>
        <w:t xml:space="preserve">in</w:t>
      </w:r>
      <w:r>
        <w:t xml:space="preserve"> </w:t>
      </w:r>
      <w:r>
        <w:t xml:space="preserve">Indonesia’s</w:t>
      </w:r>
      <w:r>
        <w:t xml:space="preserve"> </w:t>
      </w:r>
      <w:r>
        <w:t xml:space="preserve">Platform</w:t>
      </w:r>
      <w:r>
        <w:t xml:space="preserve"> </w:t>
      </w:r>
      <w:r>
        <w:t xml:space="preserve">Economy</w:t>
      </w:r>
    </w:p>
    <w:p>
      <w:pPr>
        <w:pStyle w:val="Subtitle"/>
      </w:pPr>
      <w:r>
        <w:t xml:space="preserve">Master’s</w:t>
      </w:r>
      <w:r>
        <w:t xml:space="preserve"> </w:t>
      </w:r>
      <w:r>
        <w:t xml:space="preserve">thesis,</w:t>
      </w:r>
      <w:r>
        <w:t xml:space="preserve"> </w:t>
      </w:r>
      <w:r>
        <w:t xml:space="preserve">condensed</w:t>
      </w:r>
      <w:r>
        <w:t xml:space="preserve"> </w:t>
      </w:r>
      <w:r>
        <w:t xml:space="preserve">version</w:t>
      </w:r>
    </w:p>
    <w:p>
      <w:pPr>
        <w:pStyle w:val="Author"/>
      </w:pPr>
      <w:r>
        <w:t xml:space="preserve">Christopher</w:t>
      </w:r>
      <w:r>
        <w:t xml:space="preserve"> </w:t>
      </w:r>
      <w:r>
        <w:t xml:space="preserve">Ongko</w:t>
      </w:r>
      <w:r>
        <w:t xml:space="preserve"> </w:t>
      </w:r>
      <w:r>
        <w:t xml:space="preserve">(王新福)</w:t>
      </w:r>
    </w:p>
    <w:p>
      <w:pPr>
        <w:pStyle w:val="Author"/>
      </w:pPr>
      <w:r>
        <w:t xml:space="preserve">Advisor:</w:t>
      </w:r>
      <w:r>
        <w:t xml:space="preserve"> </w:t>
      </w:r>
      <w:r>
        <w:t xml:space="preserve">Prof. De-Rong</w:t>
      </w:r>
      <w:r>
        <w:t xml:space="preserve"> </w:t>
      </w:r>
      <w:r>
        <w:t xml:space="preserve">Kong</w:t>
      </w:r>
      <w:r>
        <w:t xml:space="preserve"> </w:t>
      </w:r>
      <w:r>
        <w:t xml:space="preserve">(孔德蓉)</w:t>
      </w:r>
    </w:p>
    <w:p>
      <w:pPr>
        <w:pStyle w:val="Author"/>
      </w:pPr>
      <w:r>
        <w:t xml:space="preserve">College</w:t>
      </w:r>
      <w:r>
        <w:t xml:space="preserve"> </w:t>
      </w:r>
      <w:r>
        <w:t xml:space="preserve">of</w:t>
      </w:r>
      <w:r>
        <w:t xml:space="preserve"> </w:t>
      </w:r>
      <w:r>
        <w:t xml:space="preserve">Management,</w:t>
      </w:r>
      <w:r>
        <w:t xml:space="preserve"> </w:t>
      </w:r>
      <w:r>
        <w:t xml:space="preserve">Yuan</w:t>
      </w:r>
      <w:r>
        <w:t xml:space="preserve"> </w:t>
      </w:r>
      <w:r>
        <w:t xml:space="preserve">Ze</w:t>
      </w:r>
      <w:r>
        <w:t xml:space="preserve"> </w:t>
      </w:r>
      <w:r>
        <w:t xml:space="preserve">University</w:t>
      </w:r>
    </w:p>
    <w:p>
      <w:pPr>
        <w:pStyle w:val="Date"/>
      </w:pPr>
      <w:r>
        <w:t xml:space="preserve">October</w:t>
      </w:r>
      <w:r>
        <w:t xml:space="preserve"> </w:t>
      </w:r>
      <w:r>
        <w:t xml:space="preserve">2026</w:t>
      </w:r>
    </w:p>
    <w:bookmarkStart w:id="20" w:name="abstract"/>
    <w:p>
      <w:pPr>
        <w:pStyle w:val="Heading1"/>
      </w:pPr>
      <w:r>
        <w:t xml:space="preserve">Abstract</w:t>
      </w:r>
    </w:p>
    <w:p>
      <w:pPr>
        <w:pStyle w:val="FirstParagraph"/>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bookmarkEnd w:id="20"/>
    <w:bookmarkStart w:id="24"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rPr>
          <w:bCs/>
          <w:b/>
        </w:rPr>
        <w:t xml:space="preserve">In 2023, Indonesia’s figures moved away from the commerce they stand for.</w:t>
      </w:r>
      <w:r>
        <w:t xml:space="preserve"> </w:t>
      </w:r>
      <w:r>
        <w:t xml:space="preserve">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w:t>
      </w:r>
      <w:r>
        <w:t xml:space="preserve"> </w:t>
      </w:r>
      <w:r>
        <w:rPr>
          <w:bCs/>
          <w:b/>
        </w:rPr>
        <w:t xml:space="preserve">This thesis calls what a revenue-only measure leaves out the invisible wedge.</w:t>
      </w:r>
      <w:r>
        <w:t xml:space="preserve"> </w:t>
      </w:r>
      <w:r>
        <w:t xml:space="preserve">It does not mean activity that goes unrecorded.</w:t>
      </w:r>
    </w:p>
    <w:p>
      <w:pPr>
        <w:pStyle w:val="BodyText"/>
      </w:pPr>
      <w:r>
        <w:t xml:space="preserve">Research explains why platform revenue and national sales figures can differ.</w:t>
      </w:r>
      <w:r>
        <w:t xml:space="preserve"> </w:t>
      </w:r>
      <w:r>
        <w:rPr>
          <w:bCs/>
          <w:b/>
        </w:rPr>
        <w:t xml:space="preserve">It does not say when a figure stops moving with the activity it represents, or by how much.</w:t>
      </w:r>
      <w:r>
        <w:t xml:space="preserve"> </w:t>
      </w:r>
      <w:r>
        <w:t xml:space="preserve">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1"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rPr>
          <w:bCs/>
          <w:b/>
        </w:rPr>
        <w:t xml:space="preserve">Measuring what the current figures miss begins with one question: how much economic activity remains invisible when digital platforms are measured through their reported revenue, and when does that choice change the conclusion about growth?</w:t>
      </w:r>
      <w:r>
        <w:t xml:space="preserve"> </w:t>
      </w:r>
      <w:r>
        <w:t xml:space="preserve">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w:t>
      </w:r>
      <w:r>
        <w:t xml:space="preserve"> </w:t>
      </w:r>
      <w:r>
        <w:rPr>
          <w:bCs/>
          <w:b/>
        </w:rPr>
        <w:t xml:space="preserve">H1 says that a platform’s revenue grows in proportion to its transaction value.</w:t>
      </w:r>
      <w:r>
        <w:t xml:space="preserve"> </w:t>
      </w:r>
      <w:r>
        <w:rPr>
          <w:bCs/>
          <w:b/>
        </w:rPr>
        <w:t xml:space="preserve">H2 says that national e-commerce growth comes mainly from more businesses selling online, and less from higher sales per business.</w:t>
      </w:r>
      <w:r>
        <w:t xml:space="preserve"> </w:t>
      </w:r>
      <w:r>
        <w:t xml:space="preserve">An entry test then asks whether a rise in the count of online sellers comes from sellers entering for the first time. A further analysis estimates how many sellers a rule built on platform records can reach.</w:t>
      </w:r>
    </w:p>
    <w:p>
      <w:pPr>
        <w:pStyle w:val="BodyText"/>
      </w:pPr>
      <w:r>
        <w:rPr>
          <w:bCs/>
          <w:b/>
        </w:rPr>
        <w:t xml:space="preserve">In brief: revenue shows only a small part of the commerce platforms carry, and marketplaces carry only about a fifth of online sales value in BPS’s survey.</w:t>
      </w:r>
      <w:r>
        <w:t xml:space="preserve"> </w:t>
      </w:r>
      <w:r>
        <w:t xml:space="preserve">In Indonesia, platform revenue grew faster than the commerce behind it, mainly because platforms kept a larger share of each sale, not because buyers bought more. National growth came mainly from more sellers, as H2 states.</w:t>
      </w:r>
      <w:r>
        <w:t xml:space="preserve"> </w:t>
      </w:r>
      <w:r>
        <w:rPr>
          <w:bCs/>
          <w:b/>
        </w:rPr>
        <w:t xml:space="preserve">But about half of the 2023 rise in the count of sellers is not explained by first-time entry.</w:t>
      </w:r>
    </w:p>
    <w:bookmarkEnd w:id="21"/>
    <w:bookmarkStart w:id="22" w:name="contributions"/>
    <w:p>
      <w:pPr>
        <w:pStyle w:val="Heading2"/>
      </w:pPr>
      <w:r>
        <w:t xml:space="preserve">1.2 Contributions</w:t>
      </w:r>
    </w:p>
    <w:p>
      <w:pPr>
        <w:pStyle w:val="FirstParagraph"/>
      </w:pPr>
      <w:r>
        <w:t xml:space="preserve">The thesis makes three contributions, one for each group that relies on these figures. They are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It draws on the platforms’ accounts, the sellers’ own survey responses and the rules that act on both.</w:t>
      </w:r>
    </w:p>
    <w:bookmarkEnd w:id="22"/>
    <w:bookmarkStart w:id="23"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3"/>
    <w:bookmarkEnd w:id="24"/>
    <w:bookmarkStart w:id="29"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w:t>
      </w:r>
      <w:r>
        <w:t xml:space="preserve"> </w:t>
      </w:r>
      <w:r>
        <w:rPr>
          <w:bCs/>
          <w:b/>
        </w:rPr>
        <w:t xml:space="preserve">Each body of research explains why the figures differ, but none measures how far they differ in practice.</w:t>
      </w:r>
      <w:r>
        <w:t xml:space="preserve"> </w:t>
      </w:r>
      <w:r>
        <w:t xml:space="preserve">Section 2.4 sets out this research gap.</w:t>
      </w:r>
    </w:p>
    <w:bookmarkStart w:id="25"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w:t>
      </w:r>
      <w:r>
        <w:t xml:space="preserve"> </w:t>
      </w:r>
      <w:r>
        <w:rPr>
          <w:bCs/>
          <w:b/>
        </w:rPr>
        <w:t xml:space="preserve">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w:t>
      </w:r>
      <w:r>
        <w:t xml:space="preserve"> </w:t>
      </w:r>
      <w:r>
        <w:rPr>
          <w:bCs/>
          <w:b/>
        </w:rPr>
        <w:t xml:space="preserve">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w:t>
      </w:r>
      <w:r>
        <w:t xml:space="preserve"> </w:t>
      </w:r>
      <w:r>
        <w:rPr>
          <w:bCs/>
          <w:b/>
        </w:rPr>
        <w:t xml:space="preserve">Testing whether revenue stays a fair guide needs the reported revenue and transaction value of the same platforms, over several years and on one definition.</w:t>
      </w:r>
      <w:r>
        <w:t xml:space="preserve"> </w:t>
      </w:r>
      <w:r>
        <w:t xml:space="preserve">The studies reviewed here do not make that comparison, and none covers Indonesian platforms.</w:t>
      </w:r>
    </w:p>
    <w:bookmarkEnd w:id="25"/>
    <w:bookmarkStart w:id="26"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w:t>
      </w:r>
      <w:r>
        <w:t xml:space="preserve"> </w:t>
      </w:r>
      <w:r>
        <w:rPr>
          <w:bCs/>
          <w:b/>
        </w:rPr>
        <w:t xml:space="preserve">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w:t>
      </w:r>
      <w:r>
        <w:t xml:space="preserve"> </w:t>
      </w:r>
      <w:r>
        <w:rPr>
          <w:bCs/>
          <w:b/>
        </w:rPr>
        <w:t xml:space="preserve">Published totals cannot show whether a rise in the count reflects new sellers or a wider survey, because they do not record when each seller began.</w:t>
      </w:r>
      <w:r>
        <w:t xml:space="preserve"> </w:t>
      </w:r>
      <w:r>
        <w:t xml:space="preserve">That question needs the answers of the sellers themselves.</w:t>
      </w:r>
    </w:p>
    <w:bookmarkEnd w:id="26"/>
    <w:bookmarkStart w:id="27"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w:t>
      </w:r>
      <w:r>
        <w:t xml:space="preserve"> </w:t>
      </w:r>
      <w:r>
        <w:rPr>
          <w:bCs/>
          <w:b/>
        </w:rPr>
        <w:t xml:space="preserve">How far a rule built on platform records can reach depends on how much selling happens on platforms.</w:t>
      </w:r>
      <w:r>
        <w:t xml:space="preserve"> </w:t>
      </w:r>
      <w:r>
        <w:t xml:space="preserve">The studies reviewed here do not estimate that share for Indonesia.</w:t>
      </w:r>
    </w:p>
    <w:bookmarkEnd w:id="27"/>
    <w:bookmarkStart w:id="28"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keepNext/>
        <w:jc w:val="left"/>
      </w:pPr>
      <w:r>
        <w:rPr>
          <w:bCs/>
          <w:b/>
          <w:sz w:val="20"/>
        </w:rPr>
        <w:t xml:space="preserve">Table 2.1. What the literature establishes and where it stops</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1475"/>
        <w:gridCol w:w="2608"/>
        <w:gridCol w:w="2608"/>
        <w:gridCol w:w="2608"/>
      </w:tblGrid>
      <w:tr>
        <w:trPr>
          <w:tblHeader w:val="true"/>
          <w:cantSplit/>
          <w:tblHeader/>
        </w:trPr>
        <w:tc>
          <w:tcPr>
            <w:tcW w:w="1475" w:type="dxa"/>
            <w:tcBorders>
              <w:bottom w:val="single" w:sz="4" w:space="0" w:color="000000"/>
            </w:tcBorders>
          </w:tcPr>
          <w:p>
            <w:pPr>
              <w:pStyle w:val="Compact"/>
              <w:spacing w:after="20" w:before="20" w:line="240" w:lineRule="auto"/>
              <w:jc w:val="left"/>
            </w:pPr>
            <w:r>
              <w:rPr>
                <w:b/>
                <w:sz w:val="18"/>
              </w:rPr>
              <w:t xml:space="preserve">Section</w:t>
            </w:r>
          </w:p>
        </w:tc>
        <w:tc>
          <w:tcPr>
            <w:tcW w:w="2608" w:type="dxa"/>
            <w:tcBorders>
              <w:bottom w:val="single" w:sz="4" w:space="0" w:color="000000"/>
            </w:tcBorders>
          </w:tcPr>
          <w:p>
            <w:pPr>
              <w:pStyle w:val="Compact"/>
              <w:spacing w:after="20" w:before="20" w:line="240" w:lineRule="auto"/>
              <w:jc w:val="left"/>
            </w:pPr>
            <w:r>
              <w:rPr>
                <w:b/>
                <w:sz w:val="18"/>
              </w:rPr>
              <w:t xml:space="preserve">What it establishes</w:t>
            </w:r>
          </w:p>
        </w:tc>
        <w:tc>
          <w:tcPr>
            <w:tcW w:w="2608" w:type="dxa"/>
            <w:tcBorders>
              <w:bottom w:val="single" w:sz="4" w:space="0" w:color="000000"/>
            </w:tcBorders>
          </w:tcPr>
          <w:p>
            <w:pPr>
              <w:pStyle w:val="Compact"/>
              <w:spacing w:after="20" w:before="20" w:line="240" w:lineRule="auto"/>
              <w:jc w:val="left"/>
            </w:pPr>
            <w:r>
              <w:rPr>
                <w:b/>
                <w:sz w:val="18"/>
              </w:rPr>
              <w:t xml:space="preserve">Main sources</w:t>
            </w:r>
          </w:p>
        </w:tc>
        <w:tc>
          <w:tcPr>
            <w:tcW w:w="2608" w:type="dxa"/>
            <w:tcBorders>
              <w:bottom w:val="single" w:sz="4" w:space="0" w:color="000000"/>
            </w:tcBorders>
          </w:tcPr>
          <w:p>
            <w:pPr>
              <w:pStyle w:val="Compact"/>
              <w:spacing w:after="20" w:before="20" w:line="240" w:lineRule="auto"/>
              <w:jc w:val="left"/>
            </w:pPr>
            <w:r>
              <w:rPr>
                <w:b/>
                <w:sz w:val="18"/>
              </w:rPr>
              <w:t xml:space="preserve">Where it stops</w:t>
            </w:r>
          </w:p>
        </w:tc>
      </w:tr>
      <w:tr>
        <w:trPr>
          <w:cantSplit/>
        </w:trPr>
        <w:tc>
          <w:tcPr>
            <w:tcW w:w="1475" w:type="dxa"/>
          </w:tcPr>
          <w:p>
            <w:pPr>
              <w:pStyle w:val="Compact"/>
              <w:spacing w:after="20" w:before="20" w:line="240" w:lineRule="auto"/>
              <w:jc w:val="left"/>
            </w:pPr>
            <w:r>
              <w:rPr>
                <w:sz w:val="18"/>
              </w:rPr>
              <w:t xml:space="preserve">2.1 Platform economics and accounting</w:t>
            </w:r>
          </w:p>
        </w:tc>
        <w:tc>
          <w:tcPr>
            <w:tcW w:w="2608" w:type="dxa"/>
          </w:tcPr>
          <w:p>
            <w:pPr>
              <w:pStyle w:val="Compact"/>
              <w:spacing w:after="20" w:before="20" w:line="240" w:lineRule="auto"/>
              <w:jc w:val="left"/>
            </w:pPr>
            <w:r>
              <w:rPr>
                <w:sz w:val="18"/>
              </w:rPr>
              <w:t xml:space="preserve">Revenue is a fee that is a small share of the commerce, and the share can move with pricing, discounts and accounting</w:t>
            </w:r>
          </w:p>
        </w:tc>
        <w:tc>
          <w:tcPr>
            <w:tcW w:w="2608" w:type="dxa"/>
          </w:tcPr>
          <w:p>
            <w:pPr>
              <w:pStyle w:val="Compact"/>
              <w:spacing w:after="20" w:before="20" w:line="240" w:lineRule="auto"/>
              <w:jc w:val="left"/>
            </w:pPr>
            <w:r>
              <w:rPr>
                <w:sz w:val="18"/>
              </w:rPr>
              <w:t xml:space="preserve">Rochet and Tirole 2003; Armstrong 2006; IASB 2014</w:t>
            </w:r>
          </w:p>
        </w:tc>
        <w:tc>
          <w:tcPr>
            <w:tcW w:w="2608" w:type="dxa"/>
          </w:tcPr>
          <w:p>
            <w:pPr>
              <w:pStyle w:val="Compact"/>
              <w:spacing w:after="20" w:before="20" w:line="240" w:lineRule="auto"/>
              <w:jc w:val="left"/>
            </w:pPr>
            <w:r>
              <w:rPr>
                <w:sz w:val="18"/>
              </w:rPr>
              <w:t xml:space="preserve">Whether reported revenue stays a fair guide to reported transaction value has not been tested, and not for Indonesian platforms</w:t>
            </w:r>
          </w:p>
        </w:tc>
      </w:tr>
      <w:tr>
        <w:trPr>
          <w:cantSplit/>
        </w:trPr>
        <w:tc>
          <w:tcPr>
            <w:tcW w:w="1475" w:type="dxa"/>
          </w:tcPr>
          <w:p>
            <w:pPr>
              <w:pStyle w:val="Compact"/>
              <w:spacing w:after="20" w:before="20" w:line="240" w:lineRule="auto"/>
              <w:jc w:val="left"/>
            </w:pPr>
            <w:r>
              <w:rPr>
                <w:sz w:val="18"/>
              </w:rPr>
              <w:t xml:space="preserve">2.2 Official statistics and surveys</w:t>
            </w:r>
          </w:p>
        </w:tc>
        <w:tc>
          <w:tcPr>
            <w:tcW w:w="2608" w:type="dxa"/>
          </w:tcPr>
          <w:p>
            <w:pPr>
              <w:pStyle w:val="Compact"/>
              <w:spacing w:after="20" w:before="20" w:line="240" w:lineRule="auto"/>
              <w:jc w:val="left"/>
            </w:pPr>
            <w:r>
              <w:rPr>
                <w:sz w:val="18"/>
              </w:rPr>
              <w:t xml:space="preserve">Platform commerce and platform revenue differ; sources differ; a count of sellers can break</w:t>
            </w:r>
          </w:p>
        </w:tc>
        <w:tc>
          <w:tcPr>
            <w:tcW w:w="2608" w:type="dxa"/>
          </w:tcPr>
          <w:p>
            <w:pPr>
              <w:pStyle w:val="Compact"/>
              <w:spacing w:after="20" w:before="20" w:line="240" w:lineRule="auto"/>
              <w:jc w:val="left"/>
            </w:pPr>
            <w:r>
              <w:rPr>
                <w:sz w:val="18"/>
              </w:rPr>
              <w:t xml:space="preserve">Ahmad and Schreyer 2016; Henderson et al. 2012; van den Brakel et al. 2008</w:t>
            </w:r>
          </w:p>
        </w:tc>
        <w:tc>
          <w:tcPr>
            <w:tcW w:w="2608" w:type="dxa"/>
          </w:tcPr>
          <w:p>
            <w:pPr>
              <w:pStyle w:val="Compact"/>
              <w:spacing w:after="20" w:before="20" w:line="240" w:lineRule="auto"/>
              <w:jc w:val="left"/>
            </w:pPr>
            <w:r>
              <w:rPr>
                <w:sz w:val="18"/>
              </w:rPr>
              <w:t xml:space="preserve">Platform and national figures have not been followed through time in one country, and published totals cannot show what a rise in the count of sellers contains</w:t>
            </w:r>
          </w:p>
        </w:tc>
      </w:tr>
      <w:tr>
        <w:trPr>
          <w:cantSplit/>
        </w:trPr>
        <w:tc>
          <w:tcPr>
            <w:tcW w:w="1475" w:type="dxa"/>
          </w:tcPr>
          <w:p>
            <w:pPr>
              <w:pStyle w:val="Compact"/>
              <w:spacing w:after="20" w:before="20" w:line="240" w:lineRule="auto"/>
              <w:jc w:val="left"/>
            </w:pPr>
            <w:r>
              <w:rPr>
                <w:sz w:val="18"/>
              </w:rPr>
              <w:t xml:space="preserve">2.3 Third-party information</w:t>
            </w:r>
          </w:p>
        </w:tc>
        <w:tc>
          <w:tcPr>
            <w:tcW w:w="2608" w:type="dxa"/>
          </w:tcPr>
          <w:p>
            <w:pPr>
              <w:pStyle w:val="Compact"/>
              <w:spacing w:after="20" w:before="20" w:line="240" w:lineRule="auto"/>
              <w:jc w:val="left"/>
            </w:pPr>
            <w:r>
              <w:rPr>
                <w:sz w:val="18"/>
              </w:rPr>
              <w:t xml:space="preserve">Platform records show sales, and third-party reports improve compliance</w:t>
            </w:r>
          </w:p>
        </w:tc>
        <w:tc>
          <w:tcPr>
            <w:tcW w:w="2608" w:type="dxa"/>
          </w:tcPr>
          <w:p>
            <w:pPr>
              <w:pStyle w:val="Compact"/>
              <w:spacing w:after="20" w:before="20" w:line="240" w:lineRule="auto"/>
              <w:jc w:val="left"/>
            </w:pPr>
            <w:r>
              <w:rPr>
                <w:sz w:val="18"/>
              </w:rPr>
              <w:t xml:space="preserve">Kleven et al. 2011; OECD 2020</w:t>
            </w:r>
          </w:p>
        </w:tc>
        <w:tc>
          <w:tcPr>
            <w:tcW w:w="2608" w:type="dxa"/>
          </w:tcPr>
          <w:p>
            <w:pPr>
              <w:pStyle w:val="Compact"/>
              <w:spacing w:after="20" w:before="20" w:line="240" w:lineRule="auto"/>
              <w:jc w:val="left"/>
            </w:pPr>
            <w:r>
              <w:rPr>
                <w:sz w:val="18"/>
              </w:rP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8"/>
    <w:bookmarkEnd w:id="29"/>
    <w:bookmarkStart w:id="39"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jc w:val="left"/>
      </w:pPr>
      <w:r>
        <w:rPr>
          <w:sz w:val="20"/>
        </w:rPr>
        <w:t xml:space="preserve">Figure 3.1 places the three quantities inside one another.</w:t>
      </w:r>
      <w:r>
        <w:rPr>
          <w:sz w:val="20"/>
        </w:rPr>
        <w:t xml:space="preserve"> </w:t>
      </w:r>
      <w:r>
        <w:rPr>
          <w:bCs/>
          <w:b/>
          <w:sz w:val="20"/>
        </w:rPr>
        <w:t xml:space="preserve">Revenue sits inside platform commerce, because a platform keeps only part of each sale.</w:t>
      </w:r>
      <w:r>
        <w:rPr>
          <w:sz w:val="20"/>
        </w:rPr>
        <w:t xml:space="preserve"> </w:t>
      </w:r>
      <w:r>
        <w:rPr>
          <w:bCs/>
          <w:b/>
          <w:sz w:val="20"/>
        </w:rPr>
        <w:t xml:space="preserve">Platform commerce sits inside all online commerce, because many sellers trade outside platforms.</w:t>
      </w:r>
      <w:r>
        <w:rPr>
          <w:sz w:val="20"/>
        </w:rPr>
        <w:t xml:space="preserve"> </w:t>
      </w:r>
      <w:r>
        <w:rPr>
          <w:sz w:val="20"/>
        </w:rPr>
        <w:t xml:space="preserve">The first hypothesis, H1, tests the inner link between revenue and platform commerce. The second, H2, tests the outer link between platform commerce and national online commerce.</w:t>
      </w:r>
    </w:p>
    <w:p>
      <w:pPr>
        <w:pStyle w:val="BodyText"/>
        <w:keepNext/>
        <w:jc w:val="center"/>
      </w:pPr>
      <w:r>
        <w:drawing>
          <wp:inline>
            <wp:extent cx="5302908" cy="2896109"/>
            <wp:effectExtent b="0" l="0" r="0" t="0"/>
            <wp:docPr descr="" title="" id="31" name="Picture"/>
            <a:graphic>
              <a:graphicData uri="http://schemas.openxmlformats.org/drawingml/2006/picture">
                <pic:pic>
                  <pic:nvPicPr>
                    <pic:cNvPr descr="figures/fig3_1_two_links.png" id="32" name="Picture"/>
                    <pic:cNvPicPr>
                      <a:picLocks noChangeArrowheads="1" noChangeAspect="1"/>
                    </pic:cNvPicPr>
                  </pic:nvPicPr>
                  <pic:blipFill>
                    <a:blip r:embed="rId30"/>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jc w:val="left"/>
      </w:pPr>
      <w:r>
        <w:rPr>
          <w:bCs/>
          <w:b/>
          <w:sz w:val="20"/>
        </w:rPr>
        <w:t xml:space="preserve">Figure 3.1. Three nested quantities and the two links.</w:t>
      </w:r>
      <w:r>
        <w:rPr>
          <w:sz w:val="20"/>
        </w:rPr>
        <w:t xml:space="preserve"> </w:t>
      </w:r>
      <w:r>
        <w:rPr>
          <w:sz w:val="20"/>
        </w:rPr>
        <w:t xml:space="preserve">Revenue sits inside platform commerce, which sits inside all online commerce. H1 tests the inner link and H2 the outer link.</w:t>
      </w:r>
    </w:p>
    <w:p>
      <w:pPr>
        <w:pStyle w:val="BodyText"/>
        <w:jc w:val="left"/>
      </w:pPr>
      <w:r>
        <w:rPr>
          <w:iCs/>
          <w:i/>
          <w:sz w:val="19"/>
        </w:rPr>
        <w:t xml:space="preserve">Note:</w:t>
      </w:r>
      <w:r>
        <w:rPr>
          <w:sz w:val="19"/>
        </w:rPr>
        <w:t xml:space="preserve"> </w:t>
      </w:r>
      <w:r>
        <w:rPr>
          <w:sz w:val="19"/>
        </w:rP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3" w:name="terms-and-rules-for-comparison"/>
    <w:p>
      <w:pPr>
        <w:pStyle w:val="Heading2"/>
      </w:pPr>
      <w:r>
        <w:t xml:space="preserve">3.1 Terms and rules for comparison</w:t>
      </w:r>
    </w:p>
    <w:p>
      <w:pPr>
        <w:pStyle w:val="FirstParagraph"/>
        <w:keepNext/>
        <w:jc w:val="left"/>
      </w:pPr>
      <w:r>
        <w:rPr>
          <w:sz w:val="20"/>
        </w:rPr>
        <w:t xml:space="preserve">Table 3.1 defines the terms used throughout the thesis, each once, with the symbol used in the formulas.</w:t>
      </w:r>
    </w:p>
    <w:p>
      <w:pPr>
        <w:pStyle w:val="BodyText"/>
        <w:keepNext/>
        <w:jc w:val="left"/>
      </w:pPr>
      <w:r>
        <w:rPr>
          <w:bCs/>
          <w:b/>
          <w:sz w:val="20"/>
        </w:rPr>
        <w:t xml:space="preserve">Table 3.1. Terms and symbols</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2057"/>
        <w:gridCol w:w="987"/>
        <w:gridCol w:w="6254"/>
      </w:tblGrid>
      <w:tr>
        <w:trPr>
          <w:tblHeader w:val="true"/>
          <w:cantSplit/>
          <w:tblHeader/>
        </w:trPr>
        <w:tc>
          <w:tcPr>
            <w:tcW w:w="2057" w:type="dxa"/>
            <w:tcBorders>
              <w:bottom w:val="single" w:sz="4" w:space="0" w:color="000000"/>
            </w:tcBorders>
          </w:tcPr>
          <w:p>
            <w:pPr>
              <w:pStyle w:val="Compact"/>
              <w:spacing w:after="20" w:before="20" w:line="240" w:lineRule="auto"/>
              <w:jc w:val="left"/>
            </w:pPr>
            <w:r>
              <w:rPr>
                <w:b/>
                <w:sz w:val="18"/>
              </w:rPr>
              <w:t xml:space="preserve">Term</w:t>
            </w:r>
          </w:p>
        </w:tc>
        <w:tc>
          <w:tcPr>
            <w:tcW w:w="987" w:type="dxa"/>
            <w:tcBorders>
              <w:bottom w:val="single" w:sz="4" w:space="0" w:color="000000"/>
            </w:tcBorders>
          </w:tcPr>
          <w:p>
            <w:pPr>
              <w:pStyle w:val="Compact"/>
              <w:spacing w:after="20" w:before="20" w:line="240" w:lineRule="auto"/>
              <w:jc w:val="left"/>
            </w:pPr>
            <w:r>
              <w:rPr>
                <w:b/>
                <w:sz w:val="18"/>
              </w:rPr>
              <w:t xml:space="preserve">Symbol</w:t>
            </w:r>
          </w:p>
        </w:tc>
        <w:tc>
          <w:tcPr>
            <w:tcW w:w="6254" w:type="dxa"/>
            <w:tcBorders>
              <w:bottom w:val="single" w:sz="4" w:space="0" w:color="000000"/>
            </w:tcBorders>
          </w:tcPr>
          <w:p>
            <w:pPr>
              <w:pStyle w:val="Compact"/>
              <w:spacing w:after="20" w:before="20" w:line="240" w:lineRule="auto"/>
              <w:jc w:val="left"/>
            </w:pPr>
            <w:r>
              <w:rPr>
                <w:b/>
                <w:sz w:val="18"/>
              </w:rPr>
              <w:t xml:space="preserve">Meaning</w:t>
            </w:r>
          </w:p>
        </w:tc>
      </w:tr>
      <w:tr>
        <w:trPr>
          <w:cantSplit/>
        </w:trPr>
        <w:tc>
          <w:tcPr>
            <w:tcW w:w="2057" w:type="dxa"/>
          </w:tcPr>
          <w:p>
            <w:pPr>
              <w:pStyle w:val="Compact"/>
              <w:spacing w:after="20" w:before="20" w:line="240" w:lineRule="auto"/>
              <w:jc w:val="left"/>
            </w:pPr>
            <w:r>
              <w:rPr>
                <w:sz w:val="18"/>
              </w:rPr>
              <w:t xml:space="preserve">Transaction value</w:t>
            </w:r>
          </w:p>
        </w:tc>
        <w:tc>
          <w:tcPr>
            <w:tcW w:w="987" w:type="dxa"/>
          </w:tcPr>
          <w:p>
            <w:pPr>
              <w:pStyle w:val="Compact"/>
              <w:spacing w:after="20" w:before="20" w:line="240" w:lineRule="auto"/>
              <w:jc w:val="left"/>
            </w:pPr>
            <w:r>
              <w:rPr>
                <w:sz w:val="18"/>
              </w:rPr>
              <w:t xml:space="preserve">V</w:t>
            </w:r>
          </w:p>
        </w:tc>
        <w:tc>
          <w:tcPr>
            <w:tcW w:w="6254" w:type="dxa"/>
          </w:tcPr>
          <w:p>
            <w:pPr>
              <w:pStyle w:val="Compact"/>
              <w:spacing w:after="20" w:before="20" w:line="240" w:lineRule="auto"/>
              <w:jc w:val="left"/>
            </w:pPr>
            <w:r>
              <w:rPr>
                <w:sz w:val="18"/>
              </w:rP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rPr>
          <w:cantSplit/>
        </w:trPr>
        <w:tc>
          <w:tcPr>
            <w:tcW w:w="2057" w:type="dxa"/>
          </w:tcPr>
          <w:p>
            <w:pPr>
              <w:pStyle w:val="Compact"/>
              <w:spacing w:after="20" w:before="20" w:line="240" w:lineRule="auto"/>
              <w:jc w:val="left"/>
            </w:pPr>
            <w:r>
              <w:rPr>
                <w:sz w:val="18"/>
              </w:rPr>
              <w:t xml:space="preserve">Revenue</w:t>
            </w:r>
          </w:p>
        </w:tc>
        <w:tc>
          <w:tcPr>
            <w:tcW w:w="987" w:type="dxa"/>
          </w:tcPr>
          <w:p>
            <w:pPr>
              <w:pStyle w:val="Compact"/>
              <w:spacing w:after="20" w:before="20" w:line="240" w:lineRule="auto"/>
              <w:jc w:val="left"/>
            </w:pPr>
            <w:r>
              <w:rPr>
                <w:sz w:val="18"/>
              </w:rPr>
              <w:t xml:space="preserve">R</w:t>
            </w:r>
          </w:p>
        </w:tc>
        <w:tc>
          <w:tcPr>
            <w:tcW w:w="6254" w:type="dxa"/>
          </w:tcPr>
          <w:p>
            <w:pPr>
              <w:pStyle w:val="Compact"/>
              <w:spacing w:after="20" w:before="20" w:line="240" w:lineRule="auto"/>
              <w:jc w:val="left"/>
            </w:pPr>
            <w:r>
              <w:rPr>
                <w:sz w:val="18"/>
              </w:rPr>
              <w:t xml:space="preserve">What the platform recognizes as its own income in its accounts.</w:t>
            </w:r>
          </w:p>
        </w:tc>
      </w:tr>
      <w:tr>
        <w:trPr>
          <w:cantSplit/>
        </w:trPr>
        <w:tc>
          <w:tcPr>
            <w:tcW w:w="2057" w:type="dxa"/>
          </w:tcPr>
          <w:p>
            <w:pPr>
              <w:pStyle w:val="Compact"/>
              <w:spacing w:after="20" w:before="20" w:line="240" w:lineRule="auto"/>
              <w:jc w:val="left"/>
            </w:pPr>
            <w:r>
              <w:rPr>
                <w:sz w:val="18"/>
              </w:rPr>
              <w:t xml:space="preserve">Take rate</w:t>
            </w:r>
          </w:p>
        </w:tc>
        <w:tc>
          <w:tcPr>
            <w:tcW w:w="987" w:type="dxa"/>
          </w:tcPr>
          <w:p>
            <w:pPr>
              <w:pStyle w:val="Compact"/>
              <w:spacing w:after="20" w:before="20" w:line="240" w:lineRule="auto"/>
              <w:jc w:val="left"/>
            </w:pPr>
            <w:r>
              <w:rPr>
                <w:sz w:val="18"/>
              </w:rPr>
              <w:t xml:space="preserve">m</w:t>
            </w:r>
          </w:p>
        </w:tc>
        <w:tc>
          <w:tcPr>
            <w:tcW w:w="6254" w:type="dxa"/>
          </w:tcPr>
          <w:p>
            <w:pPr>
              <w:pStyle w:val="Compact"/>
              <w:spacing w:after="20" w:before="20" w:line="240" w:lineRule="auto"/>
              <w:jc w:val="left"/>
            </w:pPr>
            <w:r>
              <w:rPr>
                <w:sz w:val="18"/>
              </w:rPr>
              <w:t xml:space="preserve">Revenue divided by transaction value: the share of each sale that the platform keeps.</w:t>
            </w:r>
          </w:p>
        </w:tc>
      </w:tr>
      <w:tr>
        <w:trPr>
          <w:cantSplit/>
        </w:trPr>
        <w:tc>
          <w:tcPr>
            <w:tcW w:w="2057" w:type="dxa"/>
          </w:tcPr>
          <w:p>
            <w:pPr>
              <w:pStyle w:val="Compact"/>
              <w:spacing w:after="20" w:before="20" w:line="240" w:lineRule="auto"/>
              <w:jc w:val="left"/>
            </w:pPr>
            <w:r>
              <w:rPr>
                <w:sz w:val="18"/>
              </w:rPr>
              <w:t xml:space="preserve">Customer incentives</w:t>
            </w:r>
          </w:p>
        </w:tc>
        <w:tc>
          <w:tcPr>
            <w:tcW w:w="987" w:type="dxa"/>
          </w:tcPr>
          <w:p>
            <w:pPr>
              <w:pStyle w:val="Compact"/>
              <w:spacing w:after="20" w:before="20" w:line="240" w:lineRule="auto"/>
              <w:jc w:val="left"/>
            </w:pPr>
          </w:p>
        </w:tc>
        <w:tc>
          <w:tcPr>
            <w:tcW w:w="6254" w:type="dxa"/>
          </w:tcPr>
          <w:p>
            <w:pPr>
              <w:pStyle w:val="Compact"/>
              <w:spacing w:after="20" w:before="20" w:line="240" w:lineRule="auto"/>
              <w:jc w:val="left"/>
            </w:pPr>
            <w:r>
              <w:rPr>
                <w:sz w:val="18"/>
              </w:rPr>
              <w:t xml:space="preserve">Discounts, vouchers and other promotions that a platform pays for. Accounting rules normally deduct them from revenue, and Tokopedia reports the deduction as a separate line.</w:t>
            </w:r>
          </w:p>
        </w:tc>
      </w:tr>
      <w:tr>
        <w:trPr>
          <w:cantSplit/>
        </w:trPr>
        <w:tc>
          <w:tcPr>
            <w:tcW w:w="2057" w:type="dxa"/>
          </w:tcPr>
          <w:p>
            <w:pPr>
              <w:pStyle w:val="Compact"/>
              <w:spacing w:after="20" w:before="20" w:line="240" w:lineRule="auto"/>
              <w:jc w:val="left"/>
            </w:pPr>
            <w:r>
              <w:rPr>
                <w:sz w:val="18"/>
              </w:rPr>
              <w:t xml:space="preserve">Fee rate</w:t>
            </w:r>
          </w:p>
        </w:tc>
        <w:tc>
          <w:tcPr>
            <w:tcW w:w="987" w:type="dxa"/>
          </w:tcPr>
          <w:p>
            <w:pPr>
              <w:pStyle w:val="Compact"/>
              <w:spacing w:after="20" w:before="20" w:line="240" w:lineRule="auto"/>
              <w:jc w:val="left"/>
            </w:pPr>
            <w:r>
              <w:rPr>
                <w:sz w:val="18"/>
              </w:rPr>
              <w:t xml:space="preserve">f</w:t>
            </w:r>
          </w:p>
        </w:tc>
        <w:tc>
          <w:tcPr>
            <w:tcW w:w="6254" w:type="dxa"/>
          </w:tcPr>
          <w:p>
            <w:pPr>
              <w:pStyle w:val="Compact"/>
              <w:spacing w:after="20" w:before="20" w:line="240" w:lineRule="auto"/>
              <w:jc w:val="left"/>
            </w:pPr>
            <w:r>
              <w:rPr>
                <w:sz w:val="18"/>
              </w:rPr>
              <w:t xml:space="preserve">The platform’s revenue before customer incentives, divided by transaction value.</w:t>
            </w:r>
          </w:p>
        </w:tc>
      </w:tr>
      <w:tr>
        <w:trPr>
          <w:cantSplit/>
        </w:trPr>
        <w:tc>
          <w:tcPr>
            <w:tcW w:w="2057" w:type="dxa"/>
          </w:tcPr>
          <w:p>
            <w:pPr>
              <w:pStyle w:val="Compact"/>
              <w:spacing w:after="20" w:before="20" w:line="240" w:lineRule="auto"/>
              <w:jc w:val="left"/>
            </w:pPr>
            <w:r>
              <w:rPr>
                <w:sz w:val="18"/>
              </w:rPr>
              <w:t xml:space="preserve">Incentive rate</w:t>
            </w:r>
          </w:p>
        </w:tc>
        <w:tc>
          <w:tcPr>
            <w:tcW w:w="987" w:type="dxa"/>
          </w:tcPr>
          <w:p>
            <w:pPr>
              <w:pStyle w:val="Compact"/>
              <w:spacing w:after="20" w:before="20" w:line="240" w:lineRule="auto"/>
              <w:jc w:val="left"/>
            </w:pPr>
            <w:r>
              <w:rPr>
                <w:sz w:val="18"/>
              </w:rPr>
              <w:t xml:space="preserve">s</w:t>
            </w:r>
          </w:p>
        </w:tc>
        <w:tc>
          <w:tcPr>
            <w:tcW w:w="6254" w:type="dxa"/>
          </w:tcPr>
          <w:p>
            <w:pPr>
              <w:pStyle w:val="Compact"/>
              <w:spacing w:after="20" w:before="20" w:line="240" w:lineRule="auto"/>
              <w:jc w:val="left"/>
            </w:pPr>
            <w:r>
              <w:rPr>
                <w:sz w:val="18"/>
              </w:rPr>
              <w:t xml:space="preserve">Customer incentives divided by transaction value.</w:t>
            </w:r>
          </w:p>
        </w:tc>
      </w:tr>
      <w:tr>
        <w:trPr>
          <w:cantSplit/>
        </w:trPr>
        <w:tc>
          <w:tcPr>
            <w:tcW w:w="2057" w:type="dxa"/>
          </w:tcPr>
          <w:p>
            <w:pPr>
              <w:pStyle w:val="Compact"/>
              <w:spacing w:after="20" w:before="20" w:line="240" w:lineRule="auto"/>
              <w:jc w:val="left"/>
            </w:pPr>
            <w:r>
              <w:rPr>
                <w:sz w:val="18"/>
              </w:rPr>
              <w:t xml:space="preserve">Invisible wedge</w:t>
            </w:r>
          </w:p>
        </w:tc>
        <w:tc>
          <w:tcPr>
            <w:tcW w:w="987" w:type="dxa"/>
          </w:tcPr>
          <w:p>
            <w:pPr>
              <w:pStyle w:val="Compact"/>
              <w:spacing w:after="20" w:before="20" w:line="240" w:lineRule="auto"/>
              <w:jc w:val="left"/>
            </w:pPr>
            <w:r>
              <w:rPr>
                <w:sz w:val="18"/>
              </w:rPr>
              <w:t xml:space="preserve">W</w:t>
            </w:r>
          </w:p>
        </w:tc>
        <w:tc>
          <w:tcPr>
            <w:tcW w:w="6254" w:type="dxa"/>
          </w:tcPr>
          <w:p>
            <w:pPr>
              <w:pStyle w:val="Compact"/>
              <w:spacing w:after="20" w:before="20" w:line="240" w:lineRule="auto"/>
              <w:jc w:val="left"/>
            </w:pPr>
            <w:r>
              <w:rPr>
                <w:sz w:val="18"/>
              </w:rPr>
              <w:t xml:space="preserve">Transaction value minus revenue: what a revenue figure leaves out. It is defined for one platform. The thesis sums it over three platforms in Indonesia for 2023 and computes no national total.</w:t>
            </w:r>
          </w:p>
        </w:tc>
      </w:tr>
      <w:tr>
        <w:trPr>
          <w:cantSplit/>
        </w:trPr>
        <w:tc>
          <w:tcPr>
            <w:tcW w:w="2057" w:type="dxa"/>
          </w:tcPr>
          <w:p>
            <w:pPr>
              <w:pStyle w:val="Compact"/>
              <w:spacing w:after="20" w:before="20" w:line="240" w:lineRule="auto"/>
              <w:jc w:val="left"/>
            </w:pPr>
            <w:r>
              <w:rPr>
                <w:sz w:val="18"/>
              </w:rPr>
              <w:t xml:space="preserve">Ecosystem ratio</w:t>
            </w:r>
          </w:p>
        </w:tc>
        <w:tc>
          <w:tcPr>
            <w:tcW w:w="987" w:type="dxa"/>
          </w:tcPr>
          <w:p>
            <w:pPr>
              <w:pStyle w:val="Compact"/>
              <w:spacing w:after="20" w:before="20" w:line="240" w:lineRule="auto"/>
              <w:jc w:val="left"/>
            </w:pPr>
            <w:r>
              <w:rPr>
                <w:sz w:val="18"/>
              </w:rPr>
              <w:t xml:space="preserve">E</w:t>
            </w:r>
          </w:p>
        </w:tc>
        <w:tc>
          <w:tcPr>
            <w:tcW w:w="6254" w:type="dxa"/>
          </w:tcPr>
          <w:p>
            <w:pPr>
              <w:pStyle w:val="Compact"/>
              <w:spacing w:after="20" w:before="20" w:line="240" w:lineRule="auto"/>
              <w:jc w:val="left"/>
            </w:pPr>
            <w:r>
              <w:rPr>
                <w:sz w:val="18"/>
              </w:rPr>
              <w:t xml:space="preserve">The wedge divided by revenue. It equals one divided by the take rate, minus one. This is the author’s own measure, built for this thesis.</w:t>
            </w:r>
          </w:p>
        </w:tc>
      </w:tr>
      <w:tr>
        <w:trPr>
          <w:cantSplit/>
        </w:trPr>
        <w:tc>
          <w:tcPr>
            <w:tcW w:w="2057" w:type="dxa"/>
          </w:tcPr>
          <w:p>
            <w:pPr>
              <w:pStyle w:val="Compact"/>
              <w:spacing w:after="20" w:before="20" w:line="240" w:lineRule="auto"/>
              <w:jc w:val="left"/>
            </w:pPr>
            <w:r>
              <w:rPr>
                <w:sz w:val="18"/>
              </w:rPr>
              <w:t xml:space="preserve">Growth</w:t>
            </w:r>
          </w:p>
        </w:tc>
        <w:tc>
          <w:tcPr>
            <w:tcW w:w="987" w:type="dxa"/>
          </w:tcPr>
          <w:p>
            <w:pPr>
              <w:pStyle w:val="Compact"/>
              <w:spacing w:after="20" w:before="20" w:line="240" w:lineRule="auto"/>
              <w:jc w:val="left"/>
            </w:pPr>
            <w:r>
              <w:rPr>
                <w:sz w:val="18"/>
              </w:rPr>
              <w:t xml:space="preserve">g</w:t>
            </w:r>
          </w:p>
        </w:tc>
        <w:tc>
          <w:tcPr>
            <w:tcW w:w="6254" w:type="dxa"/>
          </w:tcPr>
          <w:p>
            <w:pPr>
              <w:pStyle w:val="Compact"/>
              <w:spacing w:after="20" w:before="20" w:line="240" w:lineRule="auto"/>
              <w:jc w:val="left"/>
            </w:pPr>
            <w:r>
              <w:rPr>
                <w:sz w:val="18"/>
              </w:rPr>
              <w:t xml:space="preserve">The change from one year to the next as a share of the first year: 0.09 means 9 percent.</w:t>
            </w:r>
          </w:p>
        </w:tc>
      </w:tr>
      <w:tr>
        <w:trPr>
          <w:cantSplit/>
        </w:trPr>
        <w:tc>
          <w:tcPr>
            <w:tcW w:w="2057" w:type="dxa"/>
          </w:tcPr>
          <w:p>
            <w:pPr>
              <w:pStyle w:val="Compact"/>
              <w:spacing w:after="20" w:before="20" w:line="240" w:lineRule="auto"/>
              <w:jc w:val="left"/>
            </w:pPr>
            <w:r>
              <w:rPr>
                <w:sz w:val="18"/>
              </w:rPr>
              <w:t xml:space="preserve">Growth divergence</w:t>
            </w:r>
          </w:p>
        </w:tc>
        <w:tc>
          <w:tcPr>
            <w:tcW w:w="987" w:type="dxa"/>
          </w:tcPr>
          <w:p>
            <w:pPr>
              <w:pStyle w:val="Compact"/>
              <w:spacing w:after="20" w:before="20" w:line="240" w:lineRule="auto"/>
              <w:jc w:val="left"/>
            </w:pPr>
            <w:r>
              <w:rPr>
                <w:sz w:val="18"/>
              </w:rPr>
              <w:t xml:space="preserve">D</w:t>
            </w:r>
          </w:p>
        </w:tc>
        <w:tc>
          <w:tcPr>
            <w:tcW w:w="6254" w:type="dxa"/>
          </w:tcPr>
          <w:p>
            <w:pPr>
              <w:pStyle w:val="Compact"/>
              <w:spacing w:after="20" w:before="20" w:line="240" w:lineRule="auto"/>
              <w:jc w:val="left"/>
            </w:pPr>
            <w:r>
              <w:rPr>
                <w:sz w:val="18"/>
              </w:rPr>
              <w:t xml:space="preserve">Growth of revenue minus growth of transaction value in the same year: 0.62 means 62 percentage points.</w:t>
            </w:r>
          </w:p>
        </w:tc>
      </w:tr>
      <w:tr>
        <w:trPr>
          <w:cantSplit/>
        </w:trPr>
        <w:tc>
          <w:tcPr>
            <w:tcW w:w="2057" w:type="dxa"/>
          </w:tcPr>
          <w:p>
            <w:pPr>
              <w:pStyle w:val="Compact"/>
              <w:spacing w:after="20" w:before="20" w:line="240" w:lineRule="auto"/>
              <w:jc w:val="left"/>
            </w:pPr>
            <w:r>
              <w:rPr>
                <w:sz w:val="18"/>
              </w:rPr>
              <w:t xml:space="preserve">Online seller</w:t>
            </w:r>
          </w:p>
        </w:tc>
        <w:tc>
          <w:tcPr>
            <w:tcW w:w="987" w:type="dxa"/>
          </w:tcPr>
          <w:p>
            <w:pPr>
              <w:pStyle w:val="Compact"/>
              <w:spacing w:after="20" w:before="20" w:line="240" w:lineRule="auto"/>
              <w:jc w:val="left"/>
            </w:pPr>
          </w:p>
        </w:tc>
        <w:tc>
          <w:tcPr>
            <w:tcW w:w="6254" w:type="dxa"/>
          </w:tcPr>
          <w:p>
            <w:pPr>
              <w:pStyle w:val="Compact"/>
              <w:spacing w:after="20" w:before="20" w:line="240" w:lineRule="auto"/>
              <w:jc w:val="left"/>
            </w:pPr>
            <w:r>
              <w:rPr>
                <w:sz w:val="18"/>
              </w:rPr>
              <w:t xml:space="preserve">A business that the national statistics office, BPS, counts as selling online; the text also calls it a seller or a business. The count of online sellers is BPS’s estimate of how many there are in a year.</w:t>
            </w:r>
          </w:p>
        </w:tc>
      </w:tr>
      <w:tr>
        <w:trPr>
          <w:cantSplit/>
        </w:trPr>
        <w:tc>
          <w:tcPr>
            <w:tcW w:w="2057" w:type="dxa"/>
          </w:tcPr>
          <w:p>
            <w:pPr>
              <w:pStyle w:val="Compact"/>
              <w:spacing w:after="20" w:before="20" w:line="240" w:lineRule="auto"/>
              <w:jc w:val="left"/>
            </w:pPr>
            <w:r>
              <w:rPr>
                <w:sz w:val="18"/>
              </w:rPr>
              <w:t xml:space="preserve">First-time entry</w:t>
            </w:r>
          </w:p>
        </w:tc>
        <w:tc>
          <w:tcPr>
            <w:tcW w:w="987" w:type="dxa"/>
          </w:tcPr>
          <w:p>
            <w:pPr>
              <w:pStyle w:val="Compact"/>
              <w:spacing w:after="20" w:before="20" w:line="240" w:lineRule="auto"/>
              <w:jc w:val="left"/>
            </w:pPr>
          </w:p>
        </w:tc>
        <w:tc>
          <w:tcPr>
            <w:tcW w:w="6254" w:type="dxa"/>
          </w:tcPr>
          <w:p>
            <w:pPr>
              <w:pStyle w:val="Compact"/>
              <w:spacing w:after="20" w:before="20" w:line="240" w:lineRule="auto"/>
              <w:jc w:val="left"/>
            </w:pPr>
            <w:r>
              <w:rPr>
                <w:sz w:val="18"/>
              </w:rP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3"/>
    <w:bookmarkStart w:id="34"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w:t>
      </w:r>
      <w:r>
        <w:t xml:space="preserve"> </w:t>
      </w:r>
      <w:r>
        <w:rPr>
          <w:bCs/>
          <w:b/>
        </w:rPr>
        <w:t xml:space="preserve">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w:t>
      </w:r>
      <w:r>
        <w:t xml:space="preserve"> </w:t>
      </w:r>
      <w:r>
        <w:rPr>
          <w:bCs/>
          <w:b/>
        </w:rPr>
        <w:t xml:space="preserve">So a large ecosystem ratio means that ordinary changes in fees or discounts can produce large swings in reported revenue growth.</w:t>
      </w:r>
    </w:p>
    <w:bookmarkEnd w:id="34"/>
    <w:bookmarkStart w:id="35"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Equation"/>
      </w:pPr>
      <w:r>
        <w:tab/>
        <w:t>Δln R</w:t>
      </w:r>
      <w:r>
        <w:rPr>
          <w:vertAlign w:val="subscript"/>
        </w:rPr>
        <w:t xml:space="preserve">it</w:t>
      </w:r>
      <w:r>
        <w:t xml:space="preserve"> </w:t>
      </w:r>
      <w:r>
        <w:t xml:space="preserve">= Δln V</w:t>
      </w:r>
      <w:r>
        <w:rPr>
          <w:vertAlign w:val="subscript"/>
        </w:rPr>
        <w:t xml:space="preserve">it</w:t>
      </w:r>
      <w:r>
        <w:t xml:space="preserve"> </w:t>
      </w:r>
      <w:r>
        <w:t xml:space="preserve">+ Δln m</w:t>
      </w:r>
      <w:r>
        <w:rPr>
          <w:vertAlign w:val="subscript"/>
        </w:rPr>
        <w:t xml:space="preserve">it</w:t>
      </w:r>
      <w:r>
        <w:tab/>
        <w:t>(5)</w:t>
      </w:r>
    </w:p>
    <w:p>
      <w:pPr>
        <w:pStyle w:val="BodyText"/>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(6)</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5"/>
    <w:bookmarkStart w:id="36"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keepNext/>
        <w:jc w:val="left"/>
      </w:pPr>
      <w:r>
        <w:rPr>
          <w:bCs/>
          <w:b/>
          <w:sz w:val="20"/>
        </w:rPr>
        <w:t xml:space="preserve">Table 3.2. Hypotheses, tests and what would count against them</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638"/>
        <w:gridCol w:w="3033"/>
        <w:gridCol w:w="3033"/>
        <w:gridCol w:w="2594"/>
      </w:tblGrid>
      <w:tr>
        <w:trPr>
          <w:tblHeader w:val="true"/>
          <w:cantSplit/>
          <w:tblHeader/>
        </w:trPr>
        <w:tc>
          <w:tcPr>
            <w:tcW w:w="638" w:type="dxa"/>
            <w:tcBorders>
              <w:bottom w:val="single" w:sz="4" w:space="0" w:color="000000"/>
            </w:tcBorders>
          </w:tcPr>
          <w:p>
            <w:pPr>
              <w:pStyle w:val="Compact"/>
              <w:spacing w:after="20" w:before="20" w:line="240" w:lineRule="auto"/>
              <w:jc w:val="left"/>
            </w:pPr>
            <w:r>
              <w:rPr>
                <w:b/>
                <w:sz w:val="18"/>
              </w:rPr>
              <w:t xml:space="preserve">Test</w:t>
            </w:r>
          </w:p>
        </w:tc>
        <w:tc>
          <w:tcPr>
            <w:tcW w:w="3033" w:type="dxa"/>
            <w:tcBorders>
              <w:bottom w:val="single" w:sz="4" w:space="0" w:color="000000"/>
            </w:tcBorders>
          </w:tcPr>
          <w:p>
            <w:pPr>
              <w:pStyle w:val="Compact"/>
              <w:spacing w:after="20" w:before="20" w:line="240" w:lineRule="auto"/>
              <w:jc w:val="left"/>
            </w:pPr>
            <w:r>
              <w:rPr>
                <w:b/>
                <w:sz w:val="18"/>
              </w:rPr>
              <w:t xml:space="preserve">What it asks</w:t>
            </w:r>
          </w:p>
        </w:tc>
        <w:tc>
          <w:tcPr>
            <w:tcW w:w="3033" w:type="dxa"/>
            <w:tcBorders>
              <w:bottom w:val="single" w:sz="4" w:space="0" w:color="000000"/>
            </w:tcBorders>
          </w:tcPr>
          <w:p>
            <w:pPr>
              <w:pStyle w:val="Compact"/>
              <w:spacing w:after="20" w:before="20" w:line="240" w:lineRule="auto"/>
              <w:jc w:val="left"/>
            </w:pPr>
            <w:r>
              <w:rPr>
                <w:b/>
                <w:sz w:val="18"/>
              </w:rPr>
              <w:t xml:space="preserve">Main test</w:t>
            </w:r>
          </w:p>
        </w:tc>
        <w:tc>
          <w:tcPr>
            <w:tcW w:w="2594" w:type="dxa"/>
            <w:tcBorders>
              <w:bottom w:val="single" w:sz="4" w:space="0" w:color="000000"/>
            </w:tcBorders>
          </w:tcPr>
          <w:p>
            <w:pPr>
              <w:pStyle w:val="Compact"/>
              <w:spacing w:after="20" w:before="20" w:line="240" w:lineRule="auto"/>
              <w:jc w:val="left"/>
            </w:pPr>
            <w:r>
              <w:rPr>
                <w:b/>
                <w:sz w:val="18"/>
              </w:rPr>
              <w:t xml:space="preserve">What would count against it</w:t>
            </w:r>
          </w:p>
        </w:tc>
      </w:tr>
      <w:tr>
        <w:trPr>
          <w:cantSplit/>
        </w:trPr>
        <w:tc>
          <w:tcPr>
            <w:tcW w:w="638" w:type="dxa"/>
          </w:tcPr>
          <w:p>
            <w:pPr>
              <w:pStyle w:val="Compact"/>
              <w:spacing w:after="20" w:before="20" w:line="240" w:lineRule="auto"/>
              <w:jc w:val="left"/>
            </w:pPr>
            <w:r>
              <w:rPr>
                <w:sz w:val="18"/>
              </w:rPr>
              <w:t xml:space="preserve">H1</w:t>
            </w:r>
          </w:p>
        </w:tc>
        <w:tc>
          <w:tcPr>
            <w:tcW w:w="3033" w:type="dxa"/>
          </w:tcPr>
          <w:p>
            <w:pPr>
              <w:pStyle w:val="Compact"/>
              <w:spacing w:after="20" w:before="20" w:line="240" w:lineRule="auto"/>
              <w:jc w:val="left"/>
            </w:pPr>
            <w:r>
              <w:rPr>
                <w:sz w:val="18"/>
              </w:rPr>
              <w:t xml:space="preserve">Do revenue and transaction value grow together within a platform?</w:t>
            </w:r>
          </w:p>
        </w:tc>
        <w:tc>
          <w:tcPr>
            <w:tcW w:w="3033" w:type="dxa"/>
          </w:tcPr>
          <w:p>
            <w:pPr>
              <w:pStyle w:val="Compact"/>
              <w:spacing w:after="20" w:before="20" w:line="240" w:lineRule="auto"/>
              <w:jc w:val="left"/>
            </w:pPr>
            <w:r>
              <w:rPr>
                <w:sz w:val="18"/>
              </w:rPr>
              <w:t xml:space="preserve">Size of yearly changes in the take rate, Indonesian and regional platforms against listed platforms abroad</w:t>
            </w:r>
          </w:p>
        </w:tc>
        <w:tc>
          <w:tcPr>
            <w:tcW w:w="2594" w:type="dxa"/>
          </w:tcPr>
          <w:p>
            <w:pPr>
              <w:pStyle w:val="Compact"/>
              <w:spacing w:after="20" w:before="20" w:line="240" w:lineRule="auto"/>
              <w:jc w:val="left"/>
            </w:pPr>
            <w:r>
              <w:rPr>
                <w:sz w:val="18"/>
              </w:rPr>
              <w:t xml:space="preserve">Changes in Indonesia far larger than abroad</w:t>
            </w:r>
          </w:p>
        </w:tc>
      </w:tr>
      <w:tr>
        <w:trPr>
          <w:cantSplit/>
        </w:trPr>
        <w:tc>
          <w:tcPr>
            <w:tcW w:w="638" w:type="dxa"/>
          </w:tcPr>
          <w:p>
            <w:pPr>
              <w:pStyle w:val="Compact"/>
              <w:spacing w:after="20" w:before="20" w:line="240" w:lineRule="auto"/>
              <w:jc w:val="left"/>
            </w:pPr>
            <w:r>
              <w:rPr>
                <w:sz w:val="18"/>
              </w:rPr>
              <w:t xml:space="preserve">H2</w:t>
            </w:r>
          </w:p>
        </w:tc>
        <w:tc>
          <w:tcPr>
            <w:tcW w:w="3033" w:type="dxa"/>
          </w:tcPr>
          <w:p>
            <w:pPr>
              <w:pStyle w:val="Compact"/>
              <w:spacing w:after="20" w:before="20" w:line="240" w:lineRule="auto"/>
              <w:jc w:val="left"/>
            </w:pPr>
            <w:r>
              <w:rPr>
                <w:sz w:val="18"/>
              </w:rPr>
              <w:t xml:space="preserve">Does national e-commerce value grow because of more businesses or because of higher sales per business?</w:t>
            </w:r>
          </w:p>
        </w:tc>
        <w:tc>
          <w:tcPr>
            <w:tcW w:w="3033" w:type="dxa"/>
          </w:tcPr>
          <w:p>
            <w:pPr>
              <w:pStyle w:val="Compact"/>
              <w:spacing w:after="20" w:before="20" w:line="240" w:lineRule="auto"/>
              <w:jc w:val="left"/>
            </w:pPr>
            <w:r>
              <w:rPr>
                <w:sz w:val="18"/>
              </w:rPr>
              <w:t xml:space="preserve">BPS’s national e-commerce value split into the number of businesses and sales per business</w:t>
            </w:r>
          </w:p>
        </w:tc>
        <w:tc>
          <w:tcPr>
            <w:tcW w:w="2594" w:type="dxa"/>
          </w:tcPr>
          <w:p>
            <w:pPr>
              <w:pStyle w:val="Compact"/>
              <w:spacing w:after="20" w:before="20" w:line="240" w:lineRule="auto"/>
              <w:jc w:val="left"/>
            </w:pPr>
            <w:r>
              <w:rPr>
                <w:sz w:val="18"/>
              </w:rPr>
              <w:t xml:space="preserve">Higher sales per business accounting for most of the growth</w:t>
            </w:r>
          </w:p>
        </w:tc>
      </w:tr>
      <w:tr>
        <w:trPr>
          <w:cantSplit/>
        </w:trPr>
        <w:tc>
          <w:tcPr>
            <w:tcW w:w="638" w:type="dxa"/>
          </w:tcPr>
          <w:p>
            <w:pPr>
              <w:pStyle w:val="Compact"/>
              <w:spacing w:after="20" w:before="20" w:line="240" w:lineRule="auto"/>
              <w:jc w:val="left"/>
            </w:pPr>
            <w:r>
              <w:rPr>
                <w:sz w:val="18"/>
              </w:rPr>
              <w:t xml:space="preserve">Entry test</w:t>
            </w:r>
          </w:p>
        </w:tc>
        <w:tc>
          <w:tcPr>
            <w:tcW w:w="3033" w:type="dxa"/>
          </w:tcPr>
          <w:p>
            <w:pPr>
              <w:pStyle w:val="Compact"/>
              <w:spacing w:after="20" w:before="20" w:line="240" w:lineRule="auto"/>
              <w:jc w:val="left"/>
            </w:pPr>
            <w:r>
              <w:rPr>
                <w:sz w:val="18"/>
              </w:rPr>
              <w:t xml:space="preserve">Does a rise in the count of online sellers come from first-time entry?</w:t>
            </w:r>
          </w:p>
        </w:tc>
        <w:tc>
          <w:tcPr>
            <w:tcW w:w="3033" w:type="dxa"/>
          </w:tcPr>
          <w:p>
            <w:pPr>
              <w:pStyle w:val="Compact"/>
              <w:spacing w:after="20" w:before="20" w:line="240" w:lineRule="auto"/>
              <w:jc w:val="left"/>
            </w:pPr>
            <w:r>
              <w:rPr>
                <w:sz w:val="18"/>
              </w:rPr>
              <w:t xml:space="preserve">Share of 2023 sellers in BPS’s survey files who began selling online in 2023</w:t>
            </w:r>
          </w:p>
        </w:tc>
        <w:tc>
          <w:tcPr>
            <w:tcW w:w="2594" w:type="dxa"/>
          </w:tcPr>
          <w:p>
            <w:pPr>
              <w:pStyle w:val="Compact"/>
              <w:spacing w:after="20" w:before="20" w:line="240" w:lineRule="auto"/>
              <w:jc w:val="left"/>
            </w:pPr>
            <w:r>
              <w:rPr>
                <w:sz w:val="18"/>
              </w:rP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Equation"/>
      </w:pPr>
      <w:r>
        <w:tab/>
        <w:t>Δln Y</w:t>
      </w:r>
      <w:r>
        <w:rPr>
          <w:vertAlign w:val="subscript"/>
        </w:rPr>
        <w:t xml:space="preserve">t</w:t>
      </w:r>
      <w:r>
        <w:t xml:space="preserve"> </w:t>
      </w:r>
      <w:r>
        <w:t xml:space="preserve">= Δln N</w:t>
      </w:r>
      <w:r>
        <w:rPr>
          <w:vertAlign w:val="subscript"/>
        </w:rPr>
        <w:t xml:space="preserve">t</w:t>
      </w:r>
      <w:r>
        <w:t xml:space="preserve"> </w:t>
      </w:r>
      <w:r>
        <w:t xml:space="preserve">+ Δln (Y</w:t>
      </w:r>
      <w:r>
        <w:rPr>
          <w:vertAlign w:val="subscript"/>
        </w:rPr>
        <w:t xml:space="preserve">t</w:t>
      </w:r>
      <w:r>
        <w:t xml:space="preserve"> </w:t>
      </w:r>
      <w:r>
        <w:t xml:space="preserve">/ N</w:t>
      </w:r>
      <w:r>
        <w:rPr>
          <w:vertAlign w:val="subscript"/>
        </w:rPr>
        <w:t xml:space="preserve">t</w:t>
      </w:r>
      <w:r>
        <w:t>)</w:t>
        <w:tab/>
        <w:t>(7)</w:t>
      </w:r>
    </w:p>
    <w:p>
      <w:pPr>
        <w:pStyle w:val="BodyText"/>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6"/>
    <w:bookmarkStart w:id="37"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w:t>
      </w:r>
      <w:r>
        <w:t xml:space="preserve"> </w:t>
      </w:r>
      <w:r>
        <w:rPr>
          <w:bCs/>
          <w:b/>
        </w:rPr>
        <w:t xml:space="preserve">The survey can, because it asks every seller in which year it began selling online.</w:t>
      </w:r>
      <w:r>
        <w:t xml:space="preserve"> </w:t>
      </w:r>
      <w:r>
        <w:t xml:space="preserve">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w:t>
      </w:r>
      <w:r>
        <w:t xml:space="preserve"> </w:t>
      </w:r>
      <w:r>
        <w:rPr>
          <w:bCs/>
          <w:b/>
        </w:rPr>
        <w:t xml:space="preserve">The threshold is the smallest share of new sellers that can produce the rise.</w:t>
      </w:r>
      <w:r>
        <w:t xml:space="preserve"> </w:t>
      </w:r>
      <w:r>
        <w:t xml:space="preserve">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7"/>
    <w:bookmarkStart w:id="38"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keepNext/>
        <w:jc w:val="left"/>
      </w:pPr>
      <w:r>
        <w:rPr>
          <w:bCs/>
          <w:b/>
          <w:sz w:val="20"/>
        </w:rPr>
        <w:t xml:space="preserve">Table 3.3. Further analyses</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1690"/>
        <w:gridCol w:w="4015"/>
        <w:gridCol w:w="3593"/>
      </w:tblGrid>
      <w:tr>
        <w:trPr>
          <w:tblHeader w:val="true"/>
          <w:cantSplit/>
          <w:tblHeader/>
        </w:trPr>
        <w:tc>
          <w:tcPr>
            <w:tcW w:w="1690" w:type="dxa"/>
            <w:tcBorders>
              <w:bottom w:val="single" w:sz="4" w:space="0" w:color="000000"/>
            </w:tcBorders>
          </w:tcPr>
          <w:p>
            <w:pPr>
              <w:pStyle w:val="Compact"/>
              <w:spacing w:after="20" w:before="20" w:line="240" w:lineRule="auto"/>
              <w:jc w:val="left"/>
            </w:pPr>
            <w:r>
              <w:rPr>
                <w:b/>
                <w:sz w:val="18"/>
              </w:rPr>
              <w:t xml:space="preserve">Analysis</w:t>
            </w:r>
          </w:p>
        </w:tc>
        <w:tc>
          <w:tcPr>
            <w:tcW w:w="4015" w:type="dxa"/>
            <w:tcBorders>
              <w:bottom w:val="single" w:sz="4" w:space="0" w:color="000000"/>
            </w:tcBorders>
          </w:tcPr>
          <w:p>
            <w:pPr>
              <w:pStyle w:val="Compact"/>
              <w:spacing w:after="20" w:before="20" w:line="240" w:lineRule="auto"/>
              <w:jc w:val="left"/>
            </w:pPr>
            <w:r>
              <w:rPr>
                <w:b/>
                <w:sz w:val="18"/>
              </w:rPr>
              <w:t xml:space="preserve">What it asks</w:t>
            </w:r>
          </w:p>
        </w:tc>
        <w:tc>
          <w:tcPr>
            <w:tcW w:w="3593" w:type="dxa"/>
            <w:tcBorders>
              <w:bottom w:val="single" w:sz="4" w:space="0" w:color="000000"/>
            </w:tcBorders>
          </w:tcPr>
          <w:p>
            <w:pPr>
              <w:pStyle w:val="Compact"/>
              <w:spacing w:after="20" w:before="20" w:line="240" w:lineRule="auto"/>
              <w:jc w:val="left"/>
            </w:pPr>
            <w:r>
              <w:rPr>
                <w:b/>
                <w:sz w:val="18"/>
              </w:rPr>
              <w:t xml:space="preserve">Main evidence</w:t>
            </w:r>
          </w:p>
        </w:tc>
      </w:tr>
      <w:tr>
        <w:trPr>
          <w:cantSplit/>
        </w:trPr>
        <w:tc>
          <w:tcPr>
            <w:tcW w:w="1690" w:type="dxa"/>
          </w:tcPr>
          <w:p>
            <w:pPr>
              <w:pStyle w:val="Compact"/>
              <w:spacing w:after="20" w:before="20" w:line="240" w:lineRule="auto"/>
              <w:jc w:val="left"/>
            </w:pPr>
            <w:r>
              <w:rPr>
                <w:sz w:val="18"/>
              </w:rPr>
              <w:t xml:space="preserve">Tracing large movements</w:t>
            </w:r>
          </w:p>
        </w:tc>
        <w:tc>
          <w:tcPr>
            <w:tcW w:w="4015" w:type="dxa"/>
          </w:tcPr>
          <w:p>
            <w:pPr>
              <w:pStyle w:val="Compact"/>
              <w:spacing w:after="20" w:before="20" w:line="240" w:lineRule="auto"/>
              <w:jc w:val="left"/>
            </w:pPr>
            <w:r>
              <w:rPr>
                <w:sz w:val="18"/>
              </w:rPr>
              <w:t xml:space="preserve">What moved revenue when it parted from transaction value?</w:t>
            </w:r>
          </w:p>
        </w:tc>
        <w:tc>
          <w:tcPr>
            <w:tcW w:w="3593" w:type="dxa"/>
          </w:tcPr>
          <w:p>
            <w:pPr>
              <w:pStyle w:val="Compact"/>
              <w:spacing w:after="20" w:before="20" w:line="240" w:lineRule="auto"/>
              <w:jc w:val="left"/>
            </w:pPr>
            <w:r>
              <w:rPr>
                <w:sz w:val="18"/>
              </w:rPr>
              <w:t xml:space="preserve">Equations (5) and (6), applied to company reports</w:t>
            </w:r>
          </w:p>
        </w:tc>
      </w:tr>
      <w:tr>
        <w:trPr>
          <w:cantSplit/>
        </w:trPr>
        <w:tc>
          <w:tcPr>
            <w:tcW w:w="1690" w:type="dxa"/>
          </w:tcPr>
          <w:p>
            <w:pPr>
              <w:pStyle w:val="Compact"/>
              <w:spacing w:after="20" w:before="20" w:line="240" w:lineRule="auto"/>
              <w:jc w:val="left"/>
            </w:pPr>
            <w:r>
              <w:rPr>
                <w:sz w:val="18"/>
              </w:rPr>
              <w:t xml:space="preserve">Market values</w:t>
            </w:r>
          </w:p>
        </w:tc>
        <w:tc>
          <w:tcPr>
            <w:tcW w:w="4015" w:type="dxa"/>
          </w:tcPr>
          <w:p>
            <w:pPr>
              <w:pStyle w:val="Compact"/>
              <w:spacing w:after="20" w:before="20" w:line="240" w:lineRule="auto"/>
              <w:jc w:val="left"/>
            </w:pPr>
            <w:r>
              <w:rPr>
                <w:sz w:val="18"/>
              </w:rPr>
              <w:t xml:space="preserve">Do markets value growth from more commerce differently from growth in the take rate?</w:t>
            </w:r>
          </w:p>
        </w:tc>
        <w:tc>
          <w:tcPr>
            <w:tcW w:w="3593" w:type="dxa"/>
          </w:tcPr>
          <w:p>
            <w:pPr>
              <w:pStyle w:val="Compact"/>
              <w:spacing w:after="20" w:before="20" w:line="240" w:lineRule="auto"/>
              <w:jc w:val="left"/>
            </w:pPr>
            <w:r>
              <w:rPr>
                <w:sz w:val="18"/>
              </w:rPr>
              <w:t xml:space="preserve">Year-end market values of listed platforms</w:t>
            </w:r>
          </w:p>
        </w:tc>
      </w:tr>
      <w:tr>
        <w:trPr>
          <w:cantSplit/>
        </w:trPr>
        <w:tc>
          <w:tcPr>
            <w:tcW w:w="1690" w:type="dxa"/>
          </w:tcPr>
          <w:p>
            <w:pPr>
              <w:pStyle w:val="Compact"/>
              <w:spacing w:after="20" w:before="20" w:line="240" w:lineRule="auto"/>
              <w:jc w:val="left"/>
            </w:pPr>
            <w:r>
              <w:rPr>
                <w:sz w:val="18"/>
              </w:rPr>
              <w:t xml:space="preserve">Channels and reach</w:t>
            </w:r>
          </w:p>
        </w:tc>
        <w:tc>
          <w:tcPr>
            <w:tcW w:w="4015" w:type="dxa"/>
          </w:tcPr>
          <w:p>
            <w:pPr>
              <w:pStyle w:val="Compact"/>
              <w:spacing w:after="20" w:before="20" w:line="240" w:lineRule="auto"/>
              <w:jc w:val="left"/>
            </w:pPr>
            <w:r>
              <w:rPr>
                <w:sz w:val="18"/>
              </w:rPr>
              <w:t xml:space="preserve">How much online selling passes through marketplaces, and how far can rules built on platform records reach?</w:t>
            </w:r>
          </w:p>
        </w:tc>
        <w:tc>
          <w:tcPr>
            <w:tcW w:w="3593" w:type="dxa"/>
          </w:tcPr>
          <w:p>
            <w:pPr>
              <w:pStyle w:val="Compact"/>
              <w:spacing w:after="20" w:before="20" w:line="240" w:lineRule="auto"/>
              <w:jc w:val="left"/>
            </w:pPr>
            <w:r>
              <w:rPr>
                <w:sz w:val="18"/>
              </w:rPr>
              <w:t xml:space="preserve">BPS’s channel shares and survey files</w:t>
            </w:r>
          </w:p>
        </w:tc>
      </w:tr>
      <w:tr>
        <w:trPr>
          <w:cantSplit/>
        </w:trPr>
        <w:tc>
          <w:tcPr>
            <w:tcW w:w="1690" w:type="dxa"/>
          </w:tcPr>
          <w:p>
            <w:pPr>
              <w:pStyle w:val="Compact"/>
              <w:spacing w:after="20" w:before="20" w:line="240" w:lineRule="auto"/>
              <w:jc w:val="left"/>
            </w:pPr>
            <w:r>
              <w:rPr>
                <w:sz w:val="18"/>
              </w:rPr>
              <w:t xml:space="preserve">Comparing national figures</w:t>
            </w:r>
          </w:p>
        </w:tc>
        <w:tc>
          <w:tcPr>
            <w:tcW w:w="4015" w:type="dxa"/>
          </w:tcPr>
          <w:p>
            <w:pPr>
              <w:pStyle w:val="Compact"/>
              <w:spacing w:after="20" w:before="20" w:line="240" w:lineRule="auto"/>
              <w:jc w:val="left"/>
            </w:pPr>
            <w:r>
              <w:rPr>
                <w:sz w:val="18"/>
              </w:rPr>
              <w:t xml:space="preserve">Do national figures tell the same story of growth?</w:t>
            </w:r>
          </w:p>
        </w:tc>
        <w:tc>
          <w:tcPr>
            <w:tcW w:w="3593" w:type="dxa"/>
          </w:tcPr>
          <w:p>
            <w:pPr>
              <w:pStyle w:val="Compact"/>
              <w:spacing w:after="20" w:before="20" w:line="240" w:lineRule="auto"/>
              <w:jc w:val="left"/>
            </w:pPr>
            <w:r>
              <w:rPr>
                <w:sz w:val="18"/>
              </w:rP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(8)</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8"/>
    <w:bookmarkEnd w:id="39"/>
    <w:bookmarkStart w:id="50" w:name="chapter-4.-data-and-methods"/>
    <w:p>
      <w:pPr>
        <w:pStyle w:val="Heading1"/>
      </w:pPr>
      <w:r>
        <w:t xml:space="preserve">Chapter 4. Data and Methods</w:t>
      </w:r>
    </w:p>
    <w:p>
      <w:pPr>
        <w:pStyle w:val="FirstParagraph"/>
      </w:pPr>
      <w:r>
        <w:rPr>
          <w:bCs/>
          <w:b/>
        </w:rPr>
        <w:t xml:space="preserve">The figures this thesis compares come from sources that were never designed to be read together.</w:t>
      </w:r>
      <w:r>
        <w:t xml:space="preserve"> </w:t>
      </w:r>
      <w:r>
        <w:t xml:space="preserve">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rPr>
          <w:bCs/>
          <w:b/>
        </w:rPr>
        <w:t xml:space="preserve">Setting the two sides against each other for one country is what makes the tests possible.</w:t>
      </w:r>
      <w:r>
        <w:t xml:space="preserve"> </w:t>
      </w:r>
      <w:r>
        <w:t xml:space="preserve">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0"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keepNext/>
        <w:jc w:val="left"/>
      </w:pPr>
      <w:r>
        <w:rPr>
          <w:bCs/>
          <w:b/>
          <w:sz w:val="20"/>
        </w:rPr>
        <w:t xml:space="preserve">Table 4.1. The Indonesian and regional group of platforms</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957"/>
        <w:gridCol w:w="3464"/>
        <w:gridCol w:w="683"/>
        <w:gridCol w:w="820"/>
        <w:gridCol w:w="3373"/>
      </w:tblGrid>
      <w:tr>
        <w:trPr>
          <w:tblHeader w:val="true"/>
          <w:cantSplit/>
          <w:tblHeader/>
        </w:trPr>
        <w:tc>
          <w:tcPr>
            <w:tcW w:w="957" w:type="dxa"/>
            <w:tcBorders>
              <w:bottom w:val="single" w:sz="4" w:space="0" w:color="000000"/>
            </w:tcBorders>
          </w:tcPr>
          <w:p>
            <w:pPr>
              <w:pStyle w:val="Compact"/>
              <w:spacing w:after="20" w:before="20" w:line="240" w:lineRule="auto"/>
              <w:jc w:val="left"/>
            </w:pPr>
            <w:r>
              <w:rPr>
                <w:b/>
                <w:sz w:val="18"/>
              </w:rPr>
              <w:t xml:space="preserve">Platform series</w:t>
            </w:r>
          </w:p>
        </w:tc>
        <w:tc>
          <w:tcPr>
            <w:tcW w:w="3464" w:type="dxa"/>
            <w:tcBorders>
              <w:bottom w:val="single" w:sz="4" w:space="0" w:color="000000"/>
            </w:tcBorders>
          </w:tcPr>
          <w:p>
            <w:pPr>
              <w:pStyle w:val="Compact"/>
              <w:spacing w:after="20" w:before="20" w:line="240" w:lineRule="auto"/>
              <w:jc w:val="left"/>
            </w:pPr>
            <w:r>
              <w:rPr>
                <w:b/>
                <w:sz w:val="18"/>
              </w:rPr>
              <w:t xml:space="preserve">What it covers</w:t>
            </w:r>
          </w:p>
        </w:tc>
        <w:tc>
          <w:tcPr>
            <w:tcW w:w="683" w:type="dxa"/>
            <w:tcBorders>
              <w:bottom w:val="single" w:sz="4" w:space="0" w:color="000000"/>
            </w:tcBorders>
          </w:tcPr>
          <w:p>
            <w:pPr>
              <w:pStyle w:val="Compact"/>
              <w:spacing w:after="20" w:before="20" w:line="240" w:lineRule="auto"/>
              <w:jc w:val="left"/>
            </w:pPr>
            <w:r>
              <w:rPr>
                <w:b/>
                <w:sz w:val="18"/>
              </w:rPr>
              <w:t xml:space="preserve">Years</w:t>
            </w:r>
          </w:p>
        </w:tc>
        <w:tc>
          <w:tcPr>
            <w:tcW w:w="820" w:type="dxa"/>
            <w:tcBorders>
              <w:bottom w:val="single" w:sz="4" w:space="0" w:color="000000"/>
            </w:tcBorders>
          </w:tcPr>
          <w:p>
            <w:pPr>
              <w:pStyle w:val="Compact"/>
              <w:spacing w:after="20" w:before="20" w:line="240" w:lineRule="auto"/>
              <w:jc w:val="left"/>
            </w:pPr>
            <w:r>
              <w:rPr>
                <w:b/>
                <w:sz w:val="18"/>
              </w:rPr>
              <w:t xml:space="preserve">Yearly pairs</w:t>
            </w:r>
          </w:p>
        </w:tc>
        <w:tc>
          <w:tcPr>
            <w:tcW w:w="3373" w:type="dxa"/>
            <w:tcBorders>
              <w:bottom w:val="single" w:sz="4" w:space="0" w:color="000000"/>
            </w:tcBorders>
          </w:tcPr>
          <w:p>
            <w:pPr>
              <w:pStyle w:val="Compact"/>
              <w:spacing w:after="20" w:before="20" w:line="240" w:lineRule="auto"/>
              <w:jc w:val="left"/>
            </w:pPr>
            <w:r>
              <w:rPr>
                <w:b/>
                <w:sz w:val="18"/>
              </w:rPr>
              <w:t xml:space="preserve">How it is labelled</w:t>
            </w:r>
          </w:p>
        </w:tc>
      </w:tr>
      <w:tr>
        <w:trPr>
          <w:cantSplit/>
        </w:trPr>
        <w:tc>
          <w:tcPr>
            <w:tcW w:w="957" w:type="dxa"/>
          </w:tcPr>
          <w:p>
            <w:pPr>
              <w:pStyle w:val="Compact"/>
              <w:spacing w:after="20" w:before="20" w:line="240" w:lineRule="auto"/>
              <w:jc w:val="left"/>
            </w:pPr>
            <w:r>
              <w:rPr>
                <w:sz w:val="18"/>
              </w:rPr>
              <w:t xml:space="preserve">Tokopedia</w:t>
            </w:r>
          </w:p>
        </w:tc>
        <w:tc>
          <w:tcPr>
            <w:tcW w:w="3464" w:type="dxa"/>
          </w:tcPr>
          <w:p>
            <w:pPr>
              <w:pStyle w:val="Compact"/>
              <w:spacing w:after="20" w:before="20" w:line="240" w:lineRule="auto"/>
              <w:jc w:val="left"/>
            </w:pPr>
            <w:r>
              <w:rPr>
                <w:sz w:val="18"/>
              </w:rPr>
              <w:t xml:space="preserve">The e-commerce segment of GoTo, an Indonesian marketplace</w:t>
            </w:r>
          </w:p>
        </w:tc>
        <w:tc>
          <w:tcPr>
            <w:tcW w:w="683" w:type="dxa"/>
          </w:tcPr>
          <w:p>
            <w:pPr>
              <w:pStyle w:val="Compact"/>
              <w:spacing w:after="20" w:before="20" w:line="240" w:lineRule="auto"/>
              <w:jc w:val="left"/>
            </w:pPr>
            <w:r>
              <w:rPr>
                <w:sz w:val="18"/>
              </w:rPr>
              <w:t xml:space="preserve">2022–2023</w:t>
            </w:r>
          </w:p>
        </w:tc>
        <w:tc>
          <w:tcPr>
            <w:tcW w:w="820" w:type="dxa"/>
          </w:tcPr>
          <w:p>
            <w:pPr>
              <w:pStyle w:val="Compact"/>
              <w:spacing w:after="20" w:before="20" w:line="240" w:lineRule="auto"/>
              <w:jc w:val="left"/>
            </w:pPr>
            <w:r>
              <w:rPr>
                <w:sz w:val="18"/>
              </w:rPr>
              <w:t xml:space="preserve">1</w:t>
            </w:r>
          </w:p>
        </w:tc>
        <w:tc>
          <w:tcPr>
            <w:tcW w:w="3373" w:type="dxa"/>
          </w:tcPr>
          <w:p>
            <w:pPr>
              <w:pStyle w:val="Compact"/>
              <w:spacing w:after="20" w:before="20" w:line="240" w:lineRule="auto"/>
              <w:jc w:val="left"/>
            </w:pPr>
            <w:r>
              <w:rPr>
                <w:sz w:val="18"/>
              </w:rPr>
              <w:t xml:space="preserve">Direct segment disclosure</w:t>
            </w:r>
          </w:p>
        </w:tc>
      </w:tr>
      <w:tr>
        <w:trPr>
          <w:cantSplit/>
        </w:trPr>
        <w:tc>
          <w:tcPr>
            <w:tcW w:w="957" w:type="dxa"/>
          </w:tcPr>
          <w:p>
            <w:pPr>
              <w:pStyle w:val="Compact"/>
              <w:spacing w:after="20" w:before="20" w:line="240" w:lineRule="auto"/>
              <w:jc w:val="left"/>
            </w:pPr>
            <w:r>
              <w:rPr>
                <w:sz w:val="18"/>
              </w:rPr>
              <w:t xml:space="preserve">Blibli</w:t>
            </w:r>
          </w:p>
        </w:tc>
        <w:tc>
          <w:tcPr>
            <w:tcW w:w="3464" w:type="dxa"/>
          </w:tcPr>
          <w:p>
            <w:pPr>
              <w:pStyle w:val="Compact"/>
              <w:spacing w:after="20" w:before="20" w:line="240" w:lineRule="auto"/>
              <w:jc w:val="left"/>
            </w:pPr>
            <w:r>
              <w:rPr>
                <w:sz w:val="18"/>
              </w:rPr>
              <w:t xml:space="preserve">Blibli’s third-party retail segment, which includes online travel</w:t>
            </w:r>
          </w:p>
        </w:tc>
        <w:tc>
          <w:tcPr>
            <w:tcW w:w="683" w:type="dxa"/>
          </w:tcPr>
          <w:p>
            <w:pPr>
              <w:pStyle w:val="Compact"/>
              <w:spacing w:after="20" w:before="20" w:line="240" w:lineRule="auto"/>
              <w:jc w:val="left"/>
            </w:pPr>
            <w:r>
              <w:rPr>
                <w:sz w:val="18"/>
              </w:rPr>
              <w:t xml:space="preserve">2021–2025</w:t>
            </w:r>
          </w:p>
        </w:tc>
        <w:tc>
          <w:tcPr>
            <w:tcW w:w="820" w:type="dxa"/>
          </w:tcPr>
          <w:p>
            <w:pPr>
              <w:pStyle w:val="Compact"/>
              <w:spacing w:after="20" w:before="20" w:line="240" w:lineRule="auto"/>
              <w:jc w:val="left"/>
            </w:pPr>
            <w:r>
              <w:rPr>
                <w:sz w:val="18"/>
              </w:rPr>
              <w:t xml:space="preserve">4</w:t>
            </w:r>
          </w:p>
        </w:tc>
        <w:tc>
          <w:tcPr>
            <w:tcW w:w="3373" w:type="dxa"/>
          </w:tcPr>
          <w:p>
            <w:pPr>
              <w:pStyle w:val="Compact"/>
              <w:spacing w:after="20" w:before="20" w:line="240" w:lineRule="auto"/>
              <w:jc w:val="left"/>
            </w:pPr>
            <w:r>
              <w:rPr>
                <w:sz w:val="18"/>
              </w:rPr>
              <w:t xml:space="preserve">Direct segment disclosure</w:t>
            </w:r>
          </w:p>
        </w:tc>
      </w:tr>
      <w:tr>
        <w:trPr>
          <w:cantSplit/>
        </w:trPr>
        <w:tc>
          <w:tcPr>
            <w:tcW w:w="957" w:type="dxa"/>
          </w:tcPr>
          <w:p>
            <w:pPr>
              <w:pStyle w:val="Compact"/>
              <w:spacing w:after="20" w:before="20" w:line="240" w:lineRule="auto"/>
              <w:jc w:val="left"/>
            </w:pPr>
            <w:r>
              <w:rPr>
                <w:sz w:val="18"/>
              </w:rPr>
              <w:t xml:space="preserve">Bukalapak</w:t>
            </w:r>
          </w:p>
        </w:tc>
        <w:tc>
          <w:tcPr>
            <w:tcW w:w="3464" w:type="dxa"/>
          </w:tcPr>
          <w:p>
            <w:pPr>
              <w:pStyle w:val="Compact"/>
              <w:spacing w:after="20" w:before="20" w:line="240" w:lineRule="auto"/>
              <w:jc w:val="left"/>
            </w:pPr>
            <w:r>
              <w:rPr>
                <w:sz w:val="18"/>
              </w:rPr>
              <w:t xml:space="preserve">The whole Bukalapak group, mainly in Indonesia, including Mitra, its online-to-offline business</w:t>
            </w:r>
          </w:p>
        </w:tc>
        <w:tc>
          <w:tcPr>
            <w:tcW w:w="683" w:type="dxa"/>
          </w:tcPr>
          <w:p>
            <w:pPr>
              <w:pStyle w:val="Compact"/>
              <w:spacing w:after="20" w:before="20" w:line="240" w:lineRule="auto"/>
              <w:jc w:val="left"/>
            </w:pPr>
            <w:r>
              <w:rPr>
                <w:sz w:val="18"/>
              </w:rPr>
              <w:t xml:space="preserve">2020–2023</w:t>
            </w:r>
          </w:p>
        </w:tc>
        <w:tc>
          <w:tcPr>
            <w:tcW w:w="820" w:type="dxa"/>
          </w:tcPr>
          <w:p>
            <w:pPr>
              <w:pStyle w:val="Compact"/>
              <w:spacing w:after="20" w:before="20" w:line="240" w:lineRule="auto"/>
              <w:jc w:val="left"/>
            </w:pPr>
            <w:r>
              <w:rPr>
                <w:sz w:val="18"/>
              </w:rPr>
              <w:t xml:space="preserve">3</w:t>
            </w:r>
          </w:p>
        </w:tc>
        <w:tc>
          <w:tcPr>
            <w:tcW w:w="3373" w:type="dxa"/>
          </w:tcPr>
          <w:p>
            <w:pPr>
              <w:pStyle w:val="Compact"/>
              <w:spacing w:after="20" w:before="20" w:line="240" w:lineRule="auto"/>
              <w:jc w:val="left"/>
            </w:pPr>
            <w:r>
              <w:rPr>
                <w:sz w:val="18"/>
              </w:rPr>
              <w:t xml:space="preserve">Direct company disclosure</w:t>
            </w:r>
          </w:p>
        </w:tc>
      </w:tr>
      <w:tr>
        <w:trPr>
          <w:cantSplit/>
        </w:trPr>
        <w:tc>
          <w:tcPr>
            <w:tcW w:w="957" w:type="dxa"/>
          </w:tcPr>
          <w:p>
            <w:pPr>
              <w:pStyle w:val="Compact"/>
              <w:spacing w:after="20" w:before="20" w:line="240" w:lineRule="auto"/>
              <w:jc w:val="left"/>
            </w:pPr>
            <w:r>
              <w:rPr>
                <w:sz w:val="18"/>
              </w:rPr>
              <w:t xml:space="preserve">Grab on-demand</w:t>
            </w:r>
          </w:p>
        </w:tc>
        <w:tc>
          <w:tcPr>
            <w:tcW w:w="3464" w:type="dxa"/>
          </w:tcPr>
          <w:p>
            <w:pPr>
              <w:pStyle w:val="Compact"/>
              <w:spacing w:after="20" w:before="20" w:line="240" w:lineRule="auto"/>
              <w:jc w:val="left"/>
            </w:pPr>
            <w:r>
              <w:rPr>
                <w:sz w:val="18"/>
              </w:rPr>
              <w:t xml:space="preserve">Grab’s rides and deliveries across Southeast Asia, not Indonesia alone</w:t>
            </w:r>
          </w:p>
        </w:tc>
        <w:tc>
          <w:tcPr>
            <w:tcW w:w="683" w:type="dxa"/>
          </w:tcPr>
          <w:p>
            <w:pPr>
              <w:pStyle w:val="Compact"/>
              <w:spacing w:after="20" w:before="20" w:line="240" w:lineRule="auto"/>
              <w:jc w:val="left"/>
            </w:pPr>
            <w:r>
              <w:rPr>
                <w:sz w:val="18"/>
              </w:rPr>
              <w:t xml:space="preserve">2020–2024</w:t>
            </w:r>
          </w:p>
        </w:tc>
        <w:tc>
          <w:tcPr>
            <w:tcW w:w="820" w:type="dxa"/>
          </w:tcPr>
          <w:p>
            <w:pPr>
              <w:pStyle w:val="Compact"/>
              <w:spacing w:after="20" w:before="20" w:line="240" w:lineRule="auto"/>
              <w:jc w:val="left"/>
            </w:pPr>
            <w:r>
              <w:rPr>
                <w:sz w:val="18"/>
              </w:rPr>
              <w:t xml:space="preserve">4</w:t>
            </w:r>
          </w:p>
        </w:tc>
        <w:tc>
          <w:tcPr>
            <w:tcW w:w="3373" w:type="dxa"/>
          </w:tcPr>
          <w:p>
            <w:pPr>
              <w:pStyle w:val="Compact"/>
              <w:spacing w:after="20" w:before="20" w:line="240" w:lineRule="auto"/>
              <w:jc w:val="left"/>
            </w:pPr>
            <w:r>
              <w:rPr>
                <w:sz w:val="18"/>
              </w:rPr>
              <w:t xml:space="preserve">Direct segment disclosure</w:t>
            </w:r>
          </w:p>
        </w:tc>
      </w:tr>
      <w:tr>
        <w:trPr>
          <w:cantSplit/>
        </w:trPr>
        <w:tc>
          <w:tcPr>
            <w:tcW w:w="957" w:type="dxa"/>
          </w:tcPr>
          <w:p>
            <w:pPr>
              <w:pStyle w:val="Compact"/>
              <w:spacing w:after="20" w:before="20" w:line="240" w:lineRule="auto"/>
              <w:jc w:val="left"/>
            </w:pPr>
            <w:r>
              <w:rPr>
                <w:sz w:val="18"/>
              </w:rPr>
              <w:t xml:space="preserve">GoTo on-demand</w:t>
            </w:r>
          </w:p>
        </w:tc>
        <w:tc>
          <w:tcPr>
            <w:tcW w:w="3464" w:type="dxa"/>
          </w:tcPr>
          <w:p>
            <w:pPr>
              <w:pStyle w:val="Compact"/>
              <w:spacing w:after="20" w:before="20" w:line="240" w:lineRule="auto"/>
              <w:jc w:val="left"/>
            </w:pPr>
            <w:r>
              <w:rPr>
                <w:sz w:val="18"/>
              </w:rPr>
              <w:t xml:space="preserve">GoTo’s rides and deliveries segment, in Indonesia and Vietnam to 2024</w:t>
            </w:r>
          </w:p>
        </w:tc>
        <w:tc>
          <w:tcPr>
            <w:tcW w:w="683" w:type="dxa"/>
          </w:tcPr>
          <w:p>
            <w:pPr>
              <w:pStyle w:val="Compact"/>
              <w:spacing w:after="20" w:before="20" w:line="240" w:lineRule="auto"/>
              <w:jc w:val="left"/>
            </w:pPr>
            <w:r>
              <w:rPr>
                <w:sz w:val="18"/>
              </w:rPr>
              <w:t xml:space="preserve">2022–2025</w:t>
            </w:r>
          </w:p>
        </w:tc>
        <w:tc>
          <w:tcPr>
            <w:tcW w:w="820" w:type="dxa"/>
          </w:tcPr>
          <w:p>
            <w:pPr>
              <w:pStyle w:val="Compact"/>
              <w:spacing w:after="20" w:before="20" w:line="240" w:lineRule="auto"/>
              <w:jc w:val="left"/>
            </w:pPr>
            <w:r>
              <w:rPr>
                <w:sz w:val="18"/>
              </w:rPr>
              <w:t xml:space="preserve">3</w:t>
            </w:r>
          </w:p>
        </w:tc>
        <w:tc>
          <w:tcPr>
            <w:tcW w:w="3373" w:type="dxa"/>
          </w:tcPr>
          <w:p>
            <w:pPr>
              <w:pStyle w:val="Compact"/>
              <w:spacing w:after="20" w:before="20" w:line="240" w:lineRule="auto"/>
              <w:jc w:val="left"/>
            </w:pPr>
            <w:r>
              <w:rPr>
                <w:sz w:val="18"/>
              </w:rPr>
              <w:t xml:space="preserve">Direct segment disclosure; the 2022 transaction value is an estimate</w:t>
            </w:r>
          </w:p>
        </w:tc>
      </w:tr>
    </w:tbl>
    <w:p>
      <w:pPr>
        <w:pStyle w:val="BodyText"/>
        <w:keepNext/>
        <w:jc w:val="left"/>
      </w:pPr>
      <w:r>
        <w:rPr>
          <w:sz w:val="20"/>
        </w:rP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0"/>
    <w:bookmarkStart w:id="41"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1"/>
    <w:bookmarkStart w:id="42"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w:t>
      </w:r>
      <w:r>
        <w:t xml:space="preserve"> </w:t>
      </w:r>
      <w:r>
        <w:rPr>
          <w:bCs/>
          <w:b/>
        </w:rPr>
        <w:t xml:space="preserve">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2"/>
    <w:bookmarkStart w:id="43"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3"/>
    <w:bookmarkStart w:id="44"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4"/>
    <w:bookmarkStart w:id="45"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keepNext/>
        <w:jc w:val="left"/>
      </w:pPr>
      <w:r>
        <w:rPr>
          <w:bCs/>
          <w:b/>
          <w:sz w:val="20"/>
        </w:rPr>
        <w:t xml:space="preserve">Table 4.2. The three BPS survey files</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2219"/>
        <w:gridCol w:w="2007"/>
        <w:gridCol w:w="1268"/>
        <w:gridCol w:w="2113"/>
        <w:gridCol w:w="1690"/>
      </w:tblGrid>
      <w:tr>
        <w:trPr>
          <w:tblHeader w:val="true"/>
          <w:cantSplit/>
          <w:tblHeader/>
        </w:trPr>
        <w:tc>
          <w:tcPr>
            <w:tcW w:w="2219" w:type="dxa"/>
            <w:tcBorders>
              <w:bottom w:val="single" w:sz="4" w:space="0" w:color="000000"/>
            </w:tcBorders>
          </w:tcPr>
          <w:p>
            <w:pPr>
              <w:pStyle w:val="Compact"/>
              <w:spacing w:after="20" w:before="20" w:line="240" w:lineRule="auto"/>
              <w:jc w:val="left"/>
            </w:pPr>
            <w:r>
              <w:rPr>
                <w:b/>
                <w:sz w:val="18"/>
              </w:rPr>
              <w:t xml:space="preserve">Survey round</w:t>
            </w:r>
          </w:p>
        </w:tc>
        <w:tc>
          <w:tcPr>
            <w:tcW w:w="2007" w:type="dxa"/>
            <w:tcBorders>
              <w:bottom w:val="single" w:sz="4" w:space="0" w:color="000000"/>
            </w:tcBorders>
          </w:tcPr>
          <w:p>
            <w:pPr>
              <w:pStyle w:val="Compact"/>
              <w:spacing w:after="20" w:before="20" w:line="240" w:lineRule="auto"/>
              <w:jc w:val="left"/>
            </w:pPr>
            <w:r>
              <w:rPr>
                <w:b/>
                <w:sz w:val="18"/>
              </w:rPr>
              <w:t xml:space="preserve">Activity year</w:t>
            </w:r>
          </w:p>
        </w:tc>
        <w:tc>
          <w:tcPr>
            <w:tcW w:w="1268" w:type="dxa"/>
            <w:tcBorders>
              <w:bottom w:val="single" w:sz="4" w:space="0" w:color="000000"/>
            </w:tcBorders>
          </w:tcPr>
          <w:p>
            <w:pPr>
              <w:pStyle w:val="Compact"/>
              <w:spacing w:after="20" w:before="20" w:line="240" w:lineRule="auto"/>
              <w:jc w:val="left"/>
            </w:pPr>
            <w:r>
              <w:rPr>
                <w:b/>
                <w:sz w:val="18"/>
              </w:rPr>
              <w:t xml:space="preserve">Rows</w:t>
            </w:r>
          </w:p>
        </w:tc>
        <w:tc>
          <w:tcPr>
            <w:tcW w:w="2113" w:type="dxa"/>
            <w:tcBorders>
              <w:bottom w:val="single" w:sz="4" w:space="0" w:color="000000"/>
            </w:tcBorders>
          </w:tcPr>
          <w:p>
            <w:pPr>
              <w:pStyle w:val="Compact"/>
              <w:spacing w:after="20" w:before="20" w:line="240" w:lineRule="auto"/>
              <w:jc w:val="left"/>
            </w:pPr>
            <w:r>
              <w:rPr>
                <w:b/>
                <w:sz w:val="18"/>
              </w:rPr>
              <w:t xml:space="preserve">Weighted total</w:t>
            </w:r>
          </w:p>
        </w:tc>
        <w:tc>
          <w:tcPr>
            <w:tcW w:w="1690" w:type="dxa"/>
            <w:tcBorders>
              <w:bottom w:val="single" w:sz="4" w:space="0" w:color="000000"/>
            </w:tcBorders>
          </w:tcPr>
          <w:p>
            <w:pPr>
              <w:pStyle w:val="Compact"/>
              <w:spacing w:after="20" w:before="20" w:line="240" w:lineRule="auto"/>
              <w:jc w:val="left"/>
            </w:pPr>
            <w:r>
              <w:rPr>
                <w:b/>
                <w:sz w:val="18"/>
              </w:rPr>
              <w:t xml:space="preserve">BPS count</w:t>
            </w:r>
          </w:p>
        </w:tc>
      </w:tr>
      <w:tr>
        <w:trPr>
          <w:cantSplit/>
        </w:trPr>
        <w:tc>
          <w:tcPr>
            <w:tcW w:w="2219" w:type="dxa"/>
          </w:tcPr>
          <w:p>
            <w:pPr>
              <w:pStyle w:val="Compact"/>
              <w:spacing w:after="20" w:before="20" w:line="240" w:lineRule="auto"/>
              <w:jc w:val="left"/>
            </w:pPr>
            <w:r>
              <w:rPr>
                <w:sz w:val="18"/>
              </w:rPr>
              <w:t xml:space="preserve">E-Commerce 2021</w:t>
            </w:r>
          </w:p>
        </w:tc>
        <w:tc>
          <w:tcPr>
            <w:tcW w:w="2007" w:type="dxa"/>
          </w:tcPr>
          <w:p>
            <w:pPr>
              <w:pStyle w:val="Compact"/>
              <w:spacing w:after="20" w:before="20" w:line="240" w:lineRule="auto"/>
              <w:jc w:val="left"/>
            </w:pPr>
            <w:r>
              <w:rPr>
                <w:sz w:val="18"/>
              </w:rPr>
              <w:t xml:space="preserve">2020</w:t>
            </w:r>
          </w:p>
        </w:tc>
        <w:tc>
          <w:tcPr>
            <w:tcW w:w="1268" w:type="dxa"/>
          </w:tcPr>
          <w:p>
            <w:pPr>
              <w:pStyle w:val="Compact"/>
              <w:spacing w:after="20" w:before="20" w:line="240" w:lineRule="auto"/>
              <w:jc w:val="left"/>
            </w:pPr>
            <w:r>
              <w:rPr>
                <w:sz w:val="18"/>
              </w:rPr>
              <w:t xml:space="preserve">11,848</w:t>
            </w:r>
          </w:p>
        </w:tc>
        <w:tc>
          <w:tcPr>
            <w:tcW w:w="2113" w:type="dxa"/>
          </w:tcPr>
          <w:p>
            <w:pPr>
              <w:pStyle w:val="Compact"/>
              <w:spacing w:after="20" w:before="20" w:line="240" w:lineRule="auto"/>
              <w:jc w:val="left"/>
            </w:pPr>
            <w:r>
              <w:rPr>
                <w:sz w:val="18"/>
              </w:rPr>
              <w:t xml:space="preserve">2,361,423</w:t>
            </w:r>
          </w:p>
        </w:tc>
        <w:tc>
          <w:tcPr>
            <w:tcW w:w="1690" w:type="dxa"/>
          </w:tcPr>
          <w:p>
            <w:pPr>
              <w:pStyle w:val="Compact"/>
              <w:spacing w:after="20" w:before="20" w:line="240" w:lineRule="auto"/>
              <w:jc w:val="left"/>
            </w:pPr>
            <w:r>
              <w:rPr>
                <w:sz w:val="18"/>
              </w:rPr>
              <w:t xml:space="preserve">2,361,423</w:t>
            </w:r>
          </w:p>
        </w:tc>
      </w:tr>
      <w:tr>
        <w:trPr>
          <w:cantSplit/>
        </w:trPr>
        <w:tc>
          <w:tcPr>
            <w:tcW w:w="2219" w:type="dxa"/>
          </w:tcPr>
          <w:p>
            <w:pPr>
              <w:pStyle w:val="Compact"/>
              <w:spacing w:after="20" w:before="20" w:line="240" w:lineRule="auto"/>
              <w:jc w:val="left"/>
            </w:pPr>
            <w:r>
              <w:rPr>
                <w:sz w:val="18"/>
              </w:rPr>
              <w:t xml:space="preserve">E-Commerce 2023</w:t>
            </w:r>
          </w:p>
        </w:tc>
        <w:tc>
          <w:tcPr>
            <w:tcW w:w="2007" w:type="dxa"/>
          </w:tcPr>
          <w:p>
            <w:pPr>
              <w:pStyle w:val="Compact"/>
              <w:spacing w:after="20" w:before="20" w:line="240" w:lineRule="auto"/>
              <w:jc w:val="left"/>
            </w:pPr>
            <w:r>
              <w:rPr>
                <w:sz w:val="18"/>
              </w:rPr>
              <w:t xml:space="preserve">2022</w:t>
            </w:r>
          </w:p>
        </w:tc>
        <w:tc>
          <w:tcPr>
            <w:tcW w:w="1268" w:type="dxa"/>
          </w:tcPr>
          <w:p>
            <w:pPr>
              <w:pStyle w:val="Compact"/>
              <w:spacing w:after="20" w:before="20" w:line="240" w:lineRule="auto"/>
              <w:jc w:val="left"/>
            </w:pPr>
            <w:r>
              <w:rPr>
                <w:sz w:val="18"/>
              </w:rPr>
              <w:t xml:space="preserve">31,724</w:t>
            </w:r>
          </w:p>
        </w:tc>
        <w:tc>
          <w:tcPr>
            <w:tcW w:w="2113" w:type="dxa"/>
          </w:tcPr>
          <w:p>
            <w:pPr>
              <w:pStyle w:val="Compact"/>
              <w:spacing w:after="20" w:before="20" w:line="240" w:lineRule="auto"/>
              <w:jc w:val="left"/>
            </w:pPr>
            <w:r>
              <w:rPr>
                <w:sz w:val="18"/>
              </w:rPr>
              <w:t xml:space="preserve">2,995,986</w:t>
            </w:r>
          </w:p>
        </w:tc>
        <w:tc>
          <w:tcPr>
            <w:tcW w:w="1690" w:type="dxa"/>
          </w:tcPr>
          <w:p>
            <w:pPr>
              <w:pStyle w:val="Compact"/>
              <w:spacing w:after="20" w:before="20" w:line="240" w:lineRule="auto"/>
              <w:jc w:val="left"/>
            </w:pPr>
            <w:r>
              <w:rPr>
                <w:sz w:val="18"/>
              </w:rPr>
              <w:t xml:space="preserve">2,995,879*</w:t>
            </w:r>
          </w:p>
        </w:tc>
      </w:tr>
      <w:tr>
        <w:trPr>
          <w:cantSplit/>
        </w:trPr>
        <w:tc>
          <w:tcPr>
            <w:tcW w:w="2219" w:type="dxa"/>
          </w:tcPr>
          <w:p>
            <w:pPr>
              <w:pStyle w:val="Compact"/>
              <w:spacing w:after="20" w:before="20" w:line="240" w:lineRule="auto"/>
              <w:jc w:val="left"/>
            </w:pPr>
            <w:r>
              <w:rPr>
                <w:sz w:val="18"/>
              </w:rPr>
              <w:t xml:space="preserve">E-Commerce 2024</w:t>
            </w:r>
          </w:p>
        </w:tc>
        <w:tc>
          <w:tcPr>
            <w:tcW w:w="2007" w:type="dxa"/>
          </w:tcPr>
          <w:p>
            <w:pPr>
              <w:pStyle w:val="Compact"/>
              <w:spacing w:after="20" w:before="20" w:line="240" w:lineRule="auto"/>
              <w:jc w:val="left"/>
            </w:pPr>
            <w:r>
              <w:rPr>
                <w:sz w:val="18"/>
              </w:rPr>
              <w:t xml:space="preserve">2023</w:t>
            </w:r>
          </w:p>
        </w:tc>
        <w:tc>
          <w:tcPr>
            <w:tcW w:w="1268" w:type="dxa"/>
          </w:tcPr>
          <w:p>
            <w:pPr>
              <w:pStyle w:val="Compact"/>
              <w:spacing w:after="20" w:before="20" w:line="240" w:lineRule="auto"/>
              <w:jc w:val="left"/>
            </w:pPr>
            <w:r>
              <w:rPr>
                <w:sz w:val="18"/>
              </w:rPr>
              <w:t xml:space="preserve">39,736</w:t>
            </w:r>
          </w:p>
        </w:tc>
        <w:tc>
          <w:tcPr>
            <w:tcW w:w="2113" w:type="dxa"/>
          </w:tcPr>
          <w:p>
            <w:pPr>
              <w:pStyle w:val="Compact"/>
              <w:spacing w:after="20" w:before="20" w:line="240" w:lineRule="auto"/>
              <w:jc w:val="left"/>
            </w:pPr>
            <w:r>
              <w:rPr>
                <w:sz w:val="18"/>
              </w:rPr>
              <w:t xml:space="preserve">3,814,799</w:t>
            </w:r>
          </w:p>
        </w:tc>
        <w:tc>
          <w:tcPr>
            <w:tcW w:w="1690" w:type="dxa"/>
          </w:tcPr>
          <w:p>
            <w:pPr>
              <w:pStyle w:val="Compact"/>
              <w:spacing w:after="20" w:before="20" w:line="240" w:lineRule="auto"/>
              <w:jc w:val="left"/>
            </w:pPr>
            <w:r>
              <w:rPr>
                <w:sz w:val="18"/>
              </w:rPr>
              <w:t xml:space="preserve">3,816,750</w:t>
            </w:r>
          </w:p>
        </w:tc>
      </w:tr>
    </w:tbl>
    <w:p>
      <w:pPr>
        <w:pStyle w:val="BodyText"/>
      </w:pPr>
      <w:r>
        <w:t xml:space="preserve">*Implied by the published count for 2023 and its published growth of 27.4 percent.</w:t>
      </w:r>
    </w:p>
    <w:bookmarkEnd w:id="45"/>
    <w:bookmarkStart w:id="46"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6"/>
    <w:bookmarkStart w:id="47"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7"/>
    <w:bookmarkStart w:id="48"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keepNext/>
        <w:jc w:val="left"/>
      </w:pPr>
      <w:r>
        <w:rPr>
          <w:bCs/>
          <w:b/>
          <w:sz w:val="20"/>
        </w:rPr>
        <w:t xml:space="preserve">Table 4.3. Sources compared in Objective 3</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2088"/>
        <w:gridCol w:w="3779"/>
        <w:gridCol w:w="3431"/>
      </w:tblGrid>
      <w:tr>
        <w:trPr>
          <w:tblHeader w:val="true"/>
          <w:cantSplit/>
          <w:tblHeader/>
        </w:trPr>
        <w:tc>
          <w:tcPr>
            <w:tcW w:w="2088" w:type="dxa"/>
            <w:tcBorders>
              <w:bottom w:val="single" w:sz="4" w:space="0" w:color="000000"/>
            </w:tcBorders>
          </w:tcPr>
          <w:p>
            <w:pPr>
              <w:pStyle w:val="Compact"/>
              <w:spacing w:after="20" w:before="20" w:line="240" w:lineRule="auto"/>
              <w:jc w:val="left"/>
            </w:pPr>
            <w:r>
              <w:rPr>
                <w:b/>
                <w:sz w:val="18"/>
              </w:rPr>
              <w:t xml:space="preserve">Source</w:t>
            </w:r>
          </w:p>
        </w:tc>
        <w:tc>
          <w:tcPr>
            <w:tcW w:w="3779" w:type="dxa"/>
            <w:tcBorders>
              <w:bottom w:val="single" w:sz="4" w:space="0" w:color="000000"/>
            </w:tcBorders>
          </w:tcPr>
          <w:p>
            <w:pPr>
              <w:pStyle w:val="Compact"/>
              <w:spacing w:after="20" w:before="20" w:line="240" w:lineRule="auto"/>
              <w:jc w:val="left"/>
            </w:pPr>
            <w:r>
              <w:rPr>
                <w:b/>
                <w:sz w:val="18"/>
              </w:rPr>
              <w:t xml:space="preserve">What it covers</w:t>
            </w:r>
          </w:p>
        </w:tc>
        <w:tc>
          <w:tcPr>
            <w:tcW w:w="3431" w:type="dxa"/>
            <w:tcBorders>
              <w:bottom w:val="single" w:sz="4" w:space="0" w:color="000000"/>
            </w:tcBorders>
          </w:tcPr>
          <w:p>
            <w:pPr>
              <w:pStyle w:val="Compact"/>
              <w:spacing w:after="20" w:before="20" w:line="240" w:lineRule="auto"/>
              <w:jc w:val="left"/>
            </w:pPr>
            <w:r>
              <w:rPr>
                <w:b/>
                <w:sz w:val="18"/>
              </w:rPr>
              <w:t xml:space="preserve">How it counts</w:t>
            </w:r>
          </w:p>
        </w:tc>
      </w:tr>
      <w:tr>
        <w:trPr>
          <w:cantSplit/>
        </w:trPr>
        <w:tc>
          <w:tcPr>
            <w:tcW w:w="2088" w:type="dxa"/>
          </w:tcPr>
          <w:p>
            <w:pPr>
              <w:pStyle w:val="Compact"/>
              <w:spacing w:after="20" w:before="20" w:line="240" w:lineRule="auto"/>
              <w:jc w:val="left"/>
            </w:pPr>
            <w:r>
              <w:rPr>
                <w:sz w:val="18"/>
              </w:rPr>
              <w:t xml:space="preserve">Platform reports</w:t>
            </w:r>
          </w:p>
        </w:tc>
        <w:tc>
          <w:tcPr>
            <w:tcW w:w="3779" w:type="dxa"/>
          </w:tcPr>
          <w:p>
            <w:pPr>
              <w:pStyle w:val="Compact"/>
              <w:spacing w:after="20" w:before="20" w:line="240" w:lineRule="auto"/>
              <w:jc w:val="left"/>
            </w:pPr>
            <w:r>
              <w:rPr>
                <w:sz w:val="18"/>
              </w:rPr>
              <w:t xml:space="preserve">Everything bought through one platform</w:t>
            </w:r>
          </w:p>
        </w:tc>
        <w:tc>
          <w:tcPr>
            <w:tcW w:w="3431" w:type="dxa"/>
          </w:tcPr>
          <w:p>
            <w:pPr>
              <w:pStyle w:val="Compact"/>
              <w:spacing w:after="20" w:before="20" w:line="240" w:lineRule="auto"/>
              <w:jc w:val="left"/>
            </w:pPr>
            <w:r>
              <w:rPr>
                <w:sz w:val="18"/>
              </w:rPr>
              <w:t xml:space="preserve">The platform’s own records</w:t>
            </w:r>
          </w:p>
        </w:tc>
      </w:tr>
      <w:tr>
        <w:trPr>
          <w:cantSplit/>
        </w:trPr>
        <w:tc>
          <w:tcPr>
            <w:tcW w:w="2088" w:type="dxa"/>
          </w:tcPr>
          <w:p>
            <w:pPr>
              <w:pStyle w:val="Compact"/>
              <w:spacing w:after="20" w:before="20" w:line="240" w:lineRule="auto"/>
              <w:jc w:val="left"/>
            </w:pPr>
            <w:r>
              <w:rPr>
                <w:sz w:val="18"/>
              </w:rPr>
              <w:t xml:space="preserve">BPS online-seller survey</w:t>
            </w:r>
          </w:p>
        </w:tc>
        <w:tc>
          <w:tcPr>
            <w:tcW w:w="3779" w:type="dxa"/>
          </w:tcPr>
          <w:p>
            <w:pPr>
              <w:pStyle w:val="Compact"/>
              <w:spacing w:after="20" w:before="20" w:line="240" w:lineRule="auto"/>
              <w:jc w:val="left"/>
            </w:pPr>
            <w:r>
              <w:rPr>
                <w:sz w:val="18"/>
              </w:rPr>
              <w:t xml:space="preserve">Every business that sold online, including chat and social media</w:t>
            </w:r>
          </w:p>
        </w:tc>
        <w:tc>
          <w:tcPr>
            <w:tcW w:w="3431" w:type="dxa"/>
          </w:tcPr>
          <w:p>
            <w:pPr>
              <w:pStyle w:val="Compact"/>
              <w:spacing w:after="20" w:before="20" w:line="240" w:lineRule="auto"/>
              <w:jc w:val="left"/>
            </w:pPr>
            <w:r>
              <w:rPr>
                <w:sz w:val="18"/>
              </w:rPr>
              <w:t xml:space="preserve">Listing in sampled areas, scaled up by survey weights</w:t>
            </w:r>
          </w:p>
        </w:tc>
      </w:tr>
      <w:tr>
        <w:trPr>
          <w:cantSplit/>
        </w:trPr>
        <w:tc>
          <w:tcPr>
            <w:tcW w:w="2088" w:type="dxa"/>
          </w:tcPr>
          <w:p>
            <w:pPr>
              <w:pStyle w:val="Compact"/>
              <w:spacing w:after="20" w:before="20" w:line="240" w:lineRule="auto"/>
              <w:jc w:val="left"/>
            </w:pPr>
            <w:r>
              <w:rPr>
                <w:sz w:val="18"/>
              </w:rPr>
              <w:t xml:space="preserve">Bank Indonesia e-commerce statistics</w:t>
            </w:r>
          </w:p>
        </w:tc>
        <w:tc>
          <w:tcPr>
            <w:tcW w:w="3779" w:type="dxa"/>
          </w:tcPr>
          <w:p>
            <w:pPr>
              <w:pStyle w:val="Compact"/>
              <w:spacing w:after="20" w:before="20" w:line="240" w:lineRule="auto"/>
              <w:jc w:val="left"/>
            </w:pPr>
            <w:r>
              <w:rPr>
                <w:sz w:val="18"/>
              </w:rPr>
              <w:t xml:space="preserve">Transactions of large e-commerce firms (Bank Indonesia 2025)</w:t>
            </w:r>
          </w:p>
        </w:tc>
        <w:tc>
          <w:tcPr>
            <w:tcW w:w="3431" w:type="dxa"/>
          </w:tcPr>
          <w:p>
            <w:pPr>
              <w:pStyle w:val="Compact"/>
              <w:spacing w:after="20" w:before="20" w:line="240" w:lineRule="auto"/>
              <w:jc w:val="left"/>
            </w:pPr>
            <w:r>
              <w:rPr>
                <w:sz w:val="18"/>
              </w:rPr>
              <w:t xml:space="preserve">Data sent to the central bank; the method is not public</w:t>
            </w:r>
          </w:p>
        </w:tc>
      </w:tr>
      <w:tr>
        <w:trPr>
          <w:cantSplit/>
        </w:trPr>
        <w:tc>
          <w:tcPr>
            <w:tcW w:w="2088" w:type="dxa"/>
          </w:tcPr>
          <w:p>
            <w:pPr>
              <w:pStyle w:val="Compact"/>
              <w:spacing w:after="20" w:before="20" w:line="240" w:lineRule="auto"/>
              <w:jc w:val="left"/>
            </w:pPr>
            <w:r>
              <w:rPr>
                <w:sz w:val="18"/>
              </w:rPr>
              <w:t xml:space="preserve">Industry estimates</w:t>
            </w:r>
          </w:p>
        </w:tc>
        <w:tc>
          <w:tcPr>
            <w:tcW w:w="3779" w:type="dxa"/>
          </w:tcPr>
          <w:p>
            <w:pPr>
              <w:pStyle w:val="Compact"/>
              <w:spacing w:after="20" w:before="20" w:line="240" w:lineRule="auto"/>
              <w:jc w:val="left"/>
            </w:pPr>
            <w:r>
              <w:rPr>
                <w:sz w:val="18"/>
              </w:rPr>
              <w:t xml:space="preserve">Shopping marketplaces in Indonesia or Southeast Asia, from the research firm Momentum Works (2024), as quoted by Setyowati (2024), and the e-Conomy report (Google, Temasek and Bain 2024)</w:t>
            </w:r>
          </w:p>
        </w:tc>
        <w:tc>
          <w:tcPr>
            <w:tcW w:w="3431" w:type="dxa"/>
          </w:tcPr>
          <w:p>
            <w:pPr>
              <w:pStyle w:val="Compact"/>
              <w:spacing w:after="20" w:before="20" w:line="240" w:lineRule="auto"/>
              <w:jc w:val="left"/>
            </w:pPr>
            <w:r>
              <w:rPr>
                <w:sz w:val="18"/>
              </w:rPr>
              <w:t xml:space="preserve">Outside estimates</w:t>
            </w:r>
          </w:p>
        </w:tc>
      </w:tr>
      <w:tr>
        <w:trPr>
          <w:cantSplit/>
        </w:trPr>
        <w:tc>
          <w:tcPr>
            <w:tcW w:w="2088" w:type="dxa"/>
          </w:tcPr>
          <w:p>
            <w:pPr>
              <w:pStyle w:val="Compact"/>
              <w:spacing w:after="20" w:before="20" w:line="240" w:lineRule="auto"/>
              <w:jc w:val="left"/>
            </w:pPr>
            <w:r>
              <w:rPr>
                <w:sz w:val="18"/>
              </w:rPr>
              <w:t xml:space="preserve">Household spending</w:t>
            </w:r>
          </w:p>
        </w:tc>
        <w:tc>
          <w:tcPr>
            <w:tcW w:w="3779" w:type="dxa"/>
          </w:tcPr>
          <w:p>
            <w:pPr>
              <w:pStyle w:val="Compact"/>
              <w:spacing w:after="20" w:before="20" w:line="240" w:lineRule="auto"/>
              <w:jc w:val="left"/>
            </w:pPr>
            <w:r>
              <w:rPr>
                <w:sz w:val="18"/>
              </w:rPr>
              <w:t xml:space="preserve">All household purchases</w:t>
            </w:r>
          </w:p>
        </w:tc>
        <w:tc>
          <w:tcPr>
            <w:tcW w:w="3431" w:type="dxa"/>
          </w:tcPr>
          <w:p>
            <w:pPr>
              <w:pStyle w:val="Compact"/>
              <w:spacing w:after="20" w:before="20" w:line="240" w:lineRule="auto"/>
              <w:jc w:val="left"/>
            </w:pPr>
            <w:r>
              <w:rPr>
                <w:sz w:val="18"/>
              </w:rPr>
              <w:t xml:space="preserve">BPS national accounts</w:t>
            </w:r>
          </w:p>
        </w:tc>
      </w:tr>
      <w:tr>
        <w:trPr>
          <w:cantSplit/>
        </w:trPr>
        <w:tc>
          <w:tcPr>
            <w:tcW w:w="2088" w:type="dxa"/>
          </w:tcPr>
          <w:p>
            <w:pPr>
              <w:pStyle w:val="Compact"/>
              <w:spacing w:after="20" w:before="20" w:line="240" w:lineRule="auto"/>
              <w:jc w:val="left"/>
            </w:pPr>
            <w:r>
              <w:rPr>
                <w:sz w:val="18"/>
              </w:rPr>
              <w:t xml:space="preserve">Payment figures</w:t>
            </w:r>
          </w:p>
        </w:tc>
        <w:tc>
          <w:tcPr>
            <w:tcW w:w="3779" w:type="dxa"/>
          </w:tcPr>
          <w:p>
            <w:pPr>
              <w:pStyle w:val="Compact"/>
              <w:spacing w:after="20" w:before="20" w:line="240" w:lineRule="auto"/>
              <w:jc w:val="left"/>
            </w:pPr>
            <w:r>
              <w:rPr>
                <w:sz w:val="18"/>
              </w:rPr>
              <w:t xml:space="preserve">Payments made through systems such as QRIS, the national QR-code system</w:t>
            </w:r>
          </w:p>
        </w:tc>
        <w:tc>
          <w:tcPr>
            <w:tcW w:w="3431" w:type="dxa"/>
          </w:tcPr>
          <w:p>
            <w:pPr>
              <w:pStyle w:val="Compact"/>
              <w:spacing w:after="20" w:before="20" w:line="240" w:lineRule="auto"/>
              <w:jc w:val="left"/>
            </w:pPr>
            <w:r>
              <w:rPr>
                <w:sz w:val="18"/>
              </w:rPr>
              <w:t xml:space="preserve">Payment records, in person and online</w:t>
            </w:r>
          </w:p>
        </w:tc>
      </w:tr>
      <w:tr>
        <w:trPr>
          <w:cantSplit/>
        </w:trPr>
        <w:tc>
          <w:tcPr>
            <w:tcW w:w="2088" w:type="dxa"/>
          </w:tcPr>
          <w:p>
            <w:pPr>
              <w:pStyle w:val="Compact"/>
              <w:spacing w:after="20" w:before="20" w:line="240" w:lineRule="auto"/>
              <w:jc w:val="left"/>
            </w:pPr>
            <w:r>
              <w:rPr>
                <w:sz w:val="18"/>
              </w:rPr>
              <w:t xml:space="preserve">Adjacent figures</w:t>
            </w:r>
          </w:p>
        </w:tc>
        <w:tc>
          <w:tcPr>
            <w:tcW w:w="3779" w:type="dxa"/>
          </w:tcPr>
          <w:p>
            <w:pPr>
              <w:pStyle w:val="Compact"/>
              <w:spacing w:after="20" w:before="20" w:line="240" w:lineRule="auto"/>
              <w:jc w:val="left"/>
            </w:pPr>
            <w:r>
              <w:rPr>
                <w:sz w:val="18"/>
              </w:rPr>
              <w:t xml:space="preserve">Parcels shipped in Southeast Asia, the value-added tax collected on foreign digital services (Directorate General of Taxes 2025), and the number of merchants a company reports</w:t>
            </w:r>
          </w:p>
        </w:tc>
        <w:tc>
          <w:tcPr>
            <w:tcW w:w="3431" w:type="dxa"/>
          </w:tcPr>
          <w:p>
            <w:pPr>
              <w:pStyle w:val="Compact"/>
              <w:spacing w:after="20" w:before="20" w:line="240" w:lineRule="auto"/>
              <w:jc w:val="left"/>
            </w:pPr>
            <w:r>
              <w:rPr>
                <w:sz w:val="18"/>
              </w:rPr>
              <w:t xml:space="preserve">Used as context only, since none measures Indonesian e-commerce</w:t>
            </w:r>
          </w:p>
        </w:tc>
      </w:tr>
    </w:tbl>
    <w:bookmarkEnd w:id="48"/>
    <w:bookmarkStart w:id="49"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w:t>
      </w:r>
      <w:r>
        <w:t xml:space="preserve"> </w:t>
      </w:r>
      <w:r>
        <w:rPr>
          <w:bCs/>
          <w:b/>
        </w:rPr>
        <w:t xml:space="preserve">A registered test was written down, dated and stored in the repository before the data were opened.</w:t>
      </w:r>
      <w:r>
        <w:t xml:space="preserve"> </w:t>
      </w:r>
      <w:r>
        <w:t xml:space="preserve">This applies to the entry test, the scenario rules for value, the comparison with Bank Indonesia and the market-value test, among others. Appendix C lists them with their dates.</w:t>
      </w:r>
      <w:r>
        <w:t xml:space="preserve"> </w:t>
      </w:r>
      <w:r>
        <w:rPr>
          <w:bCs/>
          <w:b/>
        </w:rPr>
        <w:t xml:space="preserve">An exploratory test was designed after some results were seen.</w:t>
      </w:r>
      <w:r>
        <w:t xml:space="preserve"> </w:t>
      </w:r>
      <w:r>
        <w:t xml:space="preserve">The test with the larger groups in Section 4.3 belongs here, because it was set up after a first test on the three marketplaces.</w:t>
      </w:r>
      <w:r>
        <w:t xml:space="preserve"> </w:t>
      </w:r>
      <w:r>
        <w:rPr>
          <w:bCs/>
          <w:b/>
        </w:rPr>
        <w:t xml:space="preserve">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9"/>
    <w:bookmarkEnd w:id="50"/>
    <w:bookmarkStart w:id="76"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keepNext/>
        <w:jc w:val="left"/>
      </w:pPr>
      <w:r>
        <w:rPr>
          <w:bCs/>
          <w:b/>
          <w:sz w:val="20"/>
        </w:rPr>
        <w:t xml:space="preserve">Table 5.1. Main results and the evidence behind them</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2932"/>
        <w:gridCol w:w="2932"/>
        <w:gridCol w:w="2932"/>
        <w:gridCol w:w="501"/>
      </w:tblGrid>
      <w:tr>
        <w:trPr>
          <w:tblHeader w:val="true"/>
          <w:cantSplit/>
          <w:tblHeader/>
        </w:trPr>
        <w:tc>
          <w:tcPr>
            <w:tcW w:w="2932" w:type="dxa"/>
            <w:tcBorders>
              <w:bottom w:val="single" w:sz="4" w:space="0" w:color="000000"/>
            </w:tcBorders>
          </w:tcPr>
          <w:p>
            <w:pPr>
              <w:pStyle w:val="Compact"/>
              <w:spacing w:after="20" w:before="20" w:line="240" w:lineRule="auto"/>
              <w:jc w:val="left"/>
            </w:pPr>
            <w:r>
              <w:rPr>
                <w:b/>
                <w:sz w:val="18"/>
              </w:rPr>
              <w:t xml:space="preserve">Result</w:t>
            </w:r>
          </w:p>
        </w:tc>
        <w:tc>
          <w:tcPr>
            <w:tcW w:w="2932" w:type="dxa"/>
            <w:tcBorders>
              <w:bottom w:val="single" w:sz="4" w:space="0" w:color="000000"/>
            </w:tcBorders>
          </w:tcPr>
          <w:p>
            <w:pPr>
              <w:pStyle w:val="Compact"/>
              <w:spacing w:after="20" w:before="20" w:line="240" w:lineRule="auto"/>
              <w:jc w:val="left"/>
            </w:pPr>
            <w:r>
              <w:rPr>
                <w:b/>
                <w:sz w:val="18"/>
              </w:rPr>
              <w:t xml:space="preserve">Label</w:t>
            </w:r>
          </w:p>
        </w:tc>
        <w:tc>
          <w:tcPr>
            <w:tcW w:w="2932" w:type="dxa"/>
            <w:tcBorders>
              <w:bottom w:val="single" w:sz="4" w:space="0" w:color="000000"/>
            </w:tcBorders>
          </w:tcPr>
          <w:p>
            <w:pPr>
              <w:pStyle w:val="Compact"/>
              <w:spacing w:after="20" w:before="20" w:line="240" w:lineRule="auto"/>
              <w:jc w:val="left"/>
            </w:pPr>
            <w:r>
              <w:rPr>
                <w:b/>
                <w:sz w:val="18"/>
              </w:rPr>
              <w:t xml:space="preserve">Main checks</w:t>
            </w:r>
          </w:p>
        </w:tc>
        <w:tc>
          <w:tcPr>
            <w:tcW w:w="501" w:type="dxa"/>
            <w:tcBorders>
              <w:bottom w:val="single" w:sz="4" w:space="0" w:color="000000"/>
            </w:tcBorders>
          </w:tcPr>
          <w:p>
            <w:pPr>
              <w:pStyle w:val="Compact"/>
              <w:spacing w:after="20" w:before="20" w:line="240" w:lineRule="auto"/>
              <w:jc w:val="left"/>
            </w:pPr>
            <w:r>
              <w:rPr>
                <w:b/>
                <w:sz w:val="18"/>
              </w:rPr>
              <w:t xml:space="preserve">Section</w:t>
            </w:r>
          </w:p>
        </w:tc>
      </w:tr>
      <w:tr>
        <w:trPr>
          <w:cantSplit/>
        </w:trPr>
        <w:tc>
          <w:tcPr>
            <w:tcW w:w="2932" w:type="dxa"/>
          </w:tcPr>
          <w:p>
            <w:pPr>
              <w:pStyle w:val="Compact"/>
              <w:spacing w:after="20" w:before="20" w:line="240" w:lineRule="auto"/>
              <w:jc w:val="left"/>
            </w:pPr>
            <w:r>
              <w:rPr>
                <w:iCs/>
                <w:i/>
                <w:sz w:val="18"/>
              </w:rPr>
              <w:t xml:space="preserve">Inner link: revenue and platform commerce</w:t>
            </w:r>
          </w:p>
        </w:tc>
        <w:tc>
          <w:tcPr>
            <w:tcW w:w="2932" w:type="dxa"/>
          </w:tcPr>
          <w:p>
            <w:pPr>
              <w:pStyle w:val="Compact"/>
              <w:spacing w:after="20" w:before="20" w:line="240" w:lineRule="auto"/>
              <w:jc w:val="left"/>
            </w:pPr>
          </w:p>
        </w:tc>
        <w:tc>
          <w:tcPr>
            <w:tcW w:w="2932" w:type="dxa"/>
          </w:tcPr>
          <w:p>
            <w:pPr>
              <w:pStyle w:val="Compact"/>
              <w:spacing w:after="20" w:before="20" w:line="240" w:lineRule="auto"/>
              <w:jc w:val="left"/>
            </w:pPr>
          </w:p>
        </w:tc>
        <w:tc>
          <w:tcPr>
            <w:tcW w:w="501" w:type="dxa"/>
          </w:tcPr>
          <w:p>
            <w:pPr>
              <w:pStyle w:val="Compact"/>
              <w:spacing w:after="20" w:before="20" w:line="240" w:lineRule="auto"/>
              <w:jc w:val="left"/>
            </w:pPr>
          </w:p>
        </w:tc>
      </w:tr>
      <w:tr>
        <w:trPr>
          <w:cantSplit/>
        </w:trPr>
        <w:tc>
          <w:tcPr>
            <w:tcW w:w="2932" w:type="dxa"/>
          </w:tcPr>
          <w:p>
            <w:pPr>
              <w:pStyle w:val="Compact"/>
              <w:spacing w:after="20" w:before="20" w:line="240" w:lineRule="auto"/>
              <w:jc w:val="left"/>
            </w:pPr>
            <w:r>
              <w:rPr>
                <w:sz w:val="18"/>
              </w:rPr>
              <w:t xml:space="preserve">Revenue was about 7 percent of what three major platforms carried in 2023; the wedge was about US$40 billion</w:t>
            </w:r>
          </w:p>
        </w:tc>
        <w:tc>
          <w:tcPr>
            <w:tcW w:w="2932" w:type="dxa"/>
          </w:tcPr>
          <w:p>
            <w:pPr>
              <w:pStyle w:val="Compact"/>
              <w:spacing w:after="20" w:before="20" w:line="240" w:lineRule="auto"/>
              <w:jc w:val="left"/>
            </w:pPr>
            <w:r>
              <w:rPr>
                <w:sz w:val="18"/>
              </w:rPr>
              <w:t xml:space="preserve">Descriptive</w:t>
            </w:r>
          </w:p>
        </w:tc>
        <w:tc>
          <w:tcPr>
            <w:tcW w:w="2932" w:type="dxa"/>
          </w:tcPr>
          <w:p>
            <w:pPr>
              <w:pStyle w:val="Compact"/>
              <w:spacing w:after="20" w:before="20" w:line="240" w:lineRule="auto"/>
              <w:jc w:val="left"/>
            </w:pPr>
            <w:r>
              <w:rPr>
                <w:sz w:val="18"/>
              </w:rPr>
              <w:t xml:space="preserve">Shopee’s take rate varied; each platform dropped in turn</w:t>
            </w:r>
          </w:p>
        </w:tc>
        <w:tc>
          <w:tcPr>
            <w:tcW w:w="501" w:type="dxa"/>
          </w:tcPr>
          <w:p>
            <w:pPr>
              <w:pStyle w:val="Compact"/>
              <w:spacing w:after="20" w:before="20" w:line="240" w:lineRule="auto"/>
              <w:jc w:val="left"/>
            </w:pPr>
            <w:r>
              <w:rPr>
                <w:sz w:val="18"/>
              </w:rPr>
              <w:t xml:space="preserve">5.1</w:t>
            </w:r>
          </w:p>
        </w:tc>
      </w:tr>
      <w:tr>
        <w:trPr>
          <w:cantSplit/>
        </w:trPr>
        <w:tc>
          <w:tcPr>
            <w:tcW w:w="2932" w:type="dxa"/>
          </w:tcPr>
          <w:p>
            <w:pPr>
              <w:pStyle w:val="Compact"/>
              <w:spacing w:after="20" w:before="20" w:line="240" w:lineRule="auto"/>
              <w:jc w:val="left"/>
            </w:pPr>
            <w:r>
              <w:rPr>
                <w:sz w:val="18"/>
              </w:rPr>
              <w:t xml:space="preserve">Take rates moved about three times as much in Indonesia and the region as abroad, so H1 is rejected</w:t>
            </w:r>
          </w:p>
        </w:tc>
        <w:tc>
          <w:tcPr>
            <w:tcW w:w="2932" w:type="dxa"/>
          </w:tcPr>
          <w:p>
            <w:pPr>
              <w:pStyle w:val="Compact"/>
              <w:spacing w:after="20" w:before="20" w:line="240" w:lineRule="auto"/>
              <w:jc w:val="left"/>
            </w:pPr>
            <w:r>
              <w:rPr>
                <w:sz w:val="18"/>
              </w:rPr>
              <w:t xml:space="preserve">Exploratory; the narrower test, set before the wider one, points the same way</w:t>
            </w:r>
          </w:p>
        </w:tc>
        <w:tc>
          <w:tcPr>
            <w:tcW w:w="2932" w:type="dxa"/>
          </w:tcPr>
          <w:p>
            <w:pPr>
              <w:pStyle w:val="Compact"/>
              <w:spacing w:after="20" w:before="20" w:line="240" w:lineRule="auto"/>
              <w:jc w:val="left"/>
            </w:pPr>
            <w:r>
              <w:rPr>
                <w:sz w:val="18"/>
              </w:rPr>
              <w:t xml:space="preserve">Each platform dropped in turn, and two at a time; exact tests; Ozon and Zalando dropped; change measured in points; quarterly pairs do not reject</w:t>
            </w:r>
          </w:p>
        </w:tc>
        <w:tc>
          <w:tcPr>
            <w:tcW w:w="501" w:type="dxa"/>
          </w:tcPr>
          <w:p>
            <w:pPr>
              <w:pStyle w:val="Compact"/>
              <w:spacing w:after="20" w:before="20" w:line="240" w:lineRule="auto"/>
              <w:jc w:val="left"/>
            </w:pPr>
            <w:r>
              <w:rPr>
                <w:sz w:val="18"/>
              </w:rPr>
              <w:t xml:space="preserve">5.2</w:t>
            </w:r>
          </w:p>
        </w:tc>
      </w:tr>
      <w:tr>
        <w:trPr>
          <w:cantSplit/>
        </w:trPr>
        <w:tc>
          <w:tcPr>
            <w:tcW w:w="2932" w:type="dxa"/>
          </w:tcPr>
          <w:p>
            <w:pPr>
              <w:pStyle w:val="Compact"/>
              <w:spacing w:after="20" w:before="20" w:line="240" w:lineRule="auto"/>
              <w:jc w:val="left"/>
            </w:pPr>
            <w:r>
              <w:rPr>
                <w:sz w:val="18"/>
              </w:rPr>
              <w:t xml:space="preserve">The thin take rate of Indonesian and regional platforms explains much of that difference</w:t>
            </w:r>
          </w:p>
        </w:tc>
        <w:tc>
          <w:tcPr>
            <w:tcW w:w="2932" w:type="dxa"/>
          </w:tcPr>
          <w:p>
            <w:pPr>
              <w:pStyle w:val="Compact"/>
              <w:spacing w:after="20" w:before="20" w:line="240" w:lineRule="auto"/>
              <w:jc w:val="left"/>
            </w:pPr>
            <w:r>
              <w:rPr>
                <w:sz w:val="18"/>
              </w:rPr>
              <w:t xml:space="preserve">Exploratory</w:t>
            </w:r>
          </w:p>
        </w:tc>
        <w:tc>
          <w:tcPr>
            <w:tcW w:w="2932" w:type="dxa"/>
          </w:tcPr>
          <w:p>
            <w:pPr>
              <w:pStyle w:val="Compact"/>
              <w:spacing w:after="20" w:before="20" w:line="240" w:lineRule="auto"/>
              <w:jc w:val="left"/>
            </w:pPr>
            <w:r>
              <w:rPr>
                <w:sz w:val="18"/>
              </w:rPr>
              <w:t xml:space="preserve">Changes in percentage points compared across groups</w:t>
            </w:r>
          </w:p>
        </w:tc>
        <w:tc>
          <w:tcPr>
            <w:tcW w:w="501" w:type="dxa"/>
          </w:tcPr>
          <w:p>
            <w:pPr>
              <w:pStyle w:val="Compact"/>
              <w:spacing w:after="20" w:before="20" w:line="240" w:lineRule="auto"/>
              <w:jc w:val="left"/>
            </w:pPr>
            <w:r>
              <w:rPr>
                <w:sz w:val="18"/>
              </w:rPr>
              <w:t xml:space="preserve">5.2</w:t>
            </w:r>
          </w:p>
        </w:tc>
      </w:tr>
      <w:tr>
        <w:trPr>
          <w:cantSplit/>
        </w:trPr>
        <w:tc>
          <w:tcPr>
            <w:tcW w:w="2932" w:type="dxa"/>
          </w:tcPr>
          <w:p>
            <w:pPr>
              <w:pStyle w:val="Compact"/>
              <w:spacing w:after="20" w:before="20" w:line="240" w:lineRule="auto"/>
              <w:jc w:val="left"/>
            </w:pPr>
            <w:r>
              <w:rPr>
                <w:sz w:val="18"/>
              </w:rPr>
              <w:t xml:space="preserve">Pricing, not more commerce, moved revenue</w:t>
            </w:r>
          </w:p>
        </w:tc>
        <w:tc>
          <w:tcPr>
            <w:tcW w:w="2932" w:type="dxa"/>
          </w:tcPr>
          <w:p>
            <w:pPr>
              <w:pStyle w:val="Compact"/>
              <w:spacing w:after="20" w:before="20" w:line="240" w:lineRule="auto"/>
              <w:jc w:val="left"/>
            </w:pPr>
            <w:r>
              <w:rPr>
                <w:sz w:val="18"/>
              </w:rPr>
              <w:t xml:space="preserve">Descriptive</w:t>
            </w:r>
          </w:p>
        </w:tc>
        <w:tc>
          <w:tcPr>
            <w:tcW w:w="2932" w:type="dxa"/>
          </w:tcPr>
          <w:p>
            <w:pPr>
              <w:pStyle w:val="Compact"/>
              <w:spacing w:after="20" w:before="20" w:line="240" w:lineRule="auto"/>
              <w:jc w:val="left"/>
            </w:pPr>
            <w:r>
              <w:rPr>
                <w:sz w:val="18"/>
              </w:rPr>
              <w:t xml:space="preserve">All 15 pairs against 158 abroad; seven traced windows; two views of Tokopedia</w:t>
            </w:r>
          </w:p>
        </w:tc>
        <w:tc>
          <w:tcPr>
            <w:tcW w:w="501" w:type="dxa"/>
          </w:tcPr>
          <w:p>
            <w:pPr>
              <w:pStyle w:val="Compact"/>
              <w:spacing w:after="20" w:before="20" w:line="240" w:lineRule="auto"/>
              <w:jc w:val="left"/>
            </w:pPr>
            <w:r>
              <w:rPr>
                <w:sz w:val="18"/>
              </w:rPr>
              <w:t xml:space="preserve">5.3</w:t>
            </w:r>
          </w:p>
        </w:tc>
      </w:tr>
      <w:tr>
        <w:trPr>
          <w:cantSplit/>
        </w:trPr>
        <w:tc>
          <w:tcPr>
            <w:tcW w:w="2932" w:type="dxa"/>
          </w:tcPr>
          <w:p>
            <w:pPr>
              <w:pStyle w:val="Compact"/>
              <w:spacing w:after="20" w:before="20" w:line="240" w:lineRule="auto"/>
              <w:jc w:val="left"/>
            </w:pPr>
            <w:r>
              <w:rPr>
                <w:sz w:val="18"/>
              </w:rPr>
              <w:t xml:space="preserve">Market value moves with transaction value</w:t>
            </w:r>
          </w:p>
        </w:tc>
        <w:tc>
          <w:tcPr>
            <w:tcW w:w="2932" w:type="dxa"/>
          </w:tcPr>
          <w:p>
            <w:pPr>
              <w:pStyle w:val="Compact"/>
              <w:spacing w:after="20" w:before="20" w:line="240" w:lineRule="auto"/>
              <w:jc w:val="left"/>
            </w:pPr>
            <w:r>
              <w:rPr>
                <w:sz w:val="18"/>
              </w:rPr>
              <w:t xml:space="preserve">Registered; holds</w:t>
            </w:r>
          </w:p>
        </w:tc>
        <w:tc>
          <w:tcPr>
            <w:tcW w:w="2932" w:type="dxa"/>
          </w:tcPr>
          <w:p>
            <w:pPr>
              <w:pStyle w:val="Compact"/>
              <w:spacing w:after="20" w:before="20" w:line="240" w:lineRule="auto"/>
              <w:jc w:val="left"/>
            </w:pPr>
            <w:r>
              <w:rPr>
                <w:sz w:val="18"/>
              </w:rPr>
              <w:t xml:space="preserve">Extreme values capped (winsorised); a second run</w:t>
            </w:r>
          </w:p>
        </w:tc>
        <w:tc>
          <w:tcPr>
            <w:tcW w:w="501" w:type="dxa"/>
          </w:tcPr>
          <w:p>
            <w:pPr>
              <w:pStyle w:val="Compact"/>
              <w:spacing w:after="20" w:before="20" w:line="240" w:lineRule="auto"/>
              <w:jc w:val="left"/>
            </w:pPr>
            <w:r>
              <w:rPr>
                <w:sz w:val="18"/>
              </w:rPr>
              <w:t xml:space="preserve">5.4</w:t>
            </w:r>
          </w:p>
        </w:tc>
      </w:tr>
      <w:tr>
        <w:trPr>
          <w:cantSplit/>
        </w:trPr>
        <w:tc>
          <w:tcPr>
            <w:tcW w:w="2932" w:type="dxa"/>
          </w:tcPr>
          <w:p>
            <w:pPr>
              <w:pStyle w:val="Compact"/>
              <w:spacing w:after="20" w:before="20" w:line="240" w:lineRule="auto"/>
              <w:jc w:val="left"/>
            </w:pPr>
            <w:r>
              <w:rPr>
                <w:sz w:val="18"/>
              </w:rPr>
              <w:t xml:space="preserve">Markets value growth from a higher take rate less</w:t>
            </w:r>
          </w:p>
        </w:tc>
        <w:tc>
          <w:tcPr>
            <w:tcW w:w="2932" w:type="dxa"/>
          </w:tcPr>
          <w:p>
            <w:pPr>
              <w:pStyle w:val="Compact"/>
              <w:spacing w:after="20" w:before="20" w:line="240" w:lineRule="auto"/>
              <w:jc w:val="left"/>
            </w:pPr>
            <w:r>
              <w:rPr>
                <w:sz w:val="18"/>
              </w:rPr>
              <w:t xml:space="preserve">Registered; does not hold in the main sample</w:t>
            </w:r>
          </w:p>
        </w:tc>
        <w:tc>
          <w:tcPr>
            <w:tcW w:w="2932" w:type="dxa"/>
          </w:tcPr>
          <w:p>
            <w:pPr>
              <w:pStyle w:val="Compact"/>
              <w:spacing w:after="20" w:before="20" w:line="240" w:lineRule="auto"/>
              <w:jc w:val="left"/>
            </w:pPr>
            <w:r>
              <w:rPr>
                <w:sz w:val="18"/>
              </w:rPr>
              <w:t xml:space="preserve">Holds only in a second run that mixes segment figures</w:t>
            </w:r>
          </w:p>
        </w:tc>
        <w:tc>
          <w:tcPr>
            <w:tcW w:w="501" w:type="dxa"/>
          </w:tcPr>
          <w:p>
            <w:pPr>
              <w:pStyle w:val="Compact"/>
              <w:spacing w:after="20" w:before="20" w:line="240" w:lineRule="auto"/>
              <w:jc w:val="left"/>
            </w:pPr>
            <w:r>
              <w:rPr>
                <w:sz w:val="18"/>
              </w:rPr>
              <w:t xml:space="preserve">5.4</w:t>
            </w:r>
          </w:p>
        </w:tc>
      </w:tr>
      <w:tr>
        <w:trPr>
          <w:cantSplit/>
        </w:trPr>
        <w:tc>
          <w:tcPr>
            <w:tcW w:w="2932" w:type="dxa"/>
          </w:tcPr>
          <w:p>
            <w:pPr>
              <w:pStyle w:val="Compact"/>
              <w:spacing w:after="20" w:before="20" w:line="240" w:lineRule="auto"/>
              <w:jc w:val="left"/>
            </w:pPr>
            <w:r>
              <w:rPr>
                <w:iCs/>
                <w:i/>
                <w:sz w:val="18"/>
              </w:rPr>
              <w:t xml:space="preserve">Outer link: platform commerce and all online commerce</w:t>
            </w:r>
          </w:p>
        </w:tc>
        <w:tc>
          <w:tcPr>
            <w:tcW w:w="2932" w:type="dxa"/>
          </w:tcPr>
          <w:p>
            <w:pPr>
              <w:pStyle w:val="Compact"/>
              <w:spacing w:after="20" w:before="20" w:line="240" w:lineRule="auto"/>
              <w:jc w:val="left"/>
            </w:pPr>
          </w:p>
        </w:tc>
        <w:tc>
          <w:tcPr>
            <w:tcW w:w="2932" w:type="dxa"/>
          </w:tcPr>
          <w:p>
            <w:pPr>
              <w:pStyle w:val="Compact"/>
              <w:spacing w:after="20" w:before="20" w:line="240" w:lineRule="auto"/>
              <w:jc w:val="left"/>
            </w:pPr>
          </w:p>
        </w:tc>
        <w:tc>
          <w:tcPr>
            <w:tcW w:w="501" w:type="dxa"/>
          </w:tcPr>
          <w:p>
            <w:pPr>
              <w:pStyle w:val="Compact"/>
              <w:spacing w:after="20" w:before="20" w:line="240" w:lineRule="auto"/>
              <w:jc w:val="left"/>
            </w:pPr>
          </w:p>
        </w:tc>
      </w:tr>
      <w:tr>
        <w:trPr>
          <w:cantSplit/>
        </w:trPr>
        <w:tc>
          <w:tcPr>
            <w:tcW w:w="2932" w:type="dxa"/>
          </w:tcPr>
          <w:p>
            <w:pPr>
              <w:pStyle w:val="Compact"/>
              <w:spacing w:after="20" w:before="20" w:line="240" w:lineRule="auto"/>
              <w:jc w:val="left"/>
            </w:pPr>
            <w:r>
              <w:rPr>
                <w:sz w:val="18"/>
              </w:rPr>
              <w:t xml:space="preserve">Buying through platforms, and sellers’ own sales, did not boom in 2023</w:t>
            </w:r>
          </w:p>
        </w:tc>
        <w:tc>
          <w:tcPr>
            <w:tcW w:w="2932" w:type="dxa"/>
          </w:tcPr>
          <w:p>
            <w:pPr>
              <w:pStyle w:val="Compact"/>
              <w:spacing w:after="20" w:before="20" w:line="240" w:lineRule="auto"/>
              <w:jc w:val="left"/>
            </w:pPr>
            <w:r>
              <w:rPr>
                <w:sz w:val="18"/>
              </w:rPr>
              <w:t xml:space="preserve">Descriptive; registered for sellers’ sales, holds</w:t>
            </w:r>
          </w:p>
        </w:tc>
        <w:tc>
          <w:tcPr>
            <w:tcW w:w="2932" w:type="dxa"/>
          </w:tcPr>
          <w:p>
            <w:pPr>
              <w:pStyle w:val="Compact"/>
              <w:spacing w:after="20" w:before="20" w:line="240" w:lineRule="auto"/>
              <w:jc w:val="left"/>
            </w:pPr>
            <w:r>
              <w:rPr>
                <w:sz w:val="18"/>
              </w:rPr>
              <w:t xml:space="preserve">Six platform measures against household spending</w:t>
            </w:r>
          </w:p>
        </w:tc>
        <w:tc>
          <w:tcPr>
            <w:tcW w:w="501" w:type="dxa"/>
          </w:tcPr>
          <w:p>
            <w:pPr>
              <w:pStyle w:val="Compact"/>
              <w:spacing w:after="20" w:before="20" w:line="240" w:lineRule="auto"/>
              <w:jc w:val="left"/>
            </w:pPr>
            <w:r>
              <w:rPr>
                <w:sz w:val="18"/>
              </w:rPr>
              <w:t xml:space="preserve">5.5</w:t>
            </w:r>
          </w:p>
        </w:tc>
      </w:tr>
      <w:tr>
        <w:trPr>
          <w:cantSplit/>
        </w:trPr>
        <w:tc>
          <w:tcPr>
            <w:tcW w:w="2932" w:type="dxa"/>
          </w:tcPr>
          <w:p>
            <w:pPr>
              <w:pStyle w:val="Compact"/>
              <w:spacing w:after="20" w:before="20" w:line="240" w:lineRule="auto"/>
              <w:jc w:val="left"/>
            </w:pPr>
            <w:r>
              <w:rPr>
                <w:sz w:val="18"/>
              </w:rPr>
              <w:t xml:space="preserve">More businesses account for most national growth, so H2 holds</w:t>
            </w:r>
          </w:p>
        </w:tc>
        <w:tc>
          <w:tcPr>
            <w:tcW w:w="2932" w:type="dxa"/>
          </w:tcPr>
          <w:p>
            <w:pPr>
              <w:pStyle w:val="Compact"/>
              <w:spacing w:after="20" w:before="20" w:line="240" w:lineRule="auto"/>
              <w:jc w:val="left"/>
            </w:pPr>
            <w:r>
              <w:rPr>
                <w:sz w:val="18"/>
              </w:rPr>
              <w:t xml:space="preserve">Descriptive</w:t>
            </w:r>
          </w:p>
        </w:tc>
        <w:tc>
          <w:tcPr>
            <w:tcW w:w="2932" w:type="dxa"/>
          </w:tcPr>
          <w:p>
            <w:pPr>
              <w:pStyle w:val="Compact"/>
              <w:spacing w:after="20" w:before="20" w:line="240" w:lineRule="auto"/>
              <w:jc w:val="left"/>
            </w:pPr>
            <w:r>
              <w:rPr>
                <w:sz w:val="18"/>
              </w:rPr>
              <w:t xml:space="preserve">Both BPS counts for 2023; two periods</w:t>
            </w:r>
          </w:p>
        </w:tc>
        <w:tc>
          <w:tcPr>
            <w:tcW w:w="501" w:type="dxa"/>
          </w:tcPr>
          <w:p>
            <w:pPr>
              <w:pStyle w:val="Compact"/>
              <w:spacing w:after="20" w:before="20" w:line="240" w:lineRule="auto"/>
              <w:jc w:val="left"/>
            </w:pPr>
            <w:r>
              <w:rPr>
                <w:sz w:val="18"/>
              </w:rPr>
              <w:t xml:space="preserve">5.6</w:t>
            </w:r>
          </w:p>
        </w:tc>
      </w:tr>
      <w:tr>
        <w:trPr>
          <w:cantSplit/>
        </w:trPr>
        <w:tc>
          <w:tcPr>
            <w:tcW w:w="2932" w:type="dxa"/>
          </w:tcPr>
          <w:p>
            <w:pPr>
              <w:pStyle w:val="Compact"/>
              <w:spacing w:after="20" w:before="20" w:line="240" w:lineRule="auto"/>
              <w:jc w:val="left"/>
            </w:pPr>
            <w:r>
              <w:rPr>
                <w:sz w:val="18"/>
              </w:rPr>
              <w:t xml:space="preserve">Too few 2023 sellers were new to produce the rise in the count (13.45 against 21.5 percent)</w:t>
            </w:r>
          </w:p>
        </w:tc>
        <w:tc>
          <w:tcPr>
            <w:tcW w:w="2932" w:type="dxa"/>
          </w:tcPr>
          <w:p>
            <w:pPr>
              <w:pStyle w:val="Compact"/>
              <w:spacing w:after="20" w:before="20" w:line="240" w:lineRule="auto"/>
              <w:jc w:val="left"/>
            </w:pPr>
            <w:r>
              <w:rPr>
                <w:sz w:val="18"/>
              </w:rPr>
              <w:t xml:space="preserve">Registered; the entry test fails</w:t>
            </w:r>
          </w:p>
        </w:tc>
        <w:tc>
          <w:tcPr>
            <w:tcW w:w="2932" w:type="dxa"/>
          </w:tcPr>
          <w:p>
            <w:pPr>
              <w:pStyle w:val="Compact"/>
              <w:spacing w:after="20" w:before="20" w:line="240" w:lineRule="auto"/>
              <w:jc w:val="left"/>
            </w:pPr>
            <w:r>
              <w:rPr>
                <w:sz w:val="18"/>
              </w:rPr>
              <w:t xml:space="preserve">Recall error would favour passing</w:t>
            </w:r>
          </w:p>
        </w:tc>
        <w:tc>
          <w:tcPr>
            <w:tcW w:w="501" w:type="dxa"/>
          </w:tcPr>
          <w:p>
            <w:pPr>
              <w:pStyle w:val="Compact"/>
              <w:spacing w:after="20" w:before="20" w:line="240" w:lineRule="auto"/>
              <w:jc w:val="left"/>
            </w:pPr>
            <w:r>
              <w:rPr>
                <w:sz w:val="18"/>
              </w:rPr>
              <w:t xml:space="preserve">5.6</w:t>
            </w:r>
          </w:p>
        </w:tc>
      </w:tr>
      <w:tr>
        <w:trPr>
          <w:cantSplit/>
        </w:trPr>
        <w:tc>
          <w:tcPr>
            <w:tcW w:w="2932" w:type="dxa"/>
          </w:tcPr>
          <w:p>
            <w:pPr>
              <w:pStyle w:val="Compact"/>
              <w:spacing w:after="20" w:before="20" w:line="240" w:lineRule="auto"/>
              <w:jc w:val="left"/>
            </w:pPr>
            <w:r>
              <w:rPr>
                <w:sz w:val="18"/>
              </w:rPr>
              <w:t xml:space="preserve">About half of the rise is not explained by first-time entry</w:t>
            </w:r>
          </w:p>
        </w:tc>
        <w:tc>
          <w:tcPr>
            <w:tcW w:w="2932" w:type="dxa"/>
          </w:tcPr>
          <w:p>
            <w:pPr>
              <w:pStyle w:val="Compact"/>
              <w:spacing w:after="20" w:before="20" w:line="240" w:lineRule="auto"/>
              <w:jc w:val="left"/>
            </w:pPr>
            <w:r>
              <w:rPr>
                <w:sz w:val="18"/>
              </w:rPr>
              <w:t xml:space="preserve">Exploratory</w:t>
            </w:r>
          </w:p>
        </w:tc>
        <w:tc>
          <w:tcPr>
            <w:tcW w:w="2932" w:type="dxa"/>
          </w:tcPr>
          <w:p>
            <w:pPr>
              <w:pStyle w:val="Compact"/>
              <w:spacing w:after="20" w:before="20" w:line="240" w:lineRule="auto"/>
              <w:jc w:val="left"/>
            </w:pPr>
            <w:r>
              <w:rPr>
                <w:sz w:val="18"/>
              </w:rPr>
              <w:t xml:space="preserve">With and without exits; cohorts; provinces; sampling error</w:t>
            </w:r>
          </w:p>
        </w:tc>
        <w:tc>
          <w:tcPr>
            <w:tcW w:w="501" w:type="dxa"/>
          </w:tcPr>
          <w:p>
            <w:pPr>
              <w:pStyle w:val="Compact"/>
              <w:spacing w:after="20" w:before="20" w:line="240" w:lineRule="auto"/>
              <w:jc w:val="left"/>
            </w:pPr>
            <w:r>
              <w:rPr>
                <w:sz w:val="18"/>
              </w:rPr>
              <w:t xml:space="preserve">5.7</w:t>
            </w:r>
          </w:p>
        </w:tc>
      </w:tr>
      <w:tr>
        <w:trPr>
          <w:cantSplit/>
        </w:trPr>
        <w:tc>
          <w:tcPr>
            <w:tcW w:w="2932" w:type="dxa"/>
          </w:tcPr>
          <w:p>
            <w:pPr>
              <w:pStyle w:val="Compact"/>
              <w:spacing w:after="20" w:before="20" w:line="240" w:lineRule="auto"/>
              <w:jc w:val="left"/>
            </w:pPr>
            <w:r>
              <w:rPr>
                <w:sz w:val="18"/>
              </w:rPr>
              <w:t xml:space="preserve">Read as wider coverage, the extra count leaves H2 near its threshold (about 42 to 54 percent)</w:t>
            </w:r>
          </w:p>
        </w:tc>
        <w:tc>
          <w:tcPr>
            <w:tcW w:w="2932" w:type="dxa"/>
          </w:tcPr>
          <w:p>
            <w:pPr>
              <w:pStyle w:val="Compact"/>
              <w:spacing w:after="20" w:before="20" w:line="240" w:lineRule="auto"/>
              <w:jc w:val="left"/>
            </w:pPr>
            <w:r>
              <w:rPr>
                <w:sz w:val="18"/>
              </w:rPr>
              <w:t xml:space="preserve">Exploratory</w:t>
            </w:r>
          </w:p>
        </w:tc>
        <w:tc>
          <w:tcPr>
            <w:tcW w:w="2932" w:type="dxa"/>
          </w:tcPr>
          <w:p>
            <w:pPr>
              <w:pStyle w:val="Compact"/>
              <w:spacing w:after="20" w:before="20" w:line="240" w:lineRule="auto"/>
              <w:jc w:val="left"/>
            </w:pPr>
            <w:r>
              <w:rPr>
                <w:sz w:val="18"/>
              </w:rPr>
              <w:t xml:space="preserve">Count and sales removed together; two exit rates</w:t>
            </w:r>
          </w:p>
        </w:tc>
        <w:tc>
          <w:tcPr>
            <w:tcW w:w="501" w:type="dxa"/>
          </w:tcPr>
          <w:p>
            <w:pPr>
              <w:pStyle w:val="Compact"/>
              <w:spacing w:after="20" w:before="20" w:line="240" w:lineRule="auto"/>
              <w:jc w:val="left"/>
            </w:pPr>
            <w:r>
              <w:rPr>
                <w:sz w:val="18"/>
              </w:rPr>
              <w:t xml:space="preserve">5.7</w:t>
            </w:r>
          </w:p>
        </w:tc>
      </w:tr>
      <w:tr>
        <w:trPr>
          <w:cantSplit/>
        </w:trPr>
        <w:tc>
          <w:tcPr>
            <w:tcW w:w="2932" w:type="dxa"/>
          </w:tcPr>
          <w:p>
            <w:pPr>
              <w:pStyle w:val="Compact"/>
              <w:spacing w:after="20" w:before="20" w:line="240" w:lineRule="auto"/>
              <w:jc w:val="left"/>
            </w:pPr>
            <w:r>
              <w:rPr>
                <w:sz w:val="18"/>
              </w:rPr>
              <w:t xml:space="preserve">The extra count leaned toward long-running businesses; returning sellers cannot be ruled out</w:t>
            </w:r>
          </w:p>
        </w:tc>
        <w:tc>
          <w:tcPr>
            <w:tcW w:w="2932" w:type="dxa"/>
          </w:tcPr>
          <w:p>
            <w:pPr>
              <w:pStyle w:val="Compact"/>
              <w:spacing w:after="20" w:before="20" w:line="240" w:lineRule="auto"/>
              <w:jc w:val="left"/>
            </w:pPr>
            <w:r>
              <w:rPr>
                <w:sz w:val="18"/>
              </w:rPr>
              <w:t xml:space="preserve">Exploratory</w:t>
            </w:r>
          </w:p>
        </w:tc>
        <w:tc>
          <w:tcPr>
            <w:tcW w:w="2932" w:type="dxa"/>
          </w:tcPr>
          <w:p>
            <w:pPr>
              <w:pStyle w:val="Compact"/>
              <w:spacing w:after="20" w:before="20" w:line="240" w:lineRule="auto"/>
              <w:jc w:val="left"/>
            </w:pPr>
            <w:r>
              <w:rPr>
                <w:sz w:val="18"/>
              </w:rPr>
              <w:t xml:space="preserve">Part-year selling</w:t>
            </w:r>
          </w:p>
        </w:tc>
        <w:tc>
          <w:tcPr>
            <w:tcW w:w="501" w:type="dxa"/>
          </w:tcPr>
          <w:p>
            <w:pPr>
              <w:pStyle w:val="Compact"/>
              <w:spacing w:after="20" w:before="20" w:line="240" w:lineRule="auto"/>
              <w:jc w:val="left"/>
            </w:pPr>
            <w:r>
              <w:rPr>
                <w:sz w:val="18"/>
              </w:rPr>
              <w:t xml:space="preserve">5.8</w:t>
            </w:r>
          </w:p>
        </w:tc>
      </w:tr>
      <w:tr>
        <w:trPr>
          <w:cantSplit/>
        </w:trPr>
        <w:tc>
          <w:tcPr>
            <w:tcW w:w="2932" w:type="dxa"/>
          </w:tcPr>
          <w:p>
            <w:pPr>
              <w:pStyle w:val="Compact"/>
              <w:spacing w:after="20" w:before="20" w:line="240" w:lineRule="auto"/>
              <w:jc w:val="left"/>
            </w:pPr>
            <w:r>
              <w:rPr>
                <w:sz w:val="18"/>
              </w:rPr>
              <w:t xml:space="preserve">Most online selling happens outside marketplaces, and records are thinner there</w:t>
            </w:r>
          </w:p>
        </w:tc>
        <w:tc>
          <w:tcPr>
            <w:tcW w:w="2932" w:type="dxa"/>
          </w:tcPr>
          <w:p>
            <w:pPr>
              <w:pStyle w:val="Compact"/>
              <w:spacing w:after="20" w:before="20" w:line="240" w:lineRule="auto"/>
              <w:jc w:val="left"/>
            </w:pPr>
            <w:r>
              <w:rPr>
                <w:sz w:val="18"/>
              </w:rPr>
              <w:t xml:space="preserve">Registered and descriptive</w:t>
            </w:r>
          </w:p>
        </w:tc>
        <w:tc>
          <w:tcPr>
            <w:tcW w:w="2932" w:type="dxa"/>
          </w:tcPr>
          <w:p>
            <w:pPr>
              <w:pStyle w:val="Compact"/>
              <w:spacing w:after="20" w:before="20" w:line="240" w:lineRule="auto"/>
              <w:jc w:val="left"/>
            </w:pPr>
            <w:r>
              <w:rPr>
                <w:sz w:val="18"/>
              </w:rPr>
              <w:t xml:space="preserve">Four survey years; World Bank surveys</w:t>
            </w:r>
          </w:p>
        </w:tc>
        <w:tc>
          <w:tcPr>
            <w:tcW w:w="501" w:type="dxa"/>
          </w:tcPr>
          <w:p>
            <w:pPr>
              <w:pStyle w:val="Compact"/>
              <w:spacing w:after="20" w:before="20" w:line="240" w:lineRule="auto"/>
              <w:jc w:val="left"/>
            </w:pPr>
            <w:r>
              <w:rPr>
                <w:sz w:val="18"/>
              </w:rPr>
              <w:t xml:space="preserve">5.9</w:t>
            </w:r>
          </w:p>
        </w:tc>
      </w:tr>
      <w:tr>
        <w:trPr>
          <w:cantSplit/>
        </w:trPr>
        <w:tc>
          <w:tcPr>
            <w:tcW w:w="2932" w:type="dxa"/>
          </w:tcPr>
          <w:p>
            <w:pPr>
              <w:pStyle w:val="Compact"/>
              <w:spacing w:after="20" w:before="20" w:line="240" w:lineRule="auto"/>
              <w:jc w:val="left"/>
            </w:pPr>
            <w:r>
              <w:rPr>
                <w:sz w:val="18"/>
              </w:rPr>
              <w:t xml:space="preserve">National figures agree only where they cover the same sellers</w:t>
            </w:r>
          </w:p>
        </w:tc>
        <w:tc>
          <w:tcPr>
            <w:tcW w:w="2932" w:type="dxa"/>
          </w:tcPr>
          <w:p>
            <w:pPr>
              <w:pStyle w:val="Compact"/>
              <w:spacing w:after="20" w:before="20" w:line="240" w:lineRule="auto"/>
              <w:jc w:val="left"/>
            </w:pPr>
            <w:r>
              <w:rPr>
                <w:sz w:val="18"/>
              </w:rPr>
              <w:t xml:space="preserve">Registered, with a mixed outcome, and descriptive</w:t>
            </w:r>
          </w:p>
        </w:tc>
        <w:tc>
          <w:tcPr>
            <w:tcW w:w="2932" w:type="dxa"/>
          </w:tcPr>
          <w:p>
            <w:pPr>
              <w:pStyle w:val="Compact"/>
              <w:spacing w:after="20" w:before="20" w:line="240" w:lineRule="auto"/>
              <w:jc w:val="left"/>
            </w:pPr>
            <w:r>
              <w:rPr>
                <w:sz w:val="18"/>
              </w:rPr>
              <w:t xml:space="preserve">Three value scenarios</w:t>
            </w:r>
          </w:p>
        </w:tc>
        <w:tc>
          <w:tcPr>
            <w:tcW w:w="501" w:type="dxa"/>
          </w:tcPr>
          <w:p>
            <w:pPr>
              <w:pStyle w:val="Compact"/>
              <w:spacing w:after="20" w:before="20" w:line="240" w:lineRule="auto"/>
              <w:jc w:val="left"/>
            </w:pPr>
            <w:r>
              <w:rPr>
                <w:sz w:val="18"/>
              </w:rPr>
              <w:t xml:space="preserve">5.10</w:t>
            </w:r>
          </w:p>
        </w:tc>
      </w:tr>
    </w:tbl>
    <w:bookmarkStart w:id="51" w:name="how-much-revenue-leaves-out"/>
    <w:p>
      <w:pPr>
        <w:pStyle w:val="Heading2"/>
      </w:pPr>
      <w:r>
        <w:t xml:space="preserve">5.1 How much revenue leaves out</w:t>
      </w:r>
    </w:p>
    <w:p>
      <w:pPr>
        <w:pStyle w:val="FirstParagraph"/>
      </w:pPr>
      <w:r>
        <w:rPr>
          <w:bCs/>
          <w:b/>
        </w:rPr>
        <w:t xml:space="preserve">Revenue showed only a small part of what Indonesia’s major platforms carried.</w:t>
      </w:r>
      <w:r>
        <w:t xml:space="preserve"> </w:t>
      </w:r>
      <w:r>
        <w:t xml:space="preserve">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keepNext/>
        <w:jc w:val="left"/>
      </w:pPr>
      <w:r>
        <w:rPr>
          <w:bCs/>
          <w:b/>
          <w:sz w:val="20"/>
        </w:rPr>
        <w:t xml:space="preserve">Table 5.2. The invisible wedge of three platforms, 2023 (US$ billion)</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1280"/>
        <w:gridCol w:w="1280"/>
        <w:gridCol w:w="723"/>
        <w:gridCol w:w="612"/>
        <w:gridCol w:w="1169"/>
        <w:gridCol w:w="4232"/>
      </w:tblGrid>
      <w:tr>
        <w:trPr>
          <w:tblHeader w:val="true"/>
          <w:cantSplit/>
          <w:tblHeader/>
        </w:trPr>
        <w:tc>
          <w:tcPr>
            <w:tcW w:w="1280" w:type="dxa"/>
            <w:tcBorders>
              <w:bottom w:val="single" w:sz="4" w:space="0" w:color="000000"/>
            </w:tcBorders>
          </w:tcPr>
          <w:p>
            <w:pPr>
              <w:pStyle w:val="Compact"/>
              <w:spacing w:after="20" w:before="20" w:line="240" w:lineRule="auto"/>
              <w:jc w:val="left"/>
            </w:pPr>
            <w:r>
              <w:rPr>
                <w:b/>
                <w:sz w:val="18"/>
              </w:rPr>
              <w:t xml:space="preserve">Platform</w:t>
            </w:r>
          </w:p>
        </w:tc>
        <w:tc>
          <w:tcPr>
            <w:tcW w:w="1280" w:type="dxa"/>
            <w:tcBorders>
              <w:bottom w:val="single" w:sz="4" w:space="0" w:color="000000"/>
            </w:tcBorders>
          </w:tcPr>
          <w:p>
            <w:pPr>
              <w:pStyle w:val="Compact"/>
              <w:spacing w:after="20" w:before="20" w:line="240" w:lineRule="auto"/>
              <w:jc w:val="left"/>
            </w:pPr>
            <w:r>
              <w:rPr>
                <w:b/>
                <w:sz w:val="18"/>
              </w:rPr>
              <w:t xml:space="preserve">Transaction value</w:t>
            </w:r>
          </w:p>
        </w:tc>
        <w:tc>
          <w:tcPr>
            <w:tcW w:w="723" w:type="dxa"/>
            <w:tcBorders>
              <w:bottom w:val="single" w:sz="4" w:space="0" w:color="000000"/>
            </w:tcBorders>
          </w:tcPr>
          <w:p>
            <w:pPr>
              <w:pStyle w:val="Compact"/>
              <w:spacing w:after="20" w:before="20" w:line="240" w:lineRule="auto"/>
              <w:jc w:val="left"/>
            </w:pPr>
            <w:r>
              <w:rPr>
                <w:b/>
                <w:sz w:val="18"/>
              </w:rPr>
              <w:t xml:space="preserve">Revenue</w:t>
            </w:r>
          </w:p>
        </w:tc>
        <w:tc>
          <w:tcPr>
            <w:tcW w:w="612" w:type="dxa"/>
            <w:tcBorders>
              <w:bottom w:val="single" w:sz="4" w:space="0" w:color="000000"/>
            </w:tcBorders>
          </w:tcPr>
          <w:p>
            <w:pPr>
              <w:pStyle w:val="Compact"/>
              <w:spacing w:after="20" w:before="20" w:line="240" w:lineRule="auto"/>
              <w:jc w:val="left"/>
            </w:pPr>
            <w:r>
              <w:rPr>
                <w:b/>
                <w:sz w:val="18"/>
              </w:rPr>
              <w:t xml:space="preserve">Wedge</w:t>
            </w:r>
          </w:p>
        </w:tc>
        <w:tc>
          <w:tcPr>
            <w:tcW w:w="1169" w:type="dxa"/>
            <w:tcBorders>
              <w:bottom w:val="single" w:sz="4" w:space="0" w:color="000000"/>
            </w:tcBorders>
          </w:tcPr>
          <w:p>
            <w:pPr>
              <w:pStyle w:val="Compact"/>
              <w:spacing w:after="20" w:before="20" w:line="240" w:lineRule="auto"/>
              <w:jc w:val="left"/>
            </w:pPr>
            <w:r>
              <w:rPr>
                <w:b/>
                <w:sz w:val="18"/>
              </w:rPr>
              <w:t xml:space="preserve">Ecosystem ratio</w:t>
            </w:r>
          </w:p>
        </w:tc>
        <w:tc>
          <w:tcPr>
            <w:tcW w:w="4232" w:type="dxa"/>
            <w:tcBorders>
              <w:bottom w:val="single" w:sz="4" w:space="0" w:color="000000"/>
            </w:tcBorders>
          </w:tcPr>
          <w:p>
            <w:pPr>
              <w:pStyle w:val="Compact"/>
              <w:spacing w:after="20" w:before="20" w:line="240" w:lineRule="auto"/>
              <w:jc w:val="left"/>
            </w:pPr>
            <w:r>
              <w:rPr>
                <w:b/>
                <w:sz w:val="18"/>
              </w:rPr>
              <w:t xml:space="preserve">How it is labelled</w:t>
            </w:r>
          </w:p>
        </w:tc>
      </w:tr>
      <w:tr>
        <w:trPr>
          <w:cantSplit/>
        </w:trPr>
        <w:tc>
          <w:tcPr>
            <w:tcW w:w="1280" w:type="dxa"/>
          </w:tcPr>
          <w:p>
            <w:pPr>
              <w:pStyle w:val="Compact"/>
              <w:spacing w:after="20" w:before="20" w:line="240" w:lineRule="auto"/>
              <w:jc w:val="left"/>
            </w:pPr>
            <w:r>
              <w:rPr>
                <w:sz w:val="18"/>
              </w:rPr>
              <w:t xml:space="preserve">Tokopedia</w:t>
            </w:r>
          </w:p>
        </w:tc>
        <w:tc>
          <w:tcPr>
            <w:tcW w:w="1280" w:type="dxa"/>
          </w:tcPr>
          <w:p>
            <w:pPr>
              <w:pStyle w:val="Compact"/>
              <w:spacing w:after="20" w:before="20" w:line="240" w:lineRule="auto"/>
              <w:jc w:val="left"/>
            </w:pPr>
            <w:r>
              <w:rPr>
                <w:sz w:val="18"/>
              </w:rPr>
              <w:t xml:space="preserve">16.33</w:t>
            </w:r>
          </w:p>
        </w:tc>
        <w:tc>
          <w:tcPr>
            <w:tcW w:w="723" w:type="dxa"/>
          </w:tcPr>
          <w:p>
            <w:pPr>
              <w:pStyle w:val="Compact"/>
              <w:spacing w:after="20" w:before="20" w:line="240" w:lineRule="auto"/>
              <w:jc w:val="left"/>
            </w:pPr>
            <w:r>
              <w:rPr>
                <w:sz w:val="18"/>
              </w:rPr>
              <w:t xml:space="preserve">0.41</w:t>
            </w:r>
          </w:p>
        </w:tc>
        <w:tc>
          <w:tcPr>
            <w:tcW w:w="612" w:type="dxa"/>
          </w:tcPr>
          <w:p>
            <w:pPr>
              <w:pStyle w:val="Compact"/>
              <w:spacing w:after="20" w:before="20" w:line="240" w:lineRule="auto"/>
              <w:jc w:val="left"/>
            </w:pPr>
            <w:r>
              <w:rPr>
                <w:sz w:val="18"/>
              </w:rPr>
              <w:t xml:space="preserve">15.93</w:t>
            </w:r>
          </w:p>
        </w:tc>
        <w:tc>
          <w:tcPr>
            <w:tcW w:w="1169" w:type="dxa"/>
          </w:tcPr>
          <w:p>
            <w:pPr>
              <w:pStyle w:val="Compact"/>
              <w:spacing w:after="20" w:before="20" w:line="240" w:lineRule="auto"/>
              <w:jc w:val="left"/>
            </w:pPr>
            <w:r>
              <w:rPr>
                <w:sz w:val="18"/>
              </w:rPr>
              <w:t xml:space="preserve">39.3</w:t>
            </w:r>
          </w:p>
        </w:tc>
        <w:tc>
          <w:tcPr>
            <w:tcW w:w="4232" w:type="dxa"/>
          </w:tcPr>
          <w:p>
            <w:pPr>
              <w:pStyle w:val="Compact"/>
              <w:spacing w:after="20" w:before="20" w:line="240" w:lineRule="auto"/>
              <w:jc w:val="left"/>
            </w:pPr>
            <w:r>
              <w:rPr>
                <w:sz w:val="18"/>
              </w:rPr>
              <w:t xml:space="preserve">Both direct segment disclosure</w:t>
            </w:r>
          </w:p>
        </w:tc>
      </w:tr>
      <w:tr>
        <w:trPr>
          <w:cantSplit/>
        </w:trPr>
        <w:tc>
          <w:tcPr>
            <w:tcW w:w="1280" w:type="dxa"/>
          </w:tcPr>
          <w:p>
            <w:pPr>
              <w:pStyle w:val="Compact"/>
              <w:spacing w:after="20" w:before="20" w:line="240" w:lineRule="auto"/>
              <w:jc w:val="left"/>
            </w:pPr>
            <w:r>
              <w:rPr>
                <w:sz w:val="18"/>
              </w:rPr>
              <w:t xml:space="preserve">Shopee, Indonesia</w:t>
            </w:r>
          </w:p>
        </w:tc>
        <w:tc>
          <w:tcPr>
            <w:tcW w:w="1280" w:type="dxa"/>
          </w:tcPr>
          <w:p>
            <w:pPr>
              <w:pStyle w:val="Compact"/>
              <w:spacing w:after="20" w:before="20" w:line="240" w:lineRule="auto"/>
              <w:jc w:val="left"/>
            </w:pPr>
            <w:r>
              <w:rPr>
                <w:sz w:val="18"/>
              </w:rPr>
              <w:t xml:space="preserve">21.52</w:t>
            </w:r>
          </w:p>
        </w:tc>
        <w:tc>
          <w:tcPr>
            <w:tcW w:w="723" w:type="dxa"/>
          </w:tcPr>
          <w:p>
            <w:pPr>
              <w:pStyle w:val="Compact"/>
              <w:spacing w:after="20" w:before="20" w:line="240" w:lineRule="auto"/>
              <w:jc w:val="left"/>
            </w:pPr>
            <w:r>
              <w:rPr>
                <w:sz w:val="18"/>
              </w:rPr>
              <w:t xml:space="preserve">2.15</w:t>
            </w:r>
          </w:p>
        </w:tc>
        <w:tc>
          <w:tcPr>
            <w:tcW w:w="612" w:type="dxa"/>
          </w:tcPr>
          <w:p>
            <w:pPr>
              <w:pStyle w:val="Compact"/>
              <w:spacing w:after="20" w:before="20" w:line="240" w:lineRule="auto"/>
              <w:jc w:val="left"/>
            </w:pPr>
            <w:r>
              <w:rPr>
                <w:sz w:val="18"/>
              </w:rPr>
              <w:t xml:space="preserve">19.37</w:t>
            </w:r>
          </w:p>
        </w:tc>
        <w:tc>
          <w:tcPr>
            <w:tcW w:w="1169" w:type="dxa"/>
          </w:tcPr>
          <w:p>
            <w:pPr>
              <w:pStyle w:val="Compact"/>
              <w:spacing w:after="20" w:before="20" w:line="240" w:lineRule="auto"/>
              <w:jc w:val="left"/>
            </w:pPr>
            <w:r>
              <w:rPr>
                <w:sz w:val="18"/>
              </w:rPr>
              <w:t xml:space="preserve">9.0</w:t>
            </w:r>
          </w:p>
        </w:tc>
        <w:tc>
          <w:tcPr>
            <w:tcW w:w="4232" w:type="dxa"/>
          </w:tcPr>
          <w:p>
            <w:pPr>
              <w:pStyle w:val="Compact"/>
              <w:spacing w:after="20" w:before="20" w:line="240" w:lineRule="auto"/>
              <w:jc w:val="left"/>
            </w:pPr>
            <w:r>
              <w:rPr>
                <w:sz w:val="18"/>
              </w:rPr>
              <w:t xml:space="preserve">Transaction value is an outside estimate (Momentum Works); revenue is derived at an assumed take rate of 10 percent</w:t>
            </w:r>
          </w:p>
        </w:tc>
      </w:tr>
      <w:tr>
        <w:trPr>
          <w:cantSplit/>
        </w:trPr>
        <w:tc>
          <w:tcPr>
            <w:tcW w:w="1280" w:type="dxa"/>
          </w:tcPr>
          <w:p>
            <w:pPr>
              <w:pStyle w:val="Compact"/>
              <w:spacing w:after="20" w:before="20" w:line="240" w:lineRule="auto"/>
              <w:jc w:val="left"/>
            </w:pPr>
            <w:r>
              <w:rPr>
                <w:sz w:val="18"/>
              </w:rPr>
              <w:t xml:space="preserve">Grab, Indonesia</w:t>
            </w:r>
          </w:p>
        </w:tc>
        <w:tc>
          <w:tcPr>
            <w:tcW w:w="1280" w:type="dxa"/>
          </w:tcPr>
          <w:p>
            <w:pPr>
              <w:pStyle w:val="Compact"/>
              <w:spacing w:after="20" w:before="20" w:line="240" w:lineRule="auto"/>
              <w:jc w:val="left"/>
            </w:pPr>
            <w:r>
              <w:rPr>
                <w:sz w:val="18"/>
              </w:rPr>
              <w:t xml:space="preserve">5.38</w:t>
            </w:r>
          </w:p>
        </w:tc>
        <w:tc>
          <w:tcPr>
            <w:tcW w:w="723" w:type="dxa"/>
          </w:tcPr>
          <w:p>
            <w:pPr>
              <w:pStyle w:val="Compact"/>
              <w:spacing w:after="20" w:before="20" w:line="240" w:lineRule="auto"/>
              <w:jc w:val="left"/>
            </w:pPr>
            <w:r>
              <w:rPr>
                <w:sz w:val="18"/>
              </w:rPr>
              <w:t xml:space="preserve">0.60</w:t>
            </w:r>
          </w:p>
        </w:tc>
        <w:tc>
          <w:tcPr>
            <w:tcW w:w="612" w:type="dxa"/>
          </w:tcPr>
          <w:p>
            <w:pPr>
              <w:pStyle w:val="Compact"/>
              <w:spacing w:after="20" w:before="20" w:line="240" w:lineRule="auto"/>
              <w:jc w:val="left"/>
            </w:pPr>
            <w:r>
              <w:rPr>
                <w:sz w:val="18"/>
              </w:rPr>
              <w:t xml:space="preserve">4.78</w:t>
            </w:r>
          </w:p>
        </w:tc>
        <w:tc>
          <w:tcPr>
            <w:tcW w:w="1169" w:type="dxa"/>
          </w:tcPr>
          <w:p>
            <w:pPr>
              <w:pStyle w:val="Compact"/>
              <w:spacing w:after="20" w:before="20" w:line="240" w:lineRule="auto"/>
              <w:jc w:val="left"/>
            </w:pPr>
            <w:r>
              <w:rPr>
                <w:sz w:val="18"/>
              </w:rPr>
              <w:t xml:space="preserve">7.9</w:t>
            </w:r>
          </w:p>
        </w:tc>
        <w:tc>
          <w:tcPr>
            <w:tcW w:w="4232" w:type="dxa"/>
          </w:tcPr>
          <w:p>
            <w:pPr>
              <w:pStyle w:val="Compact"/>
              <w:spacing w:after="20" w:before="20" w:line="240" w:lineRule="auto"/>
              <w:jc w:val="left"/>
            </w:pPr>
            <w:r>
              <w:rPr>
                <w:sz w:val="18"/>
              </w:rPr>
              <w:t xml:space="preserve">Revenue is a direct country disclosure; transaction value is derived from Grab’s company-wide ratio</w:t>
            </w:r>
          </w:p>
        </w:tc>
      </w:tr>
      <w:tr>
        <w:trPr>
          <w:cantSplit/>
        </w:trPr>
        <w:tc>
          <w:tcPr>
            <w:tcW w:w="1280" w:type="dxa"/>
          </w:tcPr>
          <w:p>
            <w:pPr>
              <w:pStyle w:val="Compact"/>
              <w:spacing w:after="20" w:before="20" w:line="240" w:lineRule="auto"/>
              <w:jc w:val="left"/>
            </w:pPr>
            <w:r>
              <w:rPr>
                <w:sz w:val="18"/>
              </w:rPr>
              <w:t xml:space="preserve">Total</w:t>
            </w:r>
          </w:p>
        </w:tc>
        <w:tc>
          <w:tcPr>
            <w:tcW w:w="1280" w:type="dxa"/>
          </w:tcPr>
          <w:p>
            <w:pPr>
              <w:pStyle w:val="Compact"/>
              <w:spacing w:after="20" w:before="20" w:line="240" w:lineRule="auto"/>
              <w:jc w:val="left"/>
            </w:pPr>
            <w:r>
              <w:rPr>
                <w:sz w:val="18"/>
              </w:rPr>
              <w:t xml:space="preserve">43.23</w:t>
            </w:r>
          </w:p>
        </w:tc>
        <w:tc>
          <w:tcPr>
            <w:tcW w:w="723" w:type="dxa"/>
          </w:tcPr>
          <w:p>
            <w:pPr>
              <w:pStyle w:val="Compact"/>
              <w:spacing w:after="20" w:before="20" w:line="240" w:lineRule="auto"/>
              <w:jc w:val="left"/>
            </w:pPr>
            <w:r>
              <w:rPr>
                <w:sz w:val="18"/>
              </w:rPr>
              <w:t xml:space="preserve">3.16</w:t>
            </w:r>
          </w:p>
        </w:tc>
        <w:tc>
          <w:tcPr>
            <w:tcW w:w="612" w:type="dxa"/>
          </w:tcPr>
          <w:p>
            <w:pPr>
              <w:pStyle w:val="Compact"/>
              <w:spacing w:after="20" w:before="20" w:line="240" w:lineRule="auto"/>
              <w:jc w:val="left"/>
            </w:pPr>
            <w:r>
              <w:rPr>
                <w:sz w:val="18"/>
              </w:rPr>
              <w:t xml:space="preserve">40.07</w:t>
            </w:r>
          </w:p>
        </w:tc>
        <w:tc>
          <w:tcPr>
            <w:tcW w:w="1169" w:type="dxa"/>
          </w:tcPr>
          <w:p>
            <w:pPr>
              <w:pStyle w:val="Compact"/>
              <w:spacing w:after="20" w:before="20" w:line="240" w:lineRule="auto"/>
              <w:jc w:val="left"/>
            </w:pPr>
            <w:r>
              <w:rPr>
                <w:sz w:val="18"/>
              </w:rPr>
              <w:t xml:space="preserve">12.7</w:t>
            </w:r>
          </w:p>
        </w:tc>
        <w:tc>
          <w:tcPr>
            <w:tcW w:w="4232" w:type="dxa"/>
          </w:tcPr>
          <w:p>
            <w:pPr>
              <w:pStyle w:val="Compact"/>
              <w:spacing w:after="20" w:before="20" w:line="240" w:lineRule="auto"/>
              <w:jc w:val="left"/>
            </w:pPr>
            <w:r>
              <w:rPr>
                <w:sz w:val="18"/>
              </w:rPr>
              <w:t xml:space="preserve">Sum of three platforms, not a national total</w:t>
            </w:r>
          </w:p>
        </w:tc>
      </w:tr>
    </w:tbl>
    <w:p>
      <w:pPr>
        <w:pStyle w:val="BodyText"/>
        <w:jc w:val="left"/>
      </w:pPr>
      <w:r>
        <w:rPr>
          <w:iCs/>
          <w:i/>
          <w:sz w:val="19"/>
        </w:rPr>
        <w:t xml:space="preserve">Note:</w:t>
      </w:r>
      <w:r>
        <w:rPr>
          <w:sz w:val="19"/>
        </w:rPr>
        <w:t xml:space="preserve"> </w:t>
      </w:r>
      <w:r>
        <w:rPr>
          <w:sz w:val="19"/>
        </w:rP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1"/>
    <w:bookmarkStart w:id="55" w:name="testing-h1-1"/>
    <w:p>
      <w:pPr>
        <w:pStyle w:val="Heading2"/>
      </w:pPr>
      <w:r>
        <w:t xml:space="preserve">5.2 Testing H1</w:t>
      </w:r>
    </w:p>
    <w:p>
      <w:pPr>
        <w:pStyle w:val="FirstParagraph"/>
      </w:pPr>
      <w:r>
        <w:rPr>
          <w:bCs/>
          <w:b/>
        </w:rPr>
        <w:t xml:space="preserve">Revenue did not keep pace with transaction value at the Indonesian and regional platforms, and the thesis rejects H1.</w:t>
      </w:r>
      <w:r>
        <w:t xml:space="preserve"> </w:t>
      </w:r>
      <w:r>
        <w:t xml:space="preserve">At the typical platform in this group, the take rate moved by about 20 percent a year, up or down. At the typical foreign platform it moved by about 6 percent, so the moves were about three times as large. Table 5.3 gives the test and its checks.</w:t>
      </w:r>
    </w:p>
    <w:p>
      <w:pPr>
        <w:pStyle w:val="BodyText"/>
        <w:keepNext/>
        <w:jc w:val="left"/>
      </w:pPr>
      <w:r>
        <w:rPr>
          <w:bCs/>
          <w:b/>
          <w:sz w:val="20"/>
        </w:rPr>
        <w:t xml:space="preserve">Table 5.3. The test of H1</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4207"/>
        <w:gridCol w:w="996"/>
        <w:gridCol w:w="1937"/>
        <w:gridCol w:w="1051"/>
        <w:gridCol w:w="1107"/>
      </w:tblGrid>
      <w:tr>
        <w:trPr>
          <w:tblHeader w:val="true"/>
          <w:cantSplit/>
          <w:tblHeader/>
        </w:trPr>
        <w:tc>
          <w:tcPr>
            <w:tcW w:w="4207" w:type="dxa"/>
            <w:tcBorders>
              <w:bottom w:val="single" w:sz="4" w:space="0" w:color="000000"/>
            </w:tcBorders>
          </w:tcPr>
          <w:p>
            <w:pPr>
              <w:pStyle w:val="Compact"/>
              <w:spacing w:after="20" w:before="20" w:line="240" w:lineRule="auto"/>
              <w:jc w:val="left"/>
            </w:pPr>
            <w:r>
              <w:rPr>
                <w:b/>
                <w:sz w:val="18"/>
              </w:rPr>
              <w:t xml:space="preserve">Test</w:t>
            </w:r>
          </w:p>
        </w:tc>
        <w:tc>
          <w:tcPr>
            <w:tcW w:w="996" w:type="dxa"/>
            <w:tcBorders>
              <w:bottom w:val="single" w:sz="4" w:space="0" w:color="000000"/>
            </w:tcBorders>
          </w:tcPr>
          <w:p>
            <w:pPr>
              <w:pStyle w:val="Compact"/>
              <w:spacing w:after="20" w:before="20" w:line="240" w:lineRule="auto"/>
              <w:jc w:val="left"/>
            </w:pPr>
            <w:r>
              <w:rPr>
                <w:b/>
                <w:sz w:val="18"/>
              </w:rPr>
              <w:t xml:space="preserve">Method</w:t>
            </w:r>
          </w:p>
        </w:tc>
        <w:tc>
          <w:tcPr>
            <w:tcW w:w="1937" w:type="dxa"/>
            <w:tcBorders>
              <w:bottom w:val="single" w:sz="4" w:space="0" w:color="000000"/>
            </w:tcBorders>
          </w:tcPr>
          <w:p>
            <w:pPr>
              <w:pStyle w:val="Compact"/>
              <w:spacing w:after="20" w:before="20" w:line="240" w:lineRule="auto"/>
              <w:jc w:val="left"/>
            </w:pPr>
            <w:r>
              <w:rPr>
                <w:b/>
                <w:sz w:val="18"/>
              </w:rPr>
              <w:t xml:space="preserve">Indonesian and regional group</w:t>
            </w:r>
          </w:p>
        </w:tc>
        <w:tc>
          <w:tcPr>
            <w:tcW w:w="1051" w:type="dxa"/>
            <w:tcBorders>
              <w:bottom w:val="single" w:sz="4" w:space="0" w:color="000000"/>
            </w:tcBorders>
          </w:tcPr>
          <w:p>
            <w:pPr>
              <w:pStyle w:val="Compact"/>
              <w:spacing w:after="20" w:before="20" w:line="240" w:lineRule="auto"/>
              <w:jc w:val="left"/>
            </w:pPr>
            <w:r>
              <w:rPr>
                <w:b/>
                <w:sz w:val="18"/>
              </w:rPr>
              <w:t xml:space="preserve">Foreign group</w:t>
            </w:r>
          </w:p>
        </w:tc>
        <w:tc>
          <w:tcPr>
            <w:tcW w:w="1107" w:type="dxa"/>
            <w:tcBorders>
              <w:bottom w:val="single" w:sz="4" w:space="0" w:color="000000"/>
            </w:tcBorders>
          </w:tcPr>
          <w:p>
            <w:pPr>
              <w:pStyle w:val="Compact"/>
              <w:spacing w:after="20" w:before="20" w:line="240" w:lineRule="auto"/>
              <w:jc w:val="left"/>
            </w:pPr>
            <w:r>
              <w:rPr>
                <w:b/>
                <w:sz w:val="18"/>
              </w:rPr>
              <w:t xml:space="preserve">p-value</w:t>
            </w:r>
          </w:p>
        </w:tc>
      </w:tr>
      <w:tr>
        <w:trPr>
          <w:cantSplit/>
        </w:trPr>
        <w:tc>
          <w:tcPr>
            <w:tcW w:w="4207" w:type="dxa"/>
          </w:tcPr>
          <w:p>
            <w:pPr>
              <w:pStyle w:val="Compact"/>
              <w:spacing w:after="20" w:before="20" w:line="240" w:lineRule="auto"/>
              <w:jc w:val="left"/>
            </w:pPr>
            <w:r>
              <w:rPr>
                <w:sz w:val="18"/>
              </w:rPr>
              <w:t xml:space="preserve">Yearly change in log take rate, 5 platforms against 27</w:t>
            </w:r>
          </w:p>
        </w:tc>
        <w:tc>
          <w:tcPr>
            <w:tcW w:w="996" w:type="dxa"/>
          </w:tcPr>
          <w:p>
            <w:pPr>
              <w:pStyle w:val="Compact"/>
              <w:spacing w:after="20" w:before="20" w:line="240" w:lineRule="auto"/>
              <w:jc w:val="left"/>
            </w:pPr>
            <w:r>
              <w:rPr>
                <w:sz w:val="18"/>
              </w:rPr>
              <w:t xml:space="preserve">Mann–Whitney</w:t>
            </w:r>
          </w:p>
        </w:tc>
        <w:tc>
          <w:tcPr>
            <w:tcW w:w="1937" w:type="dxa"/>
          </w:tcPr>
          <w:p>
            <w:pPr>
              <w:pStyle w:val="Compact"/>
              <w:spacing w:after="20" w:before="20" w:line="240" w:lineRule="auto"/>
              <w:jc w:val="left"/>
            </w:pPr>
            <w:r>
              <w:rPr>
                <w:sz w:val="18"/>
              </w:rPr>
              <w:t xml:space="preserve">0.20</w:t>
            </w:r>
          </w:p>
        </w:tc>
        <w:tc>
          <w:tcPr>
            <w:tcW w:w="1051" w:type="dxa"/>
          </w:tcPr>
          <w:p>
            <w:pPr>
              <w:pStyle w:val="Compact"/>
              <w:spacing w:after="20" w:before="20" w:line="240" w:lineRule="auto"/>
              <w:jc w:val="left"/>
            </w:pPr>
            <w:r>
              <w:rPr>
                <w:sz w:val="18"/>
              </w:rPr>
              <w:t xml:space="preserve">0.06</w:t>
            </w:r>
          </w:p>
        </w:tc>
        <w:tc>
          <w:tcPr>
            <w:tcW w:w="1107" w:type="dxa"/>
          </w:tcPr>
          <w:p>
            <w:pPr>
              <w:pStyle w:val="Compact"/>
              <w:spacing w:after="20" w:before="20" w:line="240" w:lineRule="auto"/>
              <w:jc w:val="left"/>
            </w:pPr>
            <w:r>
              <w:rPr>
                <w:sz w:val="18"/>
              </w:rPr>
              <w:t xml:space="preserve">0.004</w:t>
            </w:r>
          </w:p>
        </w:tc>
      </w:tr>
      <w:tr>
        <w:trPr>
          <w:cantSplit/>
        </w:trPr>
        <w:tc>
          <w:tcPr>
            <w:tcW w:w="4207" w:type="dxa"/>
          </w:tcPr>
          <w:p>
            <w:pPr>
              <w:pStyle w:val="Compact"/>
              <w:spacing w:after="20" w:before="20" w:line="240" w:lineRule="auto"/>
              <w:jc w:val="left"/>
            </w:pPr>
            <w:r>
              <w:rPr>
                <w:sz w:val="18"/>
              </w:rPr>
              <w:t xml:space="preserve">The same</w:t>
            </w:r>
          </w:p>
        </w:tc>
        <w:tc>
          <w:tcPr>
            <w:tcW w:w="996" w:type="dxa"/>
          </w:tcPr>
          <w:p>
            <w:pPr>
              <w:pStyle w:val="Compact"/>
              <w:spacing w:after="20" w:before="20" w:line="240" w:lineRule="auto"/>
              <w:jc w:val="left"/>
            </w:pPr>
            <w:r>
              <w:rPr>
                <w:sz w:val="18"/>
              </w:rPr>
              <w:t xml:space="preserve">Shuffle</w:t>
            </w:r>
          </w:p>
        </w:tc>
        <w:tc>
          <w:tcPr>
            <w:tcW w:w="1937" w:type="dxa"/>
          </w:tcPr>
          <w:p>
            <w:pPr>
              <w:pStyle w:val="Compact"/>
              <w:spacing w:after="20" w:before="20" w:line="240" w:lineRule="auto"/>
              <w:jc w:val="left"/>
            </w:pPr>
            <w:r>
              <w:rPr>
                <w:sz w:val="18"/>
              </w:rPr>
              <w:t xml:space="preserve">0.20</w:t>
            </w:r>
          </w:p>
        </w:tc>
        <w:tc>
          <w:tcPr>
            <w:tcW w:w="1051" w:type="dxa"/>
          </w:tcPr>
          <w:p>
            <w:pPr>
              <w:pStyle w:val="Compact"/>
              <w:spacing w:after="20" w:before="20" w:line="240" w:lineRule="auto"/>
              <w:jc w:val="left"/>
            </w:pPr>
            <w:r>
              <w:rPr>
                <w:sz w:val="18"/>
              </w:rPr>
              <w:t xml:space="preserve">0.06</w:t>
            </w:r>
          </w:p>
        </w:tc>
        <w:tc>
          <w:tcPr>
            <w:tcW w:w="1107" w:type="dxa"/>
          </w:tcPr>
          <w:p>
            <w:pPr>
              <w:pStyle w:val="Compact"/>
              <w:spacing w:after="20" w:before="20" w:line="240" w:lineRule="auto"/>
              <w:jc w:val="left"/>
            </w:pPr>
            <w:r>
              <w:rPr>
                <w:sz w:val="18"/>
              </w:rPr>
              <w:t xml:space="preserve">0.022</w:t>
            </w:r>
          </w:p>
        </w:tc>
      </w:tr>
      <w:tr>
        <w:trPr>
          <w:cantSplit/>
        </w:trPr>
        <w:tc>
          <w:tcPr>
            <w:tcW w:w="4207" w:type="dxa"/>
          </w:tcPr>
          <w:p>
            <w:pPr>
              <w:pStyle w:val="Compact"/>
              <w:spacing w:after="20" w:before="20" w:line="240" w:lineRule="auto"/>
              <w:jc w:val="left"/>
            </w:pPr>
            <w:r>
              <w:rPr>
                <w:sz w:val="18"/>
              </w:rPr>
              <w:t xml:space="preserve">Growth divergence in points, 5 platforms against 26</w:t>
            </w:r>
          </w:p>
        </w:tc>
        <w:tc>
          <w:tcPr>
            <w:tcW w:w="996" w:type="dxa"/>
          </w:tcPr>
          <w:p>
            <w:pPr>
              <w:pStyle w:val="Compact"/>
              <w:spacing w:after="20" w:before="20" w:line="240" w:lineRule="auto"/>
              <w:jc w:val="left"/>
            </w:pPr>
            <w:r>
              <w:rPr>
                <w:sz w:val="18"/>
              </w:rPr>
              <w:t xml:space="preserve">Mann–Whitney</w:t>
            </w:r>
          </w:p>
        </w:tc>
        <w:tc>
          <w:tcPr>
            <w:tcW w:w="1937" w:type="dxa"/>
          </w:tcPr>
          <w:p>
            <w:pPr>
              <w:pStyle w:val="Compact"/>
              <w:spacing w:after="20" w:before="20" w:line="240" w:lineRule="auto"/>
              <w:jc w:val="left"/>
            </w:pPr>
            <w:r>
              <w:rPr>
                <w:sz w:val="18"/>
              </w:rPr>
              <w:t xml:space="preserve">27.0</w:t>
            </w:r>
          </w:p>
        </w:tc>
        <w:tc>
          <w:tcPr>
            <w:tcW w:w="1051" w:type="dxa"/>
          </w:tcPr>
          <w:p>
            <w:pPr>
              <w:pStyle w:val="Compact"/>
              <w:spacing w:after="20" w:before="20" w:line="240" w:lineRule="auto"/>
              <w:jc w:val="left"/>
            </w:pPr>
            <w:r>
              <w:rPr>
                <w:sz w:val="18"/>
              </w:rPr>
              <w:t xml:space="preserve">6.5</w:t>
            </w:r>
          </w:p>
        </w:tc>
        <w:tc>
          <w:tcPr>
            <w:tcW w:w="1107" w:type="dxa"/>
          </w:tcPr>
          <w:p>
            <w:pPr>
              <w:pStyle w:val="Compact"/>
              <w:spacing w:after="20" w:before="20" w:line="240" w:lineRule="auto"/>
              <w:jc w:val="left"/>
            </w:pPr>
            <w:r>
              <w:rPr>
                <w:sz w:val="18"/>
              </w:rPr>
              <w:t xml:space="preserve">0.005</w:t>
            </w:r>
          </w:p>
        </w:tc>
      </w:tr>
      <w:tr>
        <w:trPr>
          <w:cantSplit/>
        </w:trPr>
        <w:tc>
          <w:tcPr>
            <w:tcW w:w="4207" w:type="dxa"/>
          </w:tcPr>
          <w:p>
            <w:pPr>
              <w:pStyle w:val="Compact"/>
              <w:spacing w:after="20" w:before="20" w:line="240" w:lineRule="auto"/>
              <w:jc w:val="left"/>
            </w:pPr>
            <w:r>
              <w:rPr>
                <w:sz w:val="18"/>
              </w:rPr>
              <w:t xml:space="preserve">Drop each platform in turn, or treat Tokopedia and GoTo as one company</w:t>
            </w:r>
          </w:p>
        </w:tc>
        <w:tc>
          <w:tcPr>
            <w:tcW w:w="996" w:type="dxa"/>
          </w:tcPr>
          <w:p>
            <w:pPr>
              <w:pStyle w:val="Compact"/>
              <w:spacing w:after="20" w:before="20" w:line="240" w:lineRule="auto"/>
              <w:jc w:val="left"/>
            </w:pPr>
            <w:r>
              <w:rPr>
                <w:sz w:val="18"/>
              </w:rPr>
              <w:t xml:space="preserve">Mann–Whitney</w:t>
            </w:r>
          </w:p>
        </w:tc>
        <w:tc>
          <w:tcPr>
            <w:tcW w:w="1937" w:type="dxa"/>
          </w:tcPr>
          <w:p>
            <w:pPr>
              <w:pStyle w:val="Compact"/>
              <w:spacing w:after="20" w:before="20" w:line="240" w:lineRule="auto"/>
              <w:jc w:val="left"/>
            </w:pPr>
            <w:r>
              <w:rPr>
                <w:sz w:val="18"/>
              </w:rPr>
              <w:t xml:space="preserve">0.17 to 0.23</w:t>
            </w:r>
          </w:p>
        </w:tc>
        <w:tc>
          <w:tcPr>
            <w:tcW w:w="1051" w:type="dxa"/>
          </w:tcPr>
          <w:p>
            <w:pPr>
              <w:pStyle w:val="Compact"/>
              <w:spacing w:after="20" w:before="20" w:line="240" w:lineRule="auto"/>
              <w:jc w:val="left"/>
            </w:pPr>
            <w:r>
              <w:rPr>
                <w:sz w:val="18"/>
              </w:rPr>
              <w:t xml:space="preserve">0.06</w:t>
            </w:r>
          </w:p>
        </w:tc>
        <w:tc>
          <w:tcPr>
            <w:tcW w:w="1107" w:type="dxa"/>
          </w:tcPr>
          <w:p>
            <w:pPr>
              <w:pStyle w:val="Compact"/>
              <w:spacing w:after="20" w:before="20" w:line="240" w:lineRule="auto"/>
              <w:jc w:val="left"/>
            </w:pPr>
            <w:r>
              <w:rPr>
                <w:sz w:val="18"/>
              </w:rPr>
              <w:t xml:space="preserve">0.003 to 0.016</w:t>
            </w:r>
          </w:p>
        </w:tc>
      </w:tr>
      <w:tr>
        <w:trPr>
          <w:cantSplit/>
        </w:trPr>
        <w:tc>
          <w:tcPr>
            <w:tcW w:w="4207" w:type="dxa"/>
          </w:tcPr>
          <w:p>
            <w:pPr>
              <w:pStyle w:val="Compact"/>
              <w:spacing w:after="20" w:before="20" w:line="240" w:lineRule="auto"/>
              <w:jc w:val="left"/>
            </w:pPr>
            <w:r>
              <w:rPr>
                <w:sz w:val="18"/>
              </w:rPr>
              <w:t xml:space="preserve">Quarterly pairs, 3 platforms against 8</w:t>
            </w:r>
          </w:p>
        </w:tc>
        <w:tc>
          <w:tcPr>
            <w:tcW w:w="996" w:type="dxa"/>
          </w:tcPr>
          <w:p>
            <w:pPr>
              <w:pStyle w:val="Compact"/>
              <w:spacing w:after="20" w:before="20" w:line="240" w:lineRule="auto"/>
              <w:jc w:val="left"/>
            </w:pPr>
            <w:r>
              <w:rPr>
                <w:sz w:val="18"/>
              </w:rPr>
              <w:t xml:space="preserve">Mann–Whitney</w:t>
            </w:r>
          </w:p>
        </w:tc>
        <w:tc>
          <w:tcPr>
            <w:tcW w:w="1937" w:type="dxa"/>
          </w:tcPr>
          <w:p>
            <w:pPr>
              <w:pStyle w:val="Compact"/>
              <w:spacing w:after="20" w:before="20" w:line="240" w:lineRule="auto"/>
              <w:jc w:val="left"/>
            </w:pPr>
            <w:r>
              <w:rPr>
                <w:sz w:val="18"/>
              </w:rPr>
              <w:t xml:space="preserve">0.071</w:t>
            </w:r>
          </w:p>
        </w:tc>
        <w:tc>
          <w:tcPr>
            <w:tcW w:w="1051" w:type="dxa"/>
          </w:tcPr>
          <w:p>
            <w:pPr>
              <w:pStyle w:val="Compact"/>
              <w:spacing w:after="20" w:before="20" w:line="240" w:lineRule="auto"/>
              <w:jc w:val="left"/>
            </w:pPr>
            <w:r>
              <w:rPr>
                <w:sz w:val="18"/>
              </w:rPr>
              <w:t xml:space="preserve">0.049</w:t>
            </w:r>
          </w:p>
        </w:tc>
        <w:tc>
          <w:tcPr>
            <w:tcW w:w="1107" w:type="dxa"/>
          </w:tcPr>
          <w:p>
            <w:pPr>
              <w:pStyle w:val="Compact"/>
              <w:spacing w:after="20" w:before="20" w:line="240" w:lineRule="auto"/>
              <w:jc w:val="left"/>
            </w:pPr>
            <w:r>
              <w:rPr>
                <w:sz w:val="18"/>
              </w:rPr>
              <w:t xml:space="preserve">0.19</w:t>
            </w:r>
          </w:p>
        </w:tc>
      </w:tr>
    </w:tbl>
    <w:p>
      <w:pPr>
        <w:pStyle w:val="BodyText"/>
        <w:jc w:val="left"/>
      </w:pPr>
      <w:r>
        <w:rPr>
          <w:iCs/>
          <w:i/>
          <w:sz w:val="19"/>
        </w:rPr>
        <w:t xml:space="preserve">Note:</w:t>
      </w:r>
      <w:r>
        <w:rPr>
          <w:sz w:val="19"/>
        </w:rPr>
        <w:t xml:space="preserve"> </w:t>
      </w:r>
      <w:r>
        <w:rPr>
          <w:sz w:val="19"/>
        </w:rP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rPr>
          <w:bCs/>
          <w:b/>
        </w:rPr>
        <w:t xml:space="preserve">The main test was set up after a first, narrower test, so it is exploratory.</w:t>
      </w:r>
      <w:r>
        <w:t xml:space="preserve"> </w:t>
      </w:r>
      <w:r>
        <w:t xml:space="preserve">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w:t>
      </w:r>
      <w:r>
        <w:t xml:space="preserve"> </w:t>
      </w:r>
      <w:r>
        <w:rPr>
          <w:bCs/>
          <w:b/>
        </w:rPr>
        <w:t xml:space="preserve">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keepNext/>
        <w:jc w:val="center"/>
      </w:pPr>
      <w:r>
        <w:drawing>
          <wp:inline>
            <wp:extent cx="5969000" cy="2186857"/>
            <wp:effectExtent b="0" l="0" r="0" t="0"/>
            <wp:docPr descr="" title="" id="53" name="Picture"/>
            <a:graphic>
              <a:graphicData uri="http://schemas.openxmlformats.org/drawingml/2006/picture">
                <pic:pic>
                  <pic:nvPicPr>
                    <pic:cNvPr descr="figures/fig5_1_thin_slice.png" id="54" name="Picture"/>
                    <pic:cNvPicPr>
                      <a:picLocks noChangeArrowheads="1" noChangeAspect="1"/>
                    </pic:cNvPicPr>
                  </pic:nvPicPr>
                  <pic:blipFill>
                    <a:blip r:embed="rId52"/>
                    <a:stretch>
                      <a:fillRect/>
                    </a:stretch>
                  </pic:blipFill>
                  <pic:spPr bwMode="auto">
                    <a:xfrm>
                      <a:off x="0" y="0"/>
                      <a:ext cx="5969000" cy="2186857"/>
                    </a:xfrm>
                    <a:prstGeom prst="rect">
                      <a:avLst/>
                    </a:prstGeom>
                    <a:noFill/>
                    <a:ln w="9525">
                      <a:noFill/>
                      <a:headEnd/>
                      <a:tailEnd/>
                    </a:ln>
                  </pic:spPr>
                </pic:pic>
              </a:graphicData>
            </a:graphic>
          </wp:inline>
        </w:drawing>
      </w:r>
    </w:p>
    <w:p>
      <w:pPr>
        <w:pStyle w:val="BodyText"/>
        <w:jc w:val="left"/>
      </w:pPr>
      <w:r>
        <w:rPr>
          <w:bCs/>
          <w:b/>
          <w:sz w:val="20"/>
        </w:rPr>
        <w:t xml:space="preserve">Figure 5.1. The thin take rate.</w:t>
      </w:r>
      <w:r>
        <w:rPr>
          <w:sz w:val="20"/>
        </w:rPr>
        <w:t xml:space="preserve"> </w:t>
      </w:r>
      <w:r>
        <w:rPr>
          <w:sz w:val="20"/>
        </w:rP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5"/>
    <w:bookmarkStart w:id="59" w:name="what-moved-the-take-rate"/>
    <w:p>
      <w:pPr>
        <w:pStyle w:val="Heading2"/>
      </w:pPr>
      <w:r>
        <w:t xml:space="preserve">5.3 What moved the take rate</w:t>
      </w:r>
    </w:p>
    <w:p>
      <w:pPr>
        <w:pStyle w:val="FirstParagraph"/>
      </w:pPr>
      <w:r>
        <w:rPr>
          <w:bCs/>
          <w:b/>
        </w:rPr>
        <w:t xml:space="preserve">Pricing, not more commerce, moved revenue at the Indonesian and regional platforms.</w:t>
      </w:r>
      <w:r>
        <w:t xml:space="preserve"> </w:t>
      </w:r>
      <w:r>
        <w:t xml:space="preserve">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keepNext/>
        <w:jc w:val="left"/>
      </w:pPr>
      <w:r>
        <w:rPr>
          <w:bCs/>
          <w:b/>
          <w:sz w:val="20"/>
        </w:rPr>
        <w:t xml:space="preserve">Table 5.4. What moved revenue in seven Indonesian and regional windows (share of the growth of revenue, percent)</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3074"/>
        <w:gridCol w:w="1767"/>
        <w:gridCol w:w="1460"/>
        <w:gridCol w:w="1306"/>
        <w:gridCol w:w="1690"/>
      </w:tblGrid>
      <w:tr>
        <w:trPr>
          <w:tblHeader w:val="true"/>
          <w:cantSplit/>
          <w:tblHeader/>
        </w:trPr>
        <w:tc>
          <w:tcPr>
            <w:tcW w:w="3074" w:type="dxa"/>
            <w:tcBorders>
              <w:bottom w:val="single" w:sz="4" w:space="0" w:color="000000"/>
            </w:tcBorders>
          </w:tcPr>
          <w:p>
            <w:pPr>
              <w:pStyle w:val="Compact"/>
              <w:spacing w:after="20" w:before="20" w:line="240" w:lineRule="auto"/>
              <w:jc w:val="left"/>
            </w:pPr>
            <w:r>
              <w:rPr>
                <w:b/>
                <w:sz w:val="18"/>
              </w:rPr>
              <w:t xml:space="preserve">Platform and window</w:t>
            </w:r>
          </w:p>
        </w:tc>
        <w:tc>
          <w:tcPr>
            <w:tcW w:w="1767" w:type="dxa"/>
            <w:tcBorders>
              <w:bottom w:val="single" w:sz="4" w:space="0" w:color="000000"/>
            </w:tcBorders>
          </w:tcPr>
          <w:p>
            <w:pPr>
              <w:pStyle w:val="Compact"/>
              <w:spacing w:after="20" w:before="20" w:line="240" w:lineRule="auto"/>
              <w:jc w:val="left"/>
            </w:pPr>
            <w:r>
              <w:rPr>
                <w:b/>
                <w:sz w:val="18"/>
              </w:rPr>
              <w:t xml:space="preserve">Growth of revenue</w:t>
            </w:r>
          </w:p>
        </w:tc>
        <w:tc>
          <w:tcPr>
            <w:tcW w:w="1460" w:type="dxa"/>
            <w:tcBorders>
              <w:bottom w:val="single" w:sz="4" w:space="0" w:color="000000"/>
            </w:tcBorders>
          </w:tcPr>
          <w:p>
            <w:pPr>
              <w:pStyle w:val="Compact"/>
              <w:spacing w:after="20" w:before="20" w:line="240" w:lineRule="auto"/>
              <w:jc w:val="left"/>
            </w:pPr>
            <w:r>
              <w:rPr>
                <w:b/>
                <w:sz w:val="18"/>
              </w:rPr>
              <w:t xml:space="preserve">More commerce</w:t>
            </w:r>
          </w:p>
        </w:tc>
        <w:tc>
          <w:tcPr>
            <w:tcW w:w="1306" w:type="dxa"/>
            <w:tcBorders>
              <w:bottom w:val="single" w:sz="4" w:space="0" w:color="000000"/>
            </w:tcBorders>
          </w:tcPr>
          <w:p>
            <w:pPr>
              <w:pStyle w:val="Compact"/>
              <w:spacing w:after="20" w:before="20" w:line="240" w:lineRule="auto"/>
              <w:jc w:val="left"/>
            </w:pPr>
            <w:r>
              <w:rPr>
                <w:b/>
                <w:sz w:val="18"/>
              </w:rPr>
              <w:t xml:space="preserve">Higher fees</w:t>
            </w:r>
          </w:p>
        </w:tc>
        <w:tc>
          <w:tcPr>
            <w:tcW w:w="1690" w:type="dxa"/>
            <w:tcBorders>
              <w:bottom w:val="single" w:sz="4" w:space="0" w:color="000000"/>
            </w:tcBorders>
          </w:tcPr>
          <w:p>
            <w:pPr>
              <w:pStyle w:val="Compact"/>
              <w:spacing w:after="20" w:before="20" w:line="240" w:lineRule="auto"/>
              <w:jc w:val="left"/>
            </w:pPr>
            <w:r>
              <w:rPr>
                <w:b/>
                <w:sz w:val="18"/>
              </w:rPr>
              <w:t xml:space="preserve">Lower incentives</w:t>
            </w:r>
          </w:p>
        </w:tc>
      </w:tr>
      <w:tr>
        <w:trPr>
          <w:cantSplit/>
        </w:trPr>
        <w:tc>
          <w:tcPr>
            <w:tcW w:w="3074" w:type="dxa"/>
          </w:tcPr>
          <w:p>
            <w:pPr>
              <w:pStyle w:val="Compact"/>
              <w:spacing w:after="20" w:before="20" w:line="240" w:lineRule="auto"/>
              <w:jc w:val="left"/>
            </w:pPr>
            <w:r>
              <w:rPr>
                <w:sz w:val="18"/>
              </w:rPr>
              <w:t xml:space="preserve">Tokopedia, 2022–23</w:t>
            </w:r>
          </w:p>
        </w:tc>
        <w:tc>
          <w:tcPr>
            <w:tcW w:w="1767" w:type="dxa"/>
          </w:tcPr>
          <w:p>
            <w:pPr>
              <w:pStyle w:val="Compact"/>
              <w:spacing w:after="20" w:before="20" w:line="240" w:lineRule="auto"/>
              <w:jc w:val="left"/>
            </w:pPr>
            <w:r>
              <w:rPr>
                <w:sz w:val="18"/>
              </w:rPr>
              <w:t xml:space="preserve">+53%</w:t>
            </w:r>
          </w:p>
        </w:tc>
        <w:tc>
          <w:tcPr>
            <w:tcW w:w="1460" w:type="dxa"/>
          </w:tcPr>
          <w:p>
            <w:pPr>
              <w:pStyle w:val="Compact"/>
              <w:spacing w:after="20" w:before="20" w:line="240" w:lineRule="auto"/>
              <w:jc w:val="left"/>
            </w:pPr>
            <w:r>
              <w:rPr>
                <w:sz w:val="18"/>
              </w:rPr>
              <w:t xml:space="preserve">−22</w:t>
            </w:r>
          </w:p>
        </w:tc>
        <w:tc>
          <w:tcPr>
            <w:tcW w:w="1306" w:type="dxa"/>
          </w:tcPr>
          <w:p>
            <w:pPr>
              <w:pStyle w:val="Compact"/>
              <w:spacing w:after="20" w:before="20" w:line="240" w:lineRule="auto"/>
              <w:jc w:val="left"/>
            </w:pPr>
            <w:r>
              <w:rPr>
                <w:sz w:val="18"/>
              </w:rPr>
              <w:t xml:space="preserve">76</w:t>
            </w:r>
          </w:p>
        </w:tc>
        <w:tc>
          <w:tcPr>
            <w:tcW w:w="1690" w:type="dxa"/>
          </w:tcPr>
          <w:p>
            <w:pPr>
              <w:pStyle w:val="Compact"/>
              <w:spacing w:after="20" w:before="20" w:line="240" w:lineRule="auto"/>
              <w:jc w:val="left"/>
            </w:pPr>
            <w:r>
              <w:rPr>
                <w:sz w:val="18"/>
              </w:rPr>
              <w:t xml:space="preserve">45</w:t>
            </w:r>
          </w:p>
        </w:tc>
      </w:tr>
      <w:tr>
        <w:trPr>
          <w:cantSplit/>
        </w:trPr>
        <w:tc>
          <w:tcPr>
            <w:tcW w:w="3074" w:type="dxa"/>
          </w:tcPr>
          <w:p>
            <w:pPr>
              <w:pStyle w:val="Compact"/>
              <w:spacing w:after="20" w:before="20" w:line="240" w:lineRule="auto"/>
              <w:jc w:val="left"/>
            </w:pPr>
            <w:r>
              <w:rPr>
                <w:sz w:val="18"/>
              </w:rPr>
              <w:t xml:space="preserve">Blibli third-party retail, 2022–23</w:t>
            </w:r>
          </w:p>
        </w:tc>
        <w:tc>
          <w:tcPr>
            <w:tcW w:w="1767" w:type="dxa"/>
          </w:tcPr>
          <w:p>
            <w:pPr>
              <w:pStyle w:val="Compact"/>
              <w:spacing w:after="20" w:before="20" w:line="240" w:lineRule="auto"/>
              <w:jc w:val="left"/>
            </w:pPr>
            <w:r>
              <w:rPr>
                <w:sz w:val="18"/>
              </w:rPr>
              <w:t xml:space="preserve">+465%</w:t>
            </w:r>
          </w:p>
        </w:tc>
        <w:tc>
          <w:tcPr>
            <w:tcW w:w="1460" w:type="dxa"/>
          </w:tcPr>
          <w:p>
            <w:pPr>
              <w:pStyle w:val="Compact"/>
              <w:spacing w:after="20" w:before="20" w:line="240" w:lineRule="auto"/>
              <w:jc w:val="left"/>
            </w:pPr>
            <w:r>
              <w:rPr>
                <w:sz w:val="18"/>
              </w:rPr>
              <w:t xml:space="preserve">17</w:t>
            </w:r>
          </w:p>
        </w:tc>
        <w:tc>
          <w:tcPr>
            <w:tcW w:w="1306" w:type="dxa"/>
          </w:tcPr>
          <w:p>
            <w:pPr>
              <w:pStyle w:val="Compact"/>
              <w:spacing w:after="20" w:before="20" w:line="240" w:lineRule="auto"/>
              <w:jc w:val="left"/>
            </w:pPr>
            <w:r>
              <w:rPr>
                <w:sz w:val="18"/>
              </w:rPr>
              <w:t xml:space="preserve">20</w:t>
            </w:r>
          </w:p>
        </w:tc>
        <w:tc>
          <w:tcPr>
            <w:tcW w:w="1690" w:type="dxa"/>
          </w:tcPr>
          <w:p>
            <w:pPr>
              <w:pStyle w:val="Compact"/>
              <w:spacing w:after="20" w:before="20" w:line="240" w:lineRule="auto"/>
              <w:jc w:val="left"/>
            </w:pPr>
            <w:r>
              <w:rPr>
                <w:sz w:val="18"/>
              </w:rPr>
              <w:t xml:space="preserve">63</w:t>
            </w:r>
          </w:p>
        </w:tc>
      </w:tr>
      <w:tr>
        <w:trPr>
          <w:cantSplit/>
        </w:trPr>
        <w:tc>
          <w:tcPr>
            <w:tcW w:w="3074" w:type="dxa"/>
          </w:tcPr>
          <w:p>
            <w:pPr>
              <w:pStyle w:val="Compact"/>
              <w:spacing w:after="20" w:before="20" w:line="240" w:lineRule="auto"/>
              <w:jc w:val="left"/>
            </w:pPr>
            <w:r>
              <w:rPr>
                <w:sz w:val="18"/>
              </w:rPr>
              <w:t xml:space="preserve">Blibli third-party retail, 2022–25</w:t>
            </w:r>
          </w:p>
        </w:tc>
        <w:tc>
          <w:tcPr>
            <w:tcW w:w="1767" w:type="dxa"/>
          </w:tcPr>
          <w:p>
            <w:pPr>
              <w:pStyle w:val="Compact"/>
              <w:spacing w:after="20" w:before="20" w:line="240" w:lineRule="auto"/>
              <w:jc w:val="left"/>
            </w:pPr>
            <w:r>
              <w:rPr>
                <w:sz w:val="18"/>
              </w:rPr>
              <w:t xml:space="preserve">+679%</w:t>
            </w:r>
          </w:p>
        </w:tc>
        <w:tc>
          <w:tcPr>
            <w:tcW w:w="1460" w:type="dxa"/>
          </w:tcPr>
          <w:p>
            <w:pPr>
              <w:pStyle w:val="Compact"/>
              <w:spacing w:after="20" w:before="20" w:line="240" w:lineRule="auto"/>
              <w:jc w:val="left"/>
            </w:pPr>
            <w:r>
              <w:rPr>
                <w:sz w:val="18"/>
              </w:rPr>
              <w:t xml:space="preserve">18</w:t>
            </w:r>
          </w:p>
        </w:tc>
        <w:tc>
          <w:tcPr>
            <w:tcW w:w="1306" w:type="dxa"/>
          </w:tcPr>
          <w:p>
            <w:pPr>
              <w:pStyle w:val="Compact"/>
              <w:spacing w:after="20" w:before="20" w:line="240" w:lineRule="auto"/>
              <w:jc w:val="left"/>
            </w:pPr>
            <w:r>
              <w:rPr>
                <w:sz w:val="18"/>
              </w:rPr>
              <w:t xml:space="preserve">63</w:t>
            </w:r>
          </w:p>
        </w:tc>
        <w:tc>
          <w:tcPr>
            <w:tcW w:w="1690" w:type="dxa"/>
          </w:tcPr>
          <w:p>
            <w:pPr>
              <w:pStyle w:val="Compact"/>
              <w:spacing w:after="20" w:before="20" w:line="240" w:lineRule="auto"/>
              <w:jc w:val="left"/>
            </w:pPr>
            <w:r>
              <w:rPr>
                <w:sz w:val="18"/>
              </w:rPr>
              <w:t xml:space="preserve">20</w:t>
            </w:r>
          </w:p>
        </w:tc>
      </w:tr>
      <w:tr>
        <w:trPr>
          <w:cantSplit/>
        </w:trPr>
        <w:tc>
          <w:tcPr>
            <w:tcW w:w="3074" w:type="dxa"/>
          </w:tcPr>
          <w:p>
            <w:pPr>
              <w:pStyle w:val="Compact"/>
              <w:spacing w:after="20" w:before="20" w:line="240" w:lineRule="auto"/>
              <w:jc w:val="left"/>
            </w:pPr>
            <w:r>
              <w:rPr>
                <w:sz w:val="18"/>
              </w:rPr>
              <w:t xml:space="preserve">Grab on-demand, 2021–24</w:t>
            </w:r>
          </w:p>
        </w:tc>
        <w:tc>
          <w:tcPr>
            <w:tcW w:w="1767" w:type="dxa"/>
          </w:tcPr>
          <w:p>
            <w:pPr>
              <w:pStyle w:val="Compact"/>
              <w:spacing w:after="20" w:before="20" w:line="240" w:lineRule="auto"/>
              <w:jc w:val="left"/>
            </w:pPr>
            <w:r>
              <w:rPr>
                <w:sz w:val="18"/>
              </w:rPr>
              <w:t xml:space="preserve">+321%</w:t>
            </w:r>
          </w:p>
        </w:tc>
        <w:tc>
          <w:tcPr>
            <w:tcW w:w="1460" w:type="dxa"/>
          </w:tcPr>
          <w:p>
            <w:pPr>
              <w:pStyle w:val="Compact"/>
              <w:spacing w:after="20" w:before="20" w:line="240" w:lineRule="auto"/>
              <w:jc w:val="left"/>
            </w:pPr>
            <w:r>
              <w:rPr>
                <w:sz w:val="18"/>
              </w:rPr>
              <w:t xml:space="preserve">34</w:t>
            </w:r>
          </w:p>
        </w:tc>
        <w:tc>
          <w:tcPr>
            <w:tcW w:w="1306" w:type="dxa"/>
          </w:tcPr>
          <w:p>
            <w:pPr>
              <w:pStyle w:val="Compact"/>
              <w:spacing w:after="20" w:before="20" w:line="240" w:lineRule="auto"/>
              <w:jc w:val="left"/>
            </w:pPr>
            <w:r>
              <w:rPr>
                <w:sz w:val="18"/>
              </w:rPr>
              <w:t xml:space="preserve">34</w:t>
            </w:r>
          </w:p>
        </w:tc>
        <w:tc>
          <w:tcPr>
            <w:tcW w:w="1690" w:type="dxa"/>
          </w:tcPr>
          <w:p>
            <w:pPr>
              <w:pStyle w:val="Compact"/>
              <w:spacing w:after="20" w:before="20" w:line="240" w:lineRule="auto"/>
              <w:jc w:val="left"/>
            </w:pPr>
            <w:r>
              <w:rPr>
                <w:sz w:val="18"/>
              </w:rPr>
              <w:t xml:space="preserve">33</w:t>
            </w:r>
          </w:p>
        </w:tc>
      </w:tr>
      <w:tr>
        <w:trPr>
          <w:cantSplit/>
        </w:trPr>
        <w:tc>
          <w:tcPr>
            <w:tcW w:w="3074" w:type="dxa"/>
          </w:tcPr>
          <w:p>
            <w:pPr>
              <w:pStyle w:val="Compact"/>
              <w:spacing w:after="20" w:before="20" w:line="240" w:lineRule="auto"/>
              <w:jc w:val="left"/>
            </w:pPr>
            <w:r>
              <w:rPr>
                <w:sz w:val="18"/>
              </w:rPr>
              <w:t xml:space="preserve">Grab on-demand, 2022–24</w:t>
            </w:r>
          </w:p>
        </w:tc>
        <w:tc>
          <w:tcPr>
            <w:tcW w:w="1767" w:type="dxa"/>
          </w:tcPr>
          <w:p>
            <w:pPr>
              <w:pStyle w:val="Compact"/>
              <w:spacing w:after="20" w:before="20" w:line="240" w:lineRule="auto"/>
              <w:jc w:val="left"/>
            </w:pPr>
            <w:r>
              <w:rPr>
                <w:sz w:val="18"/>
              </w:rPr>
              <w:t xml:space="preserve">+86%</w:t>
            </w:r>
          </w:p>
        </w:tc>
        <w:tc>
          <w:tcPr>
            <w:tcW w:w="1460" w:type="dxa"/>
          </w:tcPr>
          <w:p>
            <w:pPr>
              <w:pStyle w:val="Compact"/>
              <w:spacing w:after="20" w:before="20" w:line="240" w:lineRule="auto"/>
              <w:jc w:val="left"/>
            </w:pPr>
            <w:r>
              <w:rPr>
                <w:sz w:val="18"/>
              </w:rPr>
              <w:t xml:space="preserve">42</w:t>
            </w:r>
          </w:p>
        </w:tc>
        <w:tc>
          <w:tcPr>
            <w:tcW w:w="1306" w:type="dxa"/>
          </w:tcPr>
          <w:p>
            <w:pPr>
              <w:pStyle w:val="Compact"/>
              <w:spacing w:after="20" w:before="20" w:line="240" w:lineRule="auto"/>
              <w:jc w:val="left"/>
            </w:pPr>
            <w:r>
              <w:rPr>
                <w:sz w:val="18"/>
              </w:rPr>
              <w:t xml:space="preserve">11</w:t>
            </w:r>
          </w:p>
        </w:tc>
        <w:tc>
          <w:tcPr>
            <w:tcW w:w="1690" w:type="dxa"/>
          </w:tcPr>
          <w:p>
            <w:pPr>
              <w:pStyle w:val="Compact"/>
              <w:spacing w:after="20" w:before="20" w:line="240" w:lineRule="auto"/>
              <w:jc w:val="left"/>
            </w:pPr>
            <w:r>
              <w:rPr>
                <w:sz w:val="18"/>
              </w:rPr>
              <w:t xml:space="preserve">47</w:t>
            </w:r>
          </w:p>
        </w:tc>
      </w:tr>
      <w:tr>
        <w:trPr>
          <w:cantSplit/>
        </w:trPr>
        <w:tc>
          <w:tcPr>
            <w:tcW w:w="3074" w:type="dxa"/>
          </w:tcPr>
          <w:p>
            <w:pPr>
              <w:pStyle w:val="Compact"/>
              <w:spacing w:after="20" w:before="20" w:line="240" w:lineRule="auto"/>
              <w:jc w:val="left"/>
            </w:pPr>
            <w:r>
              <w:rPr>
                <w:sz w:val="18"/>
              </w:rPr>
              <w:t xml:space="preserve">GoTo on-demand, 2022–25</w:t>
            </w:r>
          </w:p>
        </w:tc>
        <w:tc>
          <w:tcPr>
            <w:tcW w:w="1767" w:type="dxa"/>
          </w:tcPr>
          <w:p>
            <w:pPr>
              <w:pStyle w:val="Compact"/>
              <w:spacing w:after="20" w:before="20" w:line="240" w:lineRule="auto"/>
              <w:jc w:val="left"/>
            </w:pPr>
            <w:r>
              <w:rPr>
                <w:sz w:val="18"/>
              </w:rPr>
              <w:t xml:space="preserve">+111%</w:t>
            </w:r>
          </w:p>
        </w:tc>
        <w:tc>
          <w:tcPr>
            <w:tcW w:w="1460" w:type="dxa"/>
          </w:tcPr>
          <w:p>
            <w:pPr>
              <w:pStyle w:val="Compact"/>
              <w:spacing w:after="20" w:before="20" w:line="240" w:lineRule="auto"/>
              <w:jc w:val="left"/>
            </w:pPr>
            <w:r>
              <w:rPr>
                <w:sz w:val="18"/>
              </w:rPr>
              <w:t xml:space="preserve">12</w:t>
            </w:r>
          </w:p>
        </w:tc>
        <w:tc>
          <w:tcPr>
            <w:tcW w:w="1306" w:type="dxa"/>
          </w:tcPr>
          <w:p>
            <w:pPr>
              <w:pStyle w:val="Compact"/>
              <w:spacing w:after="20" w:before="20" w:line="240" w:lineRule="auto"/>
              <w:jc w:val="left"/>
            </w:pPr>
            <w:r>
              <w:rPr>
                <w:sz w:val="18"/>
              </w:rPr>
              <w:t xml:space="preserve">36</w:t>
            </w:r>
          </w:p>
        </w:tc>
        <w:tc>
          <w:tcPr>
            <w:tcW w:w="1690" w:type="dxa"/>
          </w:tcPr>
          <w:p>
            <w:pPr>
              <w:pStyle w:val="Compact"/>
              <w:spacing w:after="20" w:before="20" w:line="240" w:lineRule="auto"/>
              <w:jc w:val="left"/>
            </w:pPr>
            <w:r>
              <w:rPr>
                <w:sz w:val="18"/>
              </w:rPr>
              <w:t xml:space="preserve">52</w:t>
            </w:r>
          </w:p>
        </w:tc>
      </w:tr>
      <w:tr>
        <w:trPr>
          <w:cantSplit/>
        </w:trPr>
        <w:tc>
          <w:tcPr>
            <w:tcW w:w="3074" w:type="dxa"/>
          </w:tcPr>
          <w:p>
            <w:pPr>
              <w:pStyle w:val="Compact"/>
              <w:spacing w:after="20" w:before="20" w:line="240" w:lineRule="auto"/>
              <w:jc w:val="left"/>
            </w:pPr>
            <w:r>
              <w:rPr>
                <w:sz w:val="18"/>
              </w:rPr>
              <w:t xml:space="preserve">GoTo on-demand, 2023–25</w:t>
            </w:r>
          </w:p>
        </w:tc>
        <w:tc>
          <w:tcPr>
            <w:tcW w:w="1767" w:type="dxa"/>
          </w:tcPr>
          <w:p>
            <w:pPr>
              <w:pStyle w:val="Compact"/>
              <w:spacing w:after="20" w:before="20" w:line="240" w:lineRule="auto"/>
              <w:jc w:val="left"/>
            </w:pPr>
            <w:r>
              <w:rPr>
                <w:sz w:val="18"/>
              </w:rPr>
              <w:t xml:space="preserve">+114%</w:t>
            </w:r>
          </w:p>
        </w:tc>
        <w:tc>
          <w:tcPr>
            <w:tcW w:w="1460" w:type="dxa"/>
          </w:tcPr>
          <w:p>
            <w:pPr>
              <w:pStyle w:val="Compact"/>
              <w:spacing w:after="20" w:before="20" w:line="240" w:lineRule="auto"/>
              <w:jc w:val="left"/>
            </w:pPr>
            <w:r>
              <w:rPr>
                <w:sz w:val="18"/>
              </w:rPr>
              <w:t xml:space="preserve">27</w:t>
            </w:r>
          </w:p>
        </w:tc>
        <w:tc>
          <w:tcPr>
            <w:tcW w:w="1306" w:type="dxa"/>
          </w:tcPr>
          <w:p>
            <w:pPr>
              <w:pStyle w:val="Compact"/>
              <w:spacing w:after="20" w:before="20" w:line="240" w:lineRule="auto"/>
              <w:jc w:val="left"/>
            </w:pPr>
            <w:r>
              <w:rPr>
                <w:sz w:val="18"/>
              </w:rPr>
              <w:t xml:space="preserve">6</w:t>
            </w:r>
          </w:p>
        </w:tc>
        <w:tc>
          <w:tcPr>
            <w:tcW w:w="1690" w:type="dxa"/>
          </w:tcPr>
          <w:p>
            <w:pPr>
              <w:pStyle w:val="Compact"/>
              <w:spacing w:after="20" w:before="20" w:line="240" w:lineRule="auto"/>
              <w:jc w:val="left"/>
            </w:pPr>
            <w:r>
              <w:rPr>
                <w:sz w:val="18"/>
              </w:rPr>
              <w:t xml:space="preserve">67</w:t>
            </w:r>
          </w:p>
        </w:tc>
      </w:tr>
    </w:tbl>
    <w:p>
      <w:pPr>
        <w:pStyle w:val="BodyText"/>
        <w:jc w:val="left"/>
      </w:pPr>
      <w:r>
        <w:rPr>
          <w:iCs/>
          <w:i/>
          <w:sz w:val="19"/>
        </w:rPr>
        <w:t xml:space="preserve">Note:</w:t>
      </w:r>
      <w:r>
        <w:rPr>
          <w:sz w:val="19"/>
        </w:rPr>
        <w:t xml:space="preserve"> </w:t>
      </w:r>
      <w:r>
        <w:rPr>
          <w:sz w:val="19"/>
        </w:rPr>
        <w:t xml:space="preserve">Shares are rounded, so a row can add to 99 or 101. Source: company filings; author’s calculations (Appendix A).</w:t>
      </w:r>
    </w:p>
    <w:p>
      <w:pPr>
        <w:pStyle w:val="BodyText"/>
      </w:pPr>
      <w:r>
        <w:rPr>
          <w:bCs/>
          <w:b/>
        </w:rPr>
        <w:t xml:space="preserve">Higher fees and lower incentives together outweighed more commerce in every window.</w:t>
      </w:r>
      <w:r>
        <w:t xml:space="preserve"> </w:t>
      </w:r>
      <w:r>
        <w:t xml:space="preserve">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keepNext/>
        <w:jc w:val="center"/>
      </w:pPr>
      <w:r>
        <w:drawing>
          <wp:inline>
            <wp:extent cx="5969000" cy="1980497"/>
            <wp:effectExtent b="0" l="0" r="0" t="0"/>
            <wp:docPr descr="" title="" id="57" name="Picture"/>
            <a:graphic>
              <a:graphicData uri="http://schemas.openxmlformats.org/drawingml/2006/picture">
                <pic:pic>
                  <pic:nvPicPr>
                    <pic:cNvPr descr="figures/fig5_2_tokopedia_two_views.png" id="58" name="Picture"/>
                    <pic:cNvPicPr>
                      <a:picLocks noChangeArrowheads="1" noChangeAspect="1"/>
                    </pic:cNvPicPr>
                  </pic:nvPicPr>
                  <pic:blipFill>
                    <a:blip r:embed="rId56"/>
                    <a:stretch>
                      <a:fillRect/>
                    </a:stretch>
                  </pic:blipFill>
                  <pic:spPr bwMode="auto">
                    <a:xfrm>
                      <a:off x="0" y="0"/>
                      <a:ext cx="5969000" cy="1980497"/>
                    </a:xfrm>
                    <a:prstGeom prst="rect">
                      <a:avLst/>
                    </a:prstGeom>
                    <a:noFill/>
                    <a:ln w="9525">
                      <a:noFill/>
                      <a:headEnd/>
                      <a:tailEnd/>
                    </a:ln>
                  </pic:spPr>
                </pic:pic>
              </a:graphicData>
            </a:graphic>
          </wp:inline>
        </w:drawing>
      </w:r>
    </w:p>
    <w:p>
      <w:pPr>
        <w:pStyle w:val="BodyText"/>
        <w:jc w:val="left"/>
      </w:pPr>
      <w:r>
        <w:rPr>
          <w:bCs/>
          <w:b/>
          <w:sz w:val="20"/>
        </w:rPr>
        <w:t xml:space="preserve">Figure 5.2. Tokopedia, 2022 to 2023: two ways to split the rise in revenue.</w:t>
      </w:r>
      <w:r>
        <w:rPr>
          <w:sz w:val="20"/>
        </w:rPr>
        <w:t xml:space="preserve"> </w:t>
      </w:r>
      <w:r>
        <w:rPr>
          <w:sz w:val="20"/>
        </w:rP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9"/>
    <w:bookmarkStart w:id="60" w:name="what-markets-valued"/>
    <w:p>
      <w:pPr>
        <w:pStyle w:val="Heading2"/>
      </w:pPr>
      <w:r>
        <w:t xml:space="preserve">5.4 What markets valued</w:t>
      </w:r>
    </w:p>
    <w:p>
      <w:pPr>
        <w:pStyle w:val="FirstParagraph"/>
      </w:pPr>
      <w:r>
        <w:rPr>
          <w:bCs/>
          <w:b/>
        </w:rPr>
        <w:t xml:space="preserve">Across 28 listed platforms and 138 platform-years, market value moved with transaction value, a registered result.</w:t>
      </w:r>
      <w:r>
        <w:t xml:space="preserve"> </w:t>
      </w:r>
      <w:r>
        <w:t xml:space="preserve">A 1 percent rise in transaction value goes with a rise of about 0.6 percent in market value (β</w:t>
      </w:r>
      <w:r>
        <w:rPr>
          <w:vertAlign w:val="subscript"/>
        </w:rPr>
        <w:t xml:space="preserve">V</w:t>
      </w:r>
      <w:r>
        <w:t xml:space="preserve"> </w:t>
      </w:r>
      <w:r>
        <w:t xml:space="preserve">in equation (8), p = 0.002). Section 4.5 describes this sample, which differs from the 27 foreign platforms of H1.</w:t>
      </w:r>
    </w:p>
    <w:p>
      <w:pPr>
        <w:pStyle w:val="BodyText"/>
      </w:pPr>
      <w:r>
        <w:rPr>
          <w:bCs/>
          <w:b/>
        </w:rPr>
        <w:t xml:space="preserve">The second registered prediction does not hold in the main sample.</w:t>
      </w:r>
      <w:r>
        <w:t xml:space="preserve"> </w:t>
      </w:r>
      <w:r>
        <w:t xml:space="preserve">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0"/>
    <w:bookmarkStart w:id="64" w:name="the-platforms-and-the-sellers-in-2023"/>
    <w:p>
      <w:pPr>
        <w:pStyle w:val="Heading2"/>
      </w:pPr>
      <w:r>
        <w:t xml:space="preserve">5.5 The platforms and the sellers in 2023</w:t>
      </w:r>
    </w:p>
    <w:p>
      <w:pPr>
        <w:pStyle w:val="FirstParagraph"/>
      </w:pPr>
      <w:r>
        <w:rPr>
          <w:bCs/>
          <w:b/>
        </w:rPr>
        <w:t xml:space="preserve">Buying through platforms did not boom in 2023.</w:t>
      </w:r>
      <w:r>
        <w:t xml:space="preserve"> </w:t>
      </w:r>
      <w:r>
        <w:t xml:space="preserve">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jc w:val="center"/>
      </w:pPr>
      <w:r>
        <w:drawing>
          <wp:inline>
            <wp:extent cx="5969000" cy="3194676"/>
            <wp:effectExtent b="0" l="0" r="0" t="0"/>
            <wp:docPr descr="" title="" id="62" name="Picture"/>
            <a:graphic>
              <a:graphicData uri="http://schemas.openxmlformats.org/drawingml/2006/picture">
                <pic:pic>
                  <pic:nvPicPr>
                    <pic:cNvPr descr="figures/fig5_3_growth_2023.png" id="63" name="Picture"/>
                    <pic:cNvPicPr>
                      <a:picLocks noChangeArrowheads="1" noChangeAspect="1"/>
                    </pic:cNvPicPr>
                  </pic:nvPicPr>
                  <pic:blipFill>
                    <a:blip r:embed="rId61"/>
                    <a:stretch>
                      <a:fillRect/>
                    </a:stretch>
                  </pic:blipFill>
                  <pic:spPr bwMode="auto">
                    <a:xfrm>
                      <a:off x="0" y="0"/>
                      <a:ext cx="5969000" cy="3194676"/>
                    </a:xfrm>
                    <a:prstGeom prst="rect">
                      <a:avLst/>
                    </a:prstGeom>
                    <a:noFill/>
                    <a:ln w="9525">
                      <a:noFill/>
                      <a:headEnd/>
                      <a:tailEnd/>
                    </a:ln>
                  </pic:spPr>
                </pic:pic>
              </a:graphicData>
            </a:graphic>
          </wp:inline>
        </w:drawing>
      </w:r>
    </w:p>
    <w:p>
      <w:pPr>
        <w:pStyle w:val="BodyText"/>
        <w:jc w:val="left"/>
      </w:pPr>
      <w:r>
        <w:rPr>
          <w:bCs/>
          <w:b/>
          <w:sz w:val="20"/>
        </w:rPr>
        <w:t xml:space="preserve">Figure 5.3. Growth in 2023 (percent).</w:t>
      </w:r>
      <w:r>
        <w:rPr>
          <w:sz w:val="20"/>
        </w:rPr>
        <w:t xml:space="preserve"> </w:t>
      </w:r>
      <w:r>
        <w:rPr>
          <w:sz w:val="20"/>
        </w:rP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4"/>
    <w:bookmarkStart w:id="65" w:name="h2-and-the-entry-test"/>
    <w:p>
      <w:pPr>
        <w:pStyle w:val="Heading2"/>
      </w:pPr>
      <w:r>
        <w:t xml:space="preserve">5.6 H2 and the entry test</w:t>
      </w:r>
    </w:p>
    <w:p>
      <w:pPr>
        <w:pStyle w:val="FirstParagraph"/>
      </w:pPr>
      <w:r>
        <w:rPr>
          <w:bCs/>
          <w:b/>
        </w:rPr>
        <w:t xml:space="preserve">H2 holds on BPS’s published figures, but the registered entry test shows that first-time entry cannot explain the whole rise in the count.</w:t>
      </w:r>
      <w:r>
        <w:t xml:space="preserve"> </w:t>
      </w:r>
      <w:r>
        <w:t xml:space="preserve">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rPr>
          <w:bCs/>
          <w:b/>
        </w:rPr>
        <w:t xml:space="preserve">The registered entry test separates new sellers from sellers counted for the first time, and it fails.</w:t>
      </w:r>
      <w:r>
        <w:t xml:space="preserve"> </w:t>
      </w:r>
      <w:r>
        <w:t xml:space="preserve">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5"/>
    <w:bookmarkStart w:id="66" w:name="what-the-rise-in-the-count-contains"/>
    <w:p>
      <w:pPr>
        <w:pStyle w:val="Heading2"/>
      </w:pPr>
      <w:r>
        <w:t xml:space="preserve">5.7 What the rise in the count contains</w:t>
      </w:r>
    </w:p>
    <w:p>
      <w:pPr>
        <w:pStyle w:val="FirstParagraph"/>
      </w:pPr>
      <w:r>
        <w:rPr>
          <w:bCs/>
          <w:b/>
        </w:rPr>
        <w:t xml:space="preserve">About half of the 2023 rise in the count is not explained by first-time entry, an exploratory result.</w:t>
      </w:r>
      <w:r>
        <w:t xml:space="preserve"> </w:t>
      </w:r>
      <w:r>
        <w:t xml:space="preserve">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keepNext/>
        <w:jc w:val="left"/>
      </w:pPr>
      <w:r>
        <w:rPr>
          <w:bCs/>
          <w:b/>
          <w:sz w:val="20"/>
        </w:rPr>
        <w:t xml:space="preserve">Table 5.5. The 2023 rise in the count of online sellers (thousands)</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4513"/>
        <w:gridCol w:w="1777"/>
        <w:gridCol w:w="3008"/>
      </w:tblGrid>
      <w:tr>
        <w:trPr>
          <w:tblHeader w:val="true"/>
          <w:cantSplit/>
          <w:tblHeader/>
        </w:trPr>
        <w:tc>
          <w:tcPr>
            <w:tcW w:w="4513" w:type="dxa"/>
            <w:tcBorders>
              <w:bottom w:val="single" w:sz="4" w:space="0" w:color="000000"/>
            </w:tcBorders>
          </w:tcPr>
          <w:p>
            <w:pPr>
              <w:pStyle w:val="Compact"/>
              <w:spacing w:after="20" w:before="20" w:line="240" w:lineRule="auto"/>
              <w:jc w:val="left"/>
            </w:pPr>
            <w:r>
              <w:rPr>
                <w:b/>
                <w:sz w:val="18"/>
              </w:rPr>
              <w:t xml:space="preserve">Part of the rise</w:t>
            </w:r>
          </w:p>
        </w:tc>
        <w:tc>
          <w:tcPr>
            <w:tcW w:w="1777" w:type="dxa"/>
            <w:tcBorders>
              <w:bottom w:val="single" w:sz="4" w:space="0" w:color="000000"/>
            </w:tcBorders>
          </w:tcPr>
          <w:p>
            <w:pPr>
              <w:pStyle w:val="Compact"/>
              <w:spacing w:after="20" w:before="20" w:line="240" w:lineRule="auto"/>
              <w:jc w:val="left"/>
            </w:pPr>
            <w:r>
              <w:rPr>
                <w:b/>
                <w:sz w:val="18"/>
              </w:rPr>
              <w:t xml:space="preserve">If no seller stopped</w:t>
            </w:r>
          </w:p>
        </w:tc>
        <w:tc>
          <w:tcPr>
            <w:tcW w:w="3008" w:type="dxa"/>
            <w:tcBorders>
              <w:bottom w:val="single" w:sz="4" w:space="0" w:color="000000"/>
            </w:tcBorders>
          </w:tcPr>
          <w:p>
            <w:pPr>
              <w:pStyle w:val="Compact"/>
              <w:spacing w:after="20" w:before="20" w:line="240" w:lineRule="auto"/>
              <w:jc w:val="left"/>
            </w:pPr>
            <w:r>
              <w:rPr>
                <w:b/>
                <w:sz w:val="18"/>
              </w:rPr>
              <w:t xml:space="preserve">If sellers stopped at 5 percent a year</w:t>
            </w:r>
          </w:p>
        </w:tc>
      </w:tr>
      <w:tr>
        <w:trPr>
          <w:cantSplit/>
        </w:trPr>
        <w:tc>
          <w:tcPr>
            <w:tcW w:w="4513" w:type="dxa"/>
          </w:tcPr>
          <w:p>
            <w:pPr>
              <w:pStyle w:val="Compact"/>
              <w:spacing w:after="20" w:before="20" w:line="240" w:lineRule="auto"/>
              <w:jc w:val="left"/>
            </w:pPr>
            <w:r>
              <w:rPr>
                <w:sz w:val="18"/>
              </w:rPr>
              <w:t xml:space="preserve">Rise between the weighted totals of the two files</w:t>
            </w:r>
          </w:p>
        </w:tc>
        <w:tc>
          <w:tcPr>
            <w:tcW w:w="1777" w:type="dxa"/>
          </w:tcPr>
          <w:p>
            <w:pPr>
              <w:pStyle w:val="Compact"/>
              <w:spacing w:after="20" w:before="20" w:line="240" w:lineRule="auto"/>
              <w:jc w:val="left"/>
            </w:pPr>
            <w:r>
              <w:rPr>
                <w:sz w:val="18"/>
              </w:rPr>
              <w:t xml:space="preserve">819 (100%)</w:t>
            </w:r>
          </w:p>
        </w:tc>
        <w:tc>
          <w:tcPr>
            <w:tcW w:w="3008" w:type="dxa"/>
          </w:tcPr>
          <w:p>
            <w:pPr>
              <w:pStyle w:val="Compact"/>
              <w:spacing w:after="20" w:before="20" w:line="240" w:lineRule="auto"/>
              <w:jc w:val="left"/>
            </w:pPr>
            <w:r>
              <w:rPr>
                <w:sz w:val="18"/>
              </w:rPr>
              <w:t xml:space="preserve">819 (100%)</w:t>
            </w:r>
          </w:p>
        </w:tc>
      </w:tr>
      <w:tr>
        <w:trPr>
          <w:cantSplit/>
        </w:trPr>
        <w:tc>
          <w:tcPr>
            <w:tcW w:w="4513" w:type="dxa"/>
          </w:tcPr>
          <w:p>
            <w:pPr>
              <w:pStyle w:val="Compact"/>
              <w:spacing w:after="20" w:before="20" w:line="240" w:lineRule="auto"/>
              <w:jc w:val="left"/>
            </w:pPr>
            <w:r>
              <w:rPr>
                <w:sz w:val="18"/>
              </w:rPr>
              <w:t xml:space="preserve">Net entry: sellers who began in 2023, less those who stopped</w:t>
            </w:r>
          </w:p>
        </w:tc>
        <w:tc>
          <w:tcPr>
            <w:tcW w:w="1777" w:type="dxa"/>
          </w:tcPr>
          <w:p>
            <w:pPr>
              <w:pStyle w:val="Compact"/>
              <w:spacing w:after="20" w:before="20" w:line="240" w:lineRule="auto"/>
              <w:jc w:val="left"/>
            </w:pPr>
            <w:r>
              <w:rPr>
                <w:sz w:val="18"/>
              </w:rPr>
              <w:t xml:space="preserve">513 (63%)</w:t>
            </w:r>
          </w:p>
        </w:tc>
        <w:tc>
          <w:tcPr>
            <w:tcW w:w="3008" w:type="dxa"/>
          </w:tcPr>
          <w:p>
            <w:pPr>
              <w:pStyle w:val="Compact"/>
              <w:spacing w:after="20" w:before="20" w:line="240" w:lineRule="auto"/>
              <w:jc w:val="left"/>
            </w:pPr>
            <w:r>
              <w:rPr>
                <w:sz w:val="18"/>
              </w:rPr>
              <w:t xml:space="preserve">361 (44%)</w:t>
            </w:r>
          </w:p>
        </w:tc>
      </w:tr>
      <w:tr>
        <w:trPr>
          <w:cantSplit/>
        </w:trPr>
        <w:tc>
          <w:tcPr>
            <w:tcW w:w="4513" w:type="dxa"/>
          </w:tcPr>
          <w:p>
            <w:pPr>
              <w:pStyle w:val="Compact"/>
              <w:spacing w:after="20" w:before="20" w:line="240" w:lineRule="auto"/>
              <w:jc w:val="left"/>
            </w:pPr>
            <w:r>
              <w:rPr>
                <w:sz w:val="18"/>
              </w:rPr>
              <w:t xml:space="preserve">Earlier sellers newly counted above the whole 2022 count</w:t>
            </w:r>
          </w:p>
        </w:tc>
        <w:tc>
          <w:tcPr>
            <w:tcW w:w="1777" w:type="dxa"/>
          </w:tcPr>
          <w:p>
            <w:pPr>
              <w:pStyle w:val="Compact"/>
              <w:spacing w:after="20" w:before="20" w:line="240" w:lineRule="auto"/>
              <w:jc w:val="left"/>
            </w:pPr>
            <w:r>
              <w:rPr>
                <w:sz w:val="18"/>
              </w:rPr>
              <w:t xml:space="preserve">306 (37%)</w:t>
            </w:r>
          </w:p>
        </w:tc>
        <w:tc>
          <w:tcPr>
            <w:tcW w:w="3008" w:type="dxa"/>
          </w:tcPr>
          <w:p>
            <w:pPr>
              <w:pStyle w:val="Compact"/>
              <w:spacing w:after="20" w:before="20" w:line="240" w:lineRule="auto"/>
              <w:jc w:val="left"/>
            </w:pPr>
            <w:r>
              <w:rPr>
                <w:sz w:val="18"/>
              </w:rPr>
              <w:t xml:space="preserve">458 (56%)</w:t>
            </w:r>
          </w:p>
        </w:tc>
      </w:tr>
    </w:tbl>
    <w:p>
      <w:pPr>
        <w:pStyle w:val="BodyText"/>
        <w:jc w:val="left"/>
      </w:pPr>
      <w:r>
        <w:rPr>
          <w:iCs/>
          <w:i/>
          <w:sz w:val="19"/>
        </w:rPr>
        <w:t xml:space="preserve">Note:</w:t>
      </w:r>
      <w:r>
        <w:rPr>
          <w:sz w:val="19"/>
        </w:rPr>
        <w:t xml:space="preserve"> </w:t>
      </w:r>
      <w:r>
        <w:rPr>
          <w:sz w:val="19"/>
        </w:rP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rPr>
          <w:bCs/>
          <w:b/>
        </w:rPr>
        <w:t xml:space="preserve">H2 holds on the published series, but it sits right on its threshold once the extra count is read as coverage, an exploratory follow-up.</w:t>
      </w:r>
      <w:r>
        <w:t xml:space="preserve"> </w:t>
      </w:r>
      <w:r>
        <w:t xml:space="preserve">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6"/>
    <w:bookmarkStart w:id="70" w:name="who-the-extra-sellers-were"/>
    <w:p>
      <w:pPr>
        <w:pStyle w:val="Heading2"/>
      </w:pPr>
      <w:r>
        <w:t xml:space="preserve">5.8 Who the extra sellers were</w:t>
      </w:r>
    </w:p>
    <w:p>
      <w:pPr>
        <w:pStyle w:val="FirstParagraph"/>
      </w:pPr>
      <w:r>
        <w:rPr>
          <w:bCs/>
          <w:b/>
        </w:rPr>
        <w:t xml:space="preserve">The extra count leaned toward long-running businesses, older owners and places outside Java, an exploratory result.</w:t>
      </w:r>
      <w:r>
        <w:t xml:space="preserve"> </w:t>
      </w:r>
      <w:r>
        <w:t xml:space="preserve">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keepNext/>
        <w:jc w:val="center"/>
      </w:pPr>
      <w:r>
        <w:drawing>
          <wp:inline>
            <wp:extent cx="5969000" cy="2355077"/>
            <wp:effectExtent b="0" l="0" r="0" t="0"/>
            <wp:docPr descr="" title="" id="68" name="Picture"/>
            <a:graphic>
              <a:graphicData uri="http://schemas.openxmlformats.org/drawingml/2006/picture">
                <pic:pic>
                  <pic:nvPicPr>
                    <pic:cNvPr descr="figures/fig5_4_extra_sellers.png" id="69" name="Picture"/>
                    <pic:cNvPicPr>
                      <a:picLocks noChangeArrowheads="1" noChangeAspect="1"/>
                    </pic:cNvPicPr>
                  </pic:nvPicPr>
                  <pic:blipFill>
                    <a:blip r:embed="rId67"/>
                    <a:stretch>
                      <a:fillRect/>
                    </a:stretch>
                  </pic:blipFill>
                  <pic:spPr bwMode="auto">
                    <a:xfrm>
                      <a:off x="0" y="0"/>
                      <a:ext cx="5969000" cy="2355077"/>
                    </a:xfrm>
                    <a:prstGeom prst="rect">
                      <a:avLst/>
                    </a:prstGeom>
                    <a:noFill/>
                    <a:ln w="9525">
                      <a:noFill/>
                      <a:headEnd/>
                      <a:tailEnd/>
                    </a:ln>
                  </pic:spPr>
                </pic:pic>
              </a:graphicData>
            </a:graphic>
          </wp:inline>
        </w:drawing>
      </w:r>
    </w:p>
    <w:p>
      <w:pPr>
        <w:pStyle w:val="BodyText"/>
        <w:jc w:val="left"/>
      </w:pPr>
      <w:r>
        <w:rPr>
          <w:bCs/>
          <w:b/>
          <w:sz w:val="20"/>
        </w:rPr>
        <w:t xml:space="preserve">Figure 5.4. Who the extra sellers were.</w:t>
      </w:r>
      <w:r>
        <w:rPr>
          <w:sz w:val="20"/>
        </w:rPr>
        <w:t xml:space="preserve"> </w:t>
      </w:r>
      <w:r>
        <w:rPr>
          <w:sz w:val="20"/>
        </w:rP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rPr>
          <w:bCs/>
          <w:b/>
        </w:rPr>
        <w:t xml:space="preserve">Returning sellers still cannot be ruled out.</w:t>
      </w:r>
      <w:r>
        <w:t xml:space="preserve"> </w:t>
      </w:r>
      <w:r>
        <w:t xml:space="preserve">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0"/>
    <w:bookmarkStart w:id="74" w:name="channels-and-records"/>
    <w:p>
      <w:pPr>
        <w:pStyle w:val="Heading2"/>
      </w:pPr>
      <w:r>
        <w:t xml:space="preserve">5.9 Channels and records</w:t>
      </w:r>
    </w:p>
    <w:p>
      <w:pPr>
        <w:pStyle w:val="FirstParagraph"/>
      </w:pPr>
      <w:r>
        <w:rPr>
          <w:bCs/>
          <w:b/>
        </w:rPr>
        <w:t xml:space="preserve">Most online selling happens outside marketplaces, and records are thinner there.</w:t>
      </w:r>
      <w:r>
        <w:t xml:space="preserve"> </w:t>
      </w:r>
      <w:r>
        <w:t xml:space="preserve">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keepNext/>
        <w:jc w:val="center"/>
      </w:pPr>
      <w:r>
        <w:drawing>
          <wp:inline>
            <wp:extent cx="5596494" cy="2565824"/>
            <wp:effectExtent b="0" l="0" r="0" t="0"/>
            <wp:docPr descr="" title="" id="72" name="Picture"/>
            <a:graphic>
              <a:graphicData uri="http://schemas.openxmlformats.org/drawingml/2006/picture">
                <pic:pic>
                  <pic:nvPicPr>
                    <pic:cNvPr descr="figures/fig5_5_marketplace_and_records.png" id="73" name="Picture"/>
                    <pic:cNvPicPr>
                      <a:picLocks noChangeArrowheads="1" noChangeAspect="1"/>
                    </pic:cNvPicPr>
                  </pic:nvPicPr>
                  <pic:blipFill>
                    <a:blip r:embed="rId71"/>
                    <a:stretch>
                      <a:fillRect/>
                    </a:stretch>
                  </pic:blipFill>
                  <pic:spPr bwMode="auto">
                    <a:xfrm>
                      <a:off x="0" y="0"/>
                      <a:ext cx="5596494" cy="2565824"/>
                    </a:xfrm>
                    <a:prstGeom prst="rect">
                      <a:avLst/>
                    </a:prstGeom>
                    <a:noFill/>
                    <a:ln w="9525">
                      <a:noFill/>
                      <a:headEnd/>
                      <a:tailEnd/>
                    </a:ln>
                  </pic:spPr>
                </pic:pic>
              </a:graphicData>
            </a:graphic>
          </wp:inline>
        </w:drawing>
      </w:r>
    </w:p>
    <w:p>
      <w:pPr>
        <w:pStyle w:val="BodyText"/>
        <w:jc w:val="left"/>
      </w:pPr>
      <w:r>
        <w:rPr>
          <w:bCs/>
          <w:b/>
          <w:sz w:val="20"/>
        </w:rPr>
        <w:t xml:space="preserve">Figure 5.5. Marketplace use and financial statements, 2020 to 2024.</w:t>
      </w:r>
      <w:r>
        <w:rPr>
          <w:sz w:val="20"/>
        </w:rPr>
        <w:t xml:space="preserve"> </w:t>
      </w:r>
      <w:r>
        <w:rPr>
          <w:sz w:val="20"/>
        </w:rP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4"/>
    <w:bookmarkStart w:id="75" w:name="why-the-national-figures-disagree"/>
    <w:p>
      <w:pPr>
        <w:pStyle w:val="Heading2"/>
      </w:pPr>
      <w:r>
        <w:t xml:space="preserve">5.10 Why the national figures disagree</w:t>
      </w:r>
    </w:p>
    <w:p>
      <w:pPr>
        <w:pStyle w:val="FirstParagraph"/>
      </w:pPr>
      <w:r>
        <w:rPr>
          <w:bCs/>
          <w:b/>
        </w:rPr>
        <w:t xml:space="preserve">The national figures agree that growth was small only where they cover the same sellers, and they do not agree on scale.</w:t>
      </w:r>
      <w:r>
        <w:t xml:space="preserve"> </w:t>
      </w:r>
      <w:r>
        <w:t xml:space="preserve">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5"/>
    <w:bookmarkEnd w:id="76"/>
    <w:bookmarkStart w:id="83" w:name="Xac9ab56db9ced99e03f55956eafe7ff22a86ddc"/>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w:t>
      </w:r>
      <w:r>
        <w:t xml:space="preserve"> </w:t>
      </w:r>
      <w:r>
        <w:rPr>
          <w:bCs/>
          <w:b/>
        </w:rPr>
        <w:t xml:space="preserve">Each rule acts on one part of what Chapter 5 measured, and each reaches only that part.</w:t>
      </w:r>
    </w:p>
    <w:p>
      <w:pPr>
        <w:pStyle w:val="BodyText"/>
      </w:pPr>
      <w:r>
        <w:t xml:space="preserve">The marketplace tax is the rule aimed most directly at online sellers.</w:t>
      </w:r>
      <w:r>
        <w:t xml:space="preserve"> </w:t>
      </w:r>
      <w:r>
        <w:rPr>
          <w:bCs/>
          <w:b/>
        </w:rPr>
        <w:t xml:space="preserve">It can collect from at most about 1 in 20 online sellers and about a fifth of online sales value.</w:t>
      </w:r>
      <w:r>
        <w:t xml:space="preserve"> </w:t>
      </w:r>
      <w:r>
        <w:t xml:space="preserve">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7"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keepNext/>
        <w:jc w:val="left"/>
      </w:pPr>
      <w:r>
        <w:rPr>
          <w:bCs/>
          <w:b/>
          <w:sz w:val="20"/>
        </w:rPr>
        <w:t xml:space="preserve">Table 6.1. Indonesia’s recent rules and what each acts on</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2471"/>
        <w:gridCol w:w="2471"/>
        <w:gridCol w:w="1300"/>
        <w:gridCol w:w="585"/>
        <w:gridCol w:w="2471"/>
      </w:tblGrid>
      <w:tr>
        <w:trPr>
          <w:tblHeader w:val="true"/>
          <w:cantSplit/>
          <w:tblHeader/>
        </w:trPr>
        <w:tc>
          <w:tcPr>
            <w:tcW w:w="2471" w:type="dxa"/>
            <w:tcBorders>
              <w:bottom w:val="single" w:sz="4" w:space="0" w:color="000000"/>
            </w:tcBorders>
          </w:tcPr>
          <w:p>
            <w:pPr>
              <w:pStyle w:val="Compact"/>
              <w:spacing w:after="20" w:before="20" w:line="240" w:lineRule="auto"/>
              <w:jc w:val="left"/>
            </w:pPr>
            <w:r>
              <w:rPr>
                <w:b/>
                <w:sz w:val="18"/>
              </w:rPr>
              <w:t xml:space="preserve">Rule</w:t>
            </w:r>
          </w:p>
        </w:tc>
        <w:tc>
          <w:tcPr>
            <w:tcW w:w="2471" w:type="dxa"/>
            <w:tcBorders>
              <w:bottom w:val="single" w:sz="4" w:space="0" w:color="000000"/>
            </w:tcBorders>
          </w:tcPr>
          <w:p>
            <w:pPr>
              <w:pStyle w:val="Compact"/>
              <w:spacing w:after="20" w:before="20" w:line="240" w:lineRule="auto"/>
              <w:jc w:val="left"/>
            </w:pPr>
            <w:r>
              <w:rPr>
                <w:b/>
                <w:sz w:val="18"/>
              </w:rPr>
              <w:t xml:space="preserve">What it does</w:t>
            </w:r>
          </w:p>
        </w:tc>
        <w:tc>
          <w:tcPr>
            <w:tcW w:w="1300" w:type="dxa"/>
            <w:tcBorders>
              <w:bottom w:val="single" w:sz="4" w:space="0" w:color="000000"/>
            </w:tcBorders>
          </w:tcPr>
          <w:p>
            <w:pPr>
              <w:pStyle w:val="Compact"/>
              <w:spacing w:after="20" w:before="20" w:line="240" w:lineRule="auto"/>
              <w:jc w:val="left"/>
            </w:pPr>
            <w:r>
              <w:rPr>
                <w:b/>
                <w:sz w:val="18"/>
              </w:rPr>
              <w:t xml:space="preserve">What it acts on</w:t>
            </w:r>
          </w:p>
        </w:tc>
        <w:tc>
          <w:tcPr>
            <w:tcW w:w="585" w:type="dxa"/>
            <w:tcBorders>
              <w:bottom w:val="single" w:sz="4" w:space="0" w:color="000000"/>
            </w:tcBorders>
          </w:tcPr>
          <w:p>
            <w:pPr>
              <w:pStyle w:val="Compact"/>
              <w:spacing w:after="20" w:before="20" w:line="240" w:lineRule="auto"/>
              <w:jc w:val="left"/>
            </w:pPr>
            <w:r>
              <w:rPr>
                <w:b/>
                <w:sz w:val="18"/>
              </w:rPr>
              <w:t xml:space="preserve">Measured in</w:t>
            </w:r>
          </w:p>
        </w:tc>
        <w:tc>
          <w:tcPr>
            <w:tcW w:w="2471" w:type="dxa"/>
            <w:tcBorders>
              <w:bottom w:val="single" w:sz="4" w:space="0" w:color="000000"/>
            </w:tcBorders>
          </w:tcPr>
          <w:p>
            <w:pPr>
              <w:pStyle w:val="Compact"/>
              <w:spacing w:after="20" w:before="20" w:line="240" w:lineRule="auto"/>
              <w:jc w:val="left"/>
            </w:pPr>
            <w:r>
              <w:rPr>
                <w:b/>
                <w:sz w:val="18"/>
              </w:rPr>
              <w:t xml:space="preserve">Status of the text</w:t>
            </w:r>
          </w:p>
        </w:tc>
      </w:tr>
      <w:tr>
        <w:trPr>
          <w:cantSplit/>
        </w:trPr>
        <w:tc>
          <w:tcPr>
            <w:tcW w:w="2471" w:type="dxa"/>
          </w:tcPr>
          <w:p>
            <w:pPr>
              <w:pStyle w:val="Compact"/>
              <w:spacing w:after="20" w:before="20" w:line="240" w:lineRule="auto"/>
              <w:jc w:val="left"/>
            </w:pPr>
            <w:r>
              <w:rPr>
                <w:sz w:val="18"/>
              </w:rPr>
              <w:t xml:space="preserve">Commission cap (Transport Minister Decree KP-PHB 532/2026; Presidential Regulation 27/2026)</w:t>
            </w:r>
          </w:p>
        </w:tc>
        <w:tc>
          <w:tcPr>
            <w:tcW w:w="2471" w:type="dxa"/>
          </w:tcPr>
          <w:p>
            <w:pPr>
              <w:pStyle w:val="Compact"/>
              <w:spacing w:after="20" w:before="20" w:line="240" w:lineRule="auto"/>
              <w:jc w:val="left"/>
            </w:pPr>
            <w:r>
              <w:rPr>
                <w:sz w:val="18"/>
              </w:rPr>
              <w:t xml:space="preserve">Caps the commission on two-wheel passenger trips at 8 percent from 1 July 2026</w:t>
            </w:r>
          </w:p>
        </w:tc>
        <w:tc>
          <w:tcPr>
            <w:tcW w:w="1300" w:type="dxa"/>
          </w:tcPr>
          <w:p>
            <w:pPr>
              <w:pStyle w:val="Compact"/>
              <w:spacing w:after="20" w:before="20" w:line="240" w:lineRule="auto"/>
              <w:jc w:val="left"/>
            </w:pPr>
            <w:r>
              <w:rPr>
                <w:sz w:val="18"/>
              </w:rPr>
              <w:t xml:space="preserve">The fee rate, for one service</w:t>
            </w:r>
          </w:p>
        </w:tc>
        <w:tc>
          <w:tcPr>
            <w:tcW w:w="585" w:type="dxa"/>
          </w:tcPr>
          <w:p>
            <w:pPr>
              <w:pStyle w:val="Compact"/>
              <w:spacing w:after="20" w:before="20" w:line="240" w:lineRule="auto"/>
              <w:jc w:val="left"/>
            </w:pPr>
            <w:r>
              <w:rPr>
                <w:sz w:val="18"/>
              </w:rPr>
              <w:t xml:space="preserve">5.3</w:t>
            </w:r>
          </w:p>
        </w:tc>
        <w:tc>
          <w:tcPr>
            <w:tcW w:w="2471" w:type="dxa"/>
          </w:tcPr>
          <w:p>
            <w:pPr>
              <w:pStyle w:val="Compact"/>
              <w:spacing w:after="20" w:before="20" w:line="240" w:lineRule="auto"/>
              <w:jc w:val="left"/>
            </w:pPr>
            <w:r>
              <w:rPr>
                <w:sz w:val="18"/>
              </w:rPr>
              <w:t xml:space="preserve">Decree in force from July 2026; presidential regulation released 8 October 2026; neither text public when this thesis was written</w:t>
            </w:r>
          </w:p>
        </w:tc>
      </w:tr>
      <w:tr>
        <w:trPr>
          <w:cantSplit/>
        </w:trPr>
        <w:tc>
          <w:tcPr>
            <w:tcW w:w="2471" w:type="dxa"/>
          </w:tcPr>
          <w:p>
            <w:pPr>
              <w:pStyle w:val="Compact"/>
              <w:spacing w:after="20" w:before="20" w:line="240" w:lineRule="auto"/>
              <w:jc w:val="left"/>
            </w:pPr>
            <w:r>
              <w:rPr>
                <w:sz w:val="18"/>
              </w:rPr>
              <w:t xml:space="preserve">Discount rule (Trade Minister Regulation 19/2026, Art. 18)</w:t>
            </w:r>
          </w:p>
        </w:tc>
        <w:tc>
          <w:tcPr>
            <w:tcW w:w="2471" w:type="dxa"/>
          </w:tcPr>
          <w:p>
            <w:pPr>
              <w:pStyle w:val="Compact"/>
              <w:spacing w:after="20" w:before="20" w:line="240" w:lineRule="auto"/>
              <w:jc w:val="left"/>
            </w:pPr>
            <w:r>
              <w:rPr>
                <w:sz w:val="18"/>
              </w:rPr>
              <w:t xml:space="preserve">Requires every online trade operator, including ride-hailing apps that sell goods, to prevent repeated price subsidies that hurt local products and endless below-cost discounts</w:t>
            </w:r>
          </w:p>
        </w:tc>
        <w:tc>
          <w:tcPr>
            <w:tcW w:w="1300" w:type="dxa"/>
          </w:tcPr>
          <w:p>
            <w:pPr>
              <w:pStyle w:val="Compact"/>
              <w:spacing w:after="20" w:before="20" w:line="240" w:lineRule="auto"/>
              <w:jc w:val="left"/>
            </w:pPr>
            <w:r>
              <w:rPr>
                <w:sz w:val="18"/>
              </w:rPr>
              <w:t xml:space="preserve">The incentive rate</w:t>
            </w:r>
          </w:p>
        </w:tc>
        <w:tc>
          <w:tcPr>
            <w:tcW w:w="585" w:type="dxa"/>
          </w:tcPr>
          <w:p>
            <w:pPr>
              <w:pStyle w:val="Compact"/>
              <w:spacing w:after="20" w:before="20" w:line="240" w:lineRule="auto"/>
              <w:jc w:val="left"/>
            </w:pPr>
            <w:r>
              <w:rPr>
                <w:sz w:val="18"/>
              </w:rPr>
              <w:t xml:space="preserve">5.3</w:t>
            </w:r>
          </w:p>
        </w:tc>
        <w:tc>
          <w:tcPr>
            <w:tcW w:w="2471" w:type="dxa"/>
          </w:tcPr>
          <w:p>
            <w:pPr>
              <w:pStyle w:val="Compact"/>
              <w:spacing w:after="20" w:before="20" w:line="240" w:lineRule="auto"/>
              <w:jc w:val="left"/>
            </w:pPr>
            <w:r>
              <w:rPr>
                <w:sz w:val="18"/>
              </w:rPr>
              <w:t xml:space="preserve">Primary text read</w:t>
            </w:r>
          </w:p>
        </w:tc>
      </w:tr>
      <w:tr>
        <w:trPr>
          <w:cantSplit/>
        </w:trPr>
        <w:tc>
          <w:tcPr>
            <w:tcW w:w="2471" w:type="dxa"/>
          </w:tcPr>
          <w:p>
            <w:pPr>
              <w:pStyle w:val="Compact"/>
              <w:spacing w:after="20" w:before="20" w:line="240" w:lineRule="auto"/>
              <w:jc w:val="left"/>
            </w:pPr>
            <w:r>
              <w:rPr>
                <w:sz w:val="18"/>
              </w:rPr>
              <w:t xml:space="preserve">Marketplace tax (Finance Minister Regulation 37/2025)</w:t>
            </w:r>
          </w:p>
        </w:tc>
        <w:tc>
          <w:tcPr>
            <w:tcW w:w="2471" w:type="dxa"/>
          </w:tcPr>
          <w:p>
            <w:pPr>
              <w:pStyle w:val="Compact"/>
              <w:spacing w:after="20" w:before="20" w:line="240" w:lineRule="auto"/>
              <w:jc w:val="left"/>
            </w:pPr>
            <w:r>
              <w:rPr>
                <w:sz w:val="18"/>
              </w:rPr>
              <w:t xml:space="preserve">Designated marketplaces collect 0.5 percent of domestic sellers’ gross sales; individuals with sales up to Rp500 million a year are exempt; every seller gives a tax number or national ID</w:t>
            </w:r>
          </w:p>
        </w:tc>
        <w:tc>
          <w:tcPr>
            <w:tcW w:w="1300" w:type="dxa"/>
          </w:tcPr>
          <w:p>
            <w:pPr>
              <w:pStyle w:val="Compact"/>
              <w:spacing w:after="20" w:before="20" w:line="240" w:lineRule="auto"/>
              <w:jc w:val="left"/>
            </w:pPr>
            <w:r>
              <w:rPr>
                <w:sz w:val="18"/>
              </w:rPr>
              <w:t xml:space="preserve">Sellers’ sales inside marketplaces</w:t>
            </w:r>
          </w:p>
        </w:tc>
        <w:tc>
          <w:tcPr>
            <w:tcW w:w="585" w:type="dxa"/>
          </w:tcPr>
          <w:p>
            <w:pPr>
              <w:pStyle w:val="Compact"/>
              <w:spacing w:after="20" w:before="20" w:line="240" w:lineRule="auto"/>
              <w:jc w:val="left"/>
            </w:pPr>
            <w:r>
              <w:rPr>
                <w:sz w:val="18"/>
              </w:rPr>
              <w:t xml:space="preserve">5.9</w:t>
            </w:r>
          </w:p>
        </w:tc>
        <w:tc>
          <w:tcPr>
            <w:tcW w:w="2471" w:type="dxa"/>
          </w:tcPr>
          <w:p>
            <w:pPr>
              <w:pStyle w:val="Compact"/>
              <w:spacing w:after="20" w:before="20" w:line="240" w:lineRule="auto"/>
              <w:jc w:val="left"/>
            </w:pPr>
            <w:r>
              <w:rPr>
                <w:sz w:val="18"/>
              </w:rPr>
              <w:t xml:space="preserve">Primary text read; collected by Shopee, Tokopedia, Lazada and Blibli since 1 October 2026</w:t>
            </w:r>
          </w:p>
        </w:tc>
      </w:tr>
      <w:tr>
        <w:trPr>
          <w:cantSplit/>
        </w:trPr>
        <w:tc>
          <w:tcPr>
            <w:tcW w:w="2471" w:type="dxa"/>
          </w:tcPr>
          <w:p>
            <w:pPr>
              <w:pStyle w:val="Compact"/>
              <w:spacing w:after="20" w:before="20" w:line="240" w:lineRule="auto"/>
              <w:jc w:val="left"/>
            </w:pPr>
            <w:r>
              <w:rPr>
                <w:sz w:val="18"/>
              </w:rPr>
              <w:t xml:space="preserve">Small-business final tax (Government Regulation 20/2026)</w:t>
            </w:r>
          </w:p>
        </w:tc>
        <w:tc>
          <w:tcPr>
            <w:tcW w:w="2471" w:type="dxa"/>
          </w:tcPr>
          <w:p>
            <w:pPr>
              <w:pStyle w:val="Compact"/>
              <w:spacing w:after="20" w:before="20" w:line="240" w:lineRule="auto"/>
              <w:jc w:val="left"/>
            </w:pPr>
            <w:r>
              <w:rPr>
                <w:sz w:val="18"/>
              </w:rPr>
              <w:t xml:space="preserve">Keeps a 0.5 percent final tax on turnover up to Rp4.8 billion a year; excludes content creators</w:t>
            </w:r>
          </w:p>
        </w:tc>
        <w:tc>
          <w:tcPr>
            <w:tcW w:w="1300" w:type="dxa"/>
          </w:tcPr>
          <w:p>
            <w:pPr>
              <w:pStyle w:val="Compact"/>
              <w:spacing w:after="20" w:before="20" w:line="240" w:lineRule="auto"/>
              <w:jc w:val="left"/>
            </w:pPr>
            <w:r>
              <w:rPr>
                <w:sz w:val="18"/>
              </w:rPr>
              <w:t xml:space="preserve">Small sellers in every channel</w:t>
            </w:r>
          </w:p>
        </w:tc>
        <w:tc>
          <w:tcPr>
            <w:tcW w:w="585" w:type="dxa"/>
          </w:tcPr>
          <w:p>
            <w:pPr>
              <w:pStyle w:val="Compact"/>
              <w:spacing w:after="20" w:before="20" w:line="240" w:lineRule="auto"/>
              <w:jc w:val="left"/>
            </w:pPr>
            <w:r>
              <w:rPr>
                <w:sz w:val="18"/>
              </w:rPr>
              <w:t xml:space="preserve">Not measured</w:t>
            </w:r>
          </w:p>
        </w:tc>
        <w:tc>
          <w:tcPr>
            <w:tcW w:w="2471" w:type="dxa"/>
          </w:tcPr>
          <w:p>
            <w:pPr>
              <w:pStyle w:val="Compact"/>
              <w:spacing w:after="20" w:before="20" w:line="240" w:lineRule="auto"/>
              <w:jc w:val="left"/>
            </w:pPr>
            <w:r>
              <w:rPr>
                <w:sz w:val="18"/>
              </w:rPr>
              <w:t xml:space="preserve">Primary text read</w:t>
            </w:r>
          </w:p>
        </w:tc>
      </w:tr>
      <w:tr>
        <w:trPr>
          <w:cantSplit/>
        </w:trPr>
        <w:tc>
          <w:tcPr>
            <w:tcW w:w="2471" w:type="dxa"/>
          </w:tcPr>
          <w:p>
            <w:pPr>
              <w:pStyle w:val="Compact"/>
              <w:spacing w:after="20" w:before="20" w:line="240" w:lineRule="auto"/>
              <w:jc w:val="left"/>
            </w:pPr>
            <w:r>
              <w:rPr>
                <w:sz w:val="18"/>
              </w:rPr>
              <w:t xml:space="preserve">Platform data to BPS (BPS Regulation 4/2023)</w:t>
            </w:r>
          </w:p>
        </w:tc>
        <w:tc>
          <w:tcPr>
            <w:tcW w:w="2471" w:type="dxa"/>
          </w:tcPr>
          <w:p>
            <w:pPr>
              <w:pStyle w:val="Compact"/>
              <w:spacing w:after="20" w:before="20" w:line="240" w:lineRule="auto"/>
              <w:jc w:val="left"/>
            </w:pPr>
            <w:r>
              <w:rPr>
                <w:sz w:val="18"/>
              </w:rPr>
              <w:t xml:space="preserve">E-commerce operators must send BPS their revenue, transactions and numbers of sellers and buyers, with sanctions</w:t>
            </w:r>
          </w:p>
        </w:tc>
        <w:tc>
          <w:tcPr>
            <w:tcW w:w="1300" w:type="dxa"/>
          </w:tcPr>
          <w:p>
            <w:pPr>
              <w:pStyle w:val="Compact"/>
              <w:spacing w:after="20" w:before="20" w:line="240" w:lineRule="auto"/>
              <w:jc w:val="left"/>
            </w:pPr>
            <w:r>
              <w:rPr>
                <w:sz w:val="18"/>
              </w:rPr>
              <w:t xml:space="preserve">BPS’s coverage</w:t>
            </w:r>
          </w:p>
        </w:tc>
        <w:tc>
          <w:tcPr>
            <w:tcW w:w="585" w:type="dxa"/>
          </w:tcPr>
          <w:p>
            <w:pPr>
              <w:pStyle w:val="Compact"/>
              <w:spacing w:after="20" w:before="20" w:line="240" w:lineRule="auto"/>
              <w:jc w:val="left"/>
            </w:pPr>
            <w:r>
              <w:rPr>
                <w:sz w:val="18"/>
              </w:rPr>
              <w:t xml:space="preserve">5.10</w:t>
            </w:r>
          </w:p>
        </w:tc>
        <w:tc>
          <w:tcPr>
            <w:tcW w:w="2471" w:type="dxa"/>
          </w:tcPr>
          <w:p>
            <w:pPr>
              <w:pStyle w:val="Compact"/>
              <w:spacing w:after="20" w:before="20" w:line="240" w:lineRule="auto"/>
              <w:jc w:val="left"/>
            </w:pPr>
            <w:r>
              <w:rPr>
                <w:sz w:val="18"/>
              </w:rPr>
              <w:t xml:space="preserve">Primary text read</w:t>
            </w:r>
          </w:p>
        </w:tc>
      </w:tr>
      <w:tr>
        <w:trPr>
          <w:cantSplit/>
        </w:trPr>
        <w:tc>
          <w:tcPr>
            <w:tcW w:w="2471" w:type="dxa"/>
          </w:tcPr>
          <w:p>
            <w:pPr>
              <w:pStyle w:val="Compact"/>
              <w:spacing w:after="20" w:before="20" w:line="240" w:lineRule="auto"/>
              <w:jc w:val="left"/>
            </w:pPr>
            <w:r>
              <w:rPr>
                <w:sz w:val="18"/>
              </w:rPr>
              <w:t xml:space="preserve">Economic census 2026</w:t>
            </w:r>
          </w:p>
        </w:tc>
        <w:tc>
          <w:tcPr>
            <w:tcW w:w="2471" w:type="dxa"/>
          </w:tcPr>
          <w:p>
            <w:pPr>
              <w:pStyle w:val="Compact"/>
              <w:spacing w:after="20" w:before="20" w:line="240" w:lineRule="auto"/>
              <w:jc w:val="left"/>
            </w:pPr>
            <w:r>
              <w:rPr>
                <w:sz w:val="18"/>
              </w:rPr>
              <w:t xml:space="preserve">Door-to-door count of all businesses, including online selling, affiliates and influencers</w:t>
            </w:r>
          </w:p>
        </w:tc>
        <w:tc>
          <w:tcPr>
            <w:tcW w:w="1300" w:type="dxa"/>
          </w:tcPr>
          <w:p>
            <w:pPr>
              <w:pStyle w:val="Compact"/>
              <w:spacing w:after="20" w:before="20" w:line="240" w:lineRule="auto"/>
              <w:jc w:val="left"/>
            </w:pPr>
            <w:r>
              <w:rPr>
                <w:sz w:val="18"/>
              </w:rPr>
              <w:t xml:space="preserve">BPS’s sampling frame</w:t>
            </w:r>
          </w:p>
        </w:tc>
        <w:tc>
          <w:tcPr>
            <w:tcW w:w="585" w:type="dxa"/>
          </w:tcPr>
          <w:p>
            <w:pPr>
              <w:pStyle w:val="Compact"/>
              <w:spacing w:after="20" w:before="20" w:line="240" w:lineRule="auto"/>
              <w:jc w:val="left"/>
            </w:pPr>
            <w:r>
              <w:rPr>
                <w:sz w:val="18"/>
              </w:rPr>
              <w:t xml:space="preserve">5.7</w:t>
            </w:r>
          </w:p>
        </w:tc>
        <w:tc>
          <w:tcPr>
            <w:tcW w:w="2471" w:type="dxa"/>
          </w:tcPr>
          <w:p>
            <w:pPr>
              <w:pStyle w:val="Compact"/>
              <w:spacing w:after="20" w:before="20" w:line="240" w:lineRule="auto"/>
              <w:jc w:val="left"/>
            </w:pPr>
            <w:r>
              <w:rPr>
                <w:sz w:val="18"/>
              </w:rPr>
              <w:t xml:space="preserve">News reports; results not yet released</w:t>
            </w:r>
          </w:p>
        </w:tc>
      </w:tr>
      <w:tr>
        <w:trPr>
          <w:cantSplit/>
        </w:trPr>
        <w:tc>
          <w:tcPr>
            <w:tcW w:w="2471" w:type="dxa"/>
          </w:tcPr>
          <w:p>
            <w:pPr>
              <w:pStyle w:val="Compact"/>
              <w:spacing w:after="20" w:before="20" w:line="240" w:lineRule="auto"/>
              <w:jc w:val="left"/>
            </w:pPr>
            <w:r>
              <w:rPr>
                <w:sz w:val="18"/>
              </w:rPr>
              <w:t xml:space="preserve">Ban on payments on social media (Trade Minister Regulation 31/2023, carried into Regulation 19/2026)</w:t>
            </w:r>
          </w:p>
        </w:tc>
        <w:tc>
          <w:tcPr>
            <w:tcW w:w="2471" w:type="dxa"/>
          </w:tcPr>
          <w:p>
            <w:pPr>
              <w:pStyle w:val="Compact"/>
              <w:spacing w:after="20" w:before="20" w:line="240" w:lineRule="auto"/>
              <w:jc w:val="left"/>
            </w:pPr>
            <w:r>
              <w:rPr>
                <w:sz w:val="18"/>
              </w:rPr>
              <w:t xml:space="preserve">Bars social media platforms from handling payments for sales</w:t>
            </w:r>
          </w:p>
        </w:tc>
        <w:tc>
          <w:tcPr>
            <w:tcW w:w="1300" w:type="dxa"/>
          </w:tcPr>
          <w:p>
            <w:pPr>
              <w:pStyle w:val="Compact"/>
              <w:spacing w:after="20" w:before="20" w:line="240" w:lineRule="auto"/>
              <w:jc w:val="left"/>
            </w:pPr>
            <w:r>
              <w:rPr>
                <w:sz w:val="18"/>
              </w:rPr>
              <w:t xml:space="preserve">Where online sales are paid</w:t>
            </w:r>
          </w:p>
        </w:tc>
        <w:tc>
          <w:tcPr>
            <w:tcW w:w="585" w:type="dxa"/>
          </w:tcPr>
          <w:p>
            <w:pPr>
              <w:pStyle w:val="Compact"/>
              <w:spacing w:after="20" w:before="20" w:line="240" w:lineRule="auto"/>
              <w:jc w:val="left"/>
            </w:pPr>
            <w:r>
              <w:rPr>
                <w:sz w:val="18"/>
              </w:rPr>
              <w:t xml:space="preserve">5.9</w:t>
            </w:r>
          </w:p>
        </w:tc>
        <w:tc>
          <w:tcPr>
            <w:tcW w:w="2471" w:type="dxa"/>
          </w:tcPr>
          <w:p>
            <w:pPr>
              <w:pStyle w:val="Compact"/>
              <w:spacing w:after="20" w:before="20" w:line="240" w:lineRule="auto"/>
              <w:jc w:val="left"/>
            </w:pPr>
            <w:r>
              <w:rPr>
                <w:sz w:val="18"/>
              </w:rPr>
              <w:t xml:space="preserve">Primary text read</w:t>
            </w:r>
          </w:p>
        </w:tc>
      </w:tr>
    </w:tbl>
    <w:p>
      <w:pPr>
        <w:pStyle w:val="BodyText"/>
        <w:jc w:val="left"/>
      </w:pPr>
      <w:r>
        <w:rPr>
          <w:iCs/>
          <w:i/>
          <w:sz w:val="19"/>
        </w:rPr>
        <w:t xml:space="preserve">Note:</w:t>
      </w:r>
      <w:r>
        <w:rPr>
          <w:sz w:val="19"/>
        </w:rPr>
        <w:t xml:space="preserve"> </w:t>
      </w:r>
      <w:r>
        <w:rPr>
          <w:sz w:val="19"/>
        </w:rP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7"/>
    <w:bookmarkStart w:id="78" w:name="X28b7fd3199e423b82cfc8b23ae379c54a934281"/>
    <w:p>
      <w:pPr>
        <w:pStyle w:val="Heading2"/>
      </w:pPr>
      <w:r>
        <w:t xml:space="preserve">6.2 What the commission cap and the discount rule can move</w:t>
      </w:r>
    </w:p>
    <w:p>
      <w:pPr>
        <w:pStyle w:val="FirstParagraph"/>
      </w:pPr>
      <w:r>
        <w:rPr>
          <w:bCs/>
          <w:b/>
        </w:rPr>
        <w:t xml:space="preserve">The commission cap reaches a small part of the take rates this thesis measures.</w:t>
      </w:r>
      <w:r>
        <w:t xml:space="preserve"> </w:t>
      </w:r>
      <w:r>
        <w:t xml:space="preserve">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rPr>
          <w:bCs/>
          <w:b/>
        </w:rPr>
        <w:t xml:space="preserve">A cap on one fee does not fix the take rate, because the platform still sets its incentives.</w:t>
      </w:r>
      <w:r>
        <w:t xml:space="preserve"> </w:t>
      </w:r>
      <w:r>
        <w:t xml:space="preserve">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8"/>
    <w:bookmarkStart w:id="79"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rPr>
          <w:bCs/>
          <w:b/>
        </w:rPr>
        <w:t xml:space="preserve">At most about 1 in 20 online sellers falls under the tax.</w:t>
      </w:r>
      <w:r>
        <w:t xml:space="preserve"> </w:t>
      </w:r>
      <w:r>
        <w:t xml:space="preserve">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rPr>
          <w:bCs/>
          <w:b/>
        </w:rPr>
        <w:t xml:space="preserve">The tax matters more for the record it creates than for the revenue it raises.</w:t>
      </w:r>
      <w:r>
        <w:t xml:space="preserve"> </w:t>
      </w:r>
      <w:r>
        <w:t xml:space="preserve">Whether sellers move away from the four marketplaces now that collection has started will be known only from later data.</w:t>
      </w:r>
    </w:p>
    <w:bookmarkEnd w:id="79"/>
    <w:bookmarkStart w:id="80"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0"/>
    <w:bookmarkStart w:id="81"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keepNext/>
        <w:jc w:val="left"/>
      </w:pPr>
      <w:r>
        <w:rPr>
          <w:bCs/>
          <w:b/>
          <w:sz w:val="20"/>
        </w:rPr>
        <w:t xml:space="preserve">Table 6.2. Registered predictions on the 2026 rules</w:t>
      </w:r>
    </w:p>
    <w:tbl>
      <w:tblPr>
        <w:tblStyle w:val="Table"/>
        <w:tblLayout w:type="fixed"/>
        <w:tblLook w:firstRow="1" w:lastRow="0" w:firstColumn="0" w:lastColumn="0" w:noHBand="0" w:noVBand="0" w:val="0020"/>
        <w:jc w:val="start"/>
        <w:tblBorders>
          <w:top w:val="single" w:sz="8" w:space="0" w:color="000000"/>
          <w:bottom w:val="single" w:sz="8" w:space="0" w:color="000000"/>
        </w:tblBorders>
        <w:tblW w:w="5000" w:type="pct"/>
      </w:tblPr>
      <w:tblGrid>
        <w:gridCol w:w="1265"/>
        <w:gridCol w:w="4182"/>
        <w:gridCol w:w="2476"/>
        <w:gridCol w:w="1375"/>
      </w:tblGrid>
      <w:tr>
        <w:trPr>
          <w:tblHeader w:val="true"/>
          <w:cantSplit/>
          <w:tblHeader/>
        </w:trPr>
        <w:tc>
          <w:tcPr>
            <w:tcW w:w="1265" w:type="dxa"/>
            <w:tcBorders>
              <w:bottom w:val="single" w:sz="4" w:space="0" w:color="000000"/>
            </w:tcBorders>
          </w:tcPr>
          <w:p>
            <w:pPr>
              <w:pStyle w:val="Compact"/>
              <w:spacing w:after="20" w:before="20" w:line="240" w:lineRule="auto"/>
              <w:jc w:val="left"/>
            </w:pPr>
            <w:r>
              <w:rPr>
                <w:b/>
                <w:sz w:val="18"/>
              </w:rPr>
              <w:t xml:space="preserve">Prediction</w:t>
            </w:r>
          </w:p>
        </w:tc>
        <w:tc>
          <w:tcPr>
            <w:tcW w:w="4182" w:type="dxa"/>
            <w:tcBorders>
              <w:bottom w:val="single" w:sz="4" w:space="0" w:color="000000"/>
            </w:tcBorders>
          </w:tcPr>
          <w:p>
            <w:pPr>
              <w:pStyle w:val="Compact"/>
              <w:spacing w:after="20" w:before="20" w:line="240" w:lineRule="auto"/>
              <w:jc w:val="left"/>
            </w:pPr>
            <w:r>
              <w:rPr>
                <w:b/>
                <w:sz w:val="18"/>
              </w:rPr>
              <w:t xml:space="preserve">What it expects</w:t>
            </w:r>
          </w:p>
        </w:tc>
        <w:tc>
          <w:tcPr>
            <w:tcW w:w="2476" w:type="dxa"/>
            <w:tcBorders>
              <w:bottom w:val="single" w:sz="4" w:space="0" w:color="000000"/>
            </w:tcBorders>
          </w:tcPr>
          <w:p>
            <w:pPr>
              <w:pStyle w:val="Compact"/>
              <w:spacing w:after="20" w:before="20" w:line="240" w:lineRule="auto"/>
              <w:jc w:val="left"/>
            </w:pPr>
            <w:r>
              <w:rPr>
                <w:b/>
                <w:sz w:val="18"/>
              </w:rPr>
              <w:t xml:space="preserve">Bears on</w:t>
            </w:r>
          </w:p>
        </w:tc>
        <w:tc>
          <w:tcPr>
            <w:tcW w:w="1375" w:type="dxa"/>
            <w:tcBorders>
              <w:bottom w:val="single" w:sz="4" w:space="0" w:color="000000"/>
            </w:tcBorders>
          </w:tcPr>
          <w:p>
            <w:pPr>
              <w:pStyle w:val="Compact"/>
              <w:spacing w:after="20" w:before="20" w:line="240" w:lineRule="auto"/>
              <w:jc w:val="left"/>
            </w:pPr>
            <w:r>
              <w:rPr>
                <w:b/>
                <w:sz w:val="18"/>
              </w:rPr>
              <w:t xml:space="preserve">Scored</w:t>
            </w:r>
          </w:p>
        </w:tc>
      </w:tr>
      <w:tr>
        <w:trPr>
          <w:cantSplit/>
        </w:trPr>
        <w:tc>
          <w:tcPr>
            <w:tcW w:w="1265" w:type="dxa"/>
          </w:tcPr>
          <w:p>
            <w:pPr>
              <w:pStyle w:val="Compact"/>
              <w:spacing w:after="20" w:before="20" w:line="240" w:lineRule="auto"/>
              <w:jc w:val="left"/>
            </w:pPr>
            <w:r>
              <w:rPr>
                <w:sz w:val="18"/>
              </w:rPr>
              <w:t xml:space="preserve">P1</w:t>
            </w:r>
          </w:p>
        </w:tc>
        <w:tc>
          <w:tcPr>
            <w:tcW w:w="4182" w:type="dxa"/>
          </w:tcPr>
          <w:p>
            <w:pPr>
              <w:pStyle w:val="Compact"/>
              <w:spacing w:after="20" w:before="20" w:line="240" w:lineRule="auto"/>
              <w:jc w:val="left"/>
            </w:pPr>
            <w:r>
              <w:rPr>
                <w:sz w:val="18"/>
              </w:rPr>
              <w:t xml:space="preserve">GoTo’s on-demand take rate falls by 0.3 to 2.5 points from the second quarter of 2026</w:t>
            </w:r>
          </w:p>
        </w:tc>
        <w:tc>
          <w:tcPr>
            <w:tcW w:w="2476" w:type="dxa"/>
          </w:tcPr>
          <w:p>
            <w:pPr>
              <w:pStyle w:val="Compact"/>
              <w:spacing w:after="20" w:before="20" w:line="240" w:lineRule="auto"/>
              <w:jc w:val="left"/>
            </w:pPr>
            <w:r>
              <w:rPr>
                <w:sz w:val="18"/>
              </w:rPr>
              <w:t xml:space="preserve">Commission cap</w:t>
            </w:r>
          </w:p>
        </w:tc>
        <w:tc>
          <w:tcPr>
            <w:tcW w:w="1375" w:type="dxa"/>
          </w:tcPr>
          <w:p>
            <w:pPr>
              <w:pStyle w:val="Compact"/>
              <w:spacing w:after="20" w:before="20" w:line="240" w:lineRule="auto"/>
              <w:jc w:val="left"/>
            </w:pPr>
            <w:r>
              <w:rPr>
                <w:sz w:val="18"/>
              </w:rPr>
              <w:t xml:space="preserve">Late October 2026</w:t>
            </w:r>
          </w:p>
        </w:tc>
      </w:tr>
      <w:tr>
        <w:trPr>
          <w:cantSplit/>
        </w:trPr>
        <w:tc>
          <w:tcPr>
            <w:tcW w:w="1265" w:type="dxa"/>
          </w:tcPr>
          <w:p>
            <w:pPr>
              <w:pStyle w:val="Compact"/>
              <w:spacing w:after="20" w:before="20" w:line="240" w:lineRule="auto"/>
              <w:jc w:val="left"/>
            </w:pPr>
            <w:r>
              <w:rPr>
                <w:sz w:val="18"/>
              </w:rPr>
              <w:t xml:space="preserve">P3</w:t>
            </w:r>
          </w:p>
        </w:tc>
        <w:tc>
          <w:tcPr>
            <w:tcW w:w="4182" w:type="dxa"/>
          </w:tcPr>
          <w:p>
            <w:pPr>
              <w:pStyle w:val="Compact"/>
              <w:spacing w:after="20" w:before="20" w:line="240" w:lineRule="auto"/>
              <w:jc w:val="left"/>
            </w:pPr>
            <w:r>
              <w:rPr>
                <w:sz w:val="18"/>
              </w:rPr>
              <w:t xml:space="preserve">GoTo’s on-demand transaction value grows by 0 to 12 percent on a year earlier</w:t>
            </w:r>
          </w:p>
        </w:tc>
        <w:tc>
          <w:tcPr>
            <w:tcW w:w="2476" w:type="dxa"/>
          </w:tcPr>
          <w:p>
            <w:pPr>
              <w:pStyle w:val="Compact"/>
              <w:spacing w:after="20" w:before="20" w:line="240" w:lineRule="auto"/>
              <w:jc w:val="left"/>
            </w:pPr>
            <w:r>
              <w:rPr>
                <w:sz w:val="18"/>
              </w:rPr>
              <w:t xml:space="preserve">Commission cap</w:t>
            </w:r>
          </w:p>
        </w:tc>
        <w:tc>
          <w:tcPr>
            <w:tcW w:w="1375" w:type="dxa"/>
          </w:tcPr>
          <w:p>
            <w:pPr>
              <w:pStyle w:val="Compact"/>
              <w:spacing w:after="20" w:before="20" w:line="240" w:lineRule="auto"/>
              <w:jc w:val="left"/>
            </w:pPr>
            <w:r>
              <w:rPr>
                <w:sz w:val="18"/>
              </w:rPr>
              <w:t xml:space="preserve">Late October 2026</w:t>
            </w:r>
          </w:p>
        </w:tc>
      </w:tr>
      <w:tr>
        <w:trPr>
          <w:cantSplit/>
        </w:trPr>
        <w:tc>
          <w:tcPr>
            <w:tcW w:w="1265" w:type="dxa"/>
          </w:tcPr>
          <w:p>
            <w:pPr>
              <w:pStyle w:val="Compact"/>
              <w:spacing w:after="20" w:before="20" w:line="240" w:lineRule="auto"/>
              <w:jc w:val="left"/>
            </w:pPr>
            <w:r>
              <w:rPr>
                <w:sz w:val="18"/>
              </w:rPr>
              <w:t xml:space="preserve">P5</w:t>
            </w:r>
          </w:p>
        </w:tc>
        <w:tc>
          <w:tcPr>
            <w:tcW w:w="4182" w:type="dxa"/>
          </w:tcPr>
          <w:p>
            <w:pPr>
              <w:pStyle w:val="Compact"/>
              <w:spacing w:after="20" w:before="20" w:line="240" w:lineRule="auto"/>
              <w:jc w:val="left"/>
            </w:pPr>
            <w:r>
              <w:rPr>
                <w:sz w:val="18"/>
              </w:rPr>
              <w:t xml:space="preserve">GoTo’s on-demand transaction value grows by at least 5 percent; the prediction fails only below 2 percent</w:t>
            </w:r>
          </w:p>
        </w:tc>
        <w:tc>
          <w:tcPr>
            <w:tcW w:w="2476" w:type="dxa"/>
          </w:tcPr>
          <w:p>
            <w:pPr>
              <w:pStyle w:val="Compact"/>
              <w:spacing w:after="20" w:before="20" w:line="240" w:lineRule="auto"/>
              <w:jc w:val="left"/>
            </w:pPr>
            <w:r>
              <w:rPr>
                <w:sz w:val="18"/>
              </w:rPr>
              <w:t xml:space="preserve">Commission cap, with spending on growth</w:t>
            </w:r>
          </w:p>
        </w:tc>
        <w:tc>
          <w:tcPr>
            <w:tcW w:w="1375" w:type="dxa"/>
          </w:tcPr>
          <w:p>
            <w:pPr>
              <w:pStyle w:val="Compact"/>
              <w:spacing w:after="20" w:before="20" w:line="240" w:lineRule="auto"/>
              <w:jc w:val="left"/>
            </w:pPr>
            <w:r>
              <w:rPr>
                <w:sz w:val="18"/>
              </w:rPr>
              <w:t xml:space="preserve">Late October 2026</w:t>
            </w:r>
          </w:p>
        </w:tc>
      </w:tr>
      <w:tr>
        <w:trPr>
          <w:cantSplit/>
        </w:trPr>
        <w:tc>
          <w:tcPr>
            <w:tcW w:w="1265" w:type="dxa"/>
          </w:tcPr>
          <w:p>
            <w:pPr>
              <w:pStyle w:val="Compact"/>
              <w:spacing w:after="20" w:before="20" w:line="240" w:lineRule="auto"/>
              <w:jc w:val="left"/>
            </w:pPr>
            <w:r>
              <w:rPr>
                <w:sz w:val="18"/>
              </w:rPr>
              <w:t xml:space="preserve">R1</w:t>
            </w:r>
          </w:p>
        </w:tc>
        <w:tc>
          <w:tcPr>
            <w:tcW w:w="4182" w:type="dxa"/>
          </w:tcPr>
          <w:p>
            <w:pPr>
              <w:pStyle w:val="Compact"/>
              <w:spacing w:after="20" w:before="20" w:line="240" w:lineRule="auto"/>
              <w:jc w:val="left"/>
            </w:pPr>
            <w:r>
              <w:rPr>
                <w:sz w:val="18"/>
              </w:rPr>
              <w:t xml:space="preserve">GoTo’s on-demand revenue growth less transaction value growth lies between −0.5 and +12.5 points; it follows from P1 and P3</w:t>
            </w:r>
          </w:p>
        </w:tc>
        <w:tc>
          <w:tcPr>
            <w:tcW w:w="2476" w:type="dxa"/>
          </w:tcPr>
          <w:p>
            <w:pPr>
              <w:pStyle w:val="Compact"/>
              <w:spacing w:after="20" w:before="20" w:line="240" w:lineRule="auto"/>
              <w:jc w:val="left"/>
            </w:pPr>
            <w:r>
              <w:rPr>
                <w:sz w:val="18"/>
              </w:rPr>
              <w:t xml:space="preserve">Commission cap</w:t>
            </w:r>
          </w:p>
        </w:tc>
        <w:tc>
          <w:tcPr>
            <w:tcW w:w="1375" w:type="dxa"/>
          </w:tcPr>
          <w:p>
            <w:pPr>
              <w:pStyle w:val="Compact"/>
              <w:spacing w:after="20" w:before="20" w:line="240" w:lineRule="auto"/>
              <w:jc w:val="left"/>
            </w:pPr>
            <w:r>
              <w:rPr>
                <w:sz w:val="18"/>
              </w:rPr>
              <w:t xml:space="preserve">Late October 2026</w:t>
            </w:r>
          </w:p>
        </w:tc>
      </w:tr>
      <w:tr>
        <w:trPr>
          <w:cantSplit/>
        </w:trPr>
        <w:tc>
          <w:tcPr>
            <w:tcW w:w="1265" w:type="dxa"/>
          </w:tcPr>
          <w:p>
            <w:pPr>
              <w:pStyle w:val="Compact"/>
              <w:spacing w:after="20" w:before="20" w:line="240" w:lineRule="auto"/>
              <w:jc w:val="left"/>
            </w:pPr>
            <w:r>
              <w:rPr>
                <w:sz w:val="18"/>
              </w:rPr>
              <w:t xml:space="preserve">R2</w:t>
            </w:r>
          </w:p>
        </w:tc>
        <w:tc>
          <w:tcPr>
            <w:tcW w:w="4182" w:type="dxa"/>
          </w:tcPr>
          <w:p>
            <w:pPr>
              <w:pStyle w:val="Compact"/>
              <w:spacing w:after="20" w:before="20" w:line="240" w:lineRule="auto"/>
              <w:jc w:val="left"/>
            </w:pPr>
            <w:r>
              <w:rPr>
                <w:sz w:val="18"/>
              </w:rPr>
              <w:t xml:space="preserve">GoTo’s on-demand transaction value grows more slowly than household spending</w:t>
            </w:r>
          </w:p>
        </w:tc>
        <w:tc>
          <w:tcPr>
            <w:tcW w:w="2476" w:type="dxa"/>
          </w:tcPr>
          <w:p>
            <w:pPr>
              <w:pStyle w:val="Compact"/>
              <w:spacing w:after="20" w:before="20" w:line="240" w:lineRule="auto"/>
              <w:jc w:val="left"/>
            </w:pPr>
            <w:r>
              <w:rPr>
                <w:sz w:val="18"/>
              </w:rPr>
              <w:t xml:space="preserve">Buying through platforms</w:t>
            </w:r>
          </w:p>
        </w:tc>
        <w:tc>
          <w:tcPr>
            <w:tcW w:w="1375" w:type="dxa"/>
          </w:tcPr>
          <w:p>
            <w:pPr>
              <w:pStyle w:val="Compact"/>
              <w:spacing w:after="20" w:before="20" w:line="240" w:lineRule="auto"/>
              <w:jc w:val="left"/>
            </w:pPr>
            <w:r>
              <w:rPr>
                <w:sz w:val="18"/>
              </w:rPr>
              <w:t xml:space="preserve">Early November 2026</w:t>
            </w:r>
          </w:p>
        </w:tc>
      </w:tr>
      <w:tr>
        <w:trPr>
          <w:cantSplit/>
        </w:trPr>
        <w:tc>
          <w:tcPr>
            <w:tcW w:w="1265" w:type="dxa"/>
          </w:tcPr>
          <w:p>
            <w:pPr>
              <w:pStyle w:val="Compact"/>
              <w:spacing w:after="20" w:before="20" w:line="240" w:lineRule="auto"/>
              <w:jc w:val="left"/>
            </w:pPr>
            <w:r>
              <w:rPr>
                <w:sz w:val="18"/>
              </w:rPr>
              <w:t xml:space="preserve">P2</w:t>
            </w:r>
          </w:p>
        </w:tc>
        <w:tc>
          <w:tcPr>
            <w:tcW w:w="4182" w:type="dxa"/>
          </w:tcPr>
          <w:p>
            <w:pPr>
              <w:pStyle w:val="Compact"/>
              <w:spacing w:after="20" w:before="20" w:line="240" w:lineRule="auto"/>
              <w:jc w:val="left"/>
            </w:pPr>
            <w:r>
              <w:rPr>
                <w:sz w:val="18"/>
              </w:rPr>
              <w:t xml:space="preserve">Grab’s on-demand take rate stays within −0.6 to +0.4 points of the second quarter</w:t>
            </w:r>
          </w:p>
        </w:tc>
        <w:tc>
          <w:tcPr>
            <w:tcW w:w="2476" w:type="dxa"/>
          </w:tcPr>
          <w:p>
            <w:pPr>
              <w:pStyle w:val="Compact"/>
              <w:spacing w:after="20" w:before="20" w:line="240" w:lineRule="auto"/>
              <w:jc w:val="left"/>
            </w:pPr>
            <w:r>
              <w:rPr>
                <w:sz w:val="18"/>
              </w:rPr>
              <w:t xml:space="preserve">Commission cap</w:t>
            </w:r>
          </w:p>
        </w:tc>
        <w:tc>
          <w:tcPr>
            <w:tcW w:w="1375" w:type="dxa"/>
          </w:tcPr>
          <w:p>
            <w:pPr>
              <w:pStyle w:val="Compact"/>
              <w:spacing w:after="20" w:before="20" w:line="240" w:lineRule="auto"/>
              <w:jc w:val="left"/>
            </w:pPr>
            <w:r>
              <w:rPr>
                <w:sz w:val="18"/>
              </w:rPr>
              <w:t xml:space="preserve">Mid-November 2026</w:t>
            </w:r>
          </w:p>
        </w:tc>
      </w:tr>
      <w:tr>
        <w:trPr>
          <w:cantSplit/>
        </w:trPr>
        <w:tc>
          <w:tcPr>
            <w:tcW w:w="1265" w:type="dxa"/>
          </w:tcPr>
          <w:p>
            <w:pPr>
              <w:pStyle w:val="Compact"/>
              <w:spacing w:after="20" w:before="20" w:line="240" w:lineRule="auto"/>
              <w:jc w:val="left"/>
            </w:pPr>
            <w:r>
              <w:rPr>
                <w:sz w:val="18"/>
              </w:rPr>
              <w:t xml:space="preserve">P4</w:t>
            </w:r>
          </w:p>
        </w:tc>
        <w:tc>
          <w:tcPr>
            <w:tcW w:w="4182" w:type="dxa"/>
          </w:tcPr>
          <w:p>
            <w:pPr>
              <w:pStyle w:val="Compact"/>
              <w:spacing w:after="20" w:before="20" w:line="240" w:lineRule="auto"/>
              <w:jc w:val="left"/>
            </w:pPr>
            <w:r>
              <w:rPr>
                <w:sz w:val="18"/>
              </w:rPr>
              <w:t xml:space="preserve">Grab’s change in the rides take rate, less its change in the deliveries take rate, is at most +0.3 points</w:t>
            </w:r>
          </w:p>
        </w:tc>
        <w:tc>
          <w:tcPr>
            <w:tcW w:w="2476" w:type="dxa"/>
          </w:tcPr>
          <w:p>
            <w:pPr>
              <w:pStyle w:val="Compact"/>
              <w:spacing w:after="20" w:before="20" w:line="240" w:lineRule="auto"/>
              <w:jc w:val="left"/>
            </w:pPr>
            <w:r>
              <w:rPr>
                <w:sz w:val="18"/>
              </w:rPr>
              <w:t xml:space="preserve">Commission cap</w:t>
            </w:r>
          </w:p>
        </w:tc>
        <w:tc>
          <w:tcPr>
            <w:tcW w:w="1375" w:type="dxa"/>
          </w:tcPr>
          <w:p>
            <w:pPr>
              <w:pStyle w:val="Compact"/>
              <w:spacing w:after="20" w:before="20" w:line="240" w:lineRule="auto"/>
              <w:jc w:val="left"/>
            </w:pPr>
            <w:r>
              <w:rPr>
                <w:sz w:val="18"/>
              </w:rPr>
              <w:t xml:space="preserve">Mid-November 2026</w:t>
            </w:r>
          </w:p>
        </w:tc>
      </w:tr>
      <w:tr>
        <w:trPr>
          <w:cantSplit/>
        </w:trPr>
        <w:tc>
          <w:tcPr>
            <w:tcW w:w="1265" w:type="dxa"/>
          </w:tcPr>
          <w:p>
            <w:pPr>
              <w:pStyle w:val="Compact"/>
              <w:spacing w:after="20" w:before="20" w:line="240" w:lineRule="auto"/>
              <w:jc w:val="left"/>
            </w:pPr>
            <w:r>
              <w:rPr>
                <w:sz w:val="18"/>
              </w:rPr>
              <w:t xml:space="preserve">R3</w:t>
            </w:r>
          </w:p>
        </w:tc>
        <w:tc>
          <w:tcPr>
            <w:tcW w:w="4182" w:type="dxa"/>
          </w:tcPr>
          <w:p>
            <w:pPr>
              <w:pStyle w:val="Compact"/>
              <w:spacing w:after="20" w:before="20" w:line="240" w:lineRule="auto"/>
              <w:jc w:val="left"/>
            </w:pPr>
            <w:r>
              <w:rPr>
                <w:sz w:val="18"/>
              </w:rPr>
              <w:t xml:space="preserve">Shopee’s revenue growth less its transaction value growth is at least +10 points</w:t>
            </w:r>
          </w:p>
        </w:tc>
        <w:tc>
          <w:tcPr>
            <w:tcW w:w="2476" w:type="dxa"/>
          </w:tcPr>
          <w:p>
            <w:pPr>
              <w:pStyle w:val="Compact"/>
              <w:spacing w:after="20" w:before="20" w:line="240" w:lineRule="auto"/>
              <w:jc w:val="left"/>
            </w:pPr>
            <w:r>
              <w:rPr>
                <w:sz w:val="18"/>
              </w:rPr>
              <w:t xml:space="preserve">Marketplace fees</w:t>
            </w:r>
          </w:p>
        </w:tc>
        <w:tc>
          <w:tcPr>
            <w:tcW w:w="1375" w:type="dxa"/>
          </w:tcPr>
          <w:p>
            <w:pPr>
              <w:pStyle w:val="Compact"/>
              <w:spacing w:after="20" w:before="20" w:line="240" w:lineRule="auto"/>
              <w:jc w:val="left"/>
            </w:pPr>
            <w:r>
              <w:rPr>
                <w:sz w:val="18"/>
              </w:rPr>
              <w:t xml:space="preserve">Mid-November 2026</w:t>
            </w:r>
          </w:p>
        </w:tc>
      </w:tr>
      <w:tr>
        <w:trPr>
          <w:cantSplit/>
        </w:trPr>
        <w:tc>
          <w:tcPr>
            <w:tcW w:w="1265" w:type="dxa"/>
          </w:tcPr>
          <w:p>
            <w:pPr>
              <w:pStyle w:val="Compact"/>
              <w:spacing w:after="20" w:before="20" w:line="240" w:lineRule="auto"/>
              <w:jc w:val="left"/>
            </w:pPr>
            <w:r>
              <w:rPr>
                <w:sz w:val="18"/>
              </w:rPr>
              <w:t xml:space="preserve">Marketplace share</w:t>
            </w:r>
          </w:p>
        </w:tc>
        <w:tc>
          <w:tcPr>
            <w:tcW w:w="4182" w:type="dxa"/>
          </w:tcPr>
          <w:p>
            <w:pPr>
              <w:pStyle w:val="Compact"/>
              <w:spacing w:after="20" w:before="20" w:line="240" w:lineRule="auto"/>
              <w:jc w:val="left"/>
            </w:pPr>
            <w:r>
              <w:rPr>
                <w:sz w:val="18"/>
              </w:rPr>
              <w:t xml:space="preserve">BPS’s next marketplace share of online sales value is at most 15.79 percent</w:t>
            </w:r>
          </w:p>
        </w:tc>
        <w:tc>
          <w:tcPr>
            <w:tcW w:w="2476" w:type="dxa"/>
          </w:tcPr>
          <w:p>
            <w:pPr>
              <w:pStyle w:val="Compact"/>
              <w:spacing w:after="20" w:before="20" w:line="240" w:lineRule="auto"/>
              <w:jc w:val="left"/>
            </w:pPr>
            <w:r>
              <w:rPr>
                <w:sz w:val="18"/>
              </w:rPr>
              <w:t xml:space="preserve">Reach of marketplace rules</w:t>
            </w:r>
          </w:p>
        </w:tc>
        <w:tc>
          <w:tcPr>
            <w:tcW w:w="1375" w:type="dxa"/>
          </w:tcPr>
          <w:p>
            <w:pPr>
              <w:pStyle w:val="Compact"/>
              <w:spacing w:after="20" w:before="20" w:line="240" w:lineRule="auto"/>
              <w:jc w:val="left"/>
            </w:pPr>
            <w:r>
              <w:rPr>
                <w:sz w:val="18"/>
              </w:rPr>
              <w:t xml:space="preserve">Next BPS release</w:t>
            </w:r>
          </w:p>
        </w:tc>
      </w:tr>
    </w:tbl>
    <w:p>
      <w:pPr>
        <w:pStyle w:val="BodyText"/>
        <w:jc w:val="left"/>
      </w:pPr>
      <w:r>
        <w:rPr>
          <w:iCs/>
          <w:i/>
          <w:sz w:val="19"/>
        </w:rPr>
        <w:t xml:space="preserve">Note:</w:t>
      </w:r>
      <w:r>
        <w:rPr>
          <w:sz w:val="19"/>
        </w:rPr>
        <w:t xml:space="preserve"> </w:t>
      </w:r>
      <w:r>
        <w:rPr>
          <w:sz w:val="19"/>
        </w:rP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1"/>
    <w:bookmarkStart w:id="82"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w:t>
      </w:r>
      <w:r>
        <w:t xml:space="preserve"> </w:t>
      </w:r>
      <w:r>
        <w:rPr>
          <w:bCs/>
          <w:b/>
        </w:rPr>
        <w:t xml:space="preserve">Every one of these rules reaches only the sales that pass through a platform.</w:t>
      </w:r>
      <w:r>
        <w:t xml:space="preserve"> </w:t>
      </w:r>
      <w:r>
        <w:t xml:space="preserve">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2"/>
    <w:bookmarkEnd w:id="83"/>
    <w:bookmarkStart w:id="89" w:name="chapter-7.-conclusion"/>
    <w:p>
      <w:pPr>
        <w:pStyle w:val="Heading1"/>
      </w:pPr>
      <w:r>
        <w:t xml:space="preserve">Chapter 7. Conclusion</w:t>
      </w:r>
    </w:p>
    <w:p>
      <w:pPr>
        <w:pStyle w:val="FirstParagraph"/>
      </w:pPr>
      <w:r>
        <w:rPr>
          <w:bCs/>
          <w:b/>
        </w:rPr>
        <w:t xml:space="preserve">Each figure of Indonesia’s online economy is a fair guide to another only while a condition holds.</w:t>
      </w:r>
      <w:r>
        <w:t xml:space="preserve"> </w:t>
      </w:r>
      <w:r>
        <w:t xml:space="preserve">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4"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w:t>
      </w:r>
      <w:r>
        <w:t xml:space="preserve"> </w:t>
      </w:r>
      <w:r>
        <w:rPr>
          <w:bCs/>
          <w:b/>
        </w:rPr>
        <w:t xml:space="preserve">The answer to the first half is that most of the activity remains outside revenue.</w:t>
      </w:r>
      <w:r>
        <w:t xml:space="preserve"> </w:t>
      </w:r>
      <w:r>
        <w:t xml:space="preserve">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rPr>
          <w:bCs/>
          <w:b/>
        </w:rPr>
        <w:t xml:space="preserve">The answer to the second half differs by link.</w:t>
      </w:r>
      <w:r>
        <w:t xml:space="preserve"> </w:t>
      </w:r>
      <w:r>
        <w:t xml:space="preserve">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rPr>
          <w:bCs/>
          <w:b/>
        </w:rPr>
        <w:t xml:space="preserve">On the outer link, H2 holds on BPS’s published figures: more businesses account for most of the growth in online sales value.</w:t>
      </w:r>
      <w:r>
        <w:t xml:space="preserve"> </w:t>
      </w:r>
      <w:r>
        <w:t xml:space="preserve">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4"/>
    <w:bookmarkStart w:id="85"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5"/>
    <w:bookmarkStart w:id="86" w:name="predictions-that-failed"/>
    <w:p>
      <w:pPr>
        <w:pStyle w:val="Heading2"/>
      </w:pPr>
      <w:r>
        <w:t xml:space="preserve">7.3 Predictions that failed</w:t>
      </w:r>
    </w:p>
    <w:p>
      <w:pPr>
        <w:pStyle w:val="FirstParagraph"/>
      </w:pPr>
      <w:r>
        <w:rPr>
          <w:bCs/>
          <w:b/>
        </w:rPr>
        <w:t xml:space="preserve">Several registered predictions failed, and the failures are part of the answer.</w:t>
      </w:r>
      <w:r>
        <w:t xml:space="preserve"> </w:t>
      </w:r>
      <w:r>
        <w:t xml:space="preserve">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6"/>
    <w:bookmarkStart w:id="87" w:name="limits-of-the-evidence"/>
    <w:p>
      <w:pPr>
        <w:pStyle w:val="Heading2"/>
      </w:pPr>
      <w:r>
        <w:t xml:space="preserve">7.4 Limits of the evidence</w:t>
      </w:r>
    </w:p>
    <w:p>
      <w:pPr>
        <w:pStyle w:val="FirstParagraph"/>
      </w:pPr>
      <w:r>
        <w:rPr>
          <w:bCs/>
          <w:b/>
        </w:rPr>
        <w:t xml:space="preserve">The invisible wedge is the part of each sale that a platform passes on to sellers, drivers and others.</w:t>
      </w:r>
      <w:r>
        <w:t xml:space="preserve"> </w:t>
      </w:r>
      <w:r>
        <w:rPr>
          <w:bCs/>
          <w:b/>
        </w:rPr>
        <w:t xml:space="preserve">It is not missing output, unrecorded income or unpaid tax.</w:t>
      </w:r>
      <w:r>
        <w:t xml:space="preserve"> </w:t>
      </w:r>
      <w:r>
        <w:t xml:space="preserve">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7"/>
    <w:bookmarkStart w:id="88"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w:t>
      </w:r>
      <w:r>
        <w:t xml:space="preserve"> </w:t>
      </w:r>
      <w:r>
        <w:rPr>
          <w:bCs/>
          <w:b/>
        </w:rPr>
        <w:t xml:space="preserve">A reader who asks which of those happened can still use all three.</w:t>
      </w:r>
    </w:p>
    <w:bookmarkEnd w:id="88"/>
    <w:bookmarkEnd w:id="89"/>
    <w:sectPr>
      <w:footerReference r:id="rId9" w:type="default"/>
      <w:pgSz w:h="16838" w:w="11906"/>
      <w:pgMar w:bottom="1134"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59" w:lineRule="auto"/>
      <w:jc w:val="both"/>
    </w:pPr>
    <w:rPr>
      <w:rFonts w:ascii="Times New Roman" w:cs="Times New Roman" w:eastAsia="Times New Roman" w:hAnsi="Times New Roman"/>
      <w:color w:val="000000"/>
      <w:sz w:val="21"/>
    </w:rPr>
  </w:style>
  <w:style w:styleId="BodyText" w:type="paragraph">
    <w:name w:val="Body Text"/>
    <w:basedOn w:val="Normal"/>
    <w:link w:val="BodyTextChar"/>
    <w:pPr>
      <w:spacing w:after="80" w:before="0" w:line="259" w:lineRule="auto"/>
      <w:jc w:val="both"/>
    </w:pPr>
    <w:qFormat/>
    <w:rPr>
      <w:rFonts w:ascii="Times New Roman" w:cs="Times New Roman" w:eastAsia="Times New Roman" w:hAnsi="Times New Roman"/>
      <w:color w:val="000000"/>
      <w:sz w:val="21"/>
    </w:rPr>
  </w:style>
  <w:style w:customStyle="1" w:styleId="FirstParagraph" w:type="paragraph">
    <w:name w:val="First Paragraph"/>
    <w:basedOn w:val="BodyText"/>
    <w:next w:val="BodyText"/>
    <w:qFormat/>
    <w:pPr>
      <w:spacing w:after="80" w:before="0" w:line="259" w:lineRule="auto"/>
      <w:jc w:val="both"/>
    </w:pPr>
    <w:rPr>
      <w:rFonts w:ascii="Times New Roman" w:cs="Times New Roman" w:eastAsia="Times New Roman" w:hAnsi="Times New Roman"/>
      <w:color w:val="000000"/>
      <w:sz w:val="21"/>
    </w:rPr>
  </w:style>
  <w:style w:customStyle="1" w:styleId="Compact" w:type="paragraph">
    <w:name w:val="Compact"/>
    <w:basedOn w:val="BodyText"/>
    <w:qFormat/>
    <w:pPr>
      <w:spacing w:after="20" w:before="36"/>
      <w:jc w:val="left"/>
    </w:pPr>
    <w:rPr>
      <w:rFonts w:ascii="Times New Roman" w:cs="Times New Roman" w:eastAsia="Times New Roman" w:hAnsi="Times New Roman"/>
      <w:color w:val="000000"/>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4"/>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color w:val="000000"/>
      <w:sz w:val="23"/>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1"/>
    </w:rPr>
  </w:style>
  <w:style w:styleId="Date" w:type="paragraph">
    <w:name w:val="Date"/>
    <w:next w:val="BodyText"/>
    <w:qFormat/>
    <w:pPr>
      <w:keepNext/>
      <w:keepLines/>
      <w:jc w:val="center"/>
    </w:pPr>
    <w:rPr>
      <w:rFonts w:ascii="Times New Roman" w:cs="Times New Roman" w:eastAsia="Times New Roman" w:hAnsi="Times New Roman"/>
      <w:color w:val="000000"/>
      <w:sz w:val="21"/>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60" w:before="200"/>
      <w:outlineLvl w:val="1"/>
    </w:pPr>
    <w:rPr>
      <w:rFonts w:ascii="Times New Roman" w:cs="Times New Roman" w:eastAsia="Times New Roman" w:hAnsi="Times New Roman"/>
      <w:b/>
      <w:bCs/>
      <w:i w:val="0"/>
      <w:color w:val="000000"/>
      <w:sz w:val="25"/>
      <w:szCs w:val="28"/>
    </w:rPr>
  </w:style>
  <w:style w:styleId="Heading3" w:type="paragraph">
    <w:name w:val="Heading 3"/>
    <w:basedOn w:val="Normal"/>
    <w:next w:val="BodyText"/>
    <w:uiPriority w:val="9"/>
    <w:unhideWhenUsed/>
    <w:qFormat/>
    <w:pPr>
      <w:keepNext/>
      <w:keepLines/>
      <w:spacing w:after="40" w:before="120"/>
      <w:outlineLvl w:val="2"/>
    </w:pPr>
    <w:rPr>
      <w:rFonts w:ascii="Times New Roman" w:cs="Times New Roman" w:eastAsia="Times New Roman" w:hAnsi="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val="0"/>
      <w:b/>
      <w:bCs/>
      <w:color w:val="000000"/>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54" w:right="480"/>
      <w:jc w:val="left"/>
    </w:pPr>
    <w:rPr>
      <w:rFonts w:ascii="Times New Roman" w:cs="Times New Roman" w:eastAsia="Times New Roman" w:hAnsi="Times New Roman"/>
      <w:color w:val="000000"/>
      <w:sz w:val="21"/>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19"/>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0"/>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0"/>
    </w:rPr>
  </w:style>
  <w:style w:customStyle="1" w:styleId="ImageCaption" w:type="paragraph">
    <w:name w:val="Image Caption"/>
    <w:basedOn w:val="Caption"/>
    <w:rPr>
      <w:rFonts w:ascii="Times New Roman" w:cs="Times New Roman" w:eastAsia="Times New Roman" w:hAnsi="Times New Roman"/>
      <w:b w:val="0"/>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quation" w:type="paragraph">
    <w:name w:val="Equation"/>
    <w:basedOn w:val="Normal"/>
    <w:pPr>
      <w:keepLines/>
      <w:tabs>
        <w:tab w:pos="4706" w:val="center"/>
        <w:tab w:pos="9411" w:val="right"/>
      </w:tabs>
      <w:spacing w:after="120" w:before="80"/>
      <w:jc w:val="left"/>
    </w:pPr>
    <w:rPr>
      <w:rFonts w:ascii="Times New Roman" w:cs="Times New Roman" w:eastAsia="Times New Roman" w:hAnsi="Times New Roman"/>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0" Type="http://schemas.openxmlformats.org/officeDocument/2006/relationships/image" Target="media/rId30.png"/><Relationship Id="rId52" Type="http://schemas.openxmlformats.org/officeDocument/2006/relationships/image" Target="media/rId52.png"/><Relationship Id="rId56" Type="http://schemas.openxmlformats.org/officeDocument/2006/relationships/image" Target="media/rId56.png"/><Relationship Id="rId61" Type="http://schemas.openxmlformats.org/officeDocument/2006/relationships/image" Target="media/rId61.png"/><Relationship Id="rId67" Type="http://schemas.openxmlformats.org/officeDocument/2006/relationships/image" Target="media/rId67.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creator>Christopher Ongko (王新福); Advisor: Prof. De-Rong Kong (孔德蓉); College of Management, Yuan Ze University</dc:creator>
  <dc:language>en</dc:language>
  <cp:keywords/>
  <dcterms:created xsi:type="dcterms:W3CDTF">2026-10-24T06:32:26Z</dcterms:created>
  <dcterms:modified xsi:type="dcterms:W3CDTF">2026-10-24T06:32:26Z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Master’s thesis, condensed version</vt:lpwstr>
  </property>
</Properties>
</file>