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9ADCC" w14:textId="77777777" w:rsidR="00CF52FD" w:rsidRDefault="00000000">
      <w:pPr>
        <w:jc w:val="center"/>
      </w:pPr>
      <w:proofErr w:type="spellStart"/>
      <w:r>
        <w:rPr>
          <w:rFonts w:cs="Times New Roman"/>
          <w:b/>
        </w:rPr>
        <w:t>元智大學</w:t>
      </w:r>
      <w:proofErr w:type="spellEnd"/>
      <w:r>
        <w:rPr>
          <w:rFonts w:cs="Times New Roman"/>
          <w:b/>
        </w:rPr>
        <w:br/>
        <w:t>YUAN ZE UNIVERSITY</w:t>
      </w:r>
    </w:p>
    <w:p w14:paraId="613D4313" w14:textId="77777777" w:rsidR="00CF52FD" w:rsidRDefault="00000000">
      <w:pPr>
        <w:jc w:val="center"/>
      </w:pPr>
      <w:proofErr w:type="spellStart"/>
      <w:r>
        <w:rPr>
          <w:rFonts w:cs="Times New Roman"/>
        </w:rPr>
        <w:t>管理學院財務金融暨會計碩士班</w:t>
      </w:r>
      <w:proofErr w:type="spellEnd"/>
      <w:r>
        <w:rPr>
          <w:rFonts w:cs="Times New Roman"/>
        </w:rPr>
        <w:br/>
      </w:r>
      <w:proofErr w:type="spellStart"/>
      <w:r>
        <w:rPr>
          <w:rFonts w:cs="Times New Roman"/>
        </w:rPr>
        <w:t>財務金融碩士學程</w:t>
      </w:r>
      <w:proofErr w:type="spellEnd"/>
    </w:p>
    <w:p w14:paraId="06431330" w14:textId="77777777" w:rsidR="00CF52FD" w:rsidRDefault="00CF52FD"/>
    <w:p w14:paraId="5643BF66" w14:textId="15CC3F68" w:rsidR="00CF52FD" w:rsidRDefault="00000000">
      <w:pPr>
        <w:jc w:val="center"/>
      </w:pPr>
      <w:proofErr w:type="spellStart"/>
      <w:r>
        <w:rPr>
          <w:rFonts w:cs="Times New Roman"/>
          <w:b/>
        </w:rPr>
        <w:t>碩士論文計畫書</w:t>
      </w:r>
      <w:proofErr w:type="spellEnd"/>
      <w:r>
        <w:rPr>
          <w:rFonts w:cs="Times New Roman"/>
          <w:b/>
        </w:rPr>
        <w:br/>
        <w:t xml:space="preserve">MASTER'S </w:t>
      </w:r>
      <w:r w:rsidR="00183555">
        <w:rPr>
          <w:rFonts w:cs="Times New Roman"/>
          <w:b/>
        </w:rPr>
        <w:t>STUDY</w:t>
      </w:r>
      <w:r>
        <w:rPr>
          <w:rFonts w:cs="Times New Roman"/>
          <w:b/>
        </w:rPr>
        <w:t xml:space="preserve"> PROPOSAL</w:t>
      </w:r>
    </w:p>
    <w:p w14:paraId="00129748" w14:textId="77777777" w:rsidR="00CF52FD" w:rsidRDefault="00CF52FD"/>
    <w:p w14:paraId="644255DC" w14:textId="5B6669C0" w:rsidR="00CF52FD" w:rsidRDefault="00000000">
      <w:pPr>
        <w:jc w:val="center"/>
        <w:rPr>
          <w:lang w:eastAsia="zh-TW"/>
        </w:rPr>
      </w:pPr>
      <w:proofErr w:type="spellStart"/>
      <w:r>
        <w:rPr>
          <w:rFonts w:cs="Times New Roman"/>
          <w:b/>
          <w:lang w:eastAsia="zh-TW"/>
        </w:rPr>
        <w:t>隱形帳簿：量化印尼平台經濟中的隱形</w:t>
      </w:r>
      <w:proofErr w:type="spellEnd"/>
      <w:r w:rsidR="00B71A4F" w:rsidRPr="00B71A4F">
        <w:rPr>
          <w:rFonts w:ascii="新細明體" w:eastAsia="新細明體" w:hAnsi="新細明體" w:cs="新細明體" w:hint="eastAsia"/>
          <w:b/>
          <w:lang w:eastAsia="zh-TW"/>
        </w:rPr>
        <w:t>缺口</w:t>
      </w:r>
    </w:p>
    <w:p w14:paraId="5FE4B54F" w14:textId="77777777" w:rsidR="00CF52FD" w:rsidRDefault="00000000">
      <w:pPr>
        <w:jc w:val="center"/>
      </w:pPr>
      <w:r>
        <w:rPr>
          <w:rFonts w:cs="Times New Roman"/>
          <w:b/>
        </w:rPr>
        <w:t>The Invisible Ledger: Quantifying the Invisible Wedge in Indonesia's Platform Economy</w:t>
      </w:r>
    </w:p>
    <w:p w14:paraId="640C7DC0" w14:textId="77777777" w:rsidR="00CF52FD" w:rsidRDefault="00CF52FD"/>
    <w:p w14:paraId="4E4117B9" w14:textId="77777777" w:rsidR="00CF52FD" w:rsidRDefault="00CF52FD"/>
    <w:p w14:paraId="32380068" w14:textId="77777777" w:rsidR="00CF52FD" w:rsidRDefault="00000000">
      <w:pPr>
        <w:jc w:val="center"/>
      </w:pPr>
      <w:proofErr w:type="spellStart"/>
      <w:r>
        <w:rPr>
          <w:rFonts w:cs="Times New Roman"/>
        </w:rPr>
        <w:t>研究生</w:t>
      </w:r>
      <w:proofErr w:type="spellEnd"/>
      <w:r>
        <w:rPr>
          <w:rFonts w:cs="Times New Roman"/>
        </w:rPr>
        <w:t xml:space="preserve"> / Student: </w:t>
      </w:r>
      <w:proofErr w:type="spellStart"/>
      <w:r>
        <w:rPr>
          <w:rFonts w:cs="Times New Roman"/>
        </w:rPr>
        <w:t>王新福</w:t>
      </w:r>
      <w:proofErr w:type="spellEnd"/>
      <w:r>
        <w:rPr>
          <w:rFonts w:cs="Times New Roman"/>
        </w:rPr>
        <w:t xml:space="preserve"> Christopher </w:t>
      </w:r>
      <w:proofErr w:type="spellStart"/>
      <w:r>
        <w:rPr>
          <w:rFonts w:cs="Times New Roman"/>
        </w:rPr>
        <w:t>Ongko</w:t>
      </w:r>
      <w:proofErr w:type="spellEnd"/>
    </w:p>
    <w:p w14:paraId="29745459" w14:textId="77777777" w:rsidR="00CF52FD" w:rsidRDefault="00000000">
      <w:pPr>
        <w:jc w:val="center"/>
      </w:pPr>
      <w:proofErr w:type="spellStart"/>
      <w:r>
        <w:rPr>
          <w:rFonts w:cs="Times New Roman"/>
        </w:rPr>
        <w:t>指導教授</w:t>
      </w:r>
      <w:proofErr w:type="spellEnd"/>
      <w:r>
        <w:rPr>
          <w:rFonts w:cs="Times New Roman"/>
        </w:rPr>
        <w:t xml:space="preserve"> / Advisor: </w:t>
      </w:r>
      <w:proofErr w:type="spellStart"/>
      <w:r>
        <w:rPr>
          <w:rFonts w:cs="Times New Roman"/>
        </w:rPr>
        <w:t>孔德蓉</w:t>
      </w:r>
      <w:proofErr w:type="spellEnd"/>
      <w:r>
        <w:rPr>
          <w:rFonts w:cs="Times New Roman"/>
        </w:rPr>
        <w:t xml:space="preserve"> De-Rong Kong</w:t>
      </w:r>
    </w:p>
    <w:p w14:paraId="6ED4A781" w14:textId="77777777" w:rsidR="00CF52FD" w:rsidRDefault="00CF52FD"/>
    <w:p w14:paraId="6F2B0382" w14:textId="77777777" w:rsidR="00CF52FD" w:rsidRDefault="00000000">
      <w:pPr>
        <w:jc w:val="center"/>
      </w:pPr>
      <w:proofErr w:type="spellStart"/>
      <w:r>
        <w:rPr>
          <w:rFonts w:cs="Times New Roman"/>
        </w:rPr>
        <w:t>中華民國</w:t>
      </w:r>
      <w:proofErr w:type="spellEnd"/>
      <w:r>
        <w:rPr>
          <w:rFonts w:cs="Times New Roman"/>
        </w:rPr>
        <w:t xml:space="preserve"> 115 年 9 月</w:t>
      </w:r>
      <w:r>
        <w:rPr>
          <w:rFonts w:cs="Times New Roman"/>
        </w:rPr>
        <w:br/>
        <w:t>September 2026</w:t>
      </w:r>
    </w:p>
    <w:p w14:paraId="603297F9" w14:textId="77777777" w:rsidR="00CF52FD" w:rsidRDefault="00000000">
      <w:r>
        <w:br w:type="page"/>
      </w:r>
    </w:p>
    <w:p w14:paraId="0FFD0E24" w14:textId="77777777" w:rsidR="00CF52FD" w:rsidRDefault="00000000">
      <w:pPr>
        <w:pStyle w:val="Heading1"/>
        <w:spacing w:before="0" w:after="100"/>
      </w:pPr>
      <w:r>
        <w:rPr>
          <w:rFonts w:ascii="Times New Roman" w:eastAsia="Times New Roman" w:hAnsi="Times New Roman" w:cs="Times New Roman"/>
        </w:rPr>
        <w:lastRenderedPageBreak/>
        <w:t>Abstract</w:t>
      </w:r>
    </w:p>
    <w:p w14:paraId="7A143704" w14:textId="44A78562" w:rsidR="00B71A4F" w:rsidRDefault="00000000">
      <w:pPr>
        <w:keepLines/>
        <w:spacing w:after="110" w:line="257" w:lineRule="auto"/>
        <w:jc w:val="both"/>
        <w:rPr/>
      </w:pPr>
      <w:r>
        <w:t>The digital economy is measured through several indicators - platform transaction value, platform revenue, national e-commerce statistics and payment data - that capture different economic objects but are often used as if they were interchangeable. This study develops a task-specific framework for asking when an observable indicator is an adequate proxy for the economic activity it is used to represent. I retain the invisible wedge as transaction value minus recognized revenue, use the Ecosystem Ratio to describe the level relationship, and use annual growth divergence to test whether that relationship remains stable through time. In the issuer-reported Indonesian sample, revenue grows faster than transaction value in six of eight annual comparisons, the two measures move in opposite directions twice, and the median absolute divergence is 38.92 percentage points. Tokopedia is the clearest mechanism case: transaction value fell 8.9 percent in 2022-2023 while third-party net revenue rose 53.2 percent; 60.6 percent of that increase reconciles to a lower customer-incentive deduction and 39.4 percent to higher gross revenue. BPS-Statistics Indonesia reports total e-commerce value growing 17.08 percent in 2023-2024 while its marketplace category grew 1.45 percent. The contribution is therefore not one universally correct measure of the digital economy, but a framework for testing when indicator choice changes conclusions about scale, growth, or direction.</w:t>
      </w:r>
      <w:r>
        <w:t xml:space="preserve"/>
      </w:r>
      <w:r>
        <w:t/>
      </w:r>
      <w:r>
        <w:t xml:space="preserve"/>
      </w:r>
      <w:r>
        <w:t/>
      </w:r>
      <w:r>
        <w:t xml:space="preserve"/>
      </w:r>
      <w:r>
        <w:t/>
      </w:r>
      <w:r>
        <w:t xml:space="preserve"/>
      </w:r>
      <w:r>
        <w:t xml:space="preserve"/>
      </w:r>
      <w:r>
        <w:t/>
      </w:r>
      <w:r>
        <w:t/>
      </w:r>
      <w:r>
        <w:t xml:space="preserve"/>
      </w:r>
      <w:r>
        <w:t/>
      </w:r>
      <w:r>
        <w:t xml:space="preserve"/>
      </w:r>
      <w:r>
        <w:t/>
      </w:r>
      <w:r>
        <w:t xml:space="preserve"/>
      </w:r>
      <w:r>
        <w:t/>
      </w:r>
      <w:r>
        <w:t xml:space="preserve"/>
      </w:r>
      <w:r>
        <w:t/>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xml:space="preserve"/>
      </w:r>
      <w:r>
        <w:t/>
      </w:r>
      <w:r>
        <w:t xml:space="preserve"/>
      </w:r>
      <w:r>
        <w:t xml:space="preserve"/>
      </w:r>
      <w:r>
        <w:t xml:space="preserve"/>
      </w:r>
      <w:r>
        <w:t/>
      </w:r>
      <w:r>
        <w:t xml:space="preserve"/>
      </w:r>
      <w:r>
        <w:t xml:space="preserve"/>
      </w:r>
      <w:r w:rsidR="00B71A4F">
        <w:rPr>
          <w:rStyle w:val="CommentReference"/>
        </w:rPr>
      </w:r>
      <w:r>
        <w:t/>
      </w:r>
      <w:r>
        <w:t xml:space="preserve"/>
      </w:r>
      <w:r>
        <w:t xml:space="preserve"/>
      </w:r>
      <w:r>
        <w:t/>
      </w:r>
      <w:r>
        <w:t xml:space="preserve"/>
      </w:r>
    </w:p>
    <w:p w14:paraId="614384BB" w14:textId="6A9718D6" w:rsidR="00CF52FD" w:rsidRPr="00B71A4F" w:rsidRDefault="00B71A4F" w:rsidP="00B71A4F">
      <w:pPr>
        <w:spacing w:after="0" w:line="240" w:lineRule="auto"/>
        <w:rPr>
          <w:rFonts w:eastAsia="新細明體" w:hint="eastAsia"/>
          <w:lang w:eastAsia="zh-TW"/>
        </w:rPr>
      </w:pPr>
      <w:r>
        <w:br w:type="page"/>
      </w:r>
    </w:p>
    <w:p w14:paraId="748FA0A4" w14:textId="77777777" w:rsidR="00CF52FD" w:rsidRDefault="00000000">
      <w:pPr>
        <w:pStyle w:val="Heading1"/>
        <w:spacing w:before="200" w:after="100"/>
      </w:pPr>
      <w:r>
        <w:rPr>
          <w:rFonts w:ascii="Times New Roman" w:eastAsia="Times New Roman" w:hAnsi="Times New Roman"/>
        </w:rPr>
        <w:lastRenderedPageBreak/>
        <w:t>1. Introduction</w:t>
      </w:r>
    </w:p>
    <w:p w14:paraId="4512AE16" w14:textId="77777777" w:rsidR="00CF52FD" w:rsidRDefault="00000000">
      <w:pPr>
        <w:keepLines/>
        <w:spacing w:after="110" w:line="257" w:lineRule="auto"/>
        <w:jc w:val="both"/>
      </w:pPr>
      <w:r>
        <w:t xml:space="preserve">Southeast Asia's digital economy grew from approximately US$100 billion in 2020 to US$263 billion in 2024 (Google, Temasek and Bain 2020, 2024). That headline is one indicator of the activity: the gross value of transactions involved. Digital platforms report another number, their own recognized revenue; national statistical agencies report online sales by surveyed businesses; and payment systems report funds moved. Each series is valid for the object it was designed to measure, but the indicators are not interchangeable. The distinction matters because investors, analysts and public institutions routinely use observable records as stand-ins for broader economic activity. If the relationship between the record and the intended target changes, the measured scale, growth and even direction of activity can change with the indicator selected.</w:t>
      </w:r>
      <w:r>
        <w:t/>
      </w:r>
      <w:r>
        <w:t xml:space="preserve"/>
      </w:r>
      <w:r>
        <w:t/>
      </w:r>
      <w:r>
        <w:t xml:space="preserve"/>
      </w:r>
      <w:r>
        <w:t/>
      </w:r>
      <w:r>
        <w:t xml:space="preserve"/>
      </w:r>
      <w:r>
        <w:t/>
      </w:r>
      <w:r>
        <w:t xml:space="preserve"/>
      </w:r>
      <w:r>
        <w:t xml:space="preserve"/>
      </w:r>
      <w:r>
        <w:t xml:space="preserve"/>
      </w:r>
      <w:r>
        <w:t/>
      </w:r>
      <w:r>
        <w:t xml:space="preserve"/>
      </w:r>
      <w:r w:rsidR="00FE0104">
        <w:rPr>
          <w:rStyle w:val="CommentReference"/>
        </w:rPr>
      </w:r>
      <w:r>
        <w:t xml:space="preserve"/>
      </w:r>
      <w:r>
        <w:t/>
      </w:r>
      <w:r>
        <w:t xml:space="preserve"/>
      </w:r>
      <w:r>
        <w:t/>
      </w:r>
      <w:r>
        <w:t xml:space="preserve"/>
      </w:r>
      <w:r>
        <w:t/>
      </w:r>
      <w:r>
        <w:t xml:space="preserve"/>
      </w:r>
      <w:r>
        <w:t/>
      </w:r>
      <w:r>
        <w:t xml:space="preserve"/>
      </w:r>
      <w:proofErr w:type="gramStart"/>
      <w:r>
        <w:t/>
      </w:r>
      <w:proofErr w:type="gramEnd"/>
      <w:r>
        <w:t xml:space="preserve"/>
      </w:r>
    </w:p>
    <w:p w14:paraId="78AD5B3B" w14:textId="77777777" w:rsidR="00CF52FD" w:rsidRDefault="00000000">
      <w:pPr>
        <w:spacing w:after="110" w:line="257" w:lineRule="auto"/>
        <w:jc w:val="both"/>
      </w:pPr>
      <w:r>
        <w:t>Suppose a platform processes 100 units of transaction value but recognizes only 10 as its own revenue: the commissions and fees it earns for arranging the transactions. Depending on the business model, the remaining 90 can include merchant receipts, driver payouts, inventory costs, taxes and other pass-through payments. An analyst using the platform's accounts sees 10, while one measuring the commerce it processes sees 100. I call the difference the invisible wedge</w:t>
      </w:r>
      <w:r>
        <w:t xml:space="preserve"> (W)</w:t>
      </w:r>
      <w:r>
        <w:t xml:space="preserve">. The term refers to what a revenue-only measure excludes, not to unrecorded activity. Revenue records what the platform earned, while transaction value records what it carried. The arithmetic is familiar; the measurement problem is that the relationship </w:t>
      </w:r>
      <w:r>
        <w:t xml:space="preserve">between the two </w:t>
      </w:r>
      <w:r>
        <w:t xml:space="preserve">does not </w:t>
      </w:r>
      <w:r>
        <w:t>stay</w:t>
      </w:r>
      <w:r>
        <w:t xml:space="preserve"> fixed.</w:t>
      </w:r>
    </w:p>
    <w:p w14:paraId="2D91CD16" w14:textId="77777777" w:rsidR="00CF52FD" w:rsidRDefault="00000000">
      <w:pPr>
        <w:spacing w:after="110" w:line="257" w:lineRule="auto"/>
        <w:jc w:val="both"/>
        <w:rPr/>
      </w:pPr>
      <w:r>
        <w:t xml:space="preserve">Existing research explains why the value of commerce processed through a platform can far exceed the revenue the platform records (Rochet and Tirole 2003; Hagiu and Wright 2015; Evans and Schmalensee 2016), and why revenue-recognition rules affect how much of that difference appears in the accounts (International Accounting Standards Board 2014). What is less clear is whether the relationship is stable enough for one observable to stand in for another. A large but stable level gap may still preserve the same growth story. A changing relationship can instead make revenue and transaction value imply different growth rates or even opposite directions. Monetization, customer incentives, business mix, principal-agent treatment and reporting scope can all move that relationship. The empirical problem is therefore not to choose one universally correct record, but to determine whether a specified indicator is sufficient for a specified economic inference, scope and period.</w:t>
      </w:r>
      <w:proofErr w:type="spellStart"/>
      <w:r>
        <w:t/>
      </w:r>
      <w:proofErr w:type="spellEnd"/>
      <w:r>
        <w:t xml:space="preserve"/>
      </w:r>
      <w:proofErr w:type="spellStart"/>
      <w:r>
        <w:t/>
      </w:r>
      <w:proofErr w:type="spellEnd"/>
      <w:r>
        <w:t xml:space="preserve"/>
      </w:r>
      <w:proofErr w:type="spellStart"/>
      <w:r>
        <w:t/>
      </w:r>
      <w:proofErr w:type="spellEnd"/>
      <w:r>
        <w:t xml:space="preserve"/>
      </w:r>
    </w:p>
    <w:p w14:paraId="4D759923" w14:textId="0DF77225" w:rsidR="00CF52FD" w:rsidDel="00FE0104" w:rsidRDefault="00000000">
      <w:pPr>
        <w:spacing w:after="110" w:line="257" w:lineRule="auto"/>
        <w:jc w:val="both"/>
        <w:rPr/>
      </w:pPr>
      <w:r>
        <w:t xml:space="preserve">Against this backdrop, I study </w:t>
      </w:r>
      <w:r>
        <w:t>Indonesia, the largest digital market in Southeast Asia</w:t>
      </w:r>
      <w:r>
        <w:t>. Platform reports disclose both the commerce a platform carries and the revenue it recognizes</w:t>
      </w:r>
      <w:r>
        <w:t xml:space="preserve">, </w:t>
      </w:r>
      <w:r>
        <w:t>so</w:t>
      </w:r>
      <w:r>
        <w:t xml:space="preserve"> </w:t>
      </w:r>
      <w:r>
        <w:t>the</w:t>
      </w:r>
      <w:r>
        <w:t xml:space="preserve"> </w:t>
      </w:r>
      <w:r>
        <w:t>consequences</w:t>
      </w:r>
      <w:r>
        <w:t xml:space="preserve"> </w:t>
      </w:r>
      <w:r>
        <w:t>of</w:t>
      </w:r>
      <w:r>
        <w:t xml:space="preserve"> </w:t>
      </w:r>
      <w:r>
        <w:t>substituting</w:t>
      </w:r>
      <w:r>
        <w:t xml:space="preserve"> </w:t>
      </w:r>
      <w:r>
        <w:t>one</w:t>
      </w:r>
      <w:r>
        <w:t xml:space="preserve"> </w:t>
      </w:r>
      <w:r>
        <w:t>for the other can be observed directly within the same accounts</w:t>
      </w:r>
      <w:r>
        <w:t>. The study covers four marketplaces</w:t>
      </w:r>
      <w:r w:rsidR="00FE0104">
        <w:rPr>
          <w:rFonts w:eastAsia="新細明體" w:hint="eastAsia"/>
          <w:lang w:eastAsia="zh-TW"/>
        </w:rPr>
        <w:t xml:space="preserve">, including </w:t>
      </w:r>
      <w:r>
        <w:t xml:space="preserve">Tokopedia, Blibli, </w:t>
      </w:r>
      <w:proofErr w:type="spellStart"/>
      <w:r>
        <w:t>Bukalapak</w:t>
      </w:r>
      <w:proofErr w:type="spellEnd"/>
      <w:r>
        <w:t xml:space="preserve"> and Shopee</w:t>
      </w:r>
      <w:r w:rsidR="00FE0104">
        <w:rPr>
          <w:rFonts w:eastAsia="新細明體" w:hint="eastAsia"/>
          <w:lang w:eastAsia="zh-TW"/>
        </w:rPr>
        <w:t>, and</w:t>
      </w:r>
      <w:r>
        <w:t xml:space="preserve"> Grab, whose Indonesian business is mainly delivery and other on-demand services. Tokopedia, Blibli and </w:t>
      </w:r>
      <w:proofErr w:type="spellStart"/>
      <w:r>
        <w:t>Bukalapak</w:t>
      </w:r>
      <w:proofErr w:type="spellEnd"/>
      <w:r>
        <w:t xml:space="preserve"> report both measures themselves</w:t>
      </w:r>
      <w:r>
        <w:t xml:space="preserve"> (</w:t>
      </w:r>
      <w:r w:rsidR="00FE0104">
        <w:rPr>
          <w:rFonts w:eastAsia="新細明體" w:hint="eastAsia"/>
          <w:lang w:eastAsia="zh-TW"/>
        </w:rPr>
        <w:t xml:space="preserve">i.e., </w:t>
      </w:r>
      <w:r>
        <w:t>issuer-reported figures)</w:t>
      </w:r>
      <w:r>
        <w:t xml:space="preserve">. </w:t>
      </w:r>
      <w:r>
        <w:t xml:space="preserve">For </w:t>
      </w:r>
      <w:r>
        <w:t>Grab</w:t>
      </w:r>
      <w:r>
        <w:t xml:space="preserve"> </w:t>
      </w:r>
      <w:r>
        <w:t>and</w:t>
      </w:r>
      <w:r>
        <w:t xml:space="preserve"> </w:t>
      </w:r>
      <w:r>
        <w:t>Shopee,</w:t>
      </w:r>
      <w:r>
        <w:t xml:space="preserve"> Indonesian </w:t>
      </w:r>
      <w:r>
        <w:t>figures</w:t>
      </w:r>
      <w:r>
        <w:t xml:space="preserve"> </w:t>
      </w:r>
      <w:r>
        <w:t>must</w:t>
      </w:r>
      <w:r>
        <w:t xml:space="preserve"> </w:t>
      </w:r>
      <w:r>
        <w:t>be constructed from</w:t>
      </w:r>
      <w:r>
        <w:t xml:space="preserve"> company-wide </w:t>
      </w:r>
      <w:r>
        <w:t>ratios</w:t>
      </w:r>
      <w:r>
        <w:t xml:space="preserve"> </w:t>
      </w:r>
      <w:r>
        <w:t>and</w:t>
      </w:r>
      <w:r>
        <w:t xml:space="preserve"> </w:t>
      </w:r>
      <w:r>
        <w:t>a</w:t>
      </w:r>
      <w:r>
        <w:t xml:space="preserve"> </w:t>
      </w:r>
      <w:r>
        <w:t>third-party</w:t>
      </w:r>
      <w:r>
        <w:t xml:space="preserve"> estimate</w:t>
      </w:r>
      <w:r>
        <w:t>.</w:t>
      </w:r>
      <w:r w:rsidR="00FE0104">
        <w:rPr>
          <w:rStyle w:val="FootnoteReference"/>
        </w:rPr>
        <w:footnoteReference w:id="1"/>
      </w:r>
      <w:r>
        <w:t xml:space="preserve"> </w:t>
      </w:r>
      <w:r>
        <w:t>To</w:t>
      </w:r>
      <w:r>
        <w:t xml:space="preserve"> </w:t>
      </w:r>
      <w:r>
        <w:t>limit the concerns this raises</w:t>
      </w:r>
      <w:r>
        <w:t xml:space="preserve">, </w:t>
      </w:r>
      <w:r>
        <w:t>I</w:t>
      </w:r>
      <w:r>
        <w:t xml:space="preserve"> </w:t>
      </w:r>
      <w:r>
        <w:t>follow each platform against itself through time</w:t>
      </w:r>
      <w:r>
        <w:t xml:space="preserve"> and </w:t>
      </w:r>
      <w:r>
        <w:t>keep</w:t>
      </w:r>
      <w:r>
        <w:t xml:space="preserve"> </w:t>
      </w:r>
      <w:r>
        <w:t>issuer-reported</w:t>
      </w:r>
      <w:r>
        <w:t xml:space="preserve"> </w:t>
      </w:r>
      <w:r>
        <w:t>and</w:t>
      </w:r>
      <w:r>
        <w:t xml:space="preserve"> </w:t>
      </w:r>
      <w:r>
        <w:t>constructed</w:t>
      </w:r>
      <w:r>
        <w:t xml:space="preserve"> </w:t>
      </w:r>
      <w:r>
        <w:t>figures</w:t>
      </w:r>
      <w:r>
        <w:t xml:space="preserve"> </w:t>
      </w:r>
      <w:r>
        <w:t>apart</w:t>
      </w:r>
      <w:r>
        <w:t xml:space="preserve">, </w:t>
      </w:r>
      <w:r>
        <w:t>so</w:t>
      </w:r>
      <w:r>
        <w:t xml:space="preserve"> </w:t>
      </w:r>
      <w:r>
        <w:t>that</w:t>
      </w:r>
      <w:r>
        <w:t xml:space="preserve"> </w:t>
      </w:r>
      <w:r>
        <w:t>the</w:t>
      </w:r>
      <w:r>
        <w:t xml:space="preserve"> </w:t>
      </w:r>
      <w:r>
        <w:t>company, the business activity and the reporting convention stay as constant as the disclosures allow</w:t>
      </w:r>
      <w:r>
        <w:t>.</w:t>
      </w:r>
      <w:r>
        <w:t xml:space="preserve"> </w:t>
      </w:r>
      <w:r>
        <w:t>I then compare the platform evidence with two independent indicators: national e-commerce statistics from</w:t>
      </w:r>
      <w:r>
        <w:t xml:space="preserve"> BPS-Statistics Indonesia</w:t>
      </w:r>
      <w:r>
        <w:t xml:space="preserve"> (BPS)</w:t>
      </w:r>
      <w:r>
        <w:t xml:space="preserve">, the national statistical agency, </w:t>
      </w:r>
      <w:r>
        <w:t>and payment statistics from Bank Indonesia,</w:t>
      </w:r>
      <w:r>
        <w:t xml:space="preserve"> the </w:t>
      </w:r>
      <w:r>
        <w:t>central</w:t>
      </w:r>
      <w:r>
        <w:t xml:space="preserve"> </w:t>
      </w:r>
      <w:r>
        <w:t>bank</w:t>
      </w:r>
      <w:r>
        <w:t xml:space="preserve">. Only platform transaction value and revenue enter </w:t>
      </w:r>
      <w:r>
        <w:t>the wedge</w:t>
      </w:r>
      <w:r>
        <w:t xml:space="preserve">; BPS and payment data </w:t>
      </w:r>
      <w:r>
        <w:t>serve</w:t>
      </w:r>
      <w:r>
        <w:t xml:space="preserve"> </w:t>
      </w:r>
      <w:r>
        <w:t>as</w:t>
      </w:r>
      <w:r>
        <w:t xml:space="preserve"> comparison </w:t>
      </w:r>
      <w:r>
        <w:t>indicators</w:t>
      </w:r>
      <w:r>
        <w:t xml:space="preserve">. </w:t>
      </w:r>
      <w:r>
        <w:t>Because their</w:t>
      </w:r>
      <w:r>
        <w:t xml:space="preserve"> definitions and scopes differ,</w:t>
      </w:r>
      <w:r>
        <w:t xml:space="preserve"> they are not yet directly comparable</w:t>
      </w:r>
      <w:r>
        <w:t xml:space="preserve"> </w:t>
      </w:r>
      <w:r>
        <w:t>with platform figures, and each</w:t>
      </w:r>
      <w:r>
        <w:t xml:space="preserve"> answers a different question</w:t>
      </w:r>
      <w:r>
        <w:t>.</w:t>
      </w:r>
    </w:p>
    <w:p w14:paraId="3380ACE1" w14:textId="77777777" w:rsidR="00CF52FD" w:rsidRDefault="00CF52FD">
      <w:pPr>
        <w:spacing w:after="110" w:line="257" w:lineRule="auto"/>
        <w:jc w:val="both"/>
      </w:pPr>
    </w:p>
    <w:p w14:paraId="10EE39AA" w14:textId="36EEF2A9" w:rsidR="00E535CC" w:rsidRPr="00E535CC" w:rsidRDefault="00000000">
      <w:pPr>
        <w:spacing w:after="110" w:line="257" w:lineRule="auto"/>
        <w:jc w:val="both"/>
        <w:rPr>
          <w:rFonts w:eastAsia="新細明體" w:hint="eastAsia"/>
          <w:lang w:eastAsia="zh-TW"/>
        </w:rPr>
      </w:pPr>
      <w:r>
        <w:lastRenderedPageBreak/>
        <w:t xml:space="preserve">In 2023, Tokopedia, Shopee and Grab together processed US$43.23 billion of transaction value against US$3.16 billion of recognized revenue. The level gap is large, but the more consequential test is whether revenue preserves the growth story of the commerce underneath it. Tokopedia shows that it may not: between 2022 and 2023, third-party net revenue rose 53.2 percent while transaction value fell 8.9 percent. Of the net-revenue increase, 60.6 percent reconciles to a lower customer-incentive deduction and 39.4 percent to higher gross revenue. Among the three platforms reporting both figures themselves, revenue grew faster in six of eight annual comparisons and the measures moved in opposite directions twice. BPS shows a related national measurement problem: total e-commerce value grew 17.08 percent in 2023-2024 while its marketplace category grew 1.45 percent, so 98.46 percent of the measured increase occurred outside that category. Across eight listed platforms outside Indonesia, revenue grew faster in 22 of 29 clean comparisons, but the median absolute divergence was 7.1 percentage points compared with 38.92 in the Indonesian issuer-reported sample. The issue is therefore not which indicator is false, but when one can stand in for another without changing the economic conclusion.</w:t>
      </w:r>
      <w:r>
        <w:t xml:space="preserve"/>
      </w:r>
      <w:r>
        <w:t/>
      </w:r>
      <w:r>
        <w:t xml:space="preserve"/>
      </w:r>
      <w:r>
        <w:t/>
      </w:r>
      <w:r>
        <w:t xml:space="preserve"/>
      </w:r>
      <w:r>
        <w:t/>
      </w:r>
      <w:r>
        <w:t xml:space="preserve"/>
      </w:r>
      <w:r>
        <w:t/>
      </w:r>
      <w:r>
        <w:t xml:space="preserve"/>
      </w:r>
      <w:r>
        <w:t/>
      </w:r>
      <w:r>
        <w:t xml:space="preserve"/>
      </w:r>
      <w:r>
        <w:t/>
      </w:r>
      <w:r>
        <w:t/>
      </w:r>
      <w:r>
        <w:t xml:space="preserve"/>
      </w:r>
      <w:r>
        <w:t/>
      </w:r>
      <w:r>
        <w:t xml:space="preserve"/>
      </w:r>
      <w:r>
        <w:t/>
      </w:r>
      <w:r>
        <w:t xml:space="preserve"/>
      </w:r>
      <w:r w:rsidR="00FE0104">
        <w:rPr>
          <w:rStyle w:val="CommentReference"/>
        </w:rPr>
      </w:r>
      <w:r>
        <w:t xml:space="preserve"/>
      </w:r>
      <w:r>
        <w:t xml:space="preserve"/>
      </w:r>
      <w:r>
        <w:t xml:space="preserve"/>
      </w:r>
      <w:r>
        <w:t/>
      </w:r>
      <w:r>
        <w:t xml:space="preserve"/>
      </w:r>
      <w:r>
        <w:t xml:space="preserve"/>
      </w:r>
      <w:r>
        <w:t/>
      </w:r>
      <w:r>
        <w:t/>
      </w:r>
      <w:r>
        <w:t xml:space="preserve"/>
      </w:r>
      <w:r>
        <w:t xml:space="preserve"/>
      </w:r>
      <w:r>
        <w:t/>
      </w:r>
      <w:r>
        <w:t xml:space="preserve"/>
      </w:r>
      <w:r>
        <w:t xml:space="preserve"/>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xml:space="preserve"/>
      </w:r>
      <w:r>
        <w:t xml:space="preserve"/>
      </w:r>
      <w:r>
        <w:t/>
      </w:r>
      <w:r>
        <w:t xml:space="preserve"/>
      </w:r>
      <w:r>
        <w:t/>
      </w:r>
      <w:r>
        <w:t xml:space="preserve"/>
      </w:r>
      <w:r>
        <w:t/>
      </w:r>
      <w:r>
        <w:t/>
      </w:r>
      <w:r>
        <w:t xml:space="preserve"/>
      </w:r>
      <w:r>
        <w:t xml:space="preserve"/>
      </w:r>
      <w:r>
        <w:t xml:space="preserve"/>
      </w:r>
      <w:r w:rsidR="00E535CC" w:rsidRPr="00E535CC">
        <w:rPr>
          <w:rFonts w:eastAsia="新細明體"/>
          <w:lang w:eastAsia="zh-TW"/>
        </w:rPr>
        <w:t/>
      </w:r>
      <w:r w:rsidR="00E535CC">
        <w:rPr>
          <w:rFonts w:eastAsia="新細明體" w:hint="eastAsia"/>
          <w:lang w:eastAsia="zh-TW"/>
        </w:rPr>
        <w:t xml:space="preserve"/>
      </w:r>
      <w:r w:rsidR="00E535CC">
        <w:rPr>
          <w:rFonts w:eastAsia="新細明體" w:hint="eastAsia"/>
          <w:lang w:eastAsia="zh-TW"/>
        </w:rPr>
        <w:t/>
      </w:r>
      <w:r w:rsidR="00E535CC">
        <w:rPr>
          <w:rFonts w:eastAsia="新細明體" w:hint="eastAsia"/>
          <w:lang w:eastAsia="zh-TW"/>
        </w:rPr>
        <w:t xml:space="preserve"/>
      </w:r>
      <w:r w:rsidR="00E535CC">
        <w:t/>
      </w:r>
      <w:r w:rsidR="00E535CC">
        <w:rPr>
          <w:rFonts w:eastAsia="新細明體" w:hint="eastAsia"/>
          <w:lang w:eastAsia="zh-TW"/>
        </w:rPr>
        <w:t/>
      </w:r>
      <w:r w:rsidR="00E535CC" w:rsidRPr="00E535CC">
        <w:rPr>
          <w:rFonts w:eastAsia="新細明體"/>
          <w:lang w:eastAsia="zh-TW"/>
        </w:rPr>
        <w:t xml:space="preserve"/>
      </w:r>
      <w:r w:rsidR="00E535CC">
        <w:rPr>
          <w:rFonts w:eastAsia="新細明體" w:hint="eastAsia"/>
          <w:lang w:eastAsia="zh-TW"/>
        </w:rPr>
        <w:t/>
      </w:r>
      <w:r w:rsidR="00E535CC" w:rsidRPr="00E535CC">
        <w:rPr>
          <w:rFonts w:eastAsia="新細明體"/>
          <w:lang w:eastAsia="zh-TW"/>
        </w:rPr>
        <w:t xml:space="preserve"/>
      </w:r>
      <w:r w:rsidR="00E535CC">
        <w:rPr>
          <w:rFonts w:eastAsia="新細明體" w:hint="eastAsia"/>
          <w:lang w:eastAsia="zh-TW"/>
        </w:rPr>
        <w:t/>
      </w:r>
      <w:r w:rsidR="00E535CC" w:rsidRPr="00E535CC">
        <w:rPr>
          <w:rFonts w:eastAsia="新細明體"/>
          <w:lang w:eastAsia="zh-TW"/>
        </w:rPr>
        <w:t xml:space="preserve"/>
      </w:r>
      <w:r w:rsidR="00E535CC">
        <w:rPr>
          <w:rFonts w:eastAsia="新細明體" w:hint="eastAsia"/>
          <w:lang w:eastAsia="zh-TW"/>
        </w:rPr>
        <w:t/>
      </w:r>
      <w:r w:rsidR="00E535CC" w:rsidRPr="00E535CC">
        <w:rPr>
          <w:rFonts w:eastAsia="新細明體"/>
          <w:lang w:eastAsia="zh-TW"/>
        </w:rPr>
        <w:t xml:space="preserve"/>
      </w:r>
      <w:r w:rsidR="00E535CC">
        <w:rPr>
          <w:rFonts w:eastAsia="新細明體" w:hint="eastAsia"/>
          <w:lang w:eastAsia="zh-TW"/>
        </w:rPr>
        <w:t/>
      </w:r>
      <w:r w:rsidR="00E535CC" w:rsidRPr="00E535CC">
        <w:rPr>
          <w:rFonts w:eastAsia="新細明體"/>
          <w:lang w:eastAsia="zh-TW"/>
        </w:rPr>
        <w:t xml:space="preserve"/>
      </w:r>
      <w:r w:rsidR="00E535CC">
        <w:t/>
      </w:r>
      <w:r w:rsidR="00E535CC" w:rsidRPr="00E535CC">
        <w:rPr>
          <w:rFonts w:eastAsia="新細明體"/>
          <w:lang w:eastAsia="zh-TW"/>
        </w:rPr>
        <w:t/>
      </w:r>
      <w:r w:rsidR="00E535CC">
        <w:rPr>
          <w:rStyle w:val="CommentReference"/>
        </w:rPr>
      </w:r>
    </w:p>
    <w:p w14:paraId="2876EE5A" w14:textId="77777777" w:rsidR="00CF52FD" w:rsidRDefault="00000000">
      <w:pPr>
        <w:spacing w:after="110" w:line="257" w:lineRule="auto"/>
        <w:jc w:val="both"/>
      </w:pPr>
      <w:r>
        <w:t xml:space="preserve">A statement about the size or growth of Indonesia's digital economy is therefore also a statement about the indicator used. Revenue describes recognized platform performance; transaction value describes commerce carried; BPS marketplace and total e-commerce measures answer different channel questions. Substitution is defensible only when the relationship is adequate for the intended task. That matters to investors, statistical measurement and institutions that act on platform-linked records, and it motivates a later finance test of which indicator or revenue-growth component is most informative for stock returns.</w:t>
      </w:r>
      <w:r>
        <w:t/>
      </w:r>
      <w:r>
        <w:t xml:space="preserve"/>
      </w:r>
      <w:r>
        <w:t/>
      </w:r>
      <w:r>
        <w:t/>
      </w:r>
      <w:r>
        <w:t xml:space="preserve"/>
      </w:r>
      <w:r>
        <w:t/>
      </w:r>
      <w:r>
        <w:t xml:space="preserve"/>
      </w:r>
      <w:r>
        <w:t/>
      </w:r>
      <w:r>
        <w:t xml:space="preserve"/>
      </w:r>
      <w:r>
        <w:t/>
      </w:r>
      <w:r>
        <w:t xml:space="preserve"/>
      </w:r>
      <w:r w:rsidR="00183555">
        <w:rPr>
          <w:rStyle w:val="CommentReference"/>
        </w:rPr>
      </w:r>
      <w:r>
        <w:t xml:space="preserve"/>
      </w:r>
    </w:p>
    <w:p w14:paraId="75A2BD8C" w14:textId="77777777" w:rsidR="00CF52FD" w:rsidRDefault="00000000">
      <w:pPr>
        <w:pStyle w:val="Heading2"/>
        <w:spacing w:before="140" w:after="60"/>
      </w:pPr>
      <w:r>
        <w:rPr>
          <w:rFonts w:ascii="Times New Roman" w:eastAsia="Times New Roman" w:hAnsi="Times New Roman"/>
        </w:rPr>
        <w:t>1.1 Research question and objectives</w:t>
      </w:r>
    </w:p>
    <w:p w14:paraId="7F4E8F4E" w14:textId="379F3BD3" w:rsidR="00CF52FD" w:rsidRPr="00183555" w:rsidDel="00183555" w:rsidRDefault="00000000">
      <w:pPr>
        <w:keepNext/>
        <w:keepLines/>
        <w:spacing w:after="110" w:line="257" w:lineRule="auto"/>
        <w:jc w:val="both"/>
        <w:rPr>
          <w:rFonts w:eastAsia="新細明體" w:hint="eastAsia"/>
          <w:bCs/>
          <w:i/>
          <w:iCs/>
          <w:lang w:eastAsia="zh-TW"/>
        </w:rPr>
      </w:pPr>
      <w:r>
        <w:t>One question drives the proposal:</w:t>
      </w:r>
      <w:r w:rsidR="00183555">
        <w:rPr>
          <w:rFonts w:eastAsia="新細明體" w:hint="eastAsia"/>
          <w:lang w:eastAsia="zh-TW"/>
        </w:rPr>
        <w:t xml:space="preserve"> </w:t>
      </w:r>
    </w:p>
    <w:p w14:paraId="03DC8F76" w14:textId="1B7ABD4E" w:rsidR="00CF52FD" w:rsidRPr="00183555" w:rsidDel="00183555" w:rsidRDefault="00000000" w:rsidP="00183555">
      <w:pPr>
        <w:spacing w:after="110" w:line="257" w:lineRule="auto"/>
        <w:jc w:val="both"/>
        <w:rPr>
          <w:rFonts w:hint="eastAsia"/>
        </w:rPr>
      </w:pPr>
      <w:r w:rsidRPr="00183555">
        <w:rPr>
          <w:bCs/>
          <w:i/>
          <w:iCs/>
        </w:rPr>
        <w:t xml:space="preserve">When can platform revenue serve as a useful proxy for the commerce a platform carries, and when does choosing one indicator rather than another change conclusions about scale, growth or direction?</w:t>
      </w:r>
      <w:r w:rsidRPr="00183555">
        <w:rPr/>
        <w:t/>
      </w:r>
      <w:r w:rsidR="00183555" w:rsidRPr="00183555">
        <w:rPr>
          <w:rFonts w:hint="eastAsia"/>
        </w:rPr>
        <w:t xml:space="preserve"/>
      </w:r>
    </w:p>
    <w:p w14:paraId="3F78598A" w14:textId="53922C4D" w:rsidR="00CF52FD" w:rsidRDefault="00000000" w:rsidP="00183555">
      <w:pPr>
        <w:spacing w:after="110" w:line="257" w:lineRule="auto"/>
        <w:jc w:val="both"/>
      </w:pPr>
      <w:r>
        <w:t xml:space="preserve">Indonesia provides the main empirical setting. Three objectives follow. First, I measure the level and movement of the transaction-revenue relationship from 2020 to 2025 using W, E and D. Second, I reconcile selected large divergences with disclosed changes in customer incentives, monetization, revenue recognition and reporting scope. Third, I compare the platform evidence with national e-commerce, payment and external-platform indicators to determine when the records support the same economic conclusion and when indicator choice changes it.</w:t>
      </w:r>
      <w:r w:rsidR="00183555">
        <w:rPr>
          <w:rFonts w:eastAsia="新細明體" w:hint="eastAsia"/>
          <w:lang w:eastAsia="zh-TW"/>
        </w:rPr>
        <w:t xml:space="preserve"/>
      </w:r>
      <w:r>
        <w:t xml:space="preserve"/>
      </w:r>
      <w:r>
        <w:t/>
      </w:r>
      <w:r>
        <w:t xml:space="preserve"/>
      </w:r>
      <w:r>
        <w:t/>
      </w:r>
      <w:r>
        <w:t xml:space="preserve"/>
      </w:r>
    </w:p>
    <w:p w14:paraId="070FDB67" w14:textId="77777777" w:rsidR="00CF52FD" w:rsidRDefault="00000000">
      <w:pPr>
        <w:spacing w:after="110" w:line="257" w:lineRule="auto"/>
        <w:jc w:val="both"/>
      </w:pPr>
      <w:r>
        <w:t xml:space="preserve">A separate comparison of eight listed platform businesses outside Indonesia provides an external benchmark for whether the same separation recurs under other business models and periods.</w:t>
      </w:r>
      <w:r>
        <w:t/>
      </w:r>
      <w:r>
        <w:t xml:space="preserve"/>
      </w:r>
      <w:r>
        <w:t xml:space="preserve"/>
      </w:r>
      <w:r>
        <w:t xml:space="preserve"/>
      </w:r>
    </w:p>
    <w:p w14:paraId="0660B0D9" w14:textId="77777777" w:rsidR="00CF52FD" w:rsidRDefault="00000000">
      <w:pPr>
        <w:pStyle w:val="Heading2"/>
        <w:spacing w:before="140" w:after="60"/>
      </w:pPr>
      <w:r>
        <w:rPr>
          <w:rFonts w:ascii="Times New Roman" w:eastAsia="Times New Roman" w:hAnsi="Times New Roman"/>
        </w:rPr>
        <w:t>1.2 Contributions</w:t>
      </w:r>
    </w:p>
    <w:p w14:paraId="466D31AC" w14:textId="21E66D23" w:rsidR="00CF52FD" w:rsidRDefault="00183555">
      <w:pPr>
        <w:keepLines/>
        <w:spacing w:after="110" w:line="257" w:lineRule="auto"/>
        <w:jc w:val="both"/>
      </w:pPr>
      <w:r>
        <w:rPr>
          <w:rFonts w:eastAsia="新細明體" w:hint="eastAsia"/>
          <w:lang w:eastAsia="zh-TW"/>
        </w:rPr>
        <w:t xml:space="preserve">My study contributes in four ways. First, it turns the transaction-revenue wedge from a one-year scale comparison into a task-specific measurement problem. W and E describe the level relationship, while D tests whether it remains stable through time. In the issuer-reported sample, revenue outgrew transaction value in six of eight comparisons, with two sign reversals and a median absolute divergence of 38.92 percentage points.</w:t>
      </w:r>
      <w:r w:rsidR="00000000">
        <w:t xml:space="preserve"/>
      </w:r>
      <w:r w:rsidR="00000000">
        <w:t xml:space="preserve"/>
      </w:r>
      <w:r w:rsidR="00000000">
        <w:t xml:space="preserve"/>
      </w:r>
      <w:r w:rsidR="00000000">
        <w:t xml:space="preserve"/>
      </w:r>
      <w:r w:rsidR="00000000">
        <w:t xml:space="preserve"/>
      </w:r>
      <w:proofErr w:type="spellStart"/>
      <w:r w:rsidR="00000000">
        <w:t/>
      </w:r>
      <w:proofErr w:type="spellEnd"/>
      <w:r w:rsidR="00000000">
        <w:t xml:space="preserve"/>
      </w:r>
      <w:proofErr w:type="spellStart"/>
      <w:r w:rsidR="00000000">
        <w:t/>
      </w:r>
      <w:proofErr w:type="spellEnd"/>
      <w:r w:rsidR="00000000">
        <w:t xml:space="preserve"/>
      </w:r>
      <w:r w:rsidR="00000000">
        <w:t xml:space="preserve"/>
      </w:r>
      <w:r w:rsidR="00000000">
        <w:t/>
      </w:r>
      <w:r w:rsidR="00000000">
        <w:t xml:space="preserve"/>
      </w:r>
      <w:r w:rsidR="00000000">
        <w:t/>
      </w:r>
      <w:r w:rsidR="00000000">
        <w:t xml:space="preserve"/>
      </w:r>
      <w:r w:rsidR="00000000">
        <w:t/>
      </w:r>
      <w:r w:rsidR="00000000">
        <w:t xml:space="preserve"/>
      </w:r>
      <w:r w:rsidR="00000000">
        <w:t/>
      </w:r>
      <w:r w:rsidR="00000000">
        <w:t xml:space="preserve"/>
      </w:r>
      <w:r w:rsidR="00000000">
        <w:t xml:space="preserve"/>
      </w:r>
      <w:r w:rsidR="00000000">
        <w:t xml:space="preserve"/>
      </w:r>
      <w:r w:rsidR="00000000">
        <w:t xml:space="preserve"/>
      </w:r>
      <w:r w:rsidR="00000000">
        <w:t/>
      </w:r>
      <w:r w:rsidR="00000000">
        <w:t/>
      </w:r>
    </w:p>
    <w:p w14:paraId="66178034" w14:textId="77777777" w:rsidR="00CF52FD" w:rsidRDefault="00000000">
      <w:pPr>
        <w:spacing w:after="110" w:line="257" w:lineRule="auto"/>
        <w:jc w:val="both"/>
      </w:pPr>
      <w:r>
        <w:t xml:space="preserve">Second, I reconcile a major divergence using disclosed accounting components. In 2022-2023, Tokopedia's transaction value fell 8.9 percent while third-party net revenue rose 53.2 percent; 60.6 percent of the net-revenue increase reconciles to a lower customer-incentive deduction and 39.4 percent to higher gross revenue. The reconciliation is arithmetic rather than causal, but it identifies an observable source of the divergence.</w:t>
      </w:r>
      <w:r>
        <w:lastRenderedPageBreak/>
        <w:t xml:space="preserve"/>
      </w:r>
      <w:r>
        <w:t/>
      </w:r>
      <w:r w:rsidR="00183555">
        <w:rPr>
          <w:rStyle w:val="CommentReference"/>
        </w:rPr>
      </w:r>
      <w:r>
        <w:t xml:space="preserve"/>
      </w:r>
      <w:r>
        <w:t/>
      </w:r>
      <w:r>
        <w:t xml:space="preserve"/>
      </w:r>
      <w:r>
        <w:t/>
      </w:r>
      <w:r>
        <w:t xml:space="preserve"/>
      </w:r>
      <w:r>
        <w:t xml:space="preserve"/>
      </w:r>
      <w:r>
        <w:t/>
      </w:r>
    </w:p>
    <w:p w14:paraId="2E9E3A3C" w14:textId="77777777" w:rsidR="00CF52FD" w:rsidRDefault="00000000">
      <w:pPr>
        <w:spacing w:after="110" w:line="257" w:lineRule="auto"/>
        <w:jc w:val="both"/>
      </w:pPr>
      <w:r>
        <w:t>Third, I extend the comparison beyond one company and one measurement system. Across eight listed platforms outside Indonesia, revenue grew faster in 22 of 29 clean comparisons but the median absolute divergence was only 7.1 percentage points. BPS total e-commerce and its marketplace category also grew at materially different rates in 2023-2024. Proxy adequacy therefore depends on the relationship, scope and period.</w:t>
      </w:r>
      <w:r>
        <w:t/>
      </w:r>
      <w:r>
        <w:t xml:space="preserve"/>
      </w:r>
      <w:r>
        <w:t/>
      </w:r>
      <w:r>
        <w:t xml:space="preserve"/>
      </w:r>
      <w:r>
        <w:t/>
      </w:r>
      <w:r>
        <w:t xml:space="preserve"/>
      </w:r>
      <w:r>
        <w:t/>
      </w:r>
      <w:r>
        <w:t xml:space="preserve"/>
      </w:r>
      <w:r>
        <w:t/>
      </w:r>
      <w:r>
        <w:t xml:space="preserve"/>
      </w:r>
    </w:p>
    <w:p w14:paraId="072CE67E" w14:textId="292FAF76" w:rsidR="00CF52FD" w:rsidDel="00EC19E7" w:rsidRDefault="00000000" w:rsidP="0025365D">
      <w:pPr>
        <w:spacing w:after="110" w:line="257" w:lineRule="auto"/>
        <w:jc w:val="both"/>
        <w:rPr/>
      </w:pPr>
      <w:r>
        <w:t>Finally, I address a measurement problem in finance while keeping evidence tiers explicit. Issuer-reported pairs are kept separate from constructed country measures, while national statistics and payment data remain comparison indicators rather than being forced into one total. The framework asks which observable is sufficient for a stated inference without claiming that one record is universally superior, and it leads directly to the advisor's proposed stock-return extension.</w:t>
      </w:r>
      <w:r>
        <w:t xml:space="preserve"/>
      </w:r>
      <w:r>
        <w:t/>
      </w:r>
      <w:r>
        <w:t xml:space="preserve"/>
      </w:r>
    </w:p>
    <w:p w14:paraId="60932951" w14:textId="1840E9DF" w:rsidR="00CF52FD" w:rsidDel="00EC19E7" w:rsidRDefault="00000000" w:rsidP="00EC19E7">
      <w:pPr>
        <w:spacing w:after="110" w:line="257" w:lineRule="auto"/>
        <w:jc w:val="both"/>
        <w:rPr/>
      </w:pPr>
    </w:p>
    <w:p w14:paraId="3B68FB45" w14:textId="5B3EAD23" w:rsidR="00CF52FD" w:rsidRDefault="00000000">
      <w:pPr>
        <w:pStyle w:val="Heading1"/>
        <w:spacing w:before="200" w:after="100"/>
      </w:pPr>
      <w:r>
        <w:rPr>
          <w:rFonts w:ascii="Times New Roman" w:eastAsia="Times New Roman" w:hAnsi="Times New Roman"/>
        </w:rPr>
        <w:t xml:space="preserve">2. Literature Review </w:t>
      </w:r>
    </w:p>
    <w:p w14:paraId="457C4C46" w14:textId="77777777" w:rsidR="00CF52FD" w:rsidRDefault="00000000">
      <w:pPr>
        <w:keepLines/>
        <w:spacing w:after="110" w:line="257" w:lineRule="auto"/>
        <w:jc w:val="both"/>
      </w:pPr>
      <w:r>
        <w:t xml:space="preserve">Digital platforms sit between economic activity and the indicators used to measure it. They facilitate transactions between buyers and sellers, recognize only part of that activity as their own revenue, and generate records that can also appear in payment, statistical and administrative systems. Existing research explains each part of this process from a different angle. Taken together, it provides the foundation for asking not only why the records differ, but when one observable record can serve as a useful stand-in for another economic target.</w:t>
      </w:r>
      <w:r>
        <w:t/>
      </w:r>
      <w:r>
        <w:t xml:space="preserve"/>
      </w:r>
    </w:p>
    <w:p w14:paraId="4C86FAD6" w14:textId="77777777" w:rsidR="00CF52FD" w:rsidRDefault="00000000">
      <w:pPr>
        <w:pStyle w:val="Heading2"/>
        <w:spacing w:before="140" w:after="60"/>
      </w:pPr>
      <w:r>
        <w:rPr>
          <w:rFonts w:ascii="Times New Roman" w:eastAsia="Times New Roman" w:hAnsi="Times New Roman"/>
        </w:rPr>
        <w:t>2.1 Platform Economics and Revenue Recognition</w:t>
      </w:r>
    </w:p>
    <w:p w14:paraId="7151C2AC" w14:textId="77777777" w:rsidR="00CF52FD" w:rsidRDefault="00000000">
      <w:pPr>
        <w:keepLines/>
        <w:spacing w:after="110" w:line="257" w:lineRule="auto"/>
        <w:jc w:val="both"/>
      </w:pPr>
      <w:r>
        <w:t xml:space="preserve">Platform economics explains why the value of commerce processed through a platform can be much larger than the revenue the platform records. Digital platforms often connect consumers with merchants or other service providers and earn commissions, fees, advertising, logistics, or other intermediation revenue rather than the full value of every transaction they facilitate (Rochet and </w:t>
      </w:r>
      <w:proofErr w:type="spellStart"/>
      <w:r>
        <w:t>Tirole</w:t>
      </w:r>
      <w:proofErr w:type="spellEnd"/>
      <w:r>
        <w:t xml:space="preserve"> 2003; </w:t>
      </w:r>
      <w:proofErr w:type="spellStart"/>
      <w:r>
        <w:t>Caillaud</w:t>
      </w:r>
      <w:proofErr w:type="spellEnd"/>
      <w:r>
        <w:t xml:space="preserve"> and </w:t>
      </w:r>
      <w:proofErr w:type="spellStart"/>
      <w:r>
        <w:t>Jullien</w:t>
      </w:r>
      <w:proofErr w:type="spellEnd"/>
      <w:r>
        <w:t xml:space="preserve"> 2003; Parker and Van Alstyne 2005; Armstrong 2006; </w:t>
      </w:r>
      <w:proofErr w:type="spellStart"/>
      <w:r>
        <w:t>Hagiu</w:t>
      </w:r>
      <w:proofErr w:type="spellEnd"/>
      <w:r>
        <w:t xml:space="preserve"> and Wright 2015; Evans and </w:t>
      </w:r>
      <w:proofErr w:type="spellStart"/>
      <w:r>
        <w:t>Schmalensee</w:t>
      </w:r>
      <w:proofErr w:type="spellEnd"/>
      <w:r>
        <w:t xml:space="preserve"> 2016).</w:t>
      </w:r>
    </w:p>
    <w:p w14:paraId="68A64601" w14:textId="77777777" w:rsidR="00CF52FD" w:rsidRDefault="00000000">
      <w:pPr>
        <w:spacing w:after="110" w:line="257" w:lineRule="auto"/>
        <w:jc w:val="both"/>
      </w:pPr>
      <w:r>
        <w:t>In particular, revenue</w:t>
      </w:r>
      <w:r>
        <w:t xml:space="preserve">-recognition rules affect how much of this difference appears in the accounts. Under International Financial Reporting Standard 15 (IFRS 15), whether a company acts as a principal or an agent affects whether it recognizes the full customer payment or only the amount it earns from arranging the transaction (International Accounting Standards Board 2014). Customer incentives, monetization, service mix, acquisitions, and changes in business scope can also move reported revenue without an equivalent change in transaction activity. De Franco, Kothari and Verdi (2011) show why comparable accounting bases matter when financial information is interpreted. </w:t>
      </w:r>
      <w:r>
        <w:t>Overall, the</w:t>
      </w:r>
      <w:r>
        <w:t xml:space="preserve"> literature</w:t>
      </w:r>
      <w:r>
        <w:t xml:space="preserve"> explains why a transaction–revenue gap can exist and move over time, but not how economically large that gap becomes in practice.</w:t>
      </w:r>
    </w:p>
    <w:p w14:paraId="4DD88894" w14:textId="77777777" w:rsidR="00CF52FD" w:rsidRDefault="00000000">
      <w:pPr>
        <w:pStyle w:val="Heading2"/>
        <w:spacing w:before="140" w:after="60"/>
      </w:pPr>
      <w:r>
        <w:rPr>
          <w:rFonts w:ascii="Times New Roman" w:eastAsia="Times New Roman" w:hAnsi="Times New Roman"/>
        </w:rPr>
        <w:t>2.2 Measuring the Digital Economy</w:t>
      </w:r>
    </w:p>
    <w:p w14:paraId="06FC650B" w14:textId="77777777" w:rsidR="00CF52FD" w:rsidRDefault="00000000">
      <w:pPr>
        <w:keepLines/>
        <w:spacing w:after="110" w:line="257" w:lineRule="auto"/>
        <w:jc w:val="both"/>
      </w:pPr>
      <w:r>
        <w:t>Official measurement frameworks already distinguish between the commerce facilitated through a platform and the service provided by the platform itself. National-accounting guidance separates the buyer-seller transaction from the platform's intermediation service rather than treating the full transaction value as platform output (Ahmad and Schreyer 2016; International Monetary Fund 2018; OECD 2023; United Nations et al. 2025).</w:t>
      </w:r>
    </w:p>
    <w:p w14:paraId="1BBD1138" w14:textId="6FB1201C" w:rsidR="00CF52FD" w:rsidRDefault="00000000">
      <w:pPr>
        <w:spacing w:after="110" w:line="257" w:lineRule="auto"/>
        <w:jc w:val="both"/>
      </w:pPr>
      <w:r>
        <w:t xml:space="preserve">In practice, the quantities are published by different producers. </w:t>
      </w:r>
      <w:r>
        <w:t>For instance, industry</w:t>
      </w:r>
      <w:r>
        <w:t xml:space="preserve"> reports size the regional digital economy by gross merchandise value (Google, Temasek and Bain 2024), national </w:t>
      </w:r>
      <w:r>
        <w:lastRenderedPageBreak/>
        <w:t xml:space="preserve">statistics measure the online sales of surveyed businesses (BPS-Statistics Indonesia 2025), and listed platforms report the revenue they recognize under IFRS 15 (International Accounting Standards Board 2014). A difference that is harmless when the measures move together becomes important when they do not, because the choice of measure can change conclusions about economic scale and growth. </w:t>
      </w:r>
      <w:r>
        <w:t>Overall, this</w:t>
      </w:r>
      <w:r>
        <w:t xml:space="preserve"> </w:t>
      </w:r>
      <w:r w:rsidR="00183555">
        <w:t>study</w:t>
      </w:r>
      <w:r>
        <w:t xml:space="preserve"> compares the </w:t>
      </w:r>
      <w:r>
        <w:t>indicators</w:t>
      </w:r>
      <w:r>
        <w:t xml:space="preserve"> rather than assuming that one can substitute for another.</w:t>
      </w:r>
    </w:p>
    <w:p w14:paraId="3F4A49FD" w14:textId="77777777" w:rsidR="00CF52FD" w:rsidRDefault="00000000">
      <w:pPr>
        <w:pStyle w:val="Heading2"/>
        <w:spacing w:before="140" w:after="60"/>
      </w:pPr>
      <w:r>
        <w:rPr>
          <w:rFonts w:ascii="Times New Roman" w:eastAsia="Times New Roman" w:hAnsi="Times New Roman"/>
        </w:rPr>
        <w:t>2.3 Digital Records and Third-Party Information</w:t>
      </w:r>
    </w:p>
    <w:p w14:paraId="2005550A" w14:textId="77777777" w:rsidR="00CF52FD" w:rsidRDefault="00000000">
      <w:pPr>
        <w:keepLines/>
        <w:spacing w:after="110" w:line="257" w:lineRule="auto"/>
        <w:jc w:val="both"/>
      </w:pPr>
      <w:r>
        <w:t xml:space="preserve">Transactions that do not enter a platform's revenue can still leave detailed records within the platform's system. Merchants and service providers can be small, self-employed, or weakly represented in conventional financial records, yet the transactions they make on a platform are recorded by it. This differs from shadow-economy settings, where reliable formal records may be sparse (La Porta and Shleifer 2014; </w:t>
      </w:r>
      <w:proofErr w:type="spellStart"/>
      <w:r>
        <w:t>Ulyssea</w:t>
      </w:r>
      <w:proofErr w:type="spellEnd"/>
      <w:r>
        <w:t xml:space="preserve"> 2018; Medina and Schneider 2019). Platform-mediated activity can also create traces outside conventional records (Berg et al. 2020; Barrios, Hochberg and Yi 2022; Denes, </w:t>
      </w:r>
      <w:proofErr w:type="spellStart"/>
      <w:r>
        <w:t>Lagaras</w:t>
      </w:r>
      <w:proofErr w:type="spellEnd"/>
      <w:r>
        <w:t xml:space="preserve"> and </w:t>
      </w:r>
      <w:proofErr w:type="spellStart"/>
      <w:r>
        <w:t>Tsoutsoura</w:t>
      </w:r>
      <w:proofErr w:type="spellEnd"/>
      <w:r>
        <w:t xml:space="preserve"> 2025).</w:t>
      </w:r>
    </w:p>
    <w:p w14:paraId="079C2A37" w14:textId="77777777" w:rsidR="00CF52FD" w:rsidRDefault="00000000">
      <w:pPr>
        <w:spacing w:after="110" w:line="257" w:lineRule="auto"/>
        <w:jc w:val="both"/>
      </w:pPr>
      <w:r>
        <w:t>Third-party information changes compliance and enforcement (</w:t>
      </w:r>
      <w:proofErr w:type="spellStart"/>
      <w:r>
        <w:t>Kleven</w:t>
      </w:r>
      <w:proofErr w:type="spellEnd"/>
      <w:r>
        <w:t xml:space="preserve"> et al. 2011; Pomeranz 2015; </w:t>
      </w:r>
      <w:proofErr w:type="spellStart"/>
      <w:r>
        <w:t>Naritomi</w:t>
      </w:r>
      <w:proofErr w:type="spellEnd"/>
      <w:r>
        <w:t xml:space="preserve"> 2019; </w:t>
      </w:r>
      <w:proofErr w:type="spellStart"/>
      <w:r>
        <w:t>Kleven</w:t>
      </w:r>
      <w:proofErr w:type="spellEnd"/>
      <w:r>
        <w:t xml:space="preserve">, </w:t>
      </w:r>
      <w:proofErr w:type="spellStart"/>
      <w:r>
        <w:t>Kreiner</w:t>
      </w:r>
      <w:proofErr w:type="spellEnd"/>
      <w:r>
        <w:t xml:space="preserve"> and </w:t>
      </w:r>
      <w:proofErr w:type="spellStart"/>
      <w:r>
        <w:t>Saez</w:t>
      </w:r>
      <w:proofErr w:type="spellEnd"/>
      <w:r>
        <w:t xml:space="preserve"> 2016; </w:t>
      </w:r>
      <w:proofErr w:type="spellStart"/>
      <w:r>
        <w:t>Slemrod</w:t>
      </w:r>
      <w:proofErr w:type="spellEnd"/>
      <w:r>
        <w:t xml:space="preserve"> 2019). The OECD Model Rules (OECD 2020) and the European Union's DAC7 regime (European Union 2021) apply this principle to platforms, as does Indonesia's Minister of Finance Regulation No. 37 of 2025 (PMK 37/2025) through seller identification, transaction-linked reporting and marketplace withholding (Ministry of Finance of the Republic of Indonesia 2025). </w:t>
      </w:r>
      <w:r>
        <w:t>Overall, the</w:t>
      </w:r>
      <w:r>
        <w:t xml:space="preserve"> relevance here is informational: what a measure or rule can show depends on the records it uses.</w:t>
      </w:r>
    </w:p>
    <w:p w14:paraId="0D0C41B2" w14:textId="77777777" w:rsidR="00CF52FD" w:rsidRDefault="00000000">
      <w:pPr>
        <w:pStyle w:val="Heading2"/>
        <w:spacing w:before="140" w:after="60"/>
      </w:pPr>
      <w:r>
        <w:rPr>
          <w:rFonts w:ascii="Times New Roman" w:eastAsia="Times New Roman" w:hAnsi="Times New Roman"/>
        </w:rPr>
        <w:t>2.4 Research Gap</w:t>
      </w:r>
    </w:p>
    <w:p w14:paraId="2A41089B" w14:textId="77777777" w:rsidR="00CF52FD" w:rsidRDefault="00000000">
      <w:pPr>
        <w:keepLines/>
        <w:spacing w:after="110" w:line="257" w:lineRule="auto"/>
        <w:jc w:val="both"/>
      </w:pPr>
      <w:r>
        <w:t>Existing research explains the pieces of the problem separately. Platform economics explains why transaction value can exceed revenue; accounting explains why the gap can move; official measurement frameworks explain why these quantities should not be treated as equivalent; and research on digital records explains why some platform-mediated activity outside revenue can remain observable in platform records.</w:t>
      </w:r>
    </w:p>
    <w:p w14:paraId="1BF3EBF7" w14:textId="7929C99B" w:rsidR="00CF52FD" w:rsidRDefault="00000000">
      <w:pPr>
        <w:spacing w:after="110" w:line="257" w:lineRule="auto"/>
        <w:jc w:val="both"/>
      </w:pPr>
      <w:r>
        <w:t>However, the remaining research gap is not simply that the published numbers differ. What is less established is whether a candidate indicator is sufficient for the inference being made: how far it sits from the intended target in level, whether it preserves growth and direction, and what disclosed components explain important divergences. This study addresses that gap by following the transaction-revenue relationship through time, reconciling selected movements, and using national and external evidence to test the boundary of the inference.</w:t>
      </w:r>
      <w:r>
        <w:t xml:space="preserve"/>
      </w:r>
      <w:r>
        <w:t/>
      </w:r>
      <w:r>
        <w:t xml:space="preserve"/>
      </w:r>
      <w:r>
        <w:t xml:space="preserve"/>
      </w:r>
      <w:r>
        <w:t xml:space="preserve"/>
      </w:r>
      <w:r>
        <w:t/>
      </w:r>
      <w:r>
        <w:t xml:space="preserve"/>
      </w:r>
      <w:proofErr w:type="gramStart"/>
      <w:r>
        <w:t/>
      </w:r>
      <w:proofErr w:type="gramEnd"/>
      <w:r>
        <w:t xml:space="preserve"/>
      </w:r>
      <w:r w:rsidR="00183555">
        <w:t/>
      </w:r>
      <w:r>
        <w:t xml:space="preserve"/>
      </w:r>
      <w:r>
        <w:t/>
      </w:r>
      <w:r>
        <w:t/>
      </w:r>
    </w:p>
    <w:p w14:paraId="77B02B68" w14:textId="77777777" w:rsidR="00CF52FD" w:rsidRDefault="00000000">
      <w:pPr>
        <w:pStyle w:val="Heading1"/>
        <w:spacing w:before="200" w:after="100"/>
      </w:pPr>
      <w:r>
        <w:rPr>
          <w:rFonts w:ascii="Times New Roman" w:eastAsia="Times New Roman" w:hAnsi="Times New Roman"/>
        </w:rPr>
        <w:t>3. Theoretical Framework and Hypotheses</w:t>
      </w:r>
    </w:p>
    <w:p w14:paraId="3C7E3C54" w14:textId="77777777" w:rsidR="00CF52FD" w:rsidRDefault="00000000">
      <w:pPr>
        <w:keepLines/>
        <w:spacing w:after="110" w:line="257" w:lineRule="auto"/>
        <w:jc w:val="both"/>
      </w:pPr>
      <w:r>
        <w:t xml:space="preserve">Digital platform activity can be observed through several indicators, but they do not measure the same economic object. The framework is task-specific: define the target, match an observable with the same period and scope, separate the level relationship from the dynamic relationship, reconcile important divergences, and state the inference only for the setting the evidence supports.</w:t>
      </w:r>
      <w:r>
        <w:t/>
      </w:r>
      <w:r>
        <w:t xml:space="preserve"/>
      </w:r>
      <w:r>
        <w:t/>
      </w:r>
      <w:r>
        <w:t xml:space="preserve"/>
      </w:r>
      <w:r>
        <w:t/>
      </w:r>
      <w:r>
        <w:t xml:space="preserve"/>
      </w:r>
    </w:p>
    <w:p w14:paraId="51DD2C9E" w14:textId="77777777" w:rsidR="00CF52FD" w:rsidRDefault="00000000">
      <w:pPr>
        <w:spacing w:after="110" w:line="257" w:lineRule="auto"/>
        <w:jc w:val="both"/>
      </w:pPr>
      <w:r>
        <w:t xml:space="preserve">For the platform analysis, transaction value and revenue are paired only when they refer to the same period and business activity. This scope match is the first validity condition. Issuer-reported and constructed figures remain separate, as do national statistics and payment indicators; the study tests relationships between records rather than pooling unlike measures.</w:t>
      </w:r>
      <w:r>
        <w:t/>
      </w:r>
      <w:r>
        <w:t xml:space="preserve"/>
      </w:r>
    </w:p>
    <w:p w14:paraId="2D059BE4" w14:textId="77777777" w:rsidR="00CF52FD" w:rsidRDefault="00000000">
      <w:pPr>
        <w:pStyle w:val="Heading2"/>
        <w:spacing w:before="140" w:after="60"/>
      </w:pPr>
      <w:r>
        <w:rPr>
          <w:rFonts w:ascii="Times New Roman" w:eastAsia="Times New Roman" w:hAnsi="Times New Roman"/>
        </w:rPr>
        <w:t>3.1 Measurement Framework</w:t>
      </w:r>
    </w:p>
    <w:p w14:paraId="4B3A4249" w14:textId="77777777" w:rsidR="00CF52FD" w:rsidRDefault="00000000">
      <w:pPr>
        <w:keepLines/>
        <w:spacing w:after="110" w:line="257" w:lineRule="auto"/>
        <w:jc w:val="both"/>
      </w:pPr>
      <w:r>
        <w:t>Let V</w:t>
      </w:r>
      <w:r>
        <w:rPr>
          <w:vertAlign w:val="subscript"/>
        </w:rPr>
        <w:t>it</w:t>
      </w:r>
      <w:r>
        <w:t xml:space="preserve"> denote transaction value processed by platform </w:t>
      </w:r>
      <w:proofErr w:type="spellStart"/>
      <w:r>
        <w:t>i</w:t>
      </w:r>
      <w:proofErr w:type="spellEnd"/>
      <w:r>
        <w:t xml:space="preserve"> in period t, and </w:t>
      </w:r>
      <w:proofErr w:type="spellStart"/>
      <w:r>
        <w:t>R</w:t>
      </w:r>
      <w:r>
        <w:rPr>
          <w:vertAlign w:val="subscript"/>
        </w:rPr>
        <w:t>it</w:t>
      </w:r>
      <w:proofErr w:type="spellEnd"/>
      <w:r>
        <w:t xml:space="preserve"> the revenue recognized over the same matched period and business scope. The absolute </w:t>
      </w:r>
      <w:r>
        <w:t>“</w:t>
      </w:r>
      <w:r>
        <w:t>invisible wedge</w:t>
      </w:r>
      <w:r>
        <w:t>”</w:t>
      </w:r>
      <w:r>
        <w:t xml:space="preserve"> is:</w:t>
      </w:r>
    </w:p>
    <w:p w14:paraId="150DB6CD" w14:textId="77777777" w:rsidR="00CF52FD" w:rsidRDefault="00000000">
      <w:pPr>
        <w:keepNext/>
        <w:spacing w:before="60" w:after="110" w:line="257" w:lineRule="auto"/>
        <w:jc w:val="center"/>
      </w:pPr>
      <w:r>
        <w:rPr>
          <w:i/>
        </w:rPr>
        <w:lastRenderedPageBreak/>
        <w:t>W</w:t>
      </w:r>
      <w:r>
        <w:rPr>
          <w:i/>
          <w:vertAlign w:val="subscript"/>
        </w:rPr>
        <w:t>it</w:t>
      </w:r>
      <w:r>
        <w:rPr>
          <w:i/>
        </w:rPr>
        <w:t xml:space="preserve"> = V</w:t>
      </w:r>
      <w:r>
        <w:rPr>
          <w:i/>
          <w:vertAlign w:val="subscript"/>
        </w:rPr>
        <w:t>it</w:t>
      </w:r>
      <w:r>
        <w:rPr>
          <w:i/>
        </w:rPr>
        <w:t xml:space="preserve"> − </w:t>
      </w:r>
      <w:proofErr w:type="spellStart"/>
      <w:r>
        <w:rPr>
          <w:i/>
        </w:rPr>
        <w:t>R</w:t>
      </w:r>
      <w:r>
        <w:rPr>
          <w:i/>
          <w:vertAlign w:val="subscript"/>
        </w:rPr>
        <w:t>it</w:t>
      </w:r>
      <w:proofErr w:type="spellEnd"/>
    </w:p>
    <w:p w14:paraId="4A2A8680" w14:textId="77777777" w:rsidR="00CF52FD" w:rsidRDefault="00000000">
      <w:pPr>
        <w:spacing w:after="110" w:line="257" w:lineRule="auto"/>
        <w:jc w:val="both"/>
      </w:pPr>
      <w:r>
        <w:t xml:space="preserve">W is transaction value outside the platform's recognized revenue, not an omission from its accounts: both inputs can appear in the same company report. It is a transaction-value measure rather than an income or value-added measure; Section 7 states the corresponding inference boundaries. Because platforms differ in size, I also express the wedge relative to revenue. The </w:t>
      </w:r>
      <w:r>
        <w:t>“</w:t>
      </w:r>
      <w:r>
        <w:t>Ecosystem Ratio</w:t>
      </w:r>
      <w:r>
        <w:t>”</w:t>
      </w:r>
      <w:r>
        <w:t xml:space="preserve"> is:</w:t>
      </w:r>
    </w:p>
    <w:p w14:paraId="5C76C6E6" w14:textId="77777777" w:rsidR="00CF52FD" w:rsidRDefault="00000000">
      <w:pPr>
        <w:keepNext/>
        <w:spacing w:before="60" w:after="110" w:line="257" w:lineRule="auto"/>
        <w:jc w:val="center"/>
      </w:pPr>
      <w:proofErr w:type="spellStart"/>
      <w:r>
        <w:rPr>
          <w:i/>
        </w:rPr>
        <w:t>E</w:t>
      </w:r>
      <w:r>
        <w:rPr>
          <w:i/>
          <w:vertAlign w:val="subscript"/>
        </w:rPr>
        <w:t>it</w:t>
      </w:r>
      <w:proofErr w:type="spellEnd"/>
      <w:r>
        <w:rPr>
          <w:i/>
        </w:rPr>
        <w:t xml:space="preserve"> = (V</w:t>
      </w:r>
      <w:r>
        <w:rPr>
          <w:i/>
          <w:vertAlign w:val="subscript"/>
        </w:rPr>
        <w:t>it</w:t>
      </w:r>
      <w:r>
        <w:rPr>
          <w:i/>
        </w:rPr>
        <w:t xml:space="preserve"> − </w:t>
      </w:r>
      <w:proofErr w:type="spellStart"/>
      <w:r>
        <w:rPr>
          <w:i/>
        </w:rPr>
        <w:t>R</w:t>
      </w:r>
      <w:r>
        <w:rPr>
          <w:i/>
          <w:vertAlign w:val="subscript"/>
        </w:rPr>
        <w:t>it</w:t>
      </w:r>
      <w:proofErr w:type="spellEnd"/>
      <w:r>
        <w:rPr>
          <w:i/>
        </w:rPr>
        <w:t xml:space="preserve">) / </w:t>
      </w:r>
      <w:proofErr w:type="spellStart"/>
      <w:r>
        <w:rPr>
          <w:i/>
        </w:rPr>
        <w:t>R</w:t>
      </w:r>
      <w:r>
        <w:rPr>
          <w:i/>
          <w:vertAlign w:val="subscript"/>
        </w:rPr>
        <w:t>it</w:t>
      </w:r>
      <w:proofErr w:type="spellEnd"/>
    </w:p>
    <w:p w14:paraId="53B93CB2" w14:textId="77777777" w:rsidR="00CF52FD" w:rsidRDefault="00000000">
      <w:pPr>
        <w:spacing w:after="110" w:line="257" w:lineRule="auto"/>
        <w:jc w:val="both"/>
      </w:pPr>
      <w:r>
        <w:t>An E of 9 means that nine units of transaction value lie outside the revenue line for every unit recognized as platform revenue. E contains the same information as the platform's monetization rate, t = R/V, because E = 1/t − 1. For example, a platform that recognizes 2.5 percent of transaction value as revenue has an E of 39. The residual form matches the research question, which concerns commerce outside recognized revenue.</w:t>
      </w:r>
    </w:p>
    <w:p w14:paraId="045A5C06" w14:textId="77777777" w:rsidR="00CF52FD" w:rsidRDefault="00000000">
      <w:pPr>
        <w:spacing w:after="110" w:line="257" w:lineRule="auto"/>
        <w:jc w:val="both"/>
      </w:pPr>
      <w:r>
        <w:t xml:space="preserve">The Ecosystem Ratio is constructed for this study as a descriptive transformation of the monetization rate. Its interpretation rests on the platform-economics result that booked revenue need not track the transaction value a multisided platform coordinates (Rochet and </w:t>
      </w:r>
      <w:proofErr w:type="spellStart"/>
      <w:r>
        <w:t>Tirole</w:t>
      </w:r>
      <w:proofErr w:type="spellEnd"/>
      <w:r>
        <w:t xml:space="preserve"> 2003; </w:t>
      </w:r>
      <w:proofErr w:type="spellStart"/>
      <w:r>
        <w:t>Hagiu</w:t>
      </w:r>
      <w:proofErr w:type="spellEnd"/>
      <w:r>
        <w:t xml:space="preserve"> and Wright 2015; Evans and </w:t>
      </w:r>
      <w:proofErr w:type="spellStart"/>
      <w:r>
        <w:t>Schmalensee</w:t>
      </w:r>
      <w:proofErr w:type="spellEnd"/>
      <w:r>
        <w:t xml:space="preserve"> 2016), together with the accounting result that the share entering revenue depends on how revenue is recognized, including whether the platform acts as principal or agent (International Accounting Standards Board 2014; De Franco, Kothari and Verdi 2011).</w:t>
      </w:r>
    </w:p>
    <w:p w14:paraId="1989001D" w14:textId="77777777" w:rsidR="00CF52FD" w:rsidRDefault="00000000">
      <w:pPr>
        <w:spacing w:after="110" w:line="257" w:lineRule="auto"/>
        <w:jc w:val="both"/>
      </w:pPr>
      <w:r>
        <w:t xml:space="preserve">A single ratio does not show whether the relationship holds through time. W and E therefore answer a level question, while annual growth divergence tests dynamic sufficiency. Where g(X) is the percentage growth of X from one year to the next, I define:</w:t>
      </w:r>
      <w:r>
        <w:t/>
      </w:r>
      <w:r>
        <w:t/>
      </w:r>
      <w:r>
        <w:t/>
      </w:r>
      <w:r>
        <w:t/>
      </w:r>
    </w:p>
    <w:p w14:paraId="37D61946" w14:textId="77777777" w:rsidR="00CF52FD" w:rsidRDefault="00000000">
      <w:pPr>
        <w:keepNext/>
        <w:spacing w:before="60" w:after="110" w:line="257" w:lineRule="auto"/>
        <w:jc w:val="center"/>
      </w:pPr>
      <w:proofErr w:type="spellStart"/>
      <w:r>
        <w:rPr>
          <w:i/>
        </w:rPr>
        <w:t>D</w:t>
      </w:r>
      <w:r>
        <w:rPr>
          <w:i/>
          <w:vertAlign w:val="subscript"/>
        </w:rPr>
        <w:t>it</w:t>
      </w:r>
      <w:proofErr w:type="spellEnd"/>
      <w:r>
        <w:rPr>
          <w:i/>
        </w:rPr>
        <w:t xml:space="preserve"> = g(</w:t>
      </w:r>
      <w:proofErr w:type="spellStart"/>
      <w:r>
        <w:rPr>
          <w:i/>
        </w:rPr>
        <w:t>R</w:t>
      </w:r>
      <w:r>
        <w:rPr>
          <w:i/>
          <w:vertAlign w:val="subscript"/>
        </w:rPr>
        <w:t>it</w:t>
      </w:r>
      <w:proofErr w:type="spellEnd"/>
      <w:r>
        <w:rPr>
          <w:i/>
        </w:rPr>
        <w:t>) − g(V</w:t>
      </w:r>
      <w:r>
        <w:rPr>
          <w:i/>
          <w:vertAlign w:val="subscript"/>
        </w:rPr>
        <w:t>it</w:t>
      </w:r>
      <w:r>
        <w:rPr>
          <w:i/>
        </w:rPr>
        <w:t>)</w:t>
      </w:r>
    </w:p>
    <w:p w14:paraId="2B9469DF" w14:textId="77777777" w:rsidR="00CF52FD" w:rsidRDefault="00000000">
      <w:pPr>
        <w:spacing w:after="110" w:line="257" w:lineRule="auto"/>
        <w:jc w:val="both"/>
      </w:pPr>
      <w:r>
        <w:t>A positive D means revenue grew faster than transaction value; a negative D means transaction value grew faster. If revenue were a stable dynamic proxy, D would remain close to zero over the relevant window. A sign reversal, where one measure rises and the other falls, is the strongest observable failure because indicator choice changes the direction of the conclusion. W gives the wedge in currency units, E describes the relative level relationship, and D carries the central dynamic test. The framework does not presume failure: a relationship that remains close in level and movement can be adequate for a stated task.</w:t>
      </w:r>
    </w:p>
    <w:p w14:paraId="77AE68E0" w14:textId="27C13EC3" w:rsidR="00CF52FD" w:rsidRDefault="00000000">
      <w:pPr>
        <w:pStyle w:val="Heading2"/>
        <w:spacing w:before="140" w:after="60"/>
      </w:pPr>
      <w:r>
        <w:rPr>
          <w:rFonts w:ascii="Times New Roman" w:eastAsia="Times New Roman" w:hAnsi="Times New Roman"/>
        </w:rPr>
        <w:t xml:space="preserve">3.2 </w:t>
      </w:r>
      <w:r w:rsidR="0025365D">
        <w:rPr>
          <w:rFonts w:ascii="Times New Roman" w:eastAsia="Times New Roman" w:hAnsi="Times New Roman"/>
        </w:rPr>
        <w:t>Hypothes</w:t>
      </w:r>
      <w:r w:rsidR="0025365D">
        <w:rPr>
          <w:rFonts w:ascii="Times New Roman" w:eastAsia="新細明體" w:hAnsi="Times New Roman" w:hint="eastAsia"/>
          <w:lang w:eastAsia="zh-TW"/>
        </w:rPr>
        <w:t>i</w:t>
      </w:r>
      <w:r w:rsidR="0025365D">
        <w:rPr>
          <w:rFonts w:ascii="Times New Roman" w:eastAsia="Times New Roman" w:hAnsi="Times New Roman"/>
        </w:rPr>
        <w:t xml:space="preserve">s </w:t>
      </w:r>
      <w:r>
        <w:rPr>
          <w:rFonts w:ascii="Times New Roman" w:eastAsia="Times New Roman" w:hAnsi="Times New Roman"/>
        </w:rPr>
        <w:t>Development</w:t>
      </w:r>
    </w:p>
    <w:p w14:paraId="78FA438C" w14:textId="3CEC3E8B" w:rsidR="00CF52FD" w:rsidRDefault="00000000">
      <w:pPr>
        <w:keepLines/>
        <w:spacing w:after="110" w:line="257" w:lineRule="auto"/>
        <w:jc w:val="both"/>
      </w:pPr>
      <w:r>
        <w:t>The four hypotheses</w:t>
      </w:r>
      <w:r>
        <w:t xml:space="preserve"> below</w:t>
      </w:r>
      <w:r>
        <w:t xml:space="preserve"> test the research question one </w:t>
      </w:r>
      <w:r>
        <w:t>indicator</w:t>
      </w:r>
      <w:r>
        <w:t xml:space="preserve"> at a time. H1 concerns transaction value and revenue within platforms, H2 and H3 the national e-commerce evidence, and H4 the comparison across </w:t>
      </w:r>
      <w:r>
        <w:t>indicators</w:t>
      </w:r>
      <w:r>
        <w:t>. None is</w:t>
      </w:r>
      <w:r>
        <w:t xml:space="preserve"> a causal claim. Table 1 pairs each hypothesis with the evidence that tests it.</w:t>
      </w:r>
    </w:p>
    <w:p w14:paraId="33FE3A89" w14:textId="702D5B98" w:rsidR="00CF52FD" w:rsidRDefault="00000000">
      <w:pPr>
        <w:spacing w:after="110" w:line="257" w:lineRule="auto"/>
        <w:jc w:val="both"/>
        <w:rPr/>
      </w:pPr>
      <w:r>
        <w:t xml:space="preserve">Platform economics and accounting both suggest that the share of transaction value a platform recognizes as revenue is not fixed. Revenue depends on monetization, customer incentives and whether the platform acts as principal or agent under IFRS 15, and these can change with the platform's business model, scope and pricing (Rochet and </w:t>
      </w:r>
      <w:proofErr w:type="spellStart"/>
      <w:r>
        <w:t>Tirole</w:t>
      </w:r>
      <w:proofErr w:type="spellEnd"/>
      <w:r>
        <w:t xml:space="preserve"> 2003; </w:t>
      </w:r>
      <w:proofErr w:type="spellStart"/>
      <w:r>
        <w:t>Hagiu</w:t>
      </w:r>
      <w:proofErr w:type="spellEnd"/>
      <w:r>
        <w:t xml:space="preserve"> and Wright 2015; International Accounting Standards Board 2014). If the relationship were stable, revenue would be a workable stand-in for the commerce a platform carries, D would remain close to zero and E would be constant. I therefore hypothesize that:</w:t>
      </w:r>
    </w:p>
    <w:p w14:paraId="3B186A2B" w14:textId="77777777" w:rsidR="00CF52FD" w:rsidRDefault="00000000">
      <w:pPr>
        <w:keepNext/>
        <w:spacing w:after="110" w:line="257" w:lineRule="auto"/>
      </w:pPr>
      <w:r>
        <w:rPr>
          <w:b/>
        </w:rPr>
        <w:t>H1. Within the same platform, transaction value and platform revenue do not grow in proportion.</w:t>
      </w:r>
    </w:p>
    <w:p w14:paraId="32ADC9A4" w14:textId="77777777" w:rsidR="00CF52FD" w:rsidRDefault="00000000">
      <w:pPr>
        <w:spacing w:after="110" w:line="257" w:lineRule="auto"/>
        <w:jc w:val="both"/>
      </w:pPr>
      <w:r>
        <w:t>The test is whether D remains close to zero; changes in its sign identify especially strong reversals but are not required for H1.</w:t>
      </w:r>
    </w:p>
    <w:p w14:paraId="501D6022" w14:textId="77777777" w:rsidR="00CF52FD" w:rsidRDefault="00000000">
      <w:pPr>
        <w:spacing w:after="110" w:line="257" w:lineRule="auto"/>
        <w:jc w:val="both"/>
        <w:rPr/>
      </w:pPr>
      <w:r>
        <w:t xml:space="preserve">National e-commerce value can grow because existing businesses sell more or because more businesses sell online. Growth driven by new sellers can take place in channels that platform accounts do not cover, such as social media and instant messaging, which BPS reports are widely used (BPS-Statistics Indonesia 2025). Because BPS reports both the number of e-commerce </w:t>
      </w:r>
      <w:r>
        <w:lastRenderedPageBreak/>
        <w:t>businesses and total e-commerce value, national growth can be divided arithmetically into these two components (Section 4.4). I therefore hypothesize that:</w:t>
      </w:r>
    </w:p>
    <w:p w14:paraId="11FDE41A" w14:textId="77777777" w:rsidR="00CF52FD" w:rsidRDefault="00000000">
      <w:pPr>
        <w:keepNext/>
        <w:spacing w:after="110" w:line="257" w:lineRule="auto"/>
      </w:pPr>
      <w:r>
        <w:rPr>
          <w:b/>
        </w:rPr>
        <w:t>H2. National e-commerce growth comes mainly from more participating businesses rather than from higher sales per business.</w:t>
      </w:r>
    </w:p>
    <w:p w14:paraId="54247490" w14:textId="77777777" w:rsidR="00CF52FD" w:rsidRDefault="00000000">
      <w:pPr>
        <w:spacing w:after="110" w:line="257" w:lineRule="auto"/>
        <w:jc w:val="both"/>
      </w:pPr>
      <w:r>
        <w:t>The split is arithmetic and does not assign new businesses to particular channels.</w:t>
      </w:r>
    </w:p>
    <w:p w14:paraId="15989E38" w14:textId="77777777" w:rsidR="00CF52FD" w:rsidRDefault="00000000">
      <w:pPr>
        <w:spacing w:after="110" w:line="257" w:lineRule="auto"/>
        <w:jc w:val="both"/>
        <w:rPr/>
      </w:pPr>
      <w:r>
        <w:t>Transactions made on a platform are recorded by the platform, and marketplace participation may accompany more formal recordkeeping by the sellers themselves (Section 2.3). Financial statements are one conventional record a business keeps of its own activity. I therefore hypothesize that:</w:t>
      </w:r>
    </w:p>
    <w:p w14:paraId="1AFA7F05" w14:textId="77777777" w:rsidR="00CF52FD" w:rsidRDefault="00000000">
      <w:pPr>
        <w:keepNext/>
        <w:spacing w:after="110" w:line="257" w:lineRule="auto"/>
      </w:pPr>
      <w:r>
        <w:rPr>
          <w:b/>
        </w:rPr>
        <w:t>H3. Marketplace participation is associated with stronger financial recordkeeping.</w:t>
      </w:r>
    </w:p>
    <w:p w14:paraId="16E7B0E5" w14:textId="77777777" w:rsidR="00CF52FD" w:rsidRDefault="00000000">
      <w:pPr>
        <w:spacing w:after="110" w:line="257" w:lineRule="auto"/>
        <w:jc w:val="both"/>
      </w:pPr>
      <w:r>
        <w:t xml:space="preserve">H3 tests whether the prevalence of </w:t>
      </w:r>
      <w:r>
        <w:t>financial</w:t>
      </w:r>
      <w:r>
        <w:t xml:space="preserve"> </w:t>
      </w:r>
      <w:r>
        <w:t>statements</w:t>
      </w:r>
      <w:r>
        <w:t xml:space="preserve"> </w:t>
      </w:r>
      <w:proofErr w:type="gramStart"/>
      <w:r>
        <w:t>differs</w:t>
      </w:r>
      <w:proofErr w:type="gramEnd"/>
      <w:r>
        <w:t xml:space="preserve"> between marketplace and non-marketplace sellers; it does not treat the association as causal.</w:t>
      </w:r>
    </w:p>
    <w:p w14:paraId="5179FF02" w14:textId="77777777" w:rsidR="00CF52FD" w:rsidRDefault="00000000">
      <w:pPr>
        <w:spacing w:after="110" w:line="257" w:lineRule="auto"/>
        <w:jc w:val="both"/>
        <w:rPr/>
      </w:pPr>
      <w:r>
        <w:t>If H1 holds, revenue growth and transaction-value growth can support different conclusions about the same platform. If most national e-commerce growth occurs outside the marketplace channel, marketplace figures can likewise support different conclusions from figures for all e-commerce. H4 combines these two comparisons. I therefore hypothesize that:</w:t>
      </w:r>
    </w:p>
    <w:p w14:paraId="5038C3F2" w14:textId="77777777" w:rsidR="00CF52FD" w:rsidRDefault="00000000">
      <w:pPr>
        <w:keepNext/>
        <w:spacing w:after="110" w:line="257" w:lineRule="auto"/>
      </w:pPr>
      <w:r>
        <w:rPr>
          <w:b/>
        </w:rPr>
        <w:t xml:space="preserve">H4. Conclusions about the growth of Indonesian digital commerce change with the </w:t>
      </w:r>
      <w:r>
        <w:rPr>
          <w:b/>
        </w:rPr>
        <w:t>indicator</w:t>
      </w:r>
      <w:r>
        <w:rPr>
          <w:b/>
        </w:rPr>
        <w:t xml:space="preserve"> used to measure it.</w:t>
      </w:r>
    </w:p>
    <w:p w14:paraId="2CC1FB0C" w14:textId="20286368" w:rsidR="00CF52FD" w:rsidRDefault="00000000">
      <w:pPr>
        <w:spacing w:after="110" w:line="257" w:lineRule="auto"/>
        <w:jc w:val="both"/>
      </w:pPr>
      <w:r>
        <w:t xml:space="preserve">H4 is the central claim of the </w:t>
      </w:r>
      <w:r w:rsidR="00183555">
        <w:t>study</w:t>
      </w:r>
      <w:r>
        <w:t>. It fails if revenue grows in step with transaction value within platforms and the marketplace channel grows in step with all e-commerce. Level differences between platform and BPS figures, and payment growth, are reported as context because their definitions and coverage differ.</w:t>
      </w:r>
    </w:p>
    <w:p w14:paraId="28C8D6EC" w14:textId="77777777" w:rsidR="00CF52FD" w:rsidRDefault="00000000">
      <w:pPr>
        <w:spacing w:after="110" w:line="257" w:lineRule="auto"/>
        <w:jc w:val="both"/>
        <w:rPr/>
      </w:pPr>
      <w:r>
        <w:t>To summarize, H1 asks whether revenue is a stable guide to transaction value within platforms; H2 and H3 describe where national e-commerce growth comes from and how marketplace participation relates to recordkeeping; and H4 asks whether the choice of indicator changes the conclusion.</w:t>
      </w:r>
    </w:p>
    <w:p w14:paraId="3BE9F43A" w14:textId="77777777" w:rsidR="00CF52FD" w:rsidRDefault="00000000">
      <w:pPr>
        <w:keepNext/>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3300"/>
        <w:gridCol w:w="6247"/>
      </w:tblGrid>
      <w:tr w:rsidR="00CF52FD" w14:paraId="5A653BD2" w14:textId="77777777">
        <w:trPr>
          <w:cantSplit/>
          <w:jc w:val="center"/>
        </w:trPr>
        <w:tc>
          <w:tcPr>
            <w:tcW w:w="9546" w:type="dxa"/>
            <w:gridSpan w:val="2"/>
            <w:tcBorders>
              <w:top w:val="single" w:sz="4" w:space="0" w:color="auto"/>
              <w:left w:val="nil"/>
              <w:bottom w:val="single" w:sz="4" w:space="0" w:color="auto"/>
              <w:right w:val="nil"/>
            </w:tcBorders>
            <w:vAlign w:val="center"/>
          </w:tcPr>
          <w:p w14:paraId="194B1C68" w14:textId="77777777" w:rsidR="00CF52FD" w:rsidRDefault="00000000">
            <w:pPr>
              <w:keepNext/>
              <w:spacing w:after="0" w:line="240" w:lineRule="exact"/>
              <w:jc w:val="both"/>
              <w:rPr/>
            </w:pPr>
            <w:r>
              <w:rPr>
                <w:rFonts w:cs="Times New Roman"/>
                <w:b/>
                <w:sz w:val="22"/>
              </w:rPr>
              <w:t>Table 1. Hypotheses and principal empirical tests</w:t>
            </w:r>
          </w:p>
          <w:p w14:paraId="718D7242" w14:textId="6F9DC1D1" w:rsidR="00CF52FD" w:rsidRDefault="00000000">
            <w:pPr>
              <w:spacing w:after="0" w:line="240" w:lineRule="exact"/>
              <w:jc w:val="both"/>
              <w:rPr/>
            </w:pPr>
            <w:r>
              <w:rPr>
                <w:rFonts w:cs="Times New Roman"/>
                <w:sz w:val="22"/>
              </w:rPr>
              <w:t xml:space="preserve">This table pairs each </w:t>
            </w:r>
            <w:r w:rsidR="002026E8" w:rsidRPr="002026E8">
              <w:rPr>
                <w:rFonts w:cs="Times New Roman" w:hint="eastAsia"/>
                <w:sz w:val="22"/>
              </w:rPr>
              <w:t xml:space="preserve">hypothesis </w:t>
            </w:r>
            <w:r>
              <w:rPr>
                <w:rFonts w:cs="Times New Roman"/>
                <w:sz w:val="22"/>
              </w:rPr>
              <w:t>with the principal empirical test used to examine it. H1 concerns transaction value and revenue within platforms, H2 and H3 the national e-commerce evidence, and H4 the comparison across indicators. D denotes annual growth divergence and E the Ecosystem Ratio, both defined in Section 3.1. BPS denotes BPS-Statistics Indonesia. None of the tests is interpreted as a causal claim.</w:t>
            </w:r>
          </w:p>
        </w:tc>
      </w:tr>
      <w:tr w:rsidR="00CF52FD" w14:paraId="0BA9C4C1" w14:textId="77777777">
        <w:trPr>
          <w:cantSplit/>
          <w:tblHeader/>
          <w:jc w:val="center"/>
        </w:trPr>
        <w:tc>
          <w:tcPr>
            <w:tcW w:w="3300" w:type="dxa"/>
            <w:tcBorders>
              <w:top w:val="single" w:sz="4" w:space="0" w:color="auto"/>
              <w:left w:val="nil"/>
              <w:bottom w:val="single" w:sz="4" w:space="0" w:color="auto"/>
              <w:right w:val="nil"/>
            </w:tcBorders>
            <w:vAlign w:val="center"/>
          </w:tcPr>
          <w:p w14:paraId="78B4CC37" w14:textId="14960446" w:rsidR="00CF52FD" w:rsidRDefault="00000000">
            <w:pPr>
              <w:keepNext/>
              <w:spacing w:after="0" w:line="240" w:lineRule="exact"/>
            </w:pPr>
            <w:r>
              <w:rPr>
                <w:rFonts w:cs="Times New Roman"/>
                <w:b/>
                <w:sz w:val="22"/>
              </w:rPr>
              <w:t>Hypothesis</w:t>
            </w:r>
          </w:p>
        </w:tc>
        <w:tc>
          <w:tcPr>
            <w:tcW w:w="6246" w:type="dxa"/>
            <w:tcBorders>
              <w:top w:val="single" w:sz="4" w:space="0" w:color="auto"/>
              <w:left w:val="nil"/>
              <w:bottom w:val="single" w:sz="4" w:space="0" w:color="auto"/>
              <w:right w:val="nil"/>
            </w:tcBorders>
            <w:vAlign w:val="center"/>
          </w:tcPr>
          <w:p w14:paraId="4B0B4D85" w14:textId="77777777" w:rsidR="00CF52FD" w:rsidRDefault="00000000">
            <w:pPr>
              <w:keepNext/>
              <w:spacing w:after="0" w:line="240" w:lineRule="exact"/>
            </w:pPr>
            <w:r>
              <w:rPr>
                <w:rFonts w:cs="Times New Roman"/>
                <w:b/>
                <w:sz w:val="22"/>
              </w:rPr>
              <w:t>Principal empirical test</w:t>
            </w:r>
          </w:p>
        </w:tc>
      </w:tr>
      <w:tr w:rsidR="00CF52FD" w14:paraId="61AC4B1D" w14:textId="77777777">
        <w:trPr>
          <w:cantSplit/>
          <w:jc w:val="center"/>
        </w:trPr>
        <w:tc>
          <w:tcPr>
            <w:tcW w:w="3300" w:type="dxa"/>
            <w:tcBorders>
              <w:top w:val="nil"/>
              <w:left w:val="nil"/>
              <w:bottom w:val="nil"/>
              <w:right w:val="nil"/>
            </w:tcBorders>
            <w:vAlign w:val="center"/>
          </w:tcPr>
          <w:p w14:paraId="0AEDE700" w14:textId="77777777" w:rsidR="00CF52FD" w:rsidRDefault="00000000">
            <w:pPr>
              <w:keepNext/>
              <w:spacing w:after="0" w:line="240" w:lineRule="exact"/>
            </w:pPr>
            <w:r>
              <w:rPr>
                <w:rFonts w:cs="Times New Roman"/>
                <w:sz w:val="22"/>
              </w:rPr>
              <w:t>H1 - Transaction-revenue divergence</w:t>
            </w:r>
          </w:p>
        </w:tc>
        <w:tc>
          <w:tcPr>
            <w:tcW w:w="6246" w:type="dxa"/>
            <w:tcBorders>
              <w:top w:val="nil"/>
              <w:left w:val="nil"/>
              <w:bottom w:val="nil"/>
              <w:right w:val="nil"/>
            </w:tcBorders>
            <w:vAlign w:val="center"/>
          </w:tcPr>
          <w:p>
            <w:r>
              <w:t>Growth divergence D and Ecosystem Ratio E for issuer-reported pairs: level relationship, dynamic stability and sign reversals</w:t>
            </w:r>
          </w:p>
        </w:tc>
      </w:tr>
      <w:tr w:rsidR="00CF52FD" w14:paraId="0A036C92" w14:textId="77777777">
        <w:trPr>
          <w:cantSplit/>
          <w:jc w:val="center"/>
        </w:trPr>
        <w:tc>
          <w:tcPr>
            <w:tcW w:w="3300" w:type="dxa"/>
            <w:tcBorders>
              <w:top w:val="nil"/>
              <w:left w:val="nil"/>
              <w:bottom w:val="nil"/>
              <w:right w:val="nil"/>
            </w:tcBorders>
            <w:vAlign w:val="center"/>
          </w:tcPr>
          <w:p w14:paraId="29CA7A11" w14:textId="77777777" w:rsidR="00CF52FD" w:rsidRDefault="00000000">
            <w:pPr>
              <w:keepNext/>
              <w:spacing w:after="0" w:line="240" w:lineRule="exact"/>
            </w:pPr>
            <w:r>
              <w:rPr>
                <w:rFonts w:cs="Times New Roman"/>
                <w:sz w:val="22"/>
              </w:rPr>
              <w:t>H2 - Sources of e-commerce growth</w:t>
            </w:r>
          </w:p>
        </w:tc>
        <w:tc>
          <w:tcPr>
            <w:tcW w:w="6246" w:type="dxa"/>
            <w:tcBorders>
              <w:top w:val="nil"/>
              <w:left w:val="nil"/>
              <w:bottom w:val="nil"/>
              <w:right w:val="nil"/>
            </w:tcBorders>
            <w:vAlign w:val="center"/>
          </w:tcPr>
          <w:p w14:paraId="57B9B28B" w14:textId="77777777" w:rsidR="00CF52FD" w:rsidRDefault="00000000">
            <w:pPr>
              <w:keepNext/>
              <w:spacing w:after="0" w:line="240" w:lineRule="exact"/>
            </w:pPr>
            <w:r>
              <w:rPr>
                <w:rFonts w:cs="Times New Roman"/>
                <w:sz w:val="22"/>
              </w:rPr>
              <w:t>BPS national e-commerce value split into business count and sales per business</w:t>
            </w:r>
          </w:p>
        </w:tc>
      </w:tr>
      <w:tr w:rsidR="00CF52FD" w14:paraId="769FBC06" w14:textId="77777777">
        <w:trPr>
          <w:cantSplit/>
          <w:jc w:val="center"/>
        </w:trPr>
        <w:tc>
          <w:tcPr>
            <w:tcW w:w="3300" w:type="dxa"/>
            <w:tcBorders>
              <w:top w:val="nil"/>
              <w:left w:val="nil"/>
              <w:bottom w:val="nil"/>
              <w:right w:val="nil"/>
            </w:tcBorders>
            <w:vAlign w:val="center"/>
          </w:tcPr>
          <w:p w14:paraId="4068C9FF" w14:textId="77777777" w:rsidR="00CF52FD" w:rsidRDefault="00000000">
            <w:pPr>
              <w:keepNext/>
              <w:spacing w:after="0" w:line="240" w:lineRule="exact"/>
            </w:pPr>
            <w:r>
              <w:rPr>
                <w:rFonts w:cs="Times New Roman"/>
                <w:sz w:val="22"/>
              </w:rPr>
              <w:t>H3 - Marketplace participation and recordkeeping</w:t>
            </w:r>
          </w:p>
        </w:tc>
        <w:tc>
          <w:tcPr>
            <w:tcW w:w="6246" w:type="dxa"/>
            <w:tcBorders>
              <w:top w:val="nil"/>
              <w:left w:val="nil"/>
              <w:bottom w:val="nil"/>
              <w:right w:val="nil"/>
            </w:tcBorders>
            <w:vAlign w:val="center"/>
          </w:tcPr>
          <w:p w14:paraId="0F1A14E1" w14:textId="77777777" w:rsidR="00CF52FD" w:rsidRDefault="00000000">
            <w:pPr>
              <w:keepNext/>
              <w:spacing w:after="0" w:line="240" w:lineRule="exact"/>
            </w:pPr>
            <w:r>
              <w:rPr>
                <w:rFonts w:cs="Times New Roman"/>
                <w:sz w:val="22"/>
              </w:rPr>
              <w:t>BPS published comparison of marketplace and non-marketplace sellers</w:t>
            </w:r>
          </w:p>
        </w:tc>
      </w:tr>
      <w:tr w:rsidR="00CF52FD" w14:paraId="1A801238" w14:textId="77777777">
        <w:trPr>
          <w:cantSplit/>
          <w:jc w:val="center"/>
        </w:trPr>
        <w:tc>
          <w:tcPr>
            <w:tcW w:w="3300" w:type="dxa"/>
            <w:tcBorders>
              <w:top w:val="nil"/>
              <w:left w:val="nil"/>
              <w:bottom w:val="single" w:sz="4" w:space="0" w:color="auto"/>
              <w:right w:val="nil"/>
            </w:tcBorders>
            <w:vAlign w:val="center"/>
          </w:tcPr>
          <w:p w14:paraId="68FD2C89" w14:textId="77777777" w:rsidR="00CF52FD" w:rsidRDefault="00000000">
            <w:pPr>
              <w:spacing w:after="0" w:line="240" w:lineRule="exact"/>
            </w:pPr>
            <w:r>
              <w:rPr>
                <w:rFonts w:cs="Times New Roman"/>
                <w:sz w:val="22"/>
              </w:rPr>
              <w:t>H4 - Measurement choice</w:t>
            </w:r>
          </w:p>
        </w:tc>
        <w:tc>
          <w:tcPr>
            <w:tcW w:w="6246" w:type="dxa"/>
            <w:tcBorders>
              <w:top w:val="nil"/>
              <w:left w:val="nil"/>
              <w:bottom w:val="single" w:sz="4" w:space="0" w:color="auto"/>
              <w:right w:val="nil"/>
            </w:tcBorders>
            <w:vAlign w:val="center"/>
          </w:tcPr>
          <w:p w14:paraId="53A2756F" w14:textId="77777777" w:rsidR="00CF52FD" w:rsidRDefault="00000000">
            <w:pPr>
              <w:spacing w:after="0" w:line="240" w:lineRule="exact"/>
            </w:pPr>
            <w:r>
              <w:rPr>
                <w:rFonts w:cs="Times New Roman"/>
                <w:sz w:val="22"/>
              </w:rPr>
              <w:t>Growth of revenue against transaction value within platforms, and of the marketplace channel against all e-commerce in BPS</w:t>
            </w:r>
            <w:r w:rsidR="002026E8">
              <w:rPr>
                <w:rStyle w:val="CommentReference"/>
              </w:rPr>
            </w:r>
          </w:p>
        </w:tc>
      </w:tr>
    </w:tbl>
    <w:p w14:paraId="3E47C197" w14:textId="65F7E5E5" w:rsidR="00CF52FD" w:rsidRDefault="00000000">
      <w:pPr>
        <w:spacing w:before="120" w:after="110" w:line="257" w:lineRule="auto"/>
        <w:jc w:val="both"/>
      </w:pPr>
      <w:r>
        <w:t>The comparison of platform businesses outside Indonesia corroborates H1 rather than forming a fifth hypothesis.</w:t>
      </w:r>
    </w:p>
    <w:p w14:paraId="61DA9020" w14:textId="77777777" w:rsidR="00CF52FD" w:rsidRDefault="00000000">
      <w:pPr>
        <w:pStyle w:val="Heading1"/>
        <w:spacing w:before="200" w:after="100"/>
      </w:pPr>
      <w:r>
        <w:rPr>
          <w:rFonts w:ascii="Times New Roman" w:eastAsia="Times New Roman" w:hAnsi="Times New Roman"/>
        </w:rPr>
        <w:lastRenderedPageBreak/>
        <w:t>4. Data and Methodology</w:t>
      </w:r>
    </w:p>
    <w:p w14:paraId="18D80667" w14:textId="77777777" w:rsidR="00CF52FD" w:rsidRDefault="00000000">
      <w:pPr>
        <w:keepLines/>
        <w:spacing w:after="110" w:line="257" w:lineRule="auto"/>
        <w:jc w:val="both"/>
      </w:pPr>
      <w:r>
        <w:t xml:space="preserve">The study uses several </w:t>
      </w:r>
      <w:r>
        <w:t>indicators</w:t>
      </w:r>
      <w:r>
        <w:t xml:space="preserve"> because no single one captures every part of digital platform activity. Platform reports provide transaction value and revenue; BPS-Statistics Indonesia provides national e-commerce and business evidence; Bank Indonesia provides payment statistics; and platform companies outside Indonesia provide a separate comparison. The </w:t>
      </w:r>
      <w:r>
        <w:t>indicators</w:t>
      </w:r>
      <w:r>
        <w:t xml:space="preserve"> answer different questions and are not combined into one dataset.</w:t>
      </w:r>
    </w:p>
    <w:p w14:paraId="327A4AAD" w14:textId="77777777" w:rsidR="00CF52FD" w:rsidRDefault="00000000">
      <w:pPr>
        <w:pStyle w:val="Heading2"/>
        <w:spacing w:before="140" w:after="60"/>
      </w:pPr>
      <w:r>
        <w:rPr>
          <w:rFonts w:ascii="Times New Roman" w:eastAsia="Times New Roman" w:hAnsi="Times New Roman"/>
        </w:rPr>
        <w:t>4.1 Selecting the Platform Evidence</w:t>
      </w:r>
    </w:p>
    <w:p w14:paraId="188F9D9A" w14:textId="77777777" w:rsidR="00CF52FD" w:rsidRDefault="00000000">
      <w:pPr>
        <w:keepLines/>
        <w:spacing w:after="110" w:line="257" w:lineRule="auto"/>
        <w:jc w:val="both"/>
      </w:pPr>
      <w:r>
        <w:t>The basic observation is one platform in one year, with transaction value and revenue referring to the same period and, as closely as possible, the same business activity. An observation is retained only when its period, geographic and business coverage, units, definitions, and source can be identified; measures referring to different periods are excluded, and major changes in accounting definitions or business structure are recorded.</w:t>
      </w:r>
    </w:p>
    <w:p w14:paraId="589DCCC0" w14:textId="77777777" w:rsidR="00CF52FD" w:rsidRDefault="00000000">
      <w:pPr>
        <w:spacing w:after="110" w:line="257" w:lineRule="auto"/>
        <w:jc w:val="both"/>
      </w:pPr>
      <w:r>
        <w:t xml:space="preserve">The main sample consists of the platforms that report transaction value and revenue themselves: Tokopedia, Blibli and </w:t>
      </w:r>
      <w:proofErr w:type="spellStart"/>
      <w:r>
        <w:t>Bukalapak</w:t>
      </w:r>
      <w:proofErr w:type="spellEnd"/>
      <w:r>
        <w:t>. Grab and Shopee, whose Indonesian figures must be constructed, support the 2023 scale comparison. Lazada and TikTok Shop, both large in Indonesia, are outside the sample because no matched Indonesian revenue series has been located for either. The platforms are disclosing cases rather than a representative sample of Indonesian platforms.</w:t>
      </w:r>
    </w:p>
    <w:p w14:paraId="38C4B73E" w14:textId="77777777" w:rsidR="00CF52FD" w:rsidRDefault="00000000">
      <w:pPr>
        <w:keepNext/>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2700"/>
        <w:gridCol w:w="2687"/>
        <w:gridCol w:w="1714"/>
        <w:gridCol w:w="2446"/>
        <w:tblGridChange w:id="517">
          <w:tblGrid>
            <w:gridCol w:w="2700"/>
            <w:gridCol w:w="3100"/>
            <w:gridCol w:w="1301"/>
            <w:gridCol w:w="2446"/>
          </w:tblGrid>
        </w:tblGridChange>
      </w:tblGrid>
      <w:tr w:rsidR="00CF52FD" w14:paraId="16BDB1DE" w14:textId="77777777" w:rsidTr="0025365D">
        <w:trPr>
          <w:cantSplit/>
          <w:jc w:val="center"/>
          <w:trPrChange w:id="519" w:author="drkong" w:date="2026-09-21T17:40:00Z">
            <w:trPr>
              <w:cantSplit/>
              <w:jc w:val="center"/>
            </w:trPr>
          </w:trPrChange>
        </w:trPr>
        <w:tc>
          <w:tcPr>
            <w:tcW w:w="9547" w:type="dxa"/>
            <w:gridSpan w:val="4"/>
            <w:tcBorders>
              <w:top w:val="single" w:sz="4" w:space="0" w:color="auto"/>
              <w:left w:val="nil"/>
              <w:bottom w:val="single" w:sz="4" w:space="0" w:color="auto"/>
              <w:right w:val="nil"/>
            </w:tcBorders>
            <w:vAlign w:val="center"/>
          </w:tcPr>
          <w:p w14:paraId="6DB6A907" w14:textId="77777777" w:rsidR="00CF52FD" w:rsidRDefault="00000000">
            <w:pPr>
              <w:keepNext/>
              <w:spacing w:after="0" w:line="240" w:lineRule="exact"/>
              <w:jc w:val="both"/>
              <w:rPr/>
            </w:pPr>
            <w:r>
              <w:rPr>
                <w:rFonts w:cs="Times New Roman"/>
                <w:b/>
                <w:sz w:val="22"/>
              </w:rPr>
              <w:t>Table 2. Indonesian platform evidence</w:t>
            </w:r>
          </w:p>
          <w:p w14:paraId="137F53C7" w14:textId="77777777" w:rsidR="00CF52FD" w:rsidRDefault="00000000">
            <w:pPr>
              <w:spacing w:after="0" w:line="240" w:lineRule="exact"/>
              <w:jc w:val="both"/>
              <w:rPr/>
            </w:pPr>
            <w:r>
              <w:rPr>
                <w:rFonts w:cs="Times New Roman"/>
                <w:sz w:val="22"/>
              </w:rPr>
              <w:t>This table reports the Indonesian platform evidence used in the analysis. Issuer-reported figures are disclosed by the platform; figures that require construction are derived from company-wide ratios or a third-party estimate (Table 3). The number of platform-year observations is given in parentheses, and each series covers only years for which a matched pair exists. The main sample comprises the issuer-reported rows (11 platform-years); adding Grab and Shopee gives 17.</w:t>
            </w:r>
          </w:p>
        </w:tc>
      </w:tr>
      <w:tr w:rsidR="00CF52FD" w14:paraId="63E55918" w14:textId="77777777" w:rsidTr="0025365D">
        <w:trPr>
          <w:cantSplit/>
          <w:tblHeader/>
          <w:jc w:val="center"/>
          <w:trPrChange w:id="525" w:author="drkong" w:date="2026-09-21T17:40:00Z">
            <w:trPr>
              <w:cantSplit/>
              <w:tblHeader/>
              <w:jc w:val="center"/>
            </w:trPr>
          </w:trPrChange>
        </w:trPr>
        <w:tc>
          <w:tcPr>
            <w:tcW w:w="2700" w:type="dxa"/>
            <w:tcBorders>
              <w:top w:val="single" w:sz="4" w:space="0" w:color="auto"/>
              <w:left w:val="nil"/>
              <w:bottom w:val="single" w:sz="4" w:space="0" w:color="auto"/>
              <w:right w:val="nil"/>
            </w:tcBorders>
            <w:vAlign w:val="center"/>
          </w:tcPr>
          <w:p w14:paraId="065D4A73" w14:textId="77777777" w:rsidR="00CF52FD" w:rsidRDefault="00000000" w:rsidP="0025365D">
            <w:pPr>
              <w:keepNext/>
              <w:spacing w:after="0" w:line="240" w:lineRule="exact"/>
              <w:jc w:val="center"/>
            </w:pPr>
            <w:r>
              <w:rPr>
                <w:rFonts w:cs="Times New Roman"/>
                <w:b/>
                <w:sz w:val="22"/>
              </w:rPr>
              <w:t>Type of evidence</w:t>
            </w:r>
          </w:p>
        </w:tc>
        <w:tc>
          <w:tcPr>
            <w:tcW w:w="2687" w:type="dxa"/>
            <w:tcBorders>
              <w:top w:val="single" w:sz="4" w:space="0" w:color="auto"/>
              <w:left w:val="nil"/>
              <w:bottom w:val="single" w:sz="4" w:space="0" w:color="auto"/>
              <w:right w:val="nil"/>
            </w:tcBorders>
            <w:vAlign w:val="center"/>
          </w:tcPr>
          <w:p w14:paraId="43FDC51D" w14:textId="77777777" w:rsidR="00CF52FD" w:rsidRDefault="00000000" w:rsidP="0025365D">
            <w:pPr>
              <w:keepNext/>
              <w:spacing w:after="0" w:line="240" w:lineRule="exact"/>
              <w:jc w:val="center"/>
            </w:pPr>
            <w:r>
              <w:rPr>
                <w:rFonts w:cs="Times New Roman"/>
                <w:b/>
                <w:sz w:val="22"/>
              </w:rPr>
              <w:t>Platforms</w:t>
            </w:r>
          </w:p>
        </w:tc>
        <w:tc>
          <w:tcPr>
            <w:tcW w:w="1714" w:type="dxa"/>
            <w:tcBorders>
              <w:top w:val="single" w:sz="4" w:space="0" w:color="auto"/>
              <w:left w:val="nil"/>
              <w:bottom w:val="single" w:sz="4" w:space="0" w:color="auto"/>
              <w:right w:val="nil"/>
            </w:tcBorders>
            <w:vAlign w:val="center"/>
          </w:tcPr>
          <w:p w14:paraId="797FD13C" w14:textId="0E175A9F" w:rsidR="00CF52FD" w:rsidRPr="0025365D" w:rsidRDefault="00000000" w:rsidP="0025365D">
            <w:pPr>
              <w:keepNext/>
              <w:spacing w:after="0" w:line="240" w:lineRule="exact"/>
              <w:jc w:val="center"/>
              <w:rPr>
                <w:rFonts w:eastAsia="新細明體" w:hint="eastAsia"/>
                <w:lang w:eastAsia="zh-TW"/>
              </w:rPr>
            </w:pPr>
            <w:r>
              <w:rPr>
                <w:rFonts w:cs="Times New Roman"/>
                <w:b/>
                <w:sz w:val="22"/>
              </w:rPr>
              <w:t xml:space="preserve">Years </w:t>
            </w:r>
            <w:r w:rsidR="0025365D">
              <w:rPr>
                <w:rFonts w:eastAsia="新細明體" w:cs="Times New Roman" w:hint="eastAsia"/>
                <w:b/>
                <w:sz w:val="22"/>
                <w:lang w:eastAsia="zh-TW"/>
              </w:rPr>
              <w:t>(</w:t>
            </w:r>
            <w:r w:rsidR="0025365D">
              <w:rPr>
                <w:rFonts w:cs="Times New Roman"/>
                <w:b/>
                <w:sz w:val="22"/>
              </w:rPr>
              <w:t>observation</w:t>
            </w:r>
            <w:r w:rsidR="0025365D">
              <w:rPr>
                <w:rFonts w:eastAsia="新細明體" w:cs="Times New Roman" w:hint="eastAsia"/>
                <w:b/>
                <w:sz w:val="22"/>
                <w:lang w:eastAsia="zh-TW"/>
              </w:rPr>
              <w:t>)</w:t>
            </w:r>
          </w:p>
        </w:tc>
        <w:tc>
          <w:tcPr>
            <w:tcW w:w="2446" w:type="dxa"/>
            <w:tcBorders>
              <w:top w:val="single" w:sz="4" w:space="0" w:color="auto"/>
              <w:left w:val="nil"/>
              <w:bottom w:val="single" w:sz="4" w:space="0" w:color="auto"/>
              <w:right w:val="nil"/>
            </w:tcBorders>
            <w:vAlign w:val="center"/>
          </w:tcPr>
          <w:p w14:paraId="378AD39F" w14:textId="77777777" w:rsidR="00CF52FD" w:rsidRDefault="00000000" w:rsidP="0025365D">
            <w:pPr>
              <w:keepNext/>
              <w:spacing w:after="0" w:line="240" w:lineRule="exact"/>
              <w:jc w:val="center"/>
            </w:pPr>
            <w:r>
              <w:rPr>
                <w:rFonts w:cs="Times New Roman"/>
                <w:b/>
                <w:sz w:val="22"/>
              </w:rPr>
              <w:t>Role</w:t>
            </w:r>
          </w:p>
        </w:tc>
      </w:tr>
      <w:tr w:rsidR="00CF52FD" w14:paraId="43B677DA" w14:textId="77777777" w:rsidTr="0025365D">
        <w:trPr>
          <w:cantSplit/>
          <w:jc w:val="center"/>
          <w:trPrChange w:id="539" w:author="drkong" w:date="2026-09-21T17:40:00Z">
            <w:trPr>
              <w:cantSplit/>
              <w:jc w:val="center"/>
            </w:trPr>
          </w:trPrChange>
        </w:trPr>
        <w:tc>
          <w:tcPr>
            <w:tcW w:w="2700" w:type="dxa"/>
            <w:tcBorders>
              <w:top w:val="nil"/>
              <w:left w:val="nil"/>
              <w:bottom w:val="nil"/>
              <w:right w:val="nil"/>
            </w:tcBorders>
            <w:vAlign w:val="center"/>
          </w:tcPr>
          <w:p w14:paraId="7097E1DB" w14:textId="77777777" w:rsidR="00CF52FD" w:rsidRDefault="00000000">
            <w:pPr>
              <w:keepNext/>
              <w:spacing w:after="0" w:line="240" w:lineRule="exact"/>
            </w:pPr>
            <w:r>
              <w:rPr>
                <w:rFonts w:cs="Times New Roman"/>
                <w:sz w:val="22"/>
              </w:rPr>
              <w:t>Issuer-reported, Indonesia-aligned</w:t>
            </w:r>
          </w:p>
        </w:tc>
        <w:tc>
          <w:tcPr>
            <w:tcW w:w="2687" w:type="dxa"/>
            <w:tcBorders>
              <w:top w:val="nil"/>
              <w:left w:val="nil"/>
              <w:bottom w:val="nil"/>
              <w:right w:val="nil"/>
            </w:tcBorders>
            <w:vAlign w:val="center"/>
          </w:tcPr>
          <w:p w14:paraId="0DC07D3B" w14:textId="77777777" w:rsidR="00CF52FD" w:rsidRDefault="00000000">
            <w:pPr>
              <w:keepNext/>
              <w:spacing w:after="0" w:line="240" w:lineRule="exact"/>
            </w:pPr>
            <w:r>
              <w:rPr>
                <w:rFonts w:cs="Times New Roman"/>
                <w:sz w:val="22"/>
              </w:rPr>
              <w:t>Tokopedia e-commerce</w:t>
            </w:r>
          </w:p>
        </w:tc>
        <w:tc>
          <w:tcPr>
            <w:tcW w:w="1714" w:type="dxa"/>
            <w:tcBorders>
              <w:top w:val="nil"/>
              <w:left w:val="nil"/>
              <w:bottom w:val="nil"/>
              <w:right w:val="nil"/>
            </w:tcBorders>
            <w:vAlign w:val="center"/>
          </w:tcPr>
          <w:p w14:paraId="2C90FEDA" w14:textId="77777777" w:rsidR="00CF52FD" w:rsidRDefault="00000000">
            <w:pPr>
              <w:keepNext/>
              <w:spacing w:after="0" w:line="240" w:lineRule="exact"/>
            </w:pPr>
            <w:r>
              <w:rPr>
                <w:rFonts w:cs="Times New Roman"/>
                <w:sz w:val="22"/>
              </w:rPr>
              <w:t>2022–2023 (2)</w:t>
            </w:r>
          </w:p>
        </w:tc>
        <w:tc>
          <w:tcPr>
            <w:tcW w:w="2446" w:type="dxa"/>
            <w:tcBorders>
              <w:top w:val="nil"/>
              <w:left w:val="nil"/>
              <w:bottom w:val="nil"/>
              <w:right w:val="nil"/>
            </w:tcBorders>
            <w:vAlign w:val="center"/>
          </w:tcPr>
          <w:p w14:paraId="518DB06F" w14:textId="77777777" w:rsidR="00CF52FD" w:rsidRDefault="00000000">
            <w:pPr>
              <w:keepNext/>
              <w:spacing w:after="0" w:line="240" w:lineRule="exact"/>
            </w:pPr>
            <w:r>
              <w:rPr>
                <w:rFonts w:cs="Times New Roman"/>
                <w:sz w:val="22"/>
              </w:rPr>
              <w:t>Main sample: cleanest scope, shortest window</w:t>
            </w:r>
          </w:p>
        </w:tc>
      </w:tr>
      <w:tr w:rsidR="00CF52FD" w14:paraId="5189B54B" w14:textId="77777777" w:rsidTr="0025365D">
        <w:trPr>
          <w:cantSplit/>
          <w:jc w:val="center"/>
          <w:trPrChange w:id="544" w:author="drkong" w:date="2026-09-21T17:40:00Z">
            <w:trPr>
              <w:cantSplit/>
              <w:jc w:val="center"/>
            </w:trPr>
          </w:trPrChange>
        </w:trPr>
        <w:tc>
          <w:tcPr>
            <w:tcW w:w="2700" w:type="dxa"/>
            <w:tcBorders>
              <w:top w:val="nil"/>
              <w:left w:val="nil"/>
              <w:bottom w:val="nil"/>
              <w:right w:val="nil"/>
            </w:tcBorders>
            <w:vAlign w:val="center"/>
          </w:tcPr>
          <w:p w14:paraId="4A20C4C1" w14:textId="77777777" w:rsidR="00CF52FD" w:rsidRDefault="00000000">
            <w:pPr>
              <w:keepNext/>
              <w:spacing w:after="0" w:line="240" w:lineRule="exact"/>
            </w:pPr>
            <w:r>
              <w:rPr>
                <w:rFonts w:cs="Times New Roman"/>
                <w:sz w:val="22"/>
              </w:rPr>
              <w:t>Issuer-reported, broader scope</w:t>
            </w:r>
          </w:p>
        </w:tc>
        <w:tc>
          <w:tcPr>
            <w:tcW w:w="2687" w:type="dxa"/>
            <w:tcBorders>
              <w:top w:val="nil"/>
              <w:left w:val="nil"/>
              <w:bottom w:val="nil"/>
              <w:right w:val="nil"/>
            </w:tcBorders>
            <w:vAlign w:val="center"/>
          </w:tcPr>
          <w:p w14:paraId="662902CB" w14:textId="77777777" w:rsidR="00CF52FD" w:rsidRDefault="00000000">
            <w:pPr>
              <w:keepNext/>
              <w:spacing w:after="0" w:line="240" w:lineRule="exact"/>
            </w:pPr>
            <w:r>
              <w:rPr>
                <w:rFonts w:cs="Times New Roman"/>
                <w:sz w:val="22"/>
              </w:rPr>
              <w:t xml:space="preserve">Blibli third-party business; </w:t>
            </w:r>
            <w:proofErr w:type="spellStart"/>
            <w:r>
              <w:rPr>
                <w:rFonts w:cs="Times New Roman"/>
                <w:sz w:val="22"/>
              </w:rPr>
              <w:t>Bukalapak</w:t>
            </w:r>
            <w:proofErr w:type="spellEnd"/>
            <w:r>
              <w:rPr>
                <w:rFonts w:cs="Times New Roman"/>
                <w:sz w:val="22"/>
              </w:rPr>
              <w:t xml:space="preserve"> Group</w:t>
            </w:r>
          </w:p>
        </w:tc>
        <w:tc>
          <w:tcPr>
            <w:tcW w:w="1714" w:type="dxa"/>
            <w:tcBorders>
              <w:top w:val="nil"/>
              <w:left w:val="nil"/>
              <w:bottom w:val="nil"/>
              <w:right w:val="nil"/>
            </w:tcBorders>
            <w:vAlign w:val="center"/>
          </w:tcPr>
          <w:p w14:paraId="4E5D080D" w14:textId="77777777" w:rsidR="00CF52FD" w:rsidRDefault="00000000">
            <w:pPr>
              <w:keepNext/>
              <w:spacing w:after="0" w:line="240" w:lineRule="exact"/>
            </w:pPr>
            <w:r>
              <w:rPr>
                <w:rFonts w:cs="Times New Roman"/>
                <w:sz w:val="22"/>
              </w:rPr>
              <w:t xml:space="preserve">Blibli 2021–2025; </w:t>
            </w:r>
            <w:proofErr w:type="spellStart"/>
            <w:r>
              <w:rPr>
                <w:rFonts w:cs="Times New Roman"/>
                <w:sz w:val="22"/>
              </w:rPr>
              <w:t>Bukalapak</w:t>
            </w:r>
            <w:proofErr w:type="spellEnd"/>
            <w:r>
              <w:rPr>
                <w:rFonts w:cs="Times New Roman"/>
                <w:sz w:val="22"/>
              </w:rPr>
              <w:t xml:space="preserve"> 2020–2023 (9)</w:t>
            </w:r>
          </w:p>
        </w:tc>
        <w:tc>
          <w:tcPr>
            <w:tcW w:w="2446" w:type="dxa"/>
            <w:tcBorders>
              <w:top w:val="nil"/>
              <w:left w:val="nil"/>
              <w:bottom w:val="nil"/>
              <w:right w:val="nil"/>
            </w:tcBorders>
            <w:vAlign w:val="center"/>
          </w:tcPr>
          <w:p w14:paraId="620AC08C" w14:textId="77777777" w:rsidR="00CF52FD" w:rsidRDefault="00000000">
            <w:pPr>
              <w:keepNext/>
              <w:spacing w:after="0" w:line="240" w:lineRule="exact"/>
            </w:pPr>
            <w:r>
              <w:rPr>
                <w:rFonts w:cs="Times New Roman"/>
                <w:sz w:val="22"/>
              </w:rPr>
              <w:t>Main sample: most of the time series</w:t>
            </w:r>
          </w:p>
        </w:tc>
      </w:tr>
      <w:tr w:rsidR="00CF52FD" w14:paraId="6D5BC32B" w14:textId="77777777" w:rsidTr="0025365D">
        <w:trPr>
          <w:cantSplit/>
          <w:jc w:val="center"/>
          <w:trPrChange w:id="549" w:author="drkong" w:date="2026-09-21T17:40:00Z">
            <w:trPr>
              <w:cantSplit/>
              <w:jc w:val="center"/>
            </w:trPr>
          </w:trPrChange>
        </w:trPr>
        <w:tc>
          <w:tcPr>
            <w:tcW w:w="2700" w:type="dxa"/>
            <w:tcBorders>
              <w:top w:val="nil"/>
              <w:left w:val="nil"/>
              <w:bottom w:val="single" w:sz="4" w:space="0" w:color="auto"/>
              <w:right w:val="nil"/>
            </w:tcBorders>
            <w:vAlign w:val="center"/>
          </w:tcPr>
          <w:p w14:paraId="2AFCD072" w14:textId="77777777" w:rsidR="00CF52FD" w:rsidRDefault="00000000">
            <w:pPr>
              <w:spacing w:after="0" w:line="240" w:lineRule="exact"/>
            </w:pPr>
            <w:r>
              <w:rPr>
                <w:rFonts w:cs="Times New Roman"/>
                <w:sz w:val="22"/>
              </w:rPr>
              <w:t>Requires construction</w:t>
            </w:r>
          </w:p>
        </w:tc>
        <w:tc>
          <w:tcPr>
            <w:tcW w:w="2687" w:type="dxa"/>
            <w:tcBorders>
              <w:top w:val="nil"/>
              <w:left w:val="nil"/>
              <w:bottom w:val="single" w:sz="4" w:space="0" w:color="auto"/>
              <w:right w:val="nil"/>
            </w:tcBorders>
            <w:vAlign w:val="center"/>
          </w:tcPr>
          <w:p w14:paraId="3FD562DB" w14:textId="77777777" w:rsidR="00CF52FD" w:rsidRDefault="00000000">
            <w:pPr>
              <w:spacing w:after="0" w:line="240" w:lineRule="exact"/>
            </w:pPr>
            <w:r>
              <w:rPr>
                <w:rFonts w:cs="Times New Roman"/>
                <w:sz w:val="22"/>
              </w:rPr>
              <w:t>Grab; Shopee Indonesia</w:t>
            </w:r>
          </w:p>
        </w:tc>
        <w:tc>
          <w:tcPr>
            <w:tcW w:w="1714" w:type="dxa"/>
            <w:tcBorders>
              <w:top w:val="nil"/>
              <w:left w:val="nil"/>
              <w:bottom w:val="single" w:sz="4" w:space="0" w:color="auto"/>
              <w:right w:val="nil"/>
            </w:tcBorders>
            <w:vAlign w:val="center"/>
          </w:tcPr>
          <w:p w14:paraId="783E434C" w14:textId="77777777" w:rsidR="00CF52FD" w:rsidRDefault="00000000">
            <w:pPr>
              <w:spacing w:after="0" w:line="240" w:lineRule="exact"/>
            </w:pPr>
            <w:r>
              <w:rPr>
                <w:rFonts w:cs="Times New Roman"/>
                <w:sz w:val="22"/>
              </w:rPr>
              <w:t>Grab 2021–2023; Shopee 2022–2024 (6)</w:t>
            </w:r>
          </w:p>
        </w:tc>
        <w:tc>
          <w:tcPr>
            <w:tcW w:w="2446" w:type="dxa"/>
            <w:tcBorders>
              <w:top w:val="nil"/>
              <w:left w:val="nil"/>
              <w:bottom w:val="single" w:sz="4" w:space="0" w:color="auto"/>
              <w:right w:val="nil"/>
            </w:tcBorders>
            <w:vAlign w:val="center"/>
          </w:tcPr>
          <w:p w14:paraId="07A8AF5A" w14:textId="77777777" w:rsidR="00CF52FD" w:rsidRDefault="00000000">
            <w:pPr>
              <w:spacing w:after="0" w:line="240" w:lineRule="exact"/>
            </w:pPr>
            <w:r>
              <w:rPr>
                <w:rFonts w:cs="Times New Roman"/>
                <w:sz w:val="22"/>
              </w:rPr>
              <w:t>Supporting: 2023 scale comparison</w:t>
            </w:r>
          </w:p>
        </w:tc>
      </w:tr>
    </w:tbl>
    <w:p w14:paraId="745B40A7" w14:textId="77777777" w:rsidR="00CF52FD" w:rsidRDefault="00000000">
      <w:pPr>
        <w:spacing w:before="120" w:after="110" w:line="257" w:lineRule="auto"/>
        <w:jc w:val="both"/>
      </w:pPr>
      <w:r>
        <w:t xml:space="preserve">As shown in </w:t>
      </w:r>
      <w:r>
        <w:t>Table 2</w:t>
      </w:r>
      <w:r>
        <w:t>,</w:t>
      </w:r>
      <w:r>
        <w:t xml:space="preserve"> the main sample</w:t>
      </w:r>
      <w:r>
        <w:t xml:space="preserve"> has</w:t>
      </w:r>
      <w:r>
        <w:t xml:space="preserve"> 11 platform-years and 8 year-to-year comparisons; adding Grab and Shopee </w:t>
      </w:r>
      <w:r>
        <w:t>raises these to</w:t>
      </w:r>
      <w:r>
        <w:t xml:space="preserve"> 17 and 12. Each series covers only years for which a matched pair exists. Tokopedia's 2021 pair covers mismatched periods, and after </w:t>
      </w:r>
      <w:r>
        <w:t>Tokopedia</w:t>
      </w:r>
      <w:r>
        <w:t xml:space="preserve"> </w:t>
      </w:r>
      <w:r>
        <w:t>was combined</w:t>
      </w:r>
      <w:r>
        <w:t xml:space="preserve"> with TikTok Shop under PT Tokopedia on 31 January 2024, the listed parent reports a contractual fee rather than platform revenue. Blibli's third-party segment includes online travel; its 2020 prospectus pair is used only as a sensitivity. </w:t>
      </w:r>
      <w:proofErr w:type="spellStart"/>
      <w:r>
        <w:t>Bukalapak</w:t>
      </w:r>
      <w:proofErr w:type="spellEnd"/>
      <w:r>
        <w:t xml:space="preserve"> reports at Group level, including some overseas activity; its 2024 pair is excluded because it covers nine months of transactions against twelve of revenue. Grab's transaction measure changes basis after 2023.</w:t>
      </w:r>
    </w:p>
    <w:p w14:paraId="6BCC4691" w14:textId="77777777" w:rsidR="00CF52FD" w:rsidRDefault="00000000">
      <w:pPr>
        <w:pStyle w:val="Heading2"/>
        <w:spacing w:before="140" w:after="60"/>
      </w:pPr>
      <w:r>
        <w:rPr>
          <w:rFonts w:ascii="Times New Roman" w:eastAsia="Times New Roman" w:hAnsi="Times New Roman"/>
        </w:rPr>
        <w:t>4.2 Comparing Platform Activity Through Time</w:t>
      </w:r>
    </w:p>
    <w:p w14:paraId="16BC2B47" w14:textId="77777777" w:rsidR="00CF52FD" w:rsidRDefault="00000000">
      <w:pPr>
        <w:keepLines/>
        <w:spacing w:after="110" w:line="257" w:lineRule="auto"/>
        <w:jc w:val="both"/>
      </w:pPr>
      <w:r>
        <w:t>Changes through time are examined mainly by comparing each platform with itself. This keeps the company, business activity, and reporting convention as similar as the disclosures allow. When transaction value and revenue move sharply apart, disclosed changes in monetization, customer incentives, revenue recognition, and business scope are used to reconcile the movement where the filings permit; these reconciliations are arithmetic rather than causal.</w:t>
      </w:r>
    </w:p>
    <w:p w14:paraId="4BD50D59" w14:textId="77777777" w:rsidR="00CF52FD" w:rsidRDefault="00000000">
      <w:pPr>
        <w:spacing w:after="110" w:line="257" w:lineRule="auto"/>
        <w:jc w:val="both"/>
      </w:pPr>
      <w:r>
        <w:lastRenderedPageBreak/>
        <w:t xml:space="preserve">Companies use different names for transaction activity, including gross transaction value (GTV), gross merchandise value (GMV), and total payment volume (TPV). Transaction value, V, is the umbrella concept in this proposal and </w:t>
      </w:r>
      <w:r>
        <w:t xml:space="preserve">is </w:t>
      </w:r>
      <w:r>
        <w:t>labeled</w:t>
      </w:r>
      <w:r>
        <w:t xml:space="preserve"> </w:t>
      </w:r>
      <w:r>
        <w:t>GTV;</w:t>
      </w:r>
      <w:r>
        <w:t xml:space="preserve"> each issuer's own label and definition </w:t>
      </w:r>
      <w:r>
        <w:t>is</w:t>
      </w:r>
      <w:r>
        <w:t xml:space="preserve"> retained and checked rather than assumed to be identical.</w:t>
      </w:r>
      <w:r>
        <w:rPr>
          <w:rStyle w:val="FootnoteReference"/>
        </w:rPr>
        <w:footnoteReference w:id="2"/>
      </w:r>
    </w:p>
    <w:p w14:paraId="476DDEE8" w14:textId="77777777" w:rsidR="00CF52FD" w:rsidRDefault="00000000">
      <w:pPr>
        <w:spacing w:after="110" w:line="257" w:lineRule="auto"/>
        <w:jc w:val="both"/>
      </w:pPr>
      <w:r>
        <w:t>Growth rates are computed in each issuer's reporting currency, so exchange-rate movements do not enter D. US dollar values are used only for the 2023 cross-section, where rupiah figures are converted at the World Bank's 2023 official exchange rate of 15,236.88 rupiah per dollar (World Bank n.d.).</w:t>
      </w:r>
    </w:p>
    <w:p w14:paraId="5D0D405F" w14:textId="77777777" w:rsidR="00CF52FD" w:rsidRDefault="00000000">
      <w:pPr>
        <w:pStyle w:val="Heading2"/>
        <w:spacing w:before="140" w:after="60"/>
      </w:pPr>
      <w:r>
        <w:rPr>
          <w:rFonts w:ascii="Times New Roman" w:eastAsia="Times New Roman" w:hAnsi="Times New Roman"/>
        </w:rPr>
        <w:t>4.3 Direct and Constructed Indonesia Measures</w:t>
      </w:r>
    </w:p>
    <w:p w14:paraId="606B7166" w14:textId="77777777" w:rsidR="00CF52FD" w:rsidRDefault="00000000">
      <w:pPr>
        <w:keepLines/>
        <w:spacing w:after="110" w:line="257" w:lineRule="auto"/>
        <w:jc w:val="both"/>
      </w:pPr>
      <w:r>
        <w:t>Not every company reports the same Indonesia-specific information. Table 3 sets out, for each platform, what is disclosed directly, what has to be constructed, and the limitation that follows.</w:t>
      </w:r>
    </w:p>
    <w:p w14:paraId="14EA3DAF" w14:textId="77777777" w:rsidR="00CF52FD" w:rsidRDefault="00000000">
      <w:pPr>
        <w:keepNext/>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1500"/>
        <w:gridCol w:w="2700"/>
        <w:gridCol w:w="2800"/>
        <w:gridCol w:w="2547"/>
      </w:tblGrid>
      <w:tr w:rsidR="00CF52FD" w14:paraId="48C3B875" w14:textId="77777777">
        <w:trPr>
          <w:cantSplit/>
          <w:jc w:val="center"/>
        </w:trPr>
        <w:tc>
          <w:tcPr>
            <w:tcW w:w="9546" w:type="dxa"/>
            <w:gridSpan w:val="4"/>
            <w:tcBorders>
              <w:top w:val="single" w:sz="4" w:space="0" w:color="auto"/>
              <w:left w:val="nil"/>
              <w:bottom w:val="single" w:sz="4" w:space="0" w:color="auto"/>
              <w:right w:val="nil"/>
            </w:tcBorders>
            <w:vAlign w:val="center"/>
          </w:tcPr>
          <w:p w14:paraId="794D1E10" w14:textId="77777777" w:rsidR="00CF52FD" w:rsidRDefault="00000000">
            <w:pPr>
              <w:keepNext/>
              <w:spacing w:after="0" w:line="240" w:lineRule="exact"/>
              <w:jc w:val="both"/>
              <w:rPr/>
            </w:pPr>
            <w:r>
              <w:rPr>
                <w:rFonts w:cs="Times New Roman"/>
                <w:b/>
                <w:sz w:val="22"/>
              </w:rPr>
              <w:t>Table 3. Construction of the principal platform measures</w:t>
            </w:r>
          </w:p>
          <w:p w14:paraId="1E87548F" w14:textId="77777777" w:rsidR="00CF52FD" w:rsidRDefault="00000000">
            <w:pPr>
              <w:spacing w:after="0" w:line="240" w:lineRule="exact"/>
              <w:jc w:val="both"/>
              <w:rPr/>
            </w:pPr>
            <w:r>
              <w:rPr>
                <w:rFonts w:cs="Times New Roman"/>
                <w:sz w:val="22"/>
              </w:rPr>
              <w:t>This table sets out, for each platform, the figures disclosed directly, the figures that must be constructed, and the main limitation that follows. Indonesia GTV for Grab is estimated as Indonesia revenue × Group GTV / Group revenue, and Indonesia revenue for Shopee as Indonesia transaction value × Group monetization rate (Section 4.3). The Shopee Indonesian transaction estimate is a third-party estimate from Momentum Works (2024).</w:t>
            </w:r>
          </w:p>
        </w:tc>
      </w:tr>
      <w:tr w:rsidR="00CF52FD" w14:paraId="5A848926" w14:textId="77777777">
        <w:trPr>
          <w:cantSplit/>
          <w:tblHeader/>
          <w:jc w:val="center"/>
        </w:trPr>
        <w:tc>
          <w:tcPr>
            <w:tcW w:w="1499" w:type="dxa"/>
            <w:tcBorders>
              <w:top w:val="single" w:sz="4" w:space="0" w:color="auto"/>
              <w:left w:val="nil"/>
              <w:bottom w:val="single" w:sz="4" w:space="0" w:color="auto"/>
              <w:right w:val="nil"/>
            </w:tcBorders>
            <w:vAlign w:val="center"/>
          </w:tcPr>
          <w:p w14:paraId="1788376C" w14:textId="77777777" w:rsidR="00CF52FD" w:rsidRDefault="00000000">
            <w:pPr>
              <w:keepNext/>
              <w:spacing w:after="0" w:line="240" w:lineRule="exact"/>
            </w:pPr>
            <w:r>
              <w:rPr>
                <w:rFonts w:cs="Times New Roman"/>
                <w:b/>
                <w:sz w:val="22"/>
              </w:rPr>
              <w:t>Platform</w:t>
            </w:r>
          </w:p>
        </w:tc>
        <w:tc>
          <w:tcPr>
            <w:tcW w:w="2700" w:type="dxa"/>
            <w:tcBorders>
              <w:top w:val="single" w:sz="4" w:space="0" w:color="auto"/>
              <w:left w:val="nil"/>
              <w:bottom w:val="single" w:sz="4" w:space="0" w:color="auto"/>
              <w:right w:val="nil"/>
            </w:tcBorders>
            <w:vAlign w:val="center"/>
          </w:tcPr>
          <w:p w14:paraId="5FC2F8AF" w14:textId="77777777" w:rsidR="00CF52FD" w:rsidRDefault="00000000">
            <w:pPr>
              <w:keepNext/>
              <w:spacing w:after="0" w:line="240" w:lineRule="exact"/>
            </w:pPr>
            <w:r>
              <w:rPr>
                <w:rFonts w:cs="Times New Roman"/>
                <w:b/>
                <w:sz w:val="22"/>
              </w:rPr>
              <w:t>Directly available</w:t>
            </w:r>
          </w:p>
        </w:tc>
        <w:tc>
          <w:tcPr>
            <w:tcW w:w="2800" w:type="dxa"/>
            <w:tcBorders>
              <w:top w:val="single" w:sz="4" w:space="0" w:color="auto"/>
              <w:left w:val="nil"/>
              <w:bottom w:val="single" w:sz="4" w:space="0" w:color="auto"/>
              <w:right w:val="nil"/>
            </w:tcBorders>
            <w:vAlign w:val="center"/>
          </w:tcPr>
          <w:p w14:paraId="55CB323B" w14:textId="77777777" w:rsidR="00CF52FD" w:rsidRDefault="00000000">
            <w:pPr>
              <w:keepNext/>
              <w:spacing w:after="0" w:line="240" w:lineRule="exact"/>
            </w:pPr>
            <w:r>
              <w:rPr>
                <w:rFonts w:cs="Times New Roman"/>
                <w:b/>
                <w:sz w:val="22"/>
              </w:rPr>
              <w:t>Constructed or external input</w:t>
            </w:r>
          </w:p>
        </w:tc>
        <w:tc>
          <w:tcPr>
            <w:tcW w:w="2547" w:type="dxa"/>
            <w:tcBorders>
              <w:top w:val="single" w:sz="4" w:space="0" w:color="auto"/>
              <w:left w:val="nil"/>
              <w:bottom w:val="single" w:sz="4" w:space="0" w:color="auto"/>
              <w:right w:val="nil"/>
            </w:tcBorders>
            <w:vAlign w:val="center"/>
          </w:tcPr>
          <w:p w14:paraId="6F52E769" w14:textId="77777777" w:rsidR="00CF52FD" w:rsidRDefault="00000000">
            <w:pPr>
              <w:keepNext/>
              <w:spacing w:after="0" w:line="240" w:lineRule="exact"/>
            </w:pPr>
            <w:r>
              <w:rPr>
                <w:rFonts w:cs="Times New Roman"/>
                <w:b/>
                <w:sz w:val="22"/>
              </w:rPr>
              <w:t>Main limitation</w:t>
            </w:r>
          </w:p>
        </w:tc>
      </w:tr>
      <w:tr w:rsidR="00CF52FD" w14:paraId="7392EB1A" w14:textId="77777777">
        <w:trPr>
          <w:cantSplit/>
          <w:jc w:val="center"/>
        </w:trPr>
        <w:tc>
          <w:tcPr>
            <w:tcW w:w="1499" w:type="dxa"/>
            <w:tcBorders>
              <w:top w:val="nil"/>
              <w:left w:val="nil"/>
              <w:bottom w:val="nil"/>
              <w:right w:val="nil"/>
            </w:tcBorders>
            <w:vAlign w:val="center"/>
          </w:tcPr>
          <w:p w14:paraId="298E6720" w14:textId="77777777" w:rsidR="00CF52FD" w:rsidRDefault="00000000">
            <w:pPr>
              <w:keepNext/>
              <w:spacing w:after="0" w:line="240" w:lineRule="exact"/>
            </w:pPr>
            <w:r>
              <w:rPr>
                <w:rFonts w:cs="Times New Roman"/>
                <w:sz w:val="22"/>
              </w:rPr>
              <w:t>Tokopedia</w:t>
            </w:r>
          </w:p>
        </w:tc>
        <w:tc>
          <w:tcPr>
            <w:tcW w:w="2700" w:type="dxa"/>
            <w:tcBorders>
              <w:top w:val="nil"/>
              <w:left w:val="nil"/>
              <w:bottom w:val="nil"/>
              <w:right w:val="nil"/>
            </w:tcBorders>
            <w:vAlign w:val="center"/>
          </w:tcPr>
          <w:p w14:paraId="5716F4D0" w14:textId="77777777" w:rsidR="00CF52FD" w:rsidRDefault="00000000">
            <w:pPr>
              <w:keepNext/>
              <w:spacing w:after="0" w:line="240" w:lineRule="exact"/>
            </w:pPr>
            <w:r>
              <w:rPr>
                <w:rFonts w:cs="Times New Roman"/>
                <w:sz w:val="22"/>
              </w:rPr>
              <w:t>E-commerce transaction value and segment revenue</w:t>
            </w:r>
          </w:p>
        </w:tc>
        <w:tc>
          <w:tcPr>
            <w:tcW w:w="2800" w:type="dxa"/>
            <w:tcBorders>
              <w:top w:val="nil"/>
              <w:left w:val="nil"/>
              <w:bottom w:val="nil"/>
              <w:right w:val="nil"/>
            </w:tcBorders>
            <w:vAlign w:val="center"/>
          </w:tcPr>
          <w:p w14:paraId="26BAC6A0" w14:textId="77777777" w:rsidR="00CF52FD" w:rsidRDefault="00000000">
            <w:pPr>
              <w:keepNext/>
              <w:spacing w:after="0" w:line="240" w:lineRule="exact"/>
            </w:pPr>
            <w:r>
              <w:rPr>
                <w:rFonts w:cs="Times New Roman"/>
                <w:sz w:val="22"/>
              </w:rPr>
              <w:t>None for matched pair</w:t>
            </w:r>
          </w:p>
        </w:tc>
        <w:tc>
          <w:tcPr>
            <w:tcW w:w="2547" w:type="dxa"/>
            <w:tcBorders>
              <w:top w:val="nil"/>
              <w:left w:val="nil"/>
              <w:bottom w:val="nil"/>
              <w:right w:val="nil"/>
            </w:tcBorders>
            <w:vAlign w:val="center"/>
          </w:tcPr>
          <w:p w14:paraId="6662B3A7" w14:textId="77777777" w:rsidR="00CF52FD" w:rsidRDefault="00000000">
            <w:pPr>
              <w:keepNext/>
              <w:spacing w:after="0" w:line="240" w:lineRule="exact"/>
            </w:pPr>
            <w:r>
              <w:rPr>
                <w:rFonts w:cs="Times New Roman"/>
                <w:sz w:val="22"/>
              </w:rPr>
              <w:t>Indonesia-aligned segment, not literal country line</w:t>
            </w:r>
          </w:p>
        </w:tc>
      </w:tr>
      <w:tr w:rsidR="00CF52FD" w14:paraId="3486AC03" w14:textId="77777777">
        <w:trPr>
          <w:cantSplit/>
          <w:jc w:val="center"/>
        </w:trPr>
        <w:tc>
          <w:tcPr>
            <w:tcW w:w="1499" w:type="dxa"/>
            <w:tcBorders>
              <w:top w:val="nil"/>
              <w:left w:val="nil"/>
              <w:bottom w:val="nil"/>
              <w:right w:val="nil"/>
            </w:tcBorders>
            <w:vAlign w:val="center"/>
          </w:tcPr>
          <w:p w14:paraId="665231B0" w14:textId="77777777" w:rsidR="00CF52FD" w:rsidRDefault="00000000">
            <w:pPr>
              <w:keepNext/>
              <w:spacing w:after="0" w:line="240" w:lineRule="exact"/>
            </w:pPr>
            <w:r>
              <w:rPr>
                <w:rFonts w:cs="Times New Roman"/>
                <w:sz w:val="22"/>
              </w:rPr>
              <w:t>Grab</w:t>
            </w:r>
          </w:p>
        </w:tc>
        <w:tc>
          <w:tcPr>
            <w:tcW w:w="2700" w:type="dxa"/>
            <w:tcBorders>
              <w:top w:val="nil"/>
              <w:left w:val="nil"/>
              <w:bottom w:val="nil"/>
              <w:right w:val="nil"/>
            </w:tcBorders>
            <w:vAlign w:val="center"/>
          </w:tcPr>
          <w:p w14:paraId="7A4926D8" w14:textId="77777777" w:rsidR="00CF52FD" w:rsidRDefault="00000000">
            <w:pPr>
              <w:keepNext/>
              <w:spacing w:after="0" w:line="240" w:lineRule="exact"/>
            </w:pPr>
            <w:r>
              <w:rPr>
                <w:rFonts w:cs="Times New Roman"/>
                <w:sz w:val="22"/>
              </w:rPr>
              <w:t>Indonesia revenue; Group revenue and GTV</w:t>
            </w:r>
          </w:p>
        </w:tc>
        <w:tc>
          <w:tcPr>
            <w:tcW w:w="2800" w:type="dxa"/>
            <w:tcBorders>
              <w:top w:val="nil"/>
              <w:left w:val="nil"/>
              <w:bottom w:val="nil"/>
              <w:right w:val="nil"/>
            </w:tcBorders>
            <w:vAlign w:val="center"/>
          </w:tcPr>
          <w:p w14:paraId="63641A9D" w14:textId="77777777" w:rsidR="00CF52FD" w:rsidRDefault="00000000">
            <w:pPr>
              <w:keepNext/>
              <w:spacing w:after="0" w:line="240" w:lineRule="exact"/>
            </w:pPr>
            <w:r>
              <w:rPr>
                <w:rFonts w:cs="Times New Roman"/>
                <w:sz w:val="22"/>
              </w:rPr>
              <w:t>Indonesia GTV derived from Group figures</w:t>
            </w:r>
          </w:p>
        </w:tc>
        <w:tc>
          <w:tcPr>
            <w:tcW w:w="2547" w:type="dxa"/>
            <w:tcBorders>
              <w:top w:val="nil"/>
              <w:left w:val="nil"/>
              <w:bottom w:val="nil"/>
              <w:right w:val="nil"/>
            </w:tcBorders>
            <w:vAlign w:val="center"/>
          </w:tcPr>
          <w:p w14:paraId="125DD37A" w14:textId="77777777" w:rsidR="00CF52FD" w:rsidRDefault="00000000">
            <w:pPr>
              <w:keepNext/>
              <w:spacing w:after="0" w:line="240" w:lineRule="exact"/>
            </w:pPr>
            <w:r>
              <w:rPr>
                <w:rFonts w:cs="Times New Roman"/>
                <w:sz w:val="22"/>
              </w:rPr>
              <w:t>Indonesian ratio equals the Group ratio</w:t>
            </w:r>
          </w:p>
        </w:tc>
      </w:tr>
      <w:tr w:rsidR="00CF52FD" w14:paraId="1958A15C" w14:textId="77777777">
        <w:trPr>
          <w:cantSplit/>
          <w:jc w:val="center"/>
        </w:trPr>
        <w:tc>
          <w:tcPr>
            <w:tcW w:w="1499" w:type="dxa"/>
            <w:tcBorders>
              <w:top w:val="nil"/>
              <w:left w:val="nil"/>
              <w:bottom w:val="nil"/>
              <w:right w:val="nil"/>
            </w:tcBorders>
            <w:vAlign w:val="center"/>
          </w:tcPr>
          <w:p w14:paraId="2D81CDE0" w14:textId="77777777" w:rsidR="00CF52FD" w:rsidRDefault="00000000">
            <w:pPr>
              <w:keepNext/>
              <w:spacing w:after="0" w:line="240" w:lineRule="exact"/>
            </w:pPr>
            <w:r>
              <w:rPr>
                <w:rFonts w:cs="Times New Roman"/>
                <w:sz w:val="22"/>
              </w:rPr>
              <w:t>Shopee</w:t>
            </w:r>
          </w:p>
        </w:tc>
        <w:tc>
          <w:tcPr>
            <w:tcW w:w="2700" w:type="dxa"/>
            <w:tcBorders>
              <w:top w:val="nil"/>
              <w:left w:val="nil"/>
              <w:bottom w:val="nil"/>
              <w:right w:val="nil"/>
            </w:tcBorders>
            <w:vAlign w:val="center"/>
          </w:tcPr>
          <w:p w14:paraId="67C3DB98" w14:textId="77777777" w:rsidR="00CF52FD" w:rsidRDefault="00000000">
            <w:pPr>
              <w:keepNext/>
              <w:spacing w:after="0" w:line="240" w:lineRule="exact"/>
            </w:pPr>
            <w:r>
              <w:rPr>
                <w:rFonts w:cs="Times New Roman"/>
                <w:sz w:val="22"/>
              </w:rPr>
              <w:t>Group service monetization rate</w:t>
            </w:r>
          </w:p>
        </w:tc>
        <w:tc>
          <w:tcPr>
            <w:tcW w:w="2800" w:type="dxa"/>
            <w:tcBorders>
              <w:top w:val="nil"/>
              <w:left w:val="nil"/>
              <w:bottom w:val="nil"/>
              <w:right w:val="nil"/>
            </w:tcBorders>
            <w:vAlign w:val="center"/>
          </w:tcPr>
          <w:p w14:paraId="5FCC5286" w14:textId="77777777" w:rsidR="00CF52FD" w:rsidRDefault="00000000">
            <w:pPr>
              <w:keepNext/>
              <w:spacing w:after="0" w:line="240" w:lineRule="exact"/>
            </w:pPr>
            <w:r>
              <w:rPr>
                <w:rFonts w:cs="Times New Roman"/>
                <w:sz w:val="22"/>
              </w:rPr>
              <w:t>External Indonesia transaction estimate; Indonesia revenue derived</w:t>
            </w:r>
          </w:p>
        </w:tc>
        <w:tc>
          <w:tcPr>
            <w:tcW w:w="2547" w:type="dxa"/>
            <w:tcBorders>
              <w:top w:val="nil"/>
              <w:left w:val="nil"/>
              <w:bottom w:val="nil"/>
              <w:right w:val="nil"/>
            </w:tcBorders>
            <w:vAlign w:val="center"/>
          </w:tcPr>
          <w:p w14:paraId="3C86C5A2" w14:textId="77777777" w:rsidR="00CF52FD" w:rsidRDefault="00000000">
            <w:pPr>
              <w:keepNext/>
              <w:spacing w:after="0" w:line="240" w:lineRule="exact"/>
            </w:pPr>
            <w:r>
              <w:rPr>
                <w:rFonts w:cs="Times New Roman"/>
                <w:sz w:val="22"/>
              </w:rPr>
              <w:t>Indonesian ratio set by the Group rate</w:t>
            </w:r>
          </w:p>
        </w:tc>
      </w:tr>
      <w:tr w:rsidR="00CF52FD" w14:paraId="7575E227" w14:textId="77777777">
        <w:trPr>
          <w:cantSplit/>
          <w:jc w:val="center"/>
        </w:trPr>
        <w:tc>
          <w:tcPr>
            <w:tcW w:w="1499" w:type="dxa"/>
            <w:tcBorders>
              <w:top w:val="nil"/>
              <w:left w:val="nil"/>
              <w:bottom w:val="single" w:sz="4" w:space="0" w:color="auto"/>
              <w:right w:val="nil"/>
            </w:tcBorders>
            <w:vAlign w:val="center"/>
          </w:tcPr>
          <w:p w14:paraId="7833012A" w14:textId="77777777" w:rsidR="00CF52FD" w:rsidRDefault="00000000">
            <w:pPr>
              <w:spacing w:after="0" w:line="240" w:lineRule="exact"/>
            </w:pPr>
            <w:r>
              <w:rPr>
                <w:rFonts w:cs="Times New Roman"/>
                <w:sz w:val="22"/>
              </w:rPr>
              <w:t xml:space="preserve">Blibli / </w:t>
            </w:r>
            <w:proofErr w:type="spellStart"/>
            <w:r>
              <w:rPr>
                <w:rFonts w:cs="Times New Roman"/>
                <w:sz w:val="22"/>
              </w:rPr>
              <w:t>Bukalapak</w:t>
            </w:r>
            <w:proofErr w:type="spellEnd"/>
          </w:p>
        </w:tc>
        <w:tc>
          <w:tcPr>
            <w:tcW w:w="2700" w:type="dxa"/>
            <w:tcBorders>
              <w:top w:val="nil"/>
              <w:left w:val="nil"/>
              <w:bottom w:val="single" w:sz="4" w:space="0" w:color="auto"/>
              <w:right w:val="nil"/>
            </w:tcBorders>
            <w:vAlign w:val="center"/>
          </w:tcPr>
          <w:p w14:paraId="57C091AE" w14:textId="77777777" w:rsidR="00CF52FD" w:rsidRDefault="00000000">
            <w:pPr>
              <w:spacing w:after="0" w:line="240" w:lineRule="exact"/>
            </w:pPr>
            <w:r>
              <w:rPr>
                <w:rFonts w:cs="Times New Roman"/>
                <w:sz w:val="22"/>
              </w:rPr>
              <w:t>Reported transaction and revenue pairs</w:t>
            </w:r>
          </w:p>
        </w:tc>
        <w:tc>
          <w:tcPr>
            <w:tcW w:w="2800" w:type="dxa"/>
            <w:tcBorders>
              <w:top w:val="nil"/>
              <w:left w:val="nil"/>
              <w:bottom w:val="single" w:sz="4" w:space="0" w:color="auto"/>
              <w:right w:val="nil"/>
            </w:tcBorders>
            <w:vAlign w:val="center"/>
          </w:tcPr>
          <w:p w14:paraId="11A1AFEF" w14:textId="77777777" w:rsidR="00CF52FD" w:rsidRDefault="00000000">
            <w:pPr>
              <w:spacing w:after="0" w:line="240" w:lineRule="exact"/>
            </w:pPr>
            <w:r>
              <w:rPr>
                <w:rFonts w:cs="Times New Roman"/>
                <w:sz w:val="22"/>
              </w:rPr>
              <w:t>None for retained pairs</w:t>
            </w:r>
          </w:p>
        </w:tc>
        <w:tc>
          <w:tcPr>
            <w:tcW w:w="2547" w:type="dxa"/>
            <w:tcBorders>
              <w:top w:val="nil"/>
              <w:left w:val="nil"/>
              <w:bottom w:val="single" w:sz="4" w:space="0" w:color="auto"/>
              <w:right w:val="nil"/>
            </w:tcBorders>
            <w:vAlign w:val="center"/>
          </w:tcPr>
          <w:p w14:paraId="02E710A3" w14:textId="77777777" w:rsidR="00CF52FD" w:rsidRDefault="00000000">
            <w:pPr>
              <w:spacing w:after="0" w:line="240" w:lineRule="exact"/>
            </w:pPr>
            <w:r>
              <w:rPr>
                <w:rFonts w:cs="Times New Roman"/>
                <w:sz w:val="22"/>
              </w:rPr>
              <w:t>Scope extends beyond Indonesian goods commerce</w:t>
            </w:r>
          </w:p>
        </w:tc>
      </w:tr>
    </w:tbl>
    <w:p w14:paraId="4671E110" w14:textId="77777777" w:rsidR="00CF52FD" w:rsidRDefault="00000000">
      <w:pPr>
        <w:spacing w:before="120" w:after="110" w:line="257" w:lineRule="auto"/>
        <w:jc w:val="both"/>
      </w:pPr>
      <w:r>
        <w:t>Grab reports Indonesian revenue directly but not Indonesian transaction value. Indonesian GTV is therefore estimated as:</w:t>
      </w:r>
    </w:p>
    <w:p w14:paraId="19D40D23" w14:textId="77777777" w:rsidR="00CF52FD" w:rsidRDefault="00000000">
      <w:pPr>
        <w:keepNext/>
        <w:spacing w:before="60" w:after="110" w:line="257" w:lineRule="auto"/>
        <w:jc w:val="center"/>
      </w:pPr>
      <w:r>
        <w:rPr>
          <w:i/>
        </w:rPr>
        <w:t>Indonesia GTV = Indonesia revenue × Group GTV / Group revenue</w:t>
      </w:r>
    </w:p>
    <w:p w14:paraId="7708C7E3" w14:textId="77777777" w:rsidR="00CF52FD" w:rsidRDefault="00000000">
      <w:pPr>
        <w:spacing w:after="110" w:line="257" w:lineRule="auto"/>
        <w:jc w:val="both"/>
      </w:pPr>
      <w:r>
        <w:t xml:space="preserve">The Group monetization rate is </w:t>
      </w:r>
      <w:r>
        <w:t>Group</w:t>
      </w:r>
      <w:r>
        <w:t xml:space="preserve"> revenue divided by </w:t>
      </w:r>
      <w:r>
        <w:t xml:space="preserve">Group </w:t>
      </w:r>
      <w:r>
        <w:t>gross transaction value.</w:t>
      </w:r>
    </w:p>
    <w:p w14:paraId="26E936F1" w14:textId="77777777" w:rsidR="00CF52FD" w:rsidRDefault="00000000">
      <w:pPr>
        <w:spacing w:after="110" w:line="257" w:lineRule="auto"/>
        <w:jc w:val="both"/>
      </w:pPr>
      <w:r>
        <w:t xml:space="preserve">Sea Limited does not </w:t>
      </w:r>
      <w:r>
        <w:t xml:space="preserve">separately </w:t>
      </w:r>
      <w:r>
        <w:t>report Shopee</w:t>
      </w:r>
      <w:r>
        <w:t>'s</w:t>
      </w:r>
      <w:r>
        <w:t xml:space="preserve"> transaction value</w:t>
      </w:r>
      <w:r>
        <w:t xml:space="preserve"> for Indonesia. Momentum Works supplies the Indonesian estimate; its annual Southeast Asian e-commerce report is widely cited for country-level platform estimates and is used because no issuer discloses the figure. The value is labeled as a third-party estimate wherever it appears, and Indonesian revenue is </w:t>
      </w:r>
      <w:r>
        <w:t xml:space="preserve">then </w:t>
      </w:r>
      <w:r>
        <w:t>estimated using Sea's Group service monetization rate:</w:t>
      </w:r>
    </w:p>
    <w:p w14:paraId="5BED8F8B" w14:textId="77777777" w:rsidR="00CF52FD" w:rsidRDefault="00000000">
      <w:pPr>
        <w:keepNext/>
        <w:spacing w:before="60" w:after="110" w:line="257" w:lineRule="auto"/>
        <w:jc w:val="center"/>
      </w:pPr>
      <w:r>
        <w:rPr>
          <w:i/>
        </w:rPr>
        <w:t>Indonesia revenue = Indonesia transaction value × Group monetization rate</w:t>
      </w:r>
    </w:p>
    <w:p w14:paraId="43A8B916" w14:textId="77777777" w:rsidR="00CF52FD" w:rsidRDefault="00000000">
      <w:pPr>
        <w:spacing w:after="110" w:line="257" w:lineRule="auto"/>
        <w:jc w:val="both"/>
      </w:pPr>
      <w:r>
        <w:t xml:space="preserve">Construction fixes both Indonesian ratios to company-wide relationships: Grab's E equals its Group E, while Shopee's </w:t>
      </w:r>
      <w:r>
        <w:t>equals</w:t>
      </w:r>
      <w:r>
        <w:t xml:space="preserve"> the inverse of Sea's monetization rate </w:t>
      </w:r>
      <w:r>
        <w:t>minus</w:t>
      </w:r>
      <w:r>
        <w:t xml:space="preserve"> one. The series contribute Indonesian levels but no independent evidence on the ratio or its movement, so they remain outside the main sample.</w:t>
      </w:r>
    </w:p>
    <w:p w14:paraId="3AD168EB" w14:textId="77777777" w:rsidR="00CF52FD" w:rsidRDefault="00000000">
      <w:pPr>
        <w:pStyle w:val="Heading2"/>
        <w:spacing w:before="140" w:after="60"/>
      </w:pPr>
      <w:r>
        <w:rPr>
          <w:rFonts w:ascii="Times New Roman" w:eastAsia="Times New Roman" w:hAnsi="Times New Roman"/>
        </w:rPr>
        <w:lastRenderedPageBreak/>
        <w:t>4.4 Evidence Beyond Platform Accounts</w:t>
      </w:r>
    </w:p>
    <w:p w14:paraId="0EB2D6BE" w14:textId="5F8AD8C5" w:rsidR="00CF52FD" w:rsidRDefault="00000000">
      <w:pPr>
        <w:keepNext/>
        <w:keepLines/>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2599"/>
        <w:gridCol w:w="3600"/>
        <w:gridCol w:w="3348"/>
      </w:tblGrid>
      <w:tr w:rsidR="00CF52FD" w14:paraId="7C0952F6" w14:textId="77777777">
        <w:trPr>
          <w:cantSplit/>
          <w:jc w:val="center"/>
        </w:trPr>
        <w:tc>
          <w:tcPr>
            <w:tcW w:w="9547" w:type="dxa"/>
            <w:gridSpan w:val="3"/>
            <w:tcBorders>
              <w:top w:val="single" w:sz="4" w:space="0" w:color="auto"/>
              <w:left w:val="nil"/>
              <w:bottom w:val="single" w:sz="4" w:space="0" w:color="auto"/>
              <w:right w:val="nil"/>
            </w:tcBorders>
            <w:vAlign w:val="center"/>
          </w:tcPr>
          <w:p w14:paraId="7DE4E28E" w14:textId="77777777" w:rsidR="00CF52FD" w:rsidRDefault="00000000">
            <w:pPr>
              <w:keepNext/>
              <w:spacing w:after="0" w:line="240" w:lineRule="exact"/>
              <w:jc w:val="both"/>
              <w:rPr/>
            </w:pPr>
            <w:r>
              <w:rPr>
                <w:rFonts w:cs="Times New Roman"/>
                <w:b/>
                <w:sz w:val="22"/>
              </w:rPr>
              <w:t>Table 4. Indicators used and their role</w:t>
            </w:r>
          </w:p>
          <w:p w14:paraId="50D44FE1" w14:textId="77777777" w:rsidR="00CF52FD" w:rsidRDefault="00000000">
            <w:pPr>
              <w:spacing w:after="0" w:line="240" w:lineRule="exact"/>
              <w:jc w:val="both"/>
              <w:rPr/>
            </w:pPr>
            <w:r>
              <w:rPr>
                <w:rFonts w:cs="Times New Roman"/>
                <w:sz w:val="22"/>
              </w:rPr>
              <w:t>This table lists the indicators used and the role of each. The indicators answer different questions, so they are reported separately rather than pooled into one estimate. BPS denotes BPS-Statistics Indonesia. Appendix A provides variable definitions in greater detail.</w:t>
            </w:r>
          </w:p>
        </w:tc>
      </w:tr>
      <w:tr w:rsidR="00CF52FD" w14:paraId="302B3228" w14:textId="77777777">
        <w:trPr>
          <w:cantSplit/>
          <w:tblHeader/>
          <w:jc w:val="center"/>
        </w:trPr>
        <w:tc>
          <w:tcPr>
            <w:tcW w:w="2599" w:type="dxa"/>
            <w:tcBorders>
              <w:top w:val="single" w:sz="4" w:space="0" w:color="auto"/>
              <w:left w:val="nil"/>
              <w:bottom w:val="single" w:sz="4" w:space="0" w:color="auto"/>
              <w:right w:val="nil"/>
            </w:tcBorders>
            <w:vAlign w:val="center"/>
          </w:tcPr>
          <w:p w14:paraId="0CC09A9C" w14:textId="77777777" w:rsidR="00CF52FD" w:rsidRDefault="00000000">
            <w:pPr>
              <w:keepNext/>
              <w:spacing w:after="0" w:line="240" w:lineRule="exact"/>
            </w:pPr>
            <w:r>
              <w:rPr>
                <w:rFonts w:cs="Times New Roman"/>
                <w:b/>
                <w:sz w:val="22"/>
              </w:rPr>
              <w:t>Evidence source</w:t>
            </w:r>
          </w:p>
        </w:tc>
        <w:tc>
          <w:tcPr>
            <w:tcW w:w="3600" w:type="dxa"/>
            <w:tcBorders>
              <w:top w:val="single" w:sz="4" w:space="0" w:color="auto"/>
              <w:left w:val="nil"/>
              <w:bottom w:val="single" w:sz="4" w:space="0" w:color="auto"/>
              <w:right w:val="nil"/>
            </w:tcBorders>
            <w:vAlign w:val="center"/>
          </w:tcPr>
          <w:p w14:paraId="53F8143C" w14:textId="77777777" w:rsidR="00CF52FD" w:rsidRDefault="00000000">
            <w:pPr>
              <w:keepNext/>
              <w:spacing w:after="0" w:line="240" w:lineRule="exact"/>
            </w:pPr>
            <w:r>
              <w:rPr>
                <w:rFonts w:cs="Times New Roman"/>
                <w:b/>
                <w:sz w:val="22"/>
              </w:rPr>
              <w:t>What is observed</w:t>
            </w:r>
          </w:p>
        </w:tc>
        <w:tc>
          <w:tcPr>
            <w:tcW w:w="3348" w:type="dxa"/>
            <w:tcBorders>
              <w:top w:val="single" w:sz="4" w:space="0" w:color="auto"/>
              <w:left w:val="nil"/>
              <w:bottom w:val="single" w:sz="4" w:space="0" w:color="auto"/>
              <w:right w:val="nil"/>
            </w:tcBorders>
            <w:vAlign w:val="center"/>
          </w:tcPr>
          <w:p w14:paraId="6F2D1929" w14:textId="77777777" w:rsidR="00CF52FD" w:rsidRDefault="00000000">
            <w:pPr>
              <w:keepNext/>
              <w:spacing w:after="0" w:line="240" w:lineRule="exact"/>
            </w:pPr>
            <w:r>
              <w:rPr>
                <w:rFonts w:cs="Times New Roman"/>
                <w:b/>
                <w:sz w:val="22"/>
              </w:rPr>
              <w:t>Role</w:t>
            </w:r>
          </w:p>
        </w:tc>
      </w:tr>
      <w:tr w:rsidR="00CF52FD" w14:paraId="4451EF32" w14:textId="77777777">
        <w:trPr>
          <w:cantSplit/>
          <w:jc w:val="center"/>
        </w:trPr>
        <w:tc>
          <w:tcPr>
            <w:tcW w:w="2599" w:type="dxa"/>
            <w:tcBorders>
              <w:top w:val="nil"/>
              <w:left w:val="nil"/>
              <w:bottom w:val="nil"/>
              <w:right w:val="nil"/>
            </w:tcBorders>
            <w:vAlign w:val="center"/>
          </w:tcPr>
          <w:p w14:paraId="042FF08B" w14:textId="77777777" w:rsidR="00CF52FD" w:rsidRDefault="00000000">
            <w:pPr>
              <w:keepNext/>
              <w:spacing w:after="0" w:line="240" w:lineRule="exact"/>
            </w:pPr>
            <w:r>
              <w:rPr>
                <w:rFonts w:cs="Times New Roman"/>
                <w:sz w:val="22"/>
              </w:rPr>
              <w:t>Indonesian platform histories</w:t>
            </w:r>
          </w:p>
        </w:tc>
        <w:tc>
          <w:tcPr>
            <w:tcW w:w="3600" w:type="dxa"/>
            <w:tcBorders>
              <w:top w:val="nil"/>
              <w:left w:val="nil"/>
              <w:bottom w:val="nil"/>
              <w:right w:val="nil"/>
            </w:tcBorders>
            <w:vAlign w:val="center"/>
          </w:tcPr>
          <w:p w14:paraId="3E2BA6F7" w14:textId="77777777" w:rsidR="00CF52FD" w:rsidRDefault="00000000">
            <w:pPr>
              <w:keepNext/>
              <w:spacing w:after="0" w:line="240" w:lineRule="exact"/>
            </w:pPr>
            <w:r>
              <w:rPr>
                <w:rFonts w:cs="Times New Roman"/>
                <w:sz w:val="22"/>
              </w:rPr>
              <w:t>Transaction value and revenue through time</w:t>
            </w:r>
          </w:p>
        </w:tc>
        <w:tc>
          <w:tcPr>
            <w:tcW w:w="3348" w:type="dxa"/>
            <w:tcBorders>
              <w:top w:val="nil"/>
              <w:left w:val="nil"/>
              <w:bottom w:val="nil"/>
              <w:right w:val="nil"/>
            </w:tcBorders>
            <w:vAlign w:val="center"/>
          </w:tcPr>
          <w:p>
            <w:r>
              <w:t>Test the level relationship and dynamic stability of revenue against transaction value</w:t>
            </w:r>
          </w:p>
        </w:tc>
      </w:tr>
      <w:tr w:rsidR="00CF52FD" w14:paraId="2088EC94" w14:textId="77777777">
        <w:trPr>
          <w:cantSplit/>
          <w:jc w:val="center"/>
        </w:trPr>
        <w:tc>
          <w:tcPr>
            <w:tcW w:w="2599" w:type="dxa"/>
            <w:tcBorders>
              <w:top w:val="nil"/>
              <w:left w:val="nil"/>
              <w:bottom w:val="nil"/>
              <w:right w:val="nil"/>
            </w:tcBorders>
            <w:vAlign w:val="center"/>
          </w:tcPr>
          <w:p w14:paraId="16523D70" w14:textId="77777777" w:rsidR="00CF52FD" w:rsidRDefault="00000000">
            <w:pPr>
              <w:keepNext/>
              <w:spacing w:after="0" w:line="240" w:lineRule="exact"/>
            </w:pPr>
            <w:r>
              <w:rPr>
                <w:rFonts w:cs="Times New Roman"/>
                <w:sz w:val="22"/>
              </w:rPr>
              <w:t>BPS national e-commerce statistics</w:t>
            </w:r>
          </w:p>
        </w:tc>
        <w:tc>
          <w:tcPr>
            <w:tcW w:w="3600" w:type="dxa"/>
            <w:tcBorders>
              <w:top w:val="nil"/>
              <w:left w:val="nil"/>
              <w:bottom w:val="nil"/>
              <w:right w:val="nil"/>
            </w:tcBorders>
            <w:vAlign w:val="center"/>
          </w:tcPr>
          <w:p w14:paraId="6C0BB738" w14:textId="77777777" w:rsidR="00CF52FD" w:rsidRDefault="00000000">
            <w:pPr>
              <w:keepNext/>
              <w:spacing w:after="0" w:line="240" w:lineRule="exact"/>
            </w:pPr>
            <w:r>
              <w:rPr>
                <w:rFonts w:cs="Times New Roman"/>
                <w:sz w:val="22"/>
              </w:rPr>
              <w:t>Online sales of surveyed businesses, by channel, and the number of businesses</w:t>
            </w:r>
          </w:p>
        </w:tc>
        <w:tc>
          <w:tcPr>
            <w:tcW w:w="3348" w:type="dxa"/>
            <w:tcBorders>
              <w:top w:val="nil"/>
              <w:left w:val="nil"/>
              <w:bottom w:val="nil"/>
              <w:right w:val="nil"/>
            </w:tcBorders>
            <w:vAlign w:val="center"/>
          </w:tcPr>
          <w:p w14:paraId="1880CEC4" w14:textId="77777777" w:rsidR="00CF52FD" w:rsidRDefault="00000000">
            <w:pPr>
              <w:keepNext/>
              <w:spacing w:after="0" w:line="240" w:lineRule="exact"/>
            </w:pPr>
            <w:r>
              <w:rPr>
                <w:rFonts w:cs="Times New Roman"/>
                <w:sz w:val="22"/>
              </w:rPr>
              <w:t>Examine the level and sources of growth</w:t>
            </w:r>
          </w:p>
        </w:tc>
      </w:tr>
      <w:tr w:rsidR="00CF52FD" w14:paraId="5B2405F0" w14:textId="77777777">
        <w:trPr>
          <w:cantSplit/>
          <w:jc w:val="center"/>
        </w:trPr>
        <w:tc>
          <w:tcPr>
            <w:tcW w:w="2599" w:type="dxa"/>
            <w:tcBorders>
              <w:top w:val="nil"/>
              <w:left w:val="nil"/>
              <w:bottom w:val="nil"/>
              <w:right w:val="nil"/>
            </w:tcBorders>
            <w:vAlign w:val="center"/>
          </w:tcPr>
          <w:p w14:paraId="3FE8A628" w14:textId="77777777" w:rsidR="00CF52FD" w:rsidRDefault="00000000">
            <w:pPr>
              <w:keepNext/>
              <w:spacing w:after="0" w:line="240" w:lineRule="exact"/>
            </w:pPr>
            <w:r>
              <w:rPr>
                <w:rFonts w:cs="Times New Roman"/>
                <w:sz w:val="22"/>
              </w:rPr>
              <w:t>BPS marketplace study</w:t>
            </w:r>
          </w:p>
        </w:tc>
        <w:tc>
          <w:tcPr>
            <w:tcW w:w="3600" w:type="dxa"/>
            <w:tcBorders>
              <w:top w:val="nil"/>
              <w:left w:val="nil"/>
              <w:bottom w:val="nil"/>
              <w:right w:val="nil"/>
            </w:tcBorders>
            <w:vAlign w:val="center"/>
          </w:tcPr>
          <w:p w14:paraId="5B3B35CE" w14:textId="77777777" w:rsidR="00CF52FD" w:rsidRDefault="00000000">
            <w:pPr>
              <w:keepNext/>
              <w:spacing w:after="0" w:line="240" w:lineRule="exact"/>
            </w:pPr>
            <w:r>
              <w:rPr>
                <w:rFonts w:cs="Times New Roman"/>
                <w:sz w:val="22"/>
              </w:rPr>
              <w:t>Business-level marketplace and recordkeeping evidence</w:t>
            </w:r>
          </w:p>
        </w:tc>
        <w:tc>
          <w:tcPr>
            <w:tcW w:w="3348" w:type="dxa"/>
            <w:tcBorders>
              <w:top w:val="nil"/>
              <w:left w:val="nil"/>
              <w:bottom w:val="nil"/>
              <w:right w:val="nil"/>
            </w:tcBorders>
            <w:vAlign w:val="center"/>
          </w:tcPr>
          <w:p w14:paraId="098C018C" w14:textId="77777777" w:rsidR="00CF52FD" w:rsidRDefault="00000000">
            <w:pPr>
              <w:keepNext/>
              <w:spacing w:after="0" w:line="240" w:lineRule="exact"/>
            </w:pPr>
            <w:r>
              <w:rPr>
                <w:rFonts w:cs="Times New Roman"/>
                <w:sz w:val="22"/>
              </w:rPr>
              <w:t>Examine the association with financial recordkeeping</w:t>
            </w:r>
          </w:p>
        </w:tc>
      </w:tr>
      <w:tr w:rsidR="00CF52FD" w14:paraId="51D49757" w14:textId="77777777">
        <w:trPr>
          <w:cantSplit/>
          <w:jc w:val="center"/>
        </w:trPr>
        <w:tc>
          <w:tcPr>
            <w:tcW w:w="2599" w:type="dxa"/>
            <w:tcBorders>
              <w:top w:val="nil"/>
              <w:left w:val="nil"/>
              <w:bottom w:val="nil"/>
              <w:right w:val="nil"/>
            </w:tcBorders>
            <w:vAlign w:val="center"/>
          </w:tcPr>
          <w:p w14:paraId="1004BD3B" w14:textId="77777777" w:rsidR="00CF52FD" w:rsidRDefault="00000000">
            <w:pPr>
              <w:keepNext/>
              <w:spacing w:after="0" w:line="240" w:lineRule="exact"/>
            </w:pPr>
            <w:r>
              <w:rPr>
                <w:rFonts w:cs="Times New Roman"/>
                <w:sz w:val="22"/>
              </w:rPr>
              <w:t>Bank Indonesia</w:t>
            </w:r>
          </w:p>
        </w:tc>
        <w:tc>
          <w:tcPr>
            <w:tcW w:w="3600" w:type="dxa"/>
            <w:tcBorders>
              <w:top w:val="nil"/>
              <w:left w:val="nil"/>
              <w:bottom w:val="nil"/>
              <w:right w:val="nil"/>
            </w:tcBorders>
            <w:vAlign w:val="center"/>
          </w:tcPr>
          <w:p w14:paraId="20DC2946" w14:textId="77777777" w:rsidR="00CF52FD" w:rsidRDefault="00000000">
            <w:pPr>
              <w:keepNext/>
              <w:spacing w:after="0" w:line="240" w:lineRule="exact"/>
            </w:pPr>
            <w:r>
              <w:rPr>
                <w:rFonts w:cs="Times New Roman"/>
                <w:sz w:val="22"/>
              </w:rPr>
              <w:t>Economy-wide digital payment measures</w:t>
            </w:r>
          </w:p>
        </w:tc>
        <w:tc>
          <w:tcPr>
            <w:tcW w:w="3348" w:type="dxa"/>
            <w:tcBorders>
              <w:top w:val="nil"/>
              <w:left w:val="nil"/>
              <w:bottom w:val="nil"/>
              <w:right w:val="nil"/>
            </w:tcBorders>
            <w:vAlign w:val="center"/>
          </w:tcPr>
          <w:p w14:paraId="392815AE" w14:textId="77777777" w:rsidR="00CF52FD" w:rsidRDefault="00000000">
            <w:pPr>
              <w:keepNext/>
              <w:spacing w:after="0" w:line="240" w:lineRule="exact"/>
            </w:pPr>
            <w:r>
              <w:rPr>
                <w:rFonts w:cs="Times New Roman"/>
                <w:sz w:val="22"/>
              </w:rPr>
              <w:t>Context on payment growth</w:t>
            </w:r>
          </w:p>
        </w:tc>
      </w:tr>
      <w:tr w:rsidR="00CF52FD" w14:paraId="2A0BD411" w14:textId="77777777">
        <w:trPr>
          <w:cantSplit/>
          <w:jc w:val="center"/>
        </w:trPr>
        <w:tc>
          <w:tcPr>
            <w:tcW w:w="2599" w:type="dxa"/>
            <w:tcBorders>
              <w:top w:val="nil"/>
              <w:left w:val="nil"/>
              <w:bottom w:val="single" w:sz="4" w:space="0" w:color="auto"/>
              <w:right w:val="nil"/>
            </w:tcBorders>
            <w:vAlign w:val="center"/>
          </w:tcPr>
          <w:p w14:paraId="63BECA5B" w14:textId="77777777" w:rsidR="00CF52FD" w:rsidRDefault="00000000">
            <w:pPr>
              <w:spacing w:after="0" w:line="240" w:lineRule="exact"/>
            </w:pPr>
            <w:r>
              <w:rPr>
                <w:rFonts w:cs="Times New Roman"/>
                <w:sz w:val="22"/>
              </w:rPr>
              <w:t>Platform companies outside Indonesia</w:t>
            </w:r>
          </w:p>
        </w:tc>
        <w:tc>
          <w:tcPr>
            <w:tcW w:w="3600" w:type="dxa"/>
            <w:tcBorders>
              <w:top w:val="nil"/>
              <w:left w:val="nil"/>
              <w:bottom w:val="single" w:sz="4" w:space="0" w:color="auto"/>
              <w:right w:val="nil"/>
            </w:tcBorders>
            <w:vAlign w:val="center"/>
          </w:tcPr>
          <w:p w14:paraId="2965F886" w14:textId="77777777" w:rsidR="00CF52FD" w:rsidRDefault="00000000">
            <w:pPr>
              <w:spacing w:after="0" w:line="240" w:lineRule="exact"/>
            </w:pPr>
            <w:r>
              <w:rPr>
                <w:rFonts w:cs="Times New Roman"/>
                <w:sz w:val="22"/>
              </w:rPr>
              <w:t>Matched transaction and revenue measures</w:t>
            </w:r>
          </w:p>
        </w:tc>
        <w:tc>
          <w:tcPr>
            <w:tcW w:w="3348" w:type="dxa"/>
            <w:tcBorders>
              <w:top w:val="nil"/>
              <w:left w:val="nil"/>
              <w:bottom w:val="single" w:sz="4" w:space="0" w:color="auto"/>
              <w:right w:val="nil"/>
            </w:tcBorders>
            <w:vAlign w:val="center"/>
          </w:tcPr>
          <w:p w14:paraId="47FC02FF" w14:textId="77777777" w:rsidR="00CF52FD" w:rsidRDefault="00000000">
            <w:pPr>
              <w:spacing w:after="0" w:line="240" w:lineRule="exact"/>
            </w:pPr>
            <w:r>
              <w:rPr>
                <w:rFonts w:cs="Times New Roman"/>
                <w:sz w:val="22"/>
              </w:rPr>
              <w:t>Test whether the same boundary appears elsewhere</w:t>
            </w:r>
          </w:p>
        </w:tc>
      </w:tr>
    </w:tbl>
    <w:p w14:paraId="22D36B71" w14:textId="77777777" w:rsidR="00CF52FD" w:rsidRDefault="00000000">
      <w:pPr>
        <w:keepLines/>
        <w:spacing w:before="120" w:after="110" w:line="257" w:lineRule="auto"/>
        <w:jc w:val="both"/>
      </w:pPr>
      <w:r>
        <w:t xml:space="preserve">As shown in </w:t>
      </w:r>
      <w:r>
        <w:t>Table 4</w:t>
      </w:r>
      <w:r>
        <w:t>,</w:t>
      </w:r>
      <w:r>
        <w:t xml:space="preserve"> each </w:t>
      </w:r>
      <w:r>
        <w:t>indicator has</w:t>
      </w:r>
      <w:r>
        <w:t xml:space="preserve"> a single role. The </w:t>
      </w:r>
      <w:r>
        <w:t>indicators</w:t>
      </w:r>
      <w:r>
        <w:t xml:space="preserve"> answer different questions, so they are reported separately rather than pooled into one estimate.</w:t>
      </w:r>
    </w:p>
    <w:p w14:paraId="23CD8AAB" w14:textId="77777777" w:rsidR="00CF52FD" w:rsidRDefault="00000000">
      <w:pPr>
        <w:spacing w:after="110" w:line="257" w:lineRule="auto"/>
        <w:jc w:val="both"/>
      </w:pPr>
      <w:r>
        <w:t>For H2, national e-commerce value S is written as:</w:t>
      </w:r>
    </w:p>
    <w:p w14:paraId="1F4D99F0" w14:textId="77777777" w:rsidR="00CF52FD" w:rsidRDefault="00000000">
      <w:pPr>
        <w:keepNext/>
        <w:spacing w:before="60" w:after="110" w:line="257" w:lineRule="auto"/>
        <w:jc w:val="center"/>
      </w:pPr>
      <w:r>
        <w:rPr>
          <w:i/>
        </w:rPr>
        <w:t>S = N × A</w:t>
      </w:r>
    </w:p>
    <w:p w14:paraId="7F176187" w14:textId="77777777" w:rsidR="00CF52FD" w:rsidRDefault="00000000">
      <w:pPr>
        <w:spacing w:after="110" w:line="257" w:lineRule="auto"/>
        <w:jc w:val="both"/>
      </w:pPr>
      <w:r>
        <w:t>where N is the estimated number of e-commerce businesses and A is implied nominal sales per business, and the change in S is divided arithmetically between the two. BPS publishes two counts of 2023 businesses; the count consistent with its stated growth figure is used, and the other is retained as a sensitivity check.</w:t>
      </w:r>
    </w:p>
    <w:p w14:paraId="3F0573FA" w14:textId="77777777" w:rsidR="00CF52FD" w:rsidRDefault="00000000">
      <w:pPr>
        <w:spacing w:after="110" w:line="257" w:lineRule="auto"/>
        <w:jc w:val="both"/>
      </w:pPr>
      <w:r>
        <w:t>For H3, BPS's published business-level comparison of marketplace and non-marketplace sellers is used. For H4, BPS's split of e-commerce value by sales channel is set against the platform evidence. Bank Indonesia's economy-wide payment measures provide an independent view of digitalization. Because they cover more than e-commerce and also reflect adoption and substitution between payment methods, they are compared by growth rate and are not treated as sales estimates.</w:t>
      </w:r>
    </w:p>
    <w:p w14:paraId="4F3F0214" w14:textId="77777777" w:rsidR="00CF52FD" w:rsidRDefault="00000000">
      <w:pPr>
        <w:pStyle w:val="Heading2"/>
        <w:spacing w:before="140" w:after="60"/>
      </w:pPr>
      <w:r>
        <w:rPr>
          <w:rFonts w:ascii="Times New Roman" w:eastAsia="Times New Roman" w:hAnsi="Times New Roman"/>
        </w:rPr>
        <w:t>4.5 External Evidence and Robustness</w:t>
      </w:r>
    </w:p>
    <w:p w14:paraId="3F3FA550" w14:textId="77777777" w:rsidR="00CF52FD" w:rsidRDefault="00000000">
      <w:pPr>
        <w:keepLines/>
        <w:spacing w:after="110" w:line="257" w:lineRule="auto"/>
        <w:jc w:val="both"/>
      </w:pPr>
      <w:r>
        <w:t>The external comparison contains 48 matched annual observations for eight listed platform businesses from 2017 to 2025: eBay, Etsy, Jumia, Mercado Libre, Rakuten, Sea, Shopify and Zalando. It tests whether the same separation between transaction value and revenue appears under other business models and is reported separately from the Indonesian evidence.</w:t>
      </w:r>
    </w:p>
    <w:p w14:paraId="07B5C50F" w14:textId="77777777" w:rsidR="00CF52FD" w:rsidRDefault="00000000">
      <w:pPr>
        <w:spacing w:after="110" w:line="257" w:lineRule="auto"/>
        <w:jc w:val="both"/>
      </w:pPr>
      <w:r>
        <w:t>Robustness checks vary the sample-inclusion rules, revenue definitions, publication versions, and the assumptions in the constructed country measures. The resulting ranges are reported as sensitivity ranges rather than statistical confidence intervals.</w:t>
      </w:r>
    </w:p>
    <w:p w14:paraId="63557F81" w14:textId="77777777" w:rsidR="00CF52FD" w:rsidRDefault="00000000">
      <w:pPr>
        <w:pStyle w:val="Heading1"/>
        <w:spacing w:before="200" w:after="100"/>
      </w:pPr>
      <w:r>
        <w:rPr>
          <w:rFonts w:ascii="Times New Roman" w:eastAsia="Times New Roman" w:hAnsi="Times New Roman"/>
        </w:rPr>
        <w:t>5. Preliminary Evidence and Feasibility</w:t>
      </w:r>
    </w:p>
    <w:p w14:paraId="62095466" w14:textId="77777777" w:rsidR="00CF52FD" w:rsidRDefault="00000000">
      <w:pPr>
        <w:keepLines/>
        <w:spacing w:after="110" w:line="257" w:lineRule="auto"/>
        <w:jc w:val="both"/>
      </w:pPr>
      <w:r>
        <w:t xml:space="preserve">The evidence assembled so far establishes that the proposed comparisons can be carried out and that proxy adequacy is an empirical rather than definitional question. The results first show the scale and movement of the transaction-revenue relationship, then compare that relationship with national and external evidence. The objective is not to declare one record correct and another wrong, but to identify when a record supports the same economic inference as the target and when it does not.</w:t>
      </w:r>
      <w:r>
        <w:t/>
      </w:r>
      <w:r>
        <w:t xml:space="preserve"/>
      </w:r>
      <w:r>
        <w:t/>
      </w:r>
      <w:r>
        <w:t/>
      </w:r>
    </w:p>
    <w:p w14:paraId="1AF7B369" w14:textId="77777777" w:rsidR="00CF52FD" w:rsidRDefault="00000000">
      <w:pPr>
        <w:pStyle w:val="Heading2"/>
        <w:spacing w:before="140" w:after="60"/>
      </w:pPr>
      <w:r>
        <w:rPr>
          <w:rFonts w:ascii="Times New Roman" w:eastAsia="Times New Roman" w:hAnsi="Times New Roman"/>
        </w:rPr>
        <w:t>5.1 Platform Scale and Movement</w:t>
      </w:r>
    </w:p>
    <w:p w14:paraId="2BAA7B44" w14:textId="77777777" w:rsidR="00CF52FD" w:rsidRDefault="00000000">
      <w:pPr>
        <w:keepLines/>
        <w:spacing w:after="110" w:line="257" w:lineRule="auto"/>
        <w:jc w:val="both"/>
      </w:pPr>
      <w:r>
        <w:t>The 2023 comparison covers Shopee and Tokopedia, which together represented about 70 percent of estimated Indonesian marketplace transaction value, and Grab, a major delivery intermediary.</w:t>
      </w:r>
    </w:p>
    <w:p w14:paraId="4647BB6A" w14:textId="77777777" w:rsidR="00CF52FD" w:rsidRDefault="00000000">
      <w:pPr>
        <w:keepNext/>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2001"/>
        <w:gridCol w:w="1249"/>
        <w:gridCol w:w="1050"/>
        <w:gridCol w:w="1051"/>
        <w:gridCol w:w="1249"/>
        <w:gridCol w:w="2947"/>
      </w:tblGrid>
      <w:tr w:rsidR="00CF52FD" w14:paraId="028D4863" w14:textId="77777777">
        <w:trPr>
          <w:cantSplit/>
          <w:jc w:val="center"/>
        </w:trPr>
        <w:tc>
          <w:tcPr>
            <w:tcW w:w="9546" w:type="dxa"/>
            <w:gridSpan w:val="6"/>
            <w:tcBorders>
              <w:top w:val="single" w:sz="4" w:space="0" w:color="auto"/>
              <w:left w:val="nil"/>
              <w:bottom w:val="single" w:sz="4" w:space="0" w:color="auto"/>
              <w:right w:val="nil"/>
            </w:tcBorders>
            <w:vAlign w:val="center"/>
          </w:tcPr>
          <w:p w14:paraId="48EDB7EF" w14:textId="77777777" w:rsidR="00CF52FD" w:rsidRDefault="00000000">
            <w:pPr>
              <w:keepNext/>
              <w:spacing w:after="0" w:line="240" w:lineRule="exact"/>
              <w:jc w:val="both"/>
              <w:rPr/>
            </w:pPr>
            <w:r>
              <w:rPr>
                <w:rFonts w:cs="Times New Roman"/>
                <w:b/>
                <w:sz w:val="22"/>
              </w:rPr>
              <w:t>Table 5. Indonesia-focused 2023 platform comparison</w:t>
            </w:r>
          </w:p>
          <w:p w14:paraId="62B63146" w14:textId="77777777" w:rsidR="00CF52FD" w:rsidRDefault="00000000">
            <w:pPr>
              <w:spacing w:after="0" w:line="240" w:lineRule="exact"/>
              <w:jc w:val="both"/>
              <w:rPr/>
            </w:pPr>
            <w:r>
              <w:rPr>
                <w:rFonts w:cs="Times New Roman"/>
                <w:sz w:val="22"/>
              </w:rPr>
              <w:t>This table reports the Indonesia-focused 2023 platform comparison, in US$ billions. V is transaction value, R is recognized revenue, W = V − R is the invisible wedge, and E = (V − R) / R is the Ecosystem Ratio (Section 3.1). Rupiah figures are converted at the World Bank’s 2023 official exchange rate of 15,236.88 rupiah per dollar. Grab’s transaction value is constructed from Group figures, and Shopee’s transaction value and revenue are estimated; the three-platform row is the sum of the three cases, not a national total. Appendix A provides variable definitions in greater detail.</w:t>
            </w:r>
          </w:p>
        </w:tc>
      </w:tr>
      <w:tr w:rsidR="00CF52FD" w14:paraId="2CB5882F" w14:textId="77777777">
        <w:trPr>
          <w:cantSplit/>
          <w:tblHeader/>
          <w:jc w:val="center"/>
        </w:trPr>
        <w:tc>
          <w:tcPr>
            <w:tcW w:w="2000" w:type="dxa"/>
            <w:tcBorders>
              <w:top w:val="single" w:sz="4" w:space="0" w:color="auto"/>
              <w:left w:val="nil"/>
              <w:bottom w:val="single" w:sz="4" w:space="0" w:color="auto"/>
              <w:right w:val="nil"/>
            </w:tcBorders>
            <w:vAlign w:val="center"/>
          </w:tcPr>
          <w:p w14:paraId="011EBE68" w14:textId="77777777" w:rsidR="00CF52FD" w:rsidRDefault="00000000">
            <w:pPr>
              <w:keepNext/>
              <w:spacing w:after="0" w:line="240" w:lineRule="exact"/>
            </w:pPr>
            <w:r>
              <w:rPr>
                <w:rFonts w:cs="Times New Roman"/>
                <w:b/>
                <w:sz w:val="22"/>
              </w:rPr>
              <w:t>Case</w:t>
            </w:r>
          </w:p>
        </w:tc>
        <w:tc>
          <w:tcPr>
            <w:tcW w:w="1249" w:type="dxa"/>
            <w:tcBorders>
              <w:top w:val="single" w:sz="4" w:space="0" w:color="auto"/>
              <w:left w:val="nil"/>
              <w:bottom w:val="single" w:sz="4" w:space="0" w:color="auto"/>
              <w:right w:val="nil"/>
            </w:tcBorders>
            <w:vAlign w:val="center"/>
          </w:tcPr>
          <w:p w14:paraId="137B575B" w14:textId="22F40719" w:rsidR="00CF52FD" w:rsidRDefault="00000000">
            <w:pPr>
              <w:keepNext/>
              <w:spacing w:after="0" w:line="240" w:lineRule="exact"/>
              <w:jc w:val="center"/>
            </w:pPr>
            <w:r>
              <w:rPr>
                <w:rFonts w:cs="Times New Roman"/>
                <w:b/>
                <w:sz w:val="22"/>
              </w:rPr>
              <w:t xml:space="preserve">Transaction value </w:t>
            </w:r>
            <w:r w:rsidR="002026E8">
              <w:rPr>
                <w:rFonts w:ascii="新細明體" w:eastAsia="新細明體" w:hAnsi="新細明體" w:cs="Times New Roman" w:hint="eastAsia"/>
                <w:b/>
                <w:sz w:val="22"/>
                <w:lang w:eastAsia="zh-TW"/>
              </w:rPr>
              <w:t>(</w:t>
            </w:r>
            <w:r>
              <w:rPr>
                <w:rFonts w:cs="Times New Roman"/>
                <w:b/>
                <w:sz w:val="22"/>
              </w:rPr>
              <w:t>V</w:t>
            </w:r>
            <w:r w:rsidR="002026E8">
              <w:rPr>
                <w:rFonts w:ascii="新細明體" w:eastAsia="新細明體" w:hAnsi="新細明體" w:cs="Times New Roman" w:hint="eastAsia"/>
                <w:b/>
                <w:sz w:val="22"/>
                <w:lang w:eastAsia="zh-TW"/>
              </w:rPr>
              <w:t>)</w:t>
            </w:r>
          </w:p>
        </w:tc>
        <w:tc>
          <w:tcPr>
            <w:tcW w:w="1050" w:type="dxa"/>
            <w:tcBorders>
              <w:top w:val="single" w:sz="4" w:space="0" w:color="auto"/>
              <w:left w:val="nil"/>
              <w:bottom w:val="single" w:sz="4" w:space="0" w:color="auto"/>
              <w:right w:val="nil"/>
            </w:tcBorders>
            <w:vAlign w:val="center"/>
          </w:tcPr>
          <w:p w14:paraId="7DD2F1AD" w14:textId="1E5BB7FE" w:rsidR="00CF52FD" w:rsidRDefault="00000000">
            <w:pPr>
              <w:keepNext/>
              <w:spacing w:after="0" w:line="240" w:lineRule="exact"/>
              <w:jc w:val="center"/>
            </w:pPr>
            <w:r>
              <w:rPr>
                <w:rFonts w:cs="Times New Roman"/>
                <w:b/>
                <w:sz w:val="22"/>
              </w:rPr>
              <w:t xml:space="preserve">Revenue </w:t>
            </w:r>
            <w:r w:rsidR="002026E8">
              <w:rPr>
                <w:rFonts w:ascii="新細明體" w:eastAsia="新細明體" w:hAnsi="新細明體" w:cs="Times New Roman" w:hint="eastAsia"/>
                <w:b/>
                <w:sz w:val="22"/>
                <w:lang w:eastAsia="zh-TW"/>
              </w:rPr>
              <w:t>(</w:t>
            </w:r>
            <w:r>
              <w:rPr>
                <w:rFonts w:cs="Times New Roman"/>
                <w:b/>
                <w:sz w:val="22"/>
              </w:rPr>
              <w:t>R</w:t>
            </w:r>
            <w:r w:rsidR="002026E8">
              <w:rPr>
                <w:rFonts w:ascii="新細明體" w:eastAsia="新細明體" w:hAnsi="新細明體" w:cs="Times New Roman" w:hint="eastAsia"/>
                <w:b/>
                <w:sz w:val="22"/>
                <w:lang w:eastAsia="zh-TW"/>
              </w:rPr>
              <w:t>)</w:t>
            </w:r>
          </w:p>
        </w:tc>
        <w:tc>
          <w:tcPr>
            <w:tcW w:w="1051" w:type="dxa"/>
            <w:tcBorders>
              <w:top w:val="single" w:sz="4" w:space="0" w:color="auto"/>
              <w:left w:val="nil"/>
              <w:bottom w:val="single" w:sz="4" w:space="0" w:color="auto"/>
              <w:right w:val="nil"/>
            </w:tcBorders>
            <w:vAlign w:val="center"/>
          </w:tcPr>
          <w:p w14:paraId="208E6CB2" w14:textId="04AACB68" w:rsidR="00CF52FD" w:rsidRDefault="00000000">
            <w:pPr>
              <w:keepNext/>
              <w:spacing w:after="0" w:line="240" w:lineRule="exact"/>
              <w:jc w:val="center"/>
            </w:pPr>
            <w:r>
              <w:rPr>
                <w:rFonts w:cs="Times New Roman"/>
                <w:b/>
                <w:sz w:val="22"/>
              </w:rPr>
              <w:t xml:space="preserve">Wedge </w:t>
            </w:r>
            <w:r w:rsidR="002026E8">
              <w:rPr>
                <w:rFonts w:ascii="新細明體" w:eastAsia="新細明體" w:hAnsi="新細明體" w:cs="Times New Roman" w:hint="eastAsia"/>
                <w:b/>
                <w:sz w:val="22"/>
                <w:lang w:eastAsia="zh-TW"/>
              </w:rPr>
              <w:t>(</w:t>
            </w:r>
            <w:r>
              <w:rPr>
                <w:rFonts w:cs="Times New Roman"/>
                <w:b/>
                <w:sz w:val="22"/>
              </w:rPr>
              <w:t>W</w:t>
            </w:r>
            <w:r w:rsidR="002026E8">
              <w:rPr>
                <w:rFonts w:ascii="新細明體" w:eastAsia="新細明體" w:hAnsi="新細明體" w:cs="Times New Roman" w:hint="eastAsia"/>
                <w:b/>
                <w:sz w:val="22"/>
                <w:lang w:eastAsia="zh-TW"/>
              </w:rPr>
              <w:t>)</w:t>
            </w:r>
          </w:p>
        </w:tc>
        <w:tc>
          <w:tcPr>
            <w:tcW w:w="1249" w:type="dxa"/>
            <w:tcBorders>
              <w:top w:val="single" w:sz="4" w:space="0" w:color="auto"/>
              <w:left w:val="nil"/>
              <w:bottom w:val="single" w:sz="4" w:space="0" w:color="auto"/>
              <w:right w:val="nil"/>
            </w:tcBorders>
            <w:vAlign w:val="center"/>
          </w:tcPr>
          <w:p w14:paraId="12ECB578" w14:textId="0B7383E4" w:rsidR="00CF52FD" w:rsidRDefault="00000000">
            <w:pPr>
              <w:keepNext/>
              <w:spacing w:after="0" w:line="240" w:lineRule="exact"/>
              <w:jc w:val="center"/>
            </w:pPr>
            <w:r>
              <w:rPr>
                <w:rFonts w:cs="Times New Roman"/>
                <w:b/>
                <w:sz w:val="22"/>
              </w:rPr>
              <w:t xml:space="preserve">Ecosystem Ratio </w:t>
            </w:r>
            <w:r w:rsidR="002026E8">
              <w:rPr>
                <w:rFonts w:ascii="新細明體" w:eastAsia="新細明體" w:hAnsi="新細明體" w:cs="Times New Roman" w:hint="eastAsia"/>
                <w:b/>
                <w:sz w:val="22"/>
                <w:lang w:eastAsia="zh-TW"/>
              </w:rPr>
              <w:t>(</w:t>
            </w:r>
            <w:r>
              <w:rPr>
                <w:rFonts w:cs="Times New Roman"/>
                <w:b/>
                <w:sz w:val="22"/>
              </w:rPr>
              <w:t>E</w:t>
            </w:r>
            <w:r w:rsidR="002026E8">
              <w:rPr>
                <w:rFonts w:ascii="新細明體" w:eastAsia="新細明體" w:hAnsi="新細明體" w:cs="Times New Roman" w:hint="eastAsia"/>
                <w:b/>
                <w:sz w:val="22"/>
                <w:lang w:eastAsia="zh-TW"/>
              </w:rPr>
              <w:t>)</w:t>
            </w:r>
          </w:p>
        </w:tc>
        <w:tc>
          <w:tcPr>
            <w:tcW w:w="2947" w:type="dxa"/>
            <w:tcBorders>
              <w:top w:val="single" w:sz="4" w:space="0" w:color="auto"/>
              <w:left w:val="nil"/>
              <w:bottom w:val="single" w:sz="4" w:space="0" w:color="auto"/>
              <w:right w:val="nil"/>
            </w:tcBorders>
            <w:vAlign w:val="center"/>
          </w:tcPr>
          <w:p w14:paraId="1DFA770A" w14:textId="77777777" w:rsidR="00CF52FD" w:rsidRDefault="00000000">
            <w:pPr>
              <w:keepNext/>
              <w:spacing w:after="0" w:line="240" w:lineRule="exact"/>
              <w:jc w:val="center"/>
            </w:pPr>
            <w:r>
              <w:rPr>
                <w:rFonts w:cs="Times New Roman"/>
                <w:b/>
                <w:sz w:val="22"/>
              </w:rPr>
              <w:t>Evidence</w:t>
            </w:r>
          </w:p>
        </w:tc>
      </w:tr>
      <w:tr w:rsidR="00CF52FD" w14:paraId="16D52722" w14:textId="77777777">
        <w:trPr>
          <w:cantSplit/>
          <w:jc w:val="center"/>
        </w:trPr>
        <w:tc>
          <w:tcPr>
            <w:tcW w:w="2000" w:type="dxa"/>
            <w:tcBorders>
              <w:top w:val="nil"/>
              <w:left w:val="nil"/>
              <w:bottom w:val="nil"/>
              <w:right w:val="nil"/>
            </w:tcBorders>
            <w:vAlign w:val="center"/>
          </w:tcPr>
          <w:p w14:paraId="4B364CD7" w14:textId="77777777" w:rsidR="00CF52FD" w:rsidRDefault="00000000">
            <w:pPr>
              <w:keepNext/>
              <w:spacing w:after="0" w:line="240" w:lineRule="exact"/>
            </w:pPr>
            <w:r>
              <w:rPr>
                <w:rFonts w:cs="Times New Roman"/>
                <w:sz w:val="22"/>
              </w:rPr>
              <w:t>Grab Indonesia</w:t>
            </w:r>
          </w:p>
        </w:tc>
        <w:tc>
          <w:tcPr>
            <w:tcW w:w="1249" w:type="dxa"/>
            <w:tcBorders>
              <w:top w:val="nil"/>
              <w:left w:val="nil"/>
              <w:bottom w:val="nil"/>
              <w:right w:val="nil"/>
            </w:tcBorders>
            <w:vAlign w:val="center"/>
          </w:tcPr>
          <w:p w14:paraId="7D2E9ECE" w14:textId="77777777" w:rsidR="00CF52FD" w:rsidRDefault="00000000">
            <w:pPr>
              <w:keepNext/>
              <w:spacing w:after="0" w:line="240" w:lineRule="exact"/>
              <w:jc w:val="center"/>
            </w:pPr>
            <w:r>
              <w:rPr>
                <w:rFonts w:cs="Times New Roman"/>
                <w:sz w:val="22"/>
              </w:rPr>
              <w:t>5.381</w:t>
            </w:r>
          </w:p>
        </w:tc>
        <w:tc>
          <w:tcPr>
            <w:tcW w:w="1050" w:type="dxa"/>
            <w:tcBorders>
              <w:top w:val="nil"/>
              <w:left w:val="nil"/>
              <w:bottom w:val="nil"/>
              <w:right w:val="nil"/>
            </w:tcBorders>
            <w:vAlign w:val="center"/>
          </w:tcPr>
          <w:p w14:paraId="008F48B7" w14:textId="77777777" w:rsidR="00CF52FD" w:rsidRDefault="00000000">
            <w:pPr>
              <w:keepNext/>
              <w:spacing w:after="0" w:line="240" w:lineRule="exact"/>
              <w:jc w:val="center"/>
            </w:pPr>
            <w:r>
              <w:rPr>
                <w:rFonts w:cs="Times New Roman"/>
                <w:sz w:val="22"/>
              </w:rPr>
              <w:t>0.605</w:t>
            </w:r>
          </w:p>
        </w:tc>
        <w:tc>
          <w:tcPr>
            <w:tcW w:w="1051" w:type="dxa"/>
            <w:tcBorders>
              <w:top w:val="nil"/>
              <w:left w:val="nil"/>
              <w:bottom w:val="nil"/>
              <w:right w:val="nil"/>
            </w:tcBorders>
            <w:vAlign w:val="center"/>
          </w:tcPr>
          <w:p w14:paraId="13E53BF8" w14:textId="77777777" w:rsidR="00CF52FD" w:rsidRDefault="00000000">
            <w:pPr>
              <w:keepNext/>
              <w:spacing w:after="0" w:line="240" w:lineRule="exact"/>
              <w:jc w:val="center"/>
            </w:pPr>
            <w:r>
              <w:rPr>
                <w:rFonts w:cs="Times New Roman"/>
                <w:sz w:val="22"/>
              </w:rPr>
              <w:t>4.776</w:t>
            </w:r>
          </w:p>
        </w:tc>
        <w:tc>
          <w:tcPr>
            <w:tcW w:w="1249" w:type="dxa"/>
            <w:tcBorders>
              <w:top w:val="nil"/>
              <w:left w:val="nil"/>
              <w:bottom w:val="nil"/>
              <w:right w:val="nil"/>
            </w:tcBorders>
            <w:vAlign w:val="center"/>
          </w:tcPr>
          <w:p w14:paraId="5C3A685E" w14:textId="77777777" w:rsidR="00CF52FD" w:rsidRDefault="00000000">
            <w:pPr>
              <w:keepNext/>
              <w:spacing w:after="0" w:line="240" w:lineRule="exact"/>
              <w:jc w:val="center"/>
            </w:pPr>
            <w:r>
              <w:rPr>
                <w:rFonts w:cs="Times New Roman"/>
                <w:sz w:val="22"/>
              </w:rPr>
              <w:t>7.895x</w:t>
            </w:r>
          </w:p>
        </w:tc>
        <w:tc>
          <w:tcPr>
            <w:tcW w:w="2947" w:type="dxa"/>
            <w:tcBorders>
              <w:top w:val="nil"/>
              <w:left w:val="nil"/>
              <w:bottom w:val="nil"/>
              <w:right w:val="nil"/>
            </w:tcBorders>
            <w:vAlign w:val="center"/>
          </w:tcPr>
          <w:p w14:paraId="47C2CA3B" w14:textId="77777777" w:rsidR="00CF52FD" w:rsidRDefault="00000000">
            <w:pPr>
              <w:keepNext/>
              <w:spacing w:after="0" w:line="240" w:lineRule="exact"/>
              <w:jc w:val="center"/>
            </w:pPr>
            <w:r>
              <w:rPr>
                <w:rFonts w:cs="Times New Roman"/>
                <w:sz w:val="22"/>
              </w:rPr>
              <w:t>Transaction value constructed</w:t>
            </w:r>
          </w:p>
        </w:tc>
      </w:tr>
      <w:tr w:rsidR="00CF52FD" w14:paraId="09E3ACFA" w14:textId="77777777">
        <w:trPr>
          <w:cantSplit/>
          <w:jc w:val="center"/>
        </w:trPr>
        <w:tc>
          <w:tcPr>
            <w:tcW w:w="2000" w:type="dxa"/>
            <w:tcBorders>
              <w:top w:val="nil"/>
              <w:left w:val="nil"/>
              <w:bottom w:val="nil"/>
              <w:right w:val="nil"/>
            </w:tcBorders>
            <w:vAlign w:val="center"/>
          </w:tcPr>
          <w:p w14:paraId="0A4AF3D5" w14:textId="77777777" w:rsidR="00CF52FD" w:rsidRDefault="00000000">
            <w:pPr>
              <w:keepNext/>
              <w:spacing w:after="0" w:line="240" w:lineRule="exact"/>
            </w:pPr>
            <w:r>
              <w:rPr>
                <w:rFonts w:cs="Times New Roman"/>
                <w:sz w:val="22"/>
              </w:rPr>
              <w:t>Tokopedia</w:t>
            </w:r>
          </w:p>
        </w:tc>
        <w:tc>
          <w:tcPr>
            <w:tcW w:w="1249" w:type="dxa"/>
            <w:tcBorders>
              <w:top w:val="nil"/>
              <w:left w:val="nil"/>
              <w:bottom w:val="nil"/>
              <w:right w:val="nil"/>
            </w:tcBorders>
            <w:vAlign w:val="center"/>
          </w:tcPr>
          <w:p w14:paraId="7878F9DB" w14:textId="77777777" w:rsidR="00CF52FD" w:rsidRDefault="00000000">
            <w:pPr>
              <w:keepNext/>
              <w:spacing w:after="0" w:line="240" w:lineRule="exact"/>
              <w:jc w:val="center"/>
            </w:pPr>
            <w:r>
              <w:rPr>
                <w:rFonts w:cs="Times New Roman"/>
                <w:sz w:val="22"/>
              </w:rPr>
              <w:t>16.331</w:t>
            </w:r>
          </w:p>
        </w:tc>
        <w:tc>
          <w:tcPr>
            <w:tcW w:w="1050" w:type="dxa"/>
            <w:tcBorders>
              <w:top w:val="nil"/>
              <w:left w:val="nil"/>
              <w:bottom w:val="nil"/>
              <w:right w:val="nil"/>
            </w:tcBorders>
            <w:vAlign w:val="center"/>
          </w:tcPr>
          <w:p w14:paraId="541651B3" w14:textId="77777777" w:rsidR="00CF52FD" w:rsidRDefault="00000000">
            <w:pPr>
              <w:keepNext/>
              <w:spacing w:after="0" w:line="240" w:lineRule="exact"/>
              <w:jc w:val="center"/>
            </w:pPr>
            <w:r>
              <w:rPr>
                <w:rFonts w:cs="Times New Roman"/>
                <w:sz w:val="22"/>
              </w:rPr>
              <w:t>0.405</w:t>
            </w:r>
          </w:p>
        </w:tc>
        <w:tc>
          <w:tcPr>
            <w:tcW w:w="1051" w:type="dxa"/>
            <w:tcBorders>
              <w:top w:val="nil"/>
              <w:left w:val="nil"/>
              <w:bottom w:val="nil"/>
              <w:right w:val="nil"/>
            </w:tcBorders>
            <w:vAlign w:val="center"/>
          </w:tcPr>
          <w:p w14:paraId="774925B4" w14:textId="77777777" w:rsidR="00CF52FD" w:rsidRDefault="00000000">
            <w:pPr>
              <w:keepNext/>
              <w:spacing w:after="0" w:line="240" w:lineRule="exact"/>
              <w:jc w:val="center"/>
            </w:pPr>
            <w:r>
              <w:rPr>
                <w:rFonts w:cs="Times New Roman"/>
                <w:sz w:val="22"/>
              </w:rPr>
              <w:t>15.926</w:t>
            </w:r>
          </w:p>
        </w:tc>
        <w:tc>
          <w:tcPr>
            <w:tcW w:w="1249" w:type="dxa"/>
            <w:tcBorders>
              <w:top w:val="nil"/>
              <w:left w:val="nil"/>
              <w:bottom w:val="nil"/>
              <w:right w:val="nil"/>
            </w:tcBorders>
            <w:vAlign w:val="center"/>
          </w:tcPr>
          <w:p w14:paraId="4C3856E3" w14:textId="77777777" w:rsidR="00CF52FD" w:rsidRDefault="00000000">
            <w:pPr>
              <w:keepNext/>
              <w:spacing w:after="0" w:line="240" w:lineRule="exact"/>
              <w:jc w:val="center"/>
            </w:pPr>
            <w:r>
              <w:rPr>
                <w:rFonts w:cs="Times New Roman"/>
                <w:sz w:val="22"/>
              </w:rPr>
              <w:t>39.296x</w:t>
            </w:r>
          </w:p>
        </w:tc>
        <w:tc>
          <w:tcPr>
            <w:tcW w:w="2947" w:type="dxa"/>
            <w:tcBorders>
              <w:top w:val="nil"/>
              <w:left w:val="nil"/>
              <w:bottom w:val="nil"/>
              <w:right w:val="nil"/>
            </w:tcBorders>
            <w:vAlign w:val="center"/>
          </w:tcPr>
          <w:p w14:paraId="286A1CE8" w14:textId="77777777" w:rsidR="00CF52FD" w:rsidRDefault="00000000">
            <w:pPr>
              <w:keepNext/>
              <w:spacing w:after="0" w:line="240" w:lineRule="exact"/>
              <w:jc w:val="center"/>
            </w:pPr>
            <w:r>
              <w:rPr>
                <w:rFonts w:cs="Times New Roman"/>
                <w:sz w:val="22"/>
              </w:rPr>
              <w:t>Issuer-reported pair</w:t>
            </w:r>
          </w:p>
        </w:tc>
      </w:tr>
      <w:tr w:rsidR="00CF52FD" w14:paraId="6CADA6DA" w14:textId="77777777">
        <w:trPr>
          <w:cantSplit/>
          <w:jc w:val="center"/>
        </w:trPr>
        <w:tc>
          <w:tcPr>
            <w:tcW w:w="2000" w:type="dxa"/>
            <w:tcBorders>
              <w:top w:val="nil"/>
              <w:left w:val="nil"/>
              <w:bottom w:val="nil"/>
              <w:right w:val="nil"/>
            </w:tcBorders>
            <w:vAlign w:val="center"/>
          </w:tcPr>
          <w:p w14:paraId="7E6FAB3D" w14:textId="77777777" w:rsidR="00CF52FD" w:rsidRDefault="00000000">
            <w:pPr>
              <w:keepNext/>
              <w:spacing w:after="0" w:line="240" w:lineRule="exact"/>
            </w:pPr>
            <w:r>
              <w:rPr>
                <w:rFonts w:cs="Times New Roman"/>
                <w:sz w:val="22"/>
              </w:rPr>
              <w:t>Shopee Indonesia</w:t>
            </w:r>
          </w:p>
        </w:tc>
        <w:tc>
          <w:tcPr>
            <w:tcW w:w="1249" w:type="dxa"/>
            <w:tcBorders>
              <w:top w:val="nil"/>
              <w:left w:val="nil"/>
              <w:bottom w:val="nil"/>
              <w:right w:val="nil"/>
            </w:tcBorders>
            <w:vAlign w:val="center"/>
          </w:tcPr>
          <w:p w14:paraId="1D093AC0" w14:textId="77777777" w:rsidR="00CF52FD" w:rsidRDefault="00000000">
            <w:pPr>
              <w:keepNext/>
              <w:spacing w:after="0" w:line="240" w:lineRule="exact"/>
              <w:jc w:val="center"/>
            </w:pPr>
            <w:r>
              <w:rPr>
                <w:rFonts w:cs="Times New Roman"/>
                <w:sz w:val="22"/>
              </w:rPr>
              <w:t>21.520</w:t>
            </w:r>
          </w:p>
        </w:tc>
        <w:tc>
          <w:tcPr>
            <w:tcW w:w="1050" w:type="dxa"/>
            <w:tcBorders>
              <w:top w:val="nil"/>
              <w:left w:val="nil"/>
              <w:bottom w:val="nil"/>
              <w:right w:val="nil"/>
            </w:tcBorders>
            <w:vAlign w:val="center"/>
          </w:tcPr>
          <w:p w14:paraId="061F8755" w14:textId="77777777" w:rsidR="00CF52FD" w:rsidRDefault="00000000">
            <w:pPr>
              <w:keepNext/>
              <w:spacing w:after="0" w:line="240" w:lineRule="exact"/>
              <w:jc w:val="center"/>
            </w:pPr>
            <w:r>
              <w:rPr>
                <w:rFonts w:cs="Times New Roman"/>
                <w:sz w:val="22"/>
              </w:rPr>
              <w:t>2.152</w:t>
            </w:r>
          </w:p>
        </w:tc>
        <w:tc>
          <w:tcPr>
            <w:tcW w:w="1051" w:type="dxa"/>
            <w:tcBorders>
              <w:top w:val="nil"/>
              <w:left w:val="nil"/>
              <w:bottom w:val="nil"/>
              <w:right w:val="nil"/>
            </w:tcBorders>
            <w:vAlign w:val="center"/>
          </w:tcPr>
          <w:p w14:paraId="02978879" w14:textId="77777777" w:rsidR="00CF52FD" w:rsidRDefault="00000000">
            <w:pPr>
              <w:keepNext/>
              <w:spacing w:after="0" w:line="240" w:lineRule="exact"/>
              <w:jc w:val="center"/>
            </w:pPr>
            <w:r>
              <w:rPr>
                <w:rFonts w:cs="Times New Roman"/>
                <w:sz w:val="22"/>
              </w:rPr>
              <w:t>19.368</w:t>
            </w:r>
          </w:p>
        </w:tc>
        <w:tc>
          <w:tcPr>
            <w:tcW w:w="1249" w:type="dxa"/>
            <w:tcBorders>
              <w:top w:val="nil"/>
              <w:left w:val="nil"/>
              <w:bottom w:val="nil"/>
              <w:right w:val="nil"/>
            </w:tcBorders>
            <w:vAlign w:val="center"/>
          </w:tcPr>
          <w:p w14:paraId="0A5B2D1A" w14:textId="77777777" w:rsidR="00CF52FD" w:rsidRDefault="00000000">
            <w:pPr>
              <w:keepNext/>
              <w:spacing w:after="0" w:line="240" w:lineRule="exact"/>
              <w:jc w:val="center"/>
            </w:pPr>
            <w:r>
              <w:rPr>
                <w:rFonts w:cs="Times New Roman"/>
                <w:sz w:val="22"/>
              </w:rPr>
              <w:t>9.000x</w:t>
            </w:r>
          </w:p>
        </w:tc>
        <w:tc>
          <w:tcPr>
            <w:tcW w:w="2947" w:type="dxa"/>
            <w:tcBorders>
              <w:top w:val="nil"/>
              <w:left w:val="nil"/>
              <w:bottom w:val="nil"/>
              <w:right w:val="nil"/>
            </w:tcBorders>
            <w:vAlign w:val="center"/>
          </w:tcPr>
          <w:p w14:paraId="66DDF930" w14:textId="77777777" w:rsidR="00CF52FD" w:rsidRDefault="00000000">
            <w:pPr>
              <w:keepNext/>
              <w:spacing w:after="0" w:line="240" w:lineRule="exact"/>
              <w:jc w:val="center"/>
            </w:pPr>
            <w:r>
              <w:rPr>
                <w:rFonts w:cs="Times New Roman"/>
                <w:sz w:val="22"/>
              </w:rPr>
              <w:t>Transaction value and revenue estimated</w:t>
            </w:r>
          </w:p>
        </w:tc>
      </w:tr>
      <w:tr w:rsidR="00CF52FD" w14:paraId="32ACC0AE" w14:textId="77777777">
        <w:trPr>
          <w:cantSplit/>
          <w:jc w:val="center"/>
        </w:trPr>
        <w:tc>
          <w:tcPr>
            <w:tcW w:w="2000" w:type="dxa"/>
            <w:tcBorders>
              <w:top w:val="nil"/>
              <w:left w:val="nil"/>
              <w:bottom w:val="single" w:sz="4" w:space="0" w:color="auto"/>
              <w:right w:val="nil"/>
            </w:tcBorders>
            <w:vAlign w:val="center"/>
          </w:tcPr>
          <w:p w14:paraId="5CE6F6D9" w14:textId="77777777" w:rsidR="00CF52FD" w:rsidRDefault="00000000">
            <w:pPr>
              <w:spacing w:after="0" w:line="240" w:lineRule="exact"/>
            </w:pPr>
            <w:r>
              <w:rPr>
                <w:rFonts w:cs="Times New Roman"/>
                <w:sz w:val="22"/>
              </w:rPr>
              <w:t>Three platforms</w:t>
            </w:r>
          </w:p>
        </w:tc>
        <w:tc>
          <w:tcPr>
            <w:tcW w:w="1249" w:type="dxa"/>
            <w:tcBorders>
              <w:top w:val="nil"/>
              <w:left w:val="nil"/>
              <w:bottom w:val="single" w:sz="4" w:space="0" w:color="auto"/>
              <w:right w:val="nil"/>
            </w:tcBorders>
            <w:vAlign w:val="center"/>
          </w:tcPr>
          <w:p w14:paraId="2398D433" w14:textId="77777777" w:rsidR="00CF52FD" w:rsidRDefault="00000000">
            <w:pPr>
              <w:spacing w:after="0" w:line="240" w:lineRule="exact"/>
              <w:jc w:val="center"/>
            </w:pPr>
            <w:r>
              <w:rPr>
                <w:rFonts w:cs="Times New Roman"/>
                <w:sz w:val="22"/>
              </w:rPr>
              <w:t>43.233</w:t>
            </w:r>
          </w:p>
        </w:tc>
        <w:tc>
          <w:tcPr>
            <w:tcW w:w="1050" w:type="dxa"/>
            <w:tcBorders>
              <w:top w:val="nil"/>
              <w:left w:val="nil"/>
              <w:bottom w:val="single" w:sz="4" w:space="0" w:color="auto"/>
              <w:right w:val="nil"/>
            </w:tcBorders>
            <w:vAlign w:val="center"/>
          </w:tcPr>
          <w:p w14:paraId="39117B8C" w14:textId="77777777" w:rsidR="00CF52FD" w:rsidRDefault="00000000">
            <w:pPr>
              <w:spacing w:after="0" w:line="240" w:lineRule="exact"/>
              <w:jc w:val="center"/>
            </w:pPr>
            <w:r>
              <w:rPr>
                <w:rFonts w:cs="Times New Roman"/>
                <w:sz w:val="22"/>
              </w:rPr>
              <w:t>3.162</w:t>
            </w:r>
          </w:p>
        </w:tc>
        <w:tc>
          <w:tcPr>
            <w:tcW w:w="1051" w:type="dxa"/>
            <w:tcBorders>
              <w:top w:val="nil"/>
              <w:left w:val="nil"/>
              <w:bottom w:val="single" w:sz="4" w:space="0" w:color="auto"/>
              <w:right w:val="nil"/>
            </w:tcBorders>
            <w:vAlign w:val="center"/>
          </w:tcPr>
          <w:p w14:paraId="6EBD8D96" w14:textId="77777777" w:rsidR="00CF52FD" w:rsidRDefault="00000000">
            <w:pPr>
              <w:spacing w:after="0" w:line="240" w:lineRule="exact"/>
              <w:jc w:val="center"/>
            </w:pPr>
            <w:r>
              <w:rPr>
                <w:rFonts w:cs="Times New Roman"/>
                <w:sz w:val="22"/>
              </w:rPr>
              <w:t>40.070</w:t>
            </w:r>
          </w:p>
        </w:tc>
        <w:tc>
          <w:tcPr>
            <w:tcW w:w="1249" w:type="dxa"/>
            <w:tcBorders>
              <w:top w:val="nil"/>
              <w:left w:val="nil"/>
              <w:bottom w:val="single" w:sz="4" w:space="0" w:color="auto"/>
              <w:right w:val="nil"/>
            </w:tcBorders>
            <w:vAlign w:val="center"/>
          </w:tcPr>
          <w:p w14:paraId="78EDAAA0" w14:textId="77777777" w:rsidR="00CF52FD" w:rsidRDefault="00000000">
            <w:pPr>
              <w:spacing w:after="0" w:line="240" w:lineRule="exact"/>
              <w:jc w:val="center"/>
            </w:pPr>
            <w:r>
              <w:rPr>
                <w:rFonts w:cs="Times New Roman"/>
                <w:sz w:val="22"/>
              </w:rPr>
              <w:t>12.671x</w:t>
            </w:r>
          </w:p>
        </w:tc>
        <w:tc>
          <w:tcPr>
            <w:tcW w:w="2947" w:type="dxa"/>
            <w:tcBorders>
              <w:top w:val="nil"/>
              <w:left w:val="nil"/>
              <w:bottom w:val="single" w:sz="4" w:space="0" w:color="auto"/>
              <w:right w:val="nil"/>
            </w:tcBorders>
            <w:vAlign w:val="center"/>
          </w:tcPr>
          <w:p w14:paraId="50B7B522" w14:textId="77777777" w:rsidR="00CF52FD" w:rsidRDefault="00000000">
            <w:pPr>
              <w:spacing w:after="0" w:line="240" w:lineRule="exact"/>
              <w:jc w:val="center"/>
            </w:pPr>
            <w:r>
              <w:rPr>
                <w:rFonts w:cs="Times New Roman"/>
                <w:sz w:val="22"/>
              </w:rPr>
              <w:t>Sum of three cases, not national total</w:t>
            </w:r>
          </w:p>
        </w:tc>
      </w:tr>
    </w:tbl>
    <w:p w14:paraId="28689932" w14:textId="77777777" w:rsidR="00CF52FD" w:rsidRDefault="00000000">
      <w:pPr>
        <w:keepLines/>
        <w:spacing w:before="100" w:after="110" w:line="257" w:lineRule="auto"/>
        <w:jc w:val="both"/>
      </w:pPr>
      <w:r>
        <w:t xml:space="preserve">Table 5 reports that cross-section. Across the three platforms, US$43.23 billion of transaction value corresponds to US$3.16 billion of recognized revenue, a wedge of US$40.07 billion and a transaction-value-to-revenue ratio of 13.7 to 1 (E = 12.7). This establishes a large level separation, but level separation alone does not determine whether revenue is a useful proxy for growth. That question requires the within-platform dynamic evidence reported below.</w:t>
      </w:r>
      <w:r>
        <w:t xml:space="preserve"/>
      </w:r>
      <w:r>
        <w:t/>
      </w:r>
      <w:r>
        <w:t xml:space="preserve"/>
      </w:r>
      <w:r>
        <w:t xml:space="preserve"/>
      </w:r>
      <w:r>
        <w:t/>
      </w:r>
      <w:r>
        <w:t xml:space="preserve"/>
      </w:r>
    </w:p>
    <w:p w14:paraId="4FC9DFAA" w14:textId="77777777" w:rsidR="00CF52FD" w:rsidRDefault="00000000">
      <w:pPr>
        <w:spacing w:after="110" w:line="257" w:lineRule="auto"/>
        <w:jc w:val="both"/>
      </w:pPr>
      <w:r>
        <w:t>One concern is that two</w:t>
      </w:r>
      <w:r>
        <w:t xml:space="preserve"> ratios rest on construction. Shopee's 9.0 follows from an assumed company-wide monetization rate of 10 percent</w:t>
      </w:r>
      <w:r>
        <w:t>, and</w:t>
      </w:r>
      <w:r>
        <w:t xml:space="preserve"> Grab's 7.9 is its company-wide ratio</w:t>
      </w:r>
      <w:r>
        <w:t>,</w:t>
      </w:r>
      <w:r>
        <w:t xml:space="preserve"> </w:t>
      </w:r>
      <w:r>
        <w:t>so neither</w:t>
      </w:r>
      <w:r>
        <w:t xml:space="preserve"> provides independent Indonesian ratio evidence. </w:t>
      </w:r>
      <w:r>
        <w:t>To address this concern, I vary</w:t>
      </w:r>
      <w:r>
        <w:t xml:space="preserve"> Shopee's rate from 9 to 11 percent</w:t>
      </w:r>
      <w:r>
        <w:t>, which</w:t>
      </w:r>
      <w:r>
        <w:t xml:space="preserve"> puts the combined wedge between US$39.86 billion and US$40.29 billion</w:t>
      </w:r>
      <w:r>
        <w:t>,</w:t>
      </w:r>
      <w:r>
        <w:t xml:space="preserve"> </w:t>
      </w:r>
      <w:r>
        <w:t>and</w:t>
      </w:r>
      <w:r>
        <w:t xml:space="preserve"> </w:t>
      </w:r>
      <w:r>
        <w:t>exclude each</w:t>
      </w:r>
      <w:r>
        <w:t xml:space="preserve"> platform </w:t>
      </w:r>
      <w:r>
        <w:t xml:space="preserve">in turn, which </w:t>
      </w:r>
      <w:r>
        <w:t>leaves</w:t>
      </w:r>
      <w:r>
        <w:t xml:space="preserve"> a wedge of</w:t>
      </w:r>
      <w:r>
        <w:t xml:space="preserve"> at least US$20.70 billion.</w:t>
      </w:r>
    </w:p>
    <w:p w14:paraId="0E96680F" w14:textId="77777777" w:rsidR="00CF52FD" w:rsidRDefault="00000000">
      <w:pPr>
        <w:spacing w:after="110" w:line="257" w:lineRule="auto"/>
        <w:jc w:val="both"/>
      </w:pPr>
      <w:r>
        <w:t xml:space="preserve">At the 2023 exchange rate, Blibli's and </w:t>
      </w:r>
      <w:proofErr w:type="spellStart"/>
      <w:r>
        <w:t>Bukalapak's</w:t>
      </w:r>
      <w:proofErr w:type="spellEnd"/>
      <w:r>
        <w:t xml:space="preserve"> reported transaction and revenue figures yield wedges of US$3.20 billion and US$10.50 billion. They are excluded from the total because </w:t>
      </w:r>
      <w:r>
        <w:t>Blibli's</w:t>
      </w:r>
      <w:r>
        <w:t xml:space="preserve"> </w:t>
      </w:r>
      <w:r>
        <w:t>measure</w:t>
      </w:r>
      <w:r>
        <w:t xml:space="preserve"> </w:t>
      </w:r>
      <w:r>
        <w:t>includes</w:t>
      </w:r>
      <w:r>
        <w:t xml:space="preserve"> online travel and </w:t>
      </w:r>
      <w:proofErr w:type="spellStart"/>
      <w:r>
        <w:t>Bukalapak's</w:t>
      </w:r>
      <w:proofErr w:type="spellEnd"/>
      <w:r>
        <w:t xml:space="preserve"> is reported at </w:t>
      </w:r>
      <w:r>
        <w:t>Group</w:t>
      </w:r>
      <w:r>
        <w:t xml:space="preserve"> </w:t>
      </w:r>
      <w:r>
        <w:t>level</w:t>
      </w:r>
      <w:r>
        <w:t>. Their ratios, 43.4 and 36.0, sit close to Tokopedia's 39.3; the constructed ratios</w:t>
      </w:r>
      <w:r>
        <w:t>,</w:t>
      </w:r>
      <w:r>
        <w:t xml:space="preserve"> </w:t>
      </w:r>
      <w:r>
        <w:t>by contrast,</w:t>
      </w:r>
      <w:r>
        <w:t xml:space="preserve"> reflect company-wide monetization.</w:t>
      </w:r>
    </w:p>
    <w:p w14:paraId="3B22BF1F" w14:textId="77777777" w:rsidR="00CF52FD" w:rsidRDefault="00000000">
      <w:pPr>
        <w:spacing w:after="110" w:line="257" w:lineRule="auto"/>
        <w:jc w:val="both"/>
      </w:pPr>
      <w:r>
        <w:rPr>
          <w:rFonts w:ascii="Times New Roman" w:hAnsi="Times New Roman"/>
          <w:sz w:val="22"/>
        </w:rPr>
        <w:t>The relationship is not stable. Revenue grew faster in six of the eight main-sample comparisons, and the median absolute gap between the two growth rates was 38.92 percentage points. In two comparisons, revenue and transaction value moved in opposite directions. Tokopedia's 53.2 percent revenue growth against an 8.9 percent transaction-value decline gives a 62.1-point divergence. After dropping the largest comparison, revenue still grew faster in five of seven, with a median gap of 15.74 points. Every leave-one-out sample still shows revenue growing faster in a majority of comparisons and contains at least one reversal. Adding Grab and Shopee raises the count to ten of twelve, but their four comparisons simply reflect company-wide monetization. Across the issuer-reported series, every Ecosystem Ratio ends below its starting point, although the path is not monotonic in every case. Figure 1 therefore focuses on the stronger dynamic test: the signed growth divergence D across the eight issuer-reported comparisons.</w:t>
      </w:r>
    </w:p>
    <w:p w14:paraId="3F0AE087" w14:textId="77777777" w:rsidR="00CF52FD" w:rsidRDefault="00000000">
      <w:pPr>
        <w:keepNext/>
        <w:spacing w:before="0" w:after="60" w:line="254" w:lineRule="auto"/>
        <w:jc w:val="center"/>
      </w:pPr>
      <w:r>
        <w:drawing>
          <wp:inline xmlns:a="http://schemas.openxmlformats.org/drawingml/2006/main" xmlns:pic="http://schemas.openxmlformats.org/drawingml/2006/picture">
            <wp:extent cx="5742432" cy="2752815"/>
            <wp:docPr id="1" name="Picture 1"/>
            <wp:cNvGraphicFramePr>
              <a:graphicFrameLocks noChangeAspect="1"/>
            </wp:cNvGraphicFramePr>
            <a:graphic>
              <a:graphicData uri="http://schemas.openxmlformats.org/drawingml/2006/picture">
                <pic:pic>
                  <pic:nvPicPr>
                    <pic:cNvPr id="0" name="E3_signed_divergence_doc.png"/>
                    <pic:cNvPicPr/>
                  </pic:nvPicPr>
                  <pic:blipFill>
                    <a:blip r:embed="rId8"/>
                    <a:stretch>
                      <a:fillRect/>
                    </a:stretch>
                  </pic:blipFill>
                  <pic:spPr>
                    <a:xfrm>
                      <a:off x="0" y="0"/>
                      <a:ext cx="5742432" cy="2752815"/>
                    </a:xfrm>
                    <a:prstGeom prst="rect"/>
                  </pic:spPr>
                </pic:pic>
              </a:graphicData>
            </a:graphic>
          </wp:inline>
        </w:drawing>
      </w:r>
    </w:p>
    <w:p w14:paraId="1F5473D6" w14:textId="77777777" w:rsidR="00CF52FD" w:rsidRDefault="00000000">
      <w:pPr>
        <w:spacing w:before="40" w:after="80" w:line="240" w:lineRule="auto"/>
        <w:jc w:val="center"/>
      </w:pPr>
      <w:r>
        <w:rPr>
          <w:rFonts w:ascii="Times New Roman" w:hAnsi="Times New Roman"/>
          <w:b/>
          <w:i/>
          <w:sz w:val="19"/>
        </w:rPr>
        <w:t>Figure 1. Growth divergence (D) in the issuer-reported main sample, 2020–2025. Positive values indicate faster revenue growth; diamonds mark the two sign reversals. Blibli 2022–2023 is shown with a broken axis.</w:t>
      </w:r>
    </w:p>
    <w:p w14:paraId="05EC9596" w14:textId="77777777" w:rsidR="00CF52FD" w:rsidRDefault="00000000">
      <w:pPr>
        <w:spacing w:after="110" w:line="257" w:lineRule="auto"/>
        <w:jc w:val="both"/>
      </w:pPr>
      <w:r>
        <w:rPr>
          <w:rFonts w:ascii="Times New Roman" w:hAnsi="Times New Roman"/>
          <w:sz w:val="22"/>
        </w:rPr>
        <w:t>Tokopedia illustrates the central proxy problem. In 2022–2023, transaction value fell 8.9 percent while third-party net revenue rose 53.2 percent. GoTo's disclosed bridge shows that 60.6 percent of the net-revenue increase reconciles to a lower customer-incentive deduction and 39.4 percent to higher gross revenue. Blibli supplies a second sign reversal in 2024–2025. Across the eight issuer-reported comparisons, revenue grows faster in six, the measures move in opposite directions twice, and median absolute |D| is 38.92 percentage points. These are direct tests of whether revenue preserves the growth story of the commerce it is being asked to represent.</w:t>
      </w:r>
    </w:p>
    <w:p w14:paraId="603361D9" w14:textId="77777777" w:rsidR="00CF52FD" w:rsidRDefault="00000000">
      <w:pPr>
        <w:pStyle w:val="Heading2"/>
        <w:spacing w:before="140" w:after="60"/>
      </w:pPr>
      <w:r>
        <w:rPr>
          <w:rFonts w:ascii="Times New Roman" w:eastAsia="Times New Roman" w:hAnsi="Times New Roman"/>
        </w:rPr>
        <w:t>5.2 Evidence Beyond Platform Revenue</w:t>
      </w:r>
    </w:p>
    <w:p w14:paraId="2E3DB12D" w14:textId="3E49276B" w:rsidR="00CF52FD" w:rsidRDefault="00000000">
      <w:pPr>
        <w:keepLines/>
        <w:spacing w:after="110" w:line="257" w:lineRule="auto"/>
        <w:jc w:val="both"/>
      </w:pPr>
      <w:r>
        <w:t xml:space="preserve">National statistics provide a second measurement setting. BPS measures online sales reported by surveyed e-commerce businesses; platform transaction measures use different scopes and definitions, so level differences are treated as scope evidence rather than proof that one source omitted activity. Growth is more directly comparable: between 2023 and 2024, BPS total e-commerce value increased 17.08 percent while its marketplace category increased 1.45 percent and other channels 20.57 percent. On BPS's own definitions, 98.46 percent of the measured increase therefore occurred outside the marketplace category. A component and a wider total can thus support different accounts of the same period without either measure being incorrect.</w:t>
      </w:r>
      <w:r>
        <w:t/>
      </w:r>
      <w:r>
        <w:t xml:space="preserve"/>
      </w:r>
      <w:r>
        <w:t/>
      </w:r>
      <w:r>
        <w:t/>
      </w:r>
      <w:r>
        <w:t xml:space="preserve"/>
      </w:r>
      <w:r>
        <w:t xml:space="preserve"/>
      </w:r>
      <w:r>
        <w:t/>
      </w:r>
      <w:r>
        <w:t xml:space="preserve"/>
      </w:r>
      <w:r w:rsidR="00183555">
        <w:t/>
      </w:r>
      <w:r>
        <w:t xml:space="preserve"/>
      </w:r>
    </w:p>
    <w:p w14:paraId="0FC2E20B" w14:textId="77777777" w:rsidR="00CF52FD" w:rsidRDefault="00000000">
      <w:pPr>
        <w:spacing w:after="110" w:line="257" w:lineRule="auto"/>
        <w:jc w:val="both"/>
      </w:pPr>
      <w:r>
        <w:t>Growth can be compared more directly. Table 6 summarizes the evidence for H2–H4 and the payment context.</w:t>
      </w:r>
    </w:p>
    <w:p w14:paraId="4266798B" w14:textId="77777777" w:rsidR="00CF52FD" w:rsidRDefault="00000000">
      <w:pPr>
        <w:keepNext/>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2049"/>
        <w:gridCol w:w="4450"/>
        <w:gridCol w:w="3048"/>
      </w:tblGrid>
      <w:tr w:rsidR="00CF52FD" w14:paraId="1044658A" w14:textId="77777777">
        <w:trPr>
          <w:cantSplit/>
          <w:jc w:val="center"/>
        </w:trPr>
        <w:tc>
          <w:tcPr>
            <w:tcW w:w="9547" w:type="dxa"/>
            <w:gridSpan w:val="3"/>
            <w:tcBorders>
              <w:top w:val="single" w:sz="4" w:space="0" w:color="auto"/>
              <w:left w:val="nil"/>
              <w:bottom w:val="single" w:sz="4" w:space="0" w:color="auto"/>
              <w:right w:val="nil"/>
            </w:tcBorders>
            <w:vAlign w:val="center"/>
          </w:tcPr>
          <w:p w14:paraId="70519027" w14:textId="77777777" w:rsidR="00CF52FD" w:rsidRDefault="00000000">
            <w:pPr>
              <w:keepNext/>
              <w:spacing w:after="0" w:line="240" w:lineRule="exact"/>
              <w:jc w:val="both"/>
              <w:rPr/>
            </w:pPr>
            <w:r>
              <w:rPr>
                <w:rFonts w:cs="Times New Roman"/>
                <w:b/>
                <w:sz w:val="22"/>
              </w:rPr>
              <w:t>Table 6. Preliminary evidence beyond platform accounts</w:t>
            </w:r>
          </w:p>
          <w:p w14:paraId="04140D07" w14:textId="77777777" w:rsidR="00CF52FD" w:rsidRDefault="00000000">
            <w:pPr>
              <w:spacing w:after="0" w:line="240" w:lineRule="exact"/>
              <w:jc w:val="both"/>
              <w:rPr/>
            </w:pPr>
            <w:r>
              <w:rPr>
                <w:rFonts w:cs="Times New Roman"/>
                <w:sz w:val="22"/>
              </w:rPr>
              <w:t>This table summarizes the preliminary evidence beyond platform accounts for H2–H4 and the payment context. The evidence is drawn from BPS-Statistics Indonesia and Bank Indonesia. Growth figures refer to 2023–2024. The business-count split is arithmetic, and the recordkeeping result is an association.</w:t>
            </w:r>
          </w:p>
        </w:tc>
      </w:tr>
      <w:tr w:rsidR="00CF52FD" w14:paraId="54B162D7" w14:textId="77777777">
        <w:trPr>
          <w:cantSplit/>
          <w:tblHeader/>
          <w:jc w:val="center"/>
        </w:trPr>
        <w:tc>
          <w:tcPr>
            <w:tcW w:w="2049" w:type="dxa"/>
            <w:tcBorders>
              <w:top w:val="single" w:sz="4" w:space="0" w:color="auto"/>
              <w:left w:val="nil"/>
              <w:bottom w:val="single" w:sz="4" w:space="0" w:color="auto"/>
              <w:right w:val="nil"/>
            </w:tcBorders>
            <w:vAlign w:val="center"/>
          </w:tcPr>
          <w:p w14:paraId="2AF8281D" w14:textId="77777777" w:rsidR="00CF52FD" w:rsidRDefault="00000000">
            <w:pPr>
              <w:keepNext/>
              <w:spacing w:after="0" w:line="240" w:lineRule="exact"/>
            </w:pPr>
            <w:r>
              <w:rPr>
                <w:rFonts w:cs="Times New Roman"/>
                <w:b/>
                <w:sz w:val="22"/>
              </w:rPr>
              <w:t>Question</w:t>
            </w:r>
          </w:p>
        </w:tc>
        <w:tc>
          <w:tcPr>
            <w:tcW w:w="4450" w:type="dxa"/>
            <w:tcBorders>
              <w:top w:val="single" w:sz="4" w:space="0" w:color="auto"/>
              <w:left w:val="nil"/>
              <w:bottom w:val="single" w:sz="4" w:space="0" w:color="auto"/>
              <w:right w:val="nil"/>
            </w:tcBorders>
            <w:vAlign w:val="center"/>
          </w:tcPr>
          <w:p w14:paraId="0D27B73B" w14:textId="77777777" w:rsidR="00CF52FD" w:rsidRDefault="00000000">
            <w:pPr>
              <w:keepNext/>
              <w:spacing w:after="0" w:line="240" w:lineRule="exact"/>
            </w:pPr>
            <w:r>
              <w:rPr>
                <w:rFonts w:cs="Times New Roman"/>
                <w:b/>
                <w:sz w:val="22"/>
              </w:rPr>
              <w:t>Preliminary evidence</w:t>
            </w:r>
          </w:p>
        </w:tc>
        <w:tc>
          <w:tcPr>
            <w:tcW w:w="3048" w:type="dxa"/>
            <w:tcBorders>
              <w:top w:val="single" w:sz="4" w:space="0" w:color="auto"/>
              <w:left w:val="nil"/>
              <w:bottom w:val="single" w:sz="4" w:space="0" w:color="auto"/>
              <w:right w:val="nil"/>
            </w:tcBorders>
            <w:vAlign w:val="center"/>
          </w:tcPr>
          <w:p w14:paraId="47AD0BFA" w14:textId="77777777" w:rsidR="00CF52FD" w:rsidRDefault="00000000">
            <w:pPr>
              <w:keepNext/>
              <w:spacing w:after="0" w:line="240" w:lineRule="exact"/>
            </w:pPr>
            <w:r>
              <w:rPr>
                <w:rFonts w:cs="Times New Roman"/>
                <w:b/>
                <w:sz w:val="22"/>
              </w:rPr>
              <w:t>Interpretation</w:t>
            </w:r>
          </w:p>
        </w:tc>
      </w:tr>
      <w:tr w:rsidR="00CF52FD" w14:paraId="5E9AB522" w14:textId="77777777">
        <w:trPr>
          <w:cantSplit/>
          <w:jc w:val="center"/>
        </w:trPr>
        <w:tc>
          <w:tcPr>
            <w:tcW w:w="2049" w:type="dxa"/>
            <w:tcBorders>
              <w:top w:val="nil"/>
              <w:left w:val="nil"/>
              <w:bottom w:val="nil"/>
              <w:right w:val="nil"/>
            </w:tcBorders>
            <w:vAlign w:val="center"/>
          </w:tcPr>
          <w:p w14:paraId="3429B6F6" w14:textId="77777777" w:rsidR="00CF52FD" w:rsidRDefault="00000000">
            <w:pPr>
              <w:keepNext/>
              <w:spacing w:after="0" w:line="240" w:lineRule="exact"/>
            </w:pPr>
            <w:r>
              <w:rPr>
                <w:rFonts w:cs="Times New Roman"/>
                <w:sz w:val="22"/>
              </w:rPr>
              <w:t>Where does e-commerce growth come from?</w:t>
            </w:r>
          </w:p>
        </w:tc>
        <w:tc>
          <w:tcPr>
            <w:tcW w:w="4450" w:type="dxa"/>
            <w:tcBorders>
              <w:top w:val="nil"/>
              <w:left w:val="nil"/>
              <w:bottom w:val="nil"/>
              <w:right w:val="nil"/>
            </w:tcBorders>
            <w:vAlign w:val="center"/>
          </w:tcPr>
          <w:p w14:paraId="3F5CC193" w14:textId="77777777" w:rsidR="00CF52FD" w:rsidRDefault="00000000">
            <w:pPr>
              <w:keepNext/>
              <w:spacing w:after="0" w:line="240" w:lineRule="exact"/>
            </w:pPr>
            <w:r>
              <w:rPr>
                <w:rFonts w:cs="Times New Roman"/>
                <w:sz w:val="22"/>
              </w:rPr>
              <w:t>E-commerce value +17.08%; estimated business count +15.31%; sales per business +1.54%. The business count accounts for 90.29% of the increase (70.95% under BPS's other count)</w:t>
            </w:r>
          </w:p>
        </w:tc>
        <w:tc>
          <w:tcPr>
            <w:tcW w:w="3048" w:type="dxa"/>
            <w:tcBorders>
              <w:top w:val="nil"/>
              <w:left w:val="nil"/>
              <w:bottom w:val="nil"/>
              <w:right w:val="nil"/>
            </w:tcBorders>
            <w:vAlign w:val="center"/>
          </w:tcPr>
          <w:p w14:paraId="647B05CF" w14:textId="77777777" w:rsidR="00CF52FD" w:rsidRDefault="00000000">
            <w:pPr>
              <w:keepNext/>
              <w:spacing w:after="0" w:line="240" w:lineRule="exact"/>
            </w:pPr>
            <w:r>
              <w:rPr>
                <w:rFonts w:cs="Times New Roman"/>
                <w:sz w:val="22"/>
              </w:rPr>
              <w:t>Growth comes mainly from more businesses selling online (H2)</w:t>
            </w:r>
          </w:p>
        </w:tc>
      </w:tr>
      <w:tr w:rsidR="00CF52FD" w14:paraId="526E21D3" w14:textId="77777777">
        <w:trPr>
          <w:cantSplit/>
          <w:jc w:val="center"/>
        </w:trPr>
        <w:tc>
          <w:tcPr>
            <w:tcW w:w="2049" w:type="dxa"/>
            <w:tcBorders>
              <w:top w:val="nil"/>
              <w:left w:val="nil"/>
              <w:bottom w:val="nil"/>
              <w:right w:val="nil"/>
            </w:tcBorders>
            <w:vAlign w:val="center"/>
          </w:tcPr>
          <w:p w14:paraId="7023B882" w14:textId="77777777" w:rsidR="00CF52FD" w:rsidRDefault="00000000">
            <w:pPr>
              <w:keepNext/>
              <w:spacing w:after="0" w:line="240" w:lineRule="exact"/>
            </w:pPr>
            <w:r>
              <w:rPr>
                <w:rFonts w:cs="Times New Roman"/>
                <w:sz w:val="22"/>
              </w:rPr>
              <w:t>Where does that growth occur?</w:t>
            </w:r>
          </w:p>
        </w:tc>
        <w:tc>
          <w:tcPr>
            <w:tcW w:w="4450" w:type="dxa"/>
            <w:tcBorders>
              <w:top w:val="nil"/>
              <w:left w:val="nil"/>
              <w:bottom w:val="nil"/>
              <w:right w:val="nil"/>
            </w:tcBorders>
            <w:vAlign w:val="center"/>
          </w:tcPr>
          <w:p w14:paraId="256A474B" w14:textId="77777777" w:rsidR="00CF52FD" w:rsidRDefault="00000000">
            <w:pPr>
              <w:keepNext/>
              <w:spacing w:after="0" w:line="240" w:lineRule="exact"/>
            </w:pPr>
            <w:r>
              <w:rPr>
                <w:rFonts w:cs="Times New Roman"/>
                <w:sz w:val="22"/>
              </w:rPr>
              <w:t>Marketplace channel +1.45%; other channels +20.57%; 98.46% of the increase is outside the marketplace channel</w:t>
            </w:r>
          </w:p>
        </w:tc>
        <w:tc>
          <w:tcPr>
            <w:tcW w:w="3048" w:type="dxa"/>
            <w:tcBorders>
              <w:top w:val="nil"/>
              <w:left w:val="nil"/>
              <w:bottom w:val="nil"/>
              <w:right w:val="nil"/>
            </w:tcBorders>
            <w:vAlign w:val="center"/>
          </w:tcPr>
          <w:p w14:paraId="793DC9A8" w14:textId="77777777" w:rsidR="00CF52FD" w:rsidRDefault="00000000">
            <w:pPr>
              <w:keepNext/>
              <w:spacing w:after="0" w:line="240" w:lineRule="exact"/>
            </w:pPr>
            <w:r>
              <w:rPr>
                <w:rFonts w:cs="Times New Roman"/>
                <w:sz w:val="22"/>
              </w:rPr>
              <w:t>Most measured growth occurs outside BPS's marketplace category (H4)</w:t>
            </w:r>
          </w:p>
        </w:tc>
      </w:tr>
      <w:tr w:rsidR="00CF52FD" w14:paraId="1C6937E0" w14:textId="77777777">
        <w:trPr>
          <w:cantSplit/>
          <w:jc w:val="center"/>
        </w:trPr>
        <w:tc>
          <w:tcPr>
            <w:tcW w:w="2049" w:type="dxa"/>
            <w:tcBorders>
              <w:top w:val="nil"/>
              <w:left w:val="nil"/>
              <w:bottom w:val="nil"/>
              <w:right w:val="nil"/>
            </w:tcBorders>
            <w:vAlign w:val="center"/>
          </w:tcPr>
          <w:p w14:paraId="661475CA" w14:textId="77777777" w:rsidR="00CF52FD" w:rsidRDefault="00000000">
            <w:pPr>
              <w:keepNext/>
              <w:spacing w:after="0" w:line="240" w:lineRule="exact"/>
            </w:pPr>
            <w:r>
              <w:rPr>
                <w:rFonts w:cs="Times New Roman"/>
                <w:sz w:val="22"/>
              </w:rPr>
              <w:t>Are marketplace use and financial records related?</w:t>
            </w:r>
          </w:p>
        </w:tc>
        <w:tc>
          <w:tcPr>
            <w:tcW w:w="4450" w:type="dxa"/>
            <w:tcBorders>
              <w:top w:val="nil"/>
              <w:left w:val="nil"/>
              <w:bottom w:val="nil"/>
              <w:right w:val="nil"/>
            </w:tcBorders>
            <w:vAlign w:val="center"/>
          </w:tcPr>
          <w:p w14:paraId="39F7B3EE" w14:textId="77777777" w:rsidR="00CF52FD" w:rsidRDefault="00000000">
            <w:pPr>
              <w:keepNext/>
              <w:spacing w:after="0" w:line="240" w:lineRule="exact"/>
            </w:pPr>
            <w:r>
              <w:rPr>
                <w:rFonts w:cs="Times New Roman"/>
                <w:sz w:val="22"/>
              </w:rPr>
              <w:t>Complete financial statements: 28.63% of marketplace users versus 12.25% of non-marketplace users</w:t>
            </w:r>
          </w:p>
        </w:tc>
        <w:tc>
          <w:tcPr>
            <w:tcW w:w="3048" w:type="dxa"/>
            <w:tcBorders>
              <w:top w:val="nil"/>
              <w:left w:val="nil"/>
              <w:bottom w:val="nil"/>
              <w:right w:val="nil"/>
            </w:tcBorders>
            <w:vAlign w:val="center"/>
          </w:tcPr>
          <w:p w14:paraId="6EBE7A5D" w14:textId="77777777" w:rsidR="00CF52FD" w:rsidRDefault="00000000">
            <w:pPr>
              <w:keepNext/>
              <w:spacing w:after="0" w:line="240" w:lineRule="exact"/>
            </w:pPr>
            <w:r>
              <w:rPr>
                <w:rFonts w:cs="Times New Roman"/>
                <w:sz w:val="22"/>
              </w:rPr>
              <w:t>Marketplace participation is associated with stronger recordkeeping (H3)</w:t>
            </w:r>
          </w:p>
        </w:tc>
      </w:tr>
      <w:tr w:rsidR="00CF52FD" w14:paraId="231E6670" w14:textId="77777777">
        <w:trPr>
          <w:cantSplit/>
          <w:jc w:val="center"/>
        </w:trPr>
        <w:tc>
          <w:tcPr>
            <w:tcW w:w="2049" w:type="dxa"/>
            <w:tcBorders>
              <w:top w:val="nil"/>
              <w:left w:val="nil"/>
              <w:bottom w:val="single" w:sz="4" w:space="0" w:color="auto"/>
              <w:right w:val="nil"/>
            </w:tcBorders>
            <w:vAlign w:val="center"/>
          </w:tcPr>
          <w:p w14:paraId="0B914A0B" w14:textId="77777777" w:rsidR="00CF52FD" w:rsidRDefault="00000000">
            <w:pPr>
              <w:spacing w:after="0" w:line="240" w:lineRule="exact"/>
            </w:pPr>
            <w:r>
              <w:rPr>
                <w:rFonts w:cs="Times New Roman"/>
                <w:sz w:val="22"/>
              </w:rPr>
              <w:t xml:space="preserve">Do payment </w:t>
            </w:r>
            <w:r>
              <w:rPr>
                <w:sz w:val="18"/>
              </w:rPr>
              <w:t>indicators</w:t>
            </w:r>
            <w:r>
              <w:rPr>
                <w:rFonts w:cs="Times New Roman"/>
                <w:sz w:val="22"/>
              </w:rPr>
              <w:t xml:space="preserve"> show the same growth?</w:t>
            </w:r>
          </w:p>
        </w:tc>
        <w:tc>
          <w:tcPr>
            <w:tcW w:w="4450" w:type="dxa"/>
            <w:tcBorders>
              <w:top w:val="nil"/>
              <w:left w:val="nil"/>
              <w:bottom w:val="single" w:sz="4" w:space="0" w:color="auto"/>
              <w:right w:val="nil"/>
            </w:tcBorders>
            <w:vAlign w:val="center"/>
          </w:tcPr>
          <w:p w14:paraId="5FD24E47" w14:textId="77777777" w:rsidR="00CF52FD" w:rsidRDefault="00000000">
            <w:pPr>
              <w:spacing w:after="0" w:line="240" w:lineRule="exact"/>
            </w:pPr>
            <w:r>
              <w:rPr>
                <w:rFonts w:cs="Times New Roman"/>
                <w:sz w:val="22"/>
              </w:rPr>
              <w:t>BPS e-commerce +17.08%; electronic-money shopping +30.47%; mobile-banking payments and purchases +82.84%; Quick Response Code Indonesian Standard (QRIS) +186.98%</w:t>
            </w:r>
          </w:p>
        </w:tc>
        <w:tc>
          <w:tcPr>
            <w:tcW w:w="3048" w:type="dxa"/>
            <w:tcBorders>
              <w:top w:val="nil"/>
              <w:left w:val="nil"/>
              <w:bottom w:val="single" w:sz="4" w:space="0" w:color="auto"/>
              <w:right w:val="nil"/>
            </w:tcBorders>
            <w:vAlign w:val="center"/>
          </w:tcPr>
          <w:p w14:paraId="2211E22C" w14:textId="77777777" w:rsidR="00CF52FD" w:rsidRDefault="00000000">
            <w:pPr>
              <w:spacing w:after="0" w:line="240" w:lineRule="exact"/>
            </w:pPr>
            <w:r>
              <w:rPr>
                <w:rFonts w:cs="Times New Roman"/>
                <w:sz w:val="22"/>
              </w:rPr>
              <w:t>Context only: payment measures grow 1.8 to 11 times as fast, and also reflect adoption and substitution</w:t>
            </w:r>
          </w:p>
        </w:tc>
      </w:tr>
    </w:tbl>
    <w:p w14:paraId="604C8FDB" w14:textId="77777777" w:rsidR="00CF52FD" w:rsidRDefault="00000000">
      <w:pPr>
        <w:spacing w:before="120" w:after="110" w:line="257" w:lineRule="auto"/>
        <w:jc w:val="both"/>
      </w:pPr>
      <w:r>
        <w:lastRenderedPageBreak/>
        <w:t>BPS also reports widespread use of non-marketplace channels. In 2023, 95.33 percent of e-commerce businesses used instant messaging. In its multiple-response measure, where a business can report several channels, social media accounted for 44.04 percent of transaction value and marketplaces for 32.74 percent; that measure is not comparable with the exclusive 18.2 percent split above. These figures describe the 2023 channel structure rather than the allocation of 2023–2024 growth. The business-count split is arithmetic and the recordkeeping result is an association.</w:t>
      </w:r>
      <w:r>
        <w:t xml:space="preserve"> Overall, the BPS evidence is consistent with H2, H3 and H4, subject to the definitional differences noted above.</w:t>
      </w:r>
    </w:p>
    <w:p w14:paraId="7437B519" w14:textId="77777777" w:rsidR="00CF52FD" w:rsidRDefault="00000000">
      <w:pPr>
        <w:pStyle w:val="Heading2"/>
        <w:spacing w:before="140" w:after="60"/>
      </w:pPr>
      <w:r>
        <w:rPr>
          <w:rFonts w:ascii="Times New Roman" w:eastAsia="Times New Roman" w:hAnsi="Times New Roman"/>
        </w:rPr>
        <w:t>5.3 Feasibility and Scope of the Preliminary Findings</w:t>
      </w:r>
    </w:p>
    <w:p w14:paraId="182B798B" w14:textId="1779FB0E" w:rsidR="00CF52FD" w:rsidRDefault="00000000">
      <w:pPr>
        <w:keepLines/>
        <w:spacing w:after="110" w:line="257" w:lineRule="auto"/>
        <w:jc w:val="both"/>
      </w:pPr>
      <w:r>
        <w:t>Overall, the preliminary evidence is consistent with each hypothesis, but the measurement argument rests primarily on H1 and H4. H1 is supported by the six of eight issuer-reported comparisons in which revenue outgrew transaction value and by the two sign reversals. H4 is supported by the contrast between platform revenue and transaction growth and by BPS's 17.08 percent total e-commerce growth versus 1.45 percent marketplace growth. H2 and H3 remain secondary national analyses. The central feasibility claim is therefore established: indicator substitution can materially change the measured level, pace and even direction of digital activity.</w:t>
      </w:r>
      <w:r>
        <w:t xml:space="preserve"/>
      </w:r>
      <w:r>
        <w:t/>
      </w:r>
      <w:r>
        <w:t xml:space="preserve"/>
      </w:r>
      <w:proofErr w:type="spellStart"/>
      <w:r>
        <w:t/>
      </w:r>
      <w:r w:rsidR="00183555">
        <w:t/>
      </w:r>
      <w:proofErr w:type="spellEnd"/>
      <w:r>
        <w:t/>
      </w:r>
    </w:p>
    <w:p w14:paraId="56E28DE8" w14:textId="77777777" w:rsidR="00CF52FD" w:rsidRDefault="00000000">
      <w:pPr>
        <w:spacing w:after="110" w:line="257" w:lineRule="auto"/>
        <w:jc w:val="both"/>
      </w:pPr>
      <w:r>
        <w:t xml:space="preserve">Outside Indonesia, the same separation appears but its magnitude varies. In 29 clean annual comparisons, revenue grew faster than transaction value in 22 and the measures moved in opposite directions in 4; the median absolute divergence was 7.1 percentage points, compared with 38.92 in the Indonesian issuer-reported sample. The external evidence is used as validation and boundary evidence, not as a representative global estimate. It shows that adequacy is a property of the relationship, scope and period rather than of the source name alone.</w:t>
      </w:r>
      <w:r>
        <w:t/>
      </w:r>
      <w:r>
        <w:t xml:space="preserve"/>
      </w:r>
      <w:r>
        <w:t/>
      </w:r>
      <w:r>
        <w:t xml:space="preserve"/>
      </w:r>
      <w:r>
        <w:t xml:space="preserve"/>
      </w:r>
      <w:r>
        <w:t/>
      </w:r>
      <w:r>
        <w:t xml:space="preserve"/>
      </w:r>
      <w:r>
        <w:t xml:space="preserve"/>
      </w:r>
      <w:r>
        <w:t/>
      </w:r>
    </w:p>
    <w:p w14:paraId="4C6AD0E7" w14:textId="77777777" w:rsidR="00CF52FD" w:rsidRDefault="00000000">
      <w:pPr>
        <w:spacing w:after="110" w:line="257" w:lineRule="auto"/>
        <w:jc w:val="both"/>
      </w:pPr>
      <w:r>
        <w:rPr>
          <w:rFonts w:ascii="Times New Roman" w:hAnsi="Times New Roman"/>
          <w:sz w:val="22"/>
        </w:rPr>
        <w:t>PMK 37/2025 provides an administrative example. Under the current DJP schedule, marketplace withholding is deferred through 31 October 2026 and collection is scheduled to begin on 1 November 2026 through designated marketplace operators (Directorate General of Taxes 2026). Those operators cannot yet be mapped directly to BPS's marketplace category; compliance and revenue effects remain outside this study.</w:t>
      </w:r>
    </w:p>
    <w:p w14:paraId="38DCFCAB" w14:textId="77777777" w:rsidR="00CF52FD" w:rsidRDefault="00000000">
      <w:pPr>
        <w:pStyle w:val="Heading1"/>
        <w:spacing w:before="200" w:after="100"/>
      </w:pPr>
      <w:r>
        <w:rPr>
          <w:rFonts w:ascii="Times New Roman" w:eastAsia="Times New Roman" w:hAnsi="Times New Roman"/>
        </w:rPr>
        <w:t>6. Why the Problem Matters</w:t>
      </w:r>
    </w:p>
    <w:p w14:paraId="10D6024B" w14:textId="77777777" w:rsidR="00CF52FD" w:rsidRDefault="00000000">
      <w:pPr>
        <w:keepLines/>
        <w:spacing w:after="110" w:line="257" w:lineRule="auto"/>
        <w:jc w:val="both"/>
      </w:pPr>
      <w:r>
        <w:t xml:space="preserve">Indonesia's digital economy is observed through records that answer different questions. The problem becomes consequential when one record is used as a proxy for another target without testing the relationship between them. Tokopedia shows the sharpest case: recognized revenue implies rapid expansion while transaction value implies contraction. BPS provides a national analogue: its marketplace category grew 1.45 percent in 2023-2024 while total e-commerce grew 17.08 percent. Neither measure is wrong; the inference changes because the economic objects differ. For investors, revenue growth may reflect commerce expansion, monetization, incentives or business mix, with different persistence and valuation implications. For measurement and administration, the coverage of the chosen record must be understood before it represents a broader target. The practical discipline is therefore: define the target, match the scope, test level and movement, reconcile important failures, and state the inference only for the task and period the evidence supports.</w:t>
      </w:r>
      <w:r>
        <w:t/>
      </w:r>
      <w:r>
        <w:t xml:space="preserve"/>
      </w:r>
      <w:r>
        <w:t/>
      </w:r>
      <w:r>
        <w:t xml:space="preserve"/>
      </w:r>
      <w:r>
        <w:t/>
      </w:r>
      <w:r>
        <w:t xml:space="preserve"/>
      </w:r>
      <w:r>
        <w:t xml:space="preserve"/>
      </w:r>
      <w:r>
        <w:t xml:space="preserve"/>
      </w:r>
      <w:r>
        <w:t xml:space="preserve"/>
      </w:r>
    </w:p>
    <w:p w14:paraId="7D22A65F" w14:textId="77777777" w:rsidR="00CF52FD" w:rsidRDefault="00000000">
      <w:pPr>
        <w:pStyle w:val="Heading1"/>
        <w:spacing w:before="200" w:after="100"/>
      </w:pPr>
      <w:r>
        <w:rPr>
          <w:rFonts w:ascii="Times New Roman" w:eastAsia="Times New Roman" w:hAnsi="Times New Roman"/>
        </w:rPr>
        <w:t>7. Limitations and Robustness</w:t>
      </w:r>
    </w:p>
    <w:p w14:paraId="35559461" w14:textId="77777777" w:rsidR="00CF52FD" w:rsidRDefault="00000000">
      <w:pPr>
        <w:keepLines/>
        <w:spacing w:after="110" w:line="257" w:lineRule="auto"/>
        <w:jc w:val="both"/>
      </w:pPr>
      <w:r>
        <w:t>This proposal has several limitations that define the framework's boundary. The evidence is descriptive and disclosure-selected: the main sample contains three platforms, 11 platform-years and 8 annual comparisons, so it supports case-based measurement analysis rather than population inference. Coverage is uneven: Tokopedia is observed for two years, Blibli includes online travel, and Bukalapak reports at Group level. Grab and Shopee rely on constructed Indonesian measures and therefore remain separate from the issuer-reported longitudinal result. National, platform and payment indicators also use different definitions; disagreement among them is evidence about measurement, not proof that one source omitted activity. The Tokopedia bridge is an arithmetic reconciliation rather than a causal estimate. Future work can extend matched histories, close the remaining BPS and customer-incentive definitions, and test whether different components of platform growth have different associations with stock returns.</w:t>
      </w:r>
      <w:r>
        <w:t xml:space="preserve"/>
      </w:r>
      <w:r>
        <w:t/>
      </w:r>
      <w:r>
        <w:t xml:space="preserve"/>
      </w:r>
      <w:r>
        <w:t/>
      </w:r>
      <w:r>
        <w:t xml:space="preserve"/>
      </w:r>
      <w:r>
        <w:t/>
      </w:r>
      <w:r>
        <w:t xml:space="preserve"/>
      </w:r>
      <w:proofErr w:type="spellStart"/>
      <w:r>
        <w:t/>
      </w:r>
      <w:proofErr w:type="spellEnd"/>
      <w:r>
        <w:t xml:space="preserve"/>
      </w:r>
      <w:r>
        <w:t xml:space="preserve"/>
      </w:r>
      <w:r>
        <w:t/>
      </w:r>
      <w:r>
        <w:t/>
      </w:r>
      <w:r>
        <w:t xml:space="preserve"/>
      </w:r>
      <w:r>
        <w:t/>
      </w:r>
      <w:r>
        <w:t xml:space="preserve"/>
      </w:r>
      <w:r>
        <w:t xml:space="preserve"/>
      </w:r>
      <w:r>
        <w:t xml:space="preserve"/>
      </w:r>
      <w:r>
        <w:t xml:space="preserve"/>
      </w:r>
      <w:r>
        <w:t/>
      </w:r>
      <w:r>
        <w:t xml:space="preserve"/>
      </w:r>
      <w:r>
        <w:t/>
      </w:r>
      <w:r>
        <w:t xml:space="preserve"/>
      </w:r>
      <w:r>
        <w:t/>
      </w:r>
      <w:r>
        <w:t xml:space="preserve"/>
      </w:r>
      <w:r>
        <w:t/>
      </w:r>
      <w:r>
        <w:t xml:space="preserve"/>
      </w:r>
      <w:r>
        <w:t xml:space="preserve"/>
      </w:r>
    </w:p>
    <w:p w14:paraId="2F2A2F78" w14:textId="77777777" w:rsidR="00CF52FD" w:rsidRDefault="00000000">
      <w:pPr>
        <w:spacing w:after="110" w:line="257" w:lineRule="auto"/>
        <w:jc w:val="both"/>
      </w:pPr>
      <w:r>
        <w:t>Table 7 pairs each supported conclusion with what it does not establish.</w:t>
      </w:r>
    </w:p>
    <w:p w14:paraId="006BED75" w14:textId="77777777" w:rsidR="00CF52FD" w:rsidRDefault="00000000">
      <w:pPr>
        <w:keepNext/>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4500"/>
        <w:gridCol w:w="5047"/>
      </w:tblGrid>
      <w:tr w:rsidR="00CF52FD" w14:paraId="4A5586D1" w14:textId="77777777">
        <w:trPr>
          <w:cantSplit/>
          <w:jc w:val="center"/>
        </w:trPr>
        <w:tc>
          <w:tcPr>
            <w:tcW w:w="9546" w:type="dxa"/>
            <w:gridSpan w:val="2"/>
            <w:tcBorders>
              <w:top w:val="single" w:sz="4" w:space="0" w:color="auto"/>
              <w:left w:val="nil"/>
              <w:bottom w:val="single" w:sz="4" w:space="0" w:color="auto"/>
              <w:right w:val="nil"/>
            </w:tcBorders>
            <w:vAlign w:val="center"/>
          </w:tcPr>
          <w:p w14:paraId="47815355" w14:textId="77777777" w:rsidR="00CF52FD" w:rsidRDefault="00000000">
            <w:pPr>
              <w:keepNext/>
              <w:spacing w:after="0" w:line="240" w:lineRule="exact"/>
              <w:jc w:val="both"/>
              <w:rPr/>
            </w:pPr>
            <w:r>
              <w:rPr>
                <w:rFonts w:cs="Times New Roman"/>
                <w:b/>
                <w:sz w:val="22"/>
              </w:rPr>
              <w:t>Table 7. Main inference boundaries</w:t>
            </w:r>
          </w:p>
          <w:p w14:paraId="4766B5B4" w14:textId="77777777" w:rsidR="00CF52FD" w:rsidRDefault="00000000">
            <w:pPr>
              <w:spacing w:after="0" w:line="240" w:lineRule="exact"/>
              <w:jc w:val="both"/>
              <w:rPr/>
            </w:pPr>
            <w:r>
              <w:rPr>
                <w:rFonts w:cs="Times New Roman"/>
                <w:sz w:val="22"/>
              </w:rPr>
              <w:t>This table pairs each conclusion that the evidence supports with what it does not, by itself, establish. Section 7 discusses these inference boundaries.</w:t>
            </w:r>
          </w:p>
        </w:tc>
      </w:tr>
      <w:tr w:rsidR="00CF52FD" w14:paraId="47EC2475" w14:textId="77777777">
        <w:trPr>
          <w:cantSplit/>
          <w:tblHeader/>
          <w:jc w:val="center"/>
        </w:trPr>
        <w:tc>
          <w:tcPr>
            <w:tcW w:w="4500" w:type="dxa"/>
            <w:tcBorders>
              <w:top w:val="single" w:sz="4" w:space="0" w:color="auto"/>
              <w:left w:val="nil"/>
              <w:bottom w:val="single" w:sz="4" w:space="0" w:color="auto"/>
              <w:right w:val="nil"/>
            </w:tcBorders>
            <w:vAlign w:val="center"/>
          </w:tcPr>
          <w:p w14:paraId="4E21E441" w14:textId="77777777" w:rsidR="00CF52FD" w:rsidRDefault="00000000">
            <w:pPr>
              <w:keepNext/>
              <w:spacing w:after="0" w:line="240" w:lineRule="exact"/>
            </w:pPr>
            <w:r>
              <w:rPr>
                <w:rFonts w:cs="Times New Roman"/>
                <w:b/>
                <w:sz w:val="22"/>
              </w:rPr>
              <w:t>Evidence supports</w:t>
            </w:r>
          </w:p>
        </w:tc>
        <w:tc>
          <w:tcPr>
            <w:tcW w:w="5046" w:type="dxa"/>
            <w:tcBorders>
              <w:top w:val="single" w:sz="4" w:space="0" w:color="auto"/>
              <w:left w:val="nil"/>
              <w:bottom w:val="single" w:sz="4" w:space="0" w:color="auto"/>
              <w:right w:val="nil"/>
            </w:tcBorders>
            <w:vAlign w:val="center"/>
          </w:tcPr>
          <w:p w14:paraId="053E73C6" w14:textId="77777777" w:rsidR="00CF52FD" w:rsidRDefault="00000000">
            <w:pPr>
              <w:keepNext/>
              <w:spacing w:after="0" w:line="240" w:lineRule="exact"/>
            </w:pPr>
            <w:r>
              <w:rPr>
                <w:rFonts w:cs="Times New Roman"/>
                <w:b/>
                <w:sz w:val="22"/>
              </w:rPr>
              <w:t>Does not by itself establish</w:t>
            </w:r>
          </w:p>
        </w:tc>
      </w:tr>
      <w:tr w:rsidR="00CF52FD" w14:paraId="6DC3165B" w14:textId="77777777">
        <w:trPr>
          <w:cantSplit/>
          <w:jc w:val="center"/>
        </w:trPr>
        <w:tc>
          <w:tcPr>
            <w:tcW w:w="4500" w:type="dxa"/>
            <w:tcBorders>
              <w:top w:val="nil"/>
              <w:left w:val="nil"/>
              <w:bottom w:val="nil"/>
              <w:right w:val="nil"/>
            </w:tcBorders>
            <w:vAlign w:val="center"/>
          </w:tcPr>
          <w:p>
            <w:r>
              <w:t>W and E describe the level relationship; D tests growth divergence and direction.</w:t>
            </w:r>
          </w:p>
        </w:tc>
        <w:tc>
          <w:tcPr>
            <w:tcW w:w="5046" w:type="dxa"/>
            <w:tcBorders>
              <w:top w:val="nil"/>
              <w:left w:val="nil"/>
              <w:bottom w:val="nil"/>
              <w:right w:val="nil"/>
            </w:tcBorders>
            <w:vAlign w:val="center"/>
          </w:tcPr>
          <w:p w14:paraId="230ABB60" w14:textId="77777777" w:rsidR="00CF52FD" w:rsidRDefault="00000000">
            <w:pPr>
              <w:keepNext/>
              <w:spacing w:after="0" w:line="240" w:lineRule="exact"/>
            </w:pPr>
            <w:r>
              <w:rPr>
                <w:rFonts w:cs="Times New Roman"/>
                <w:sz w:val="22"/>
              </w:rPr>
              <w:t>Participant profit, taxable income, unpaid tax, tax evasion, or missing GDP.</w:t>
            </w:r>
          </w:p>
        </w:tc>
      </w:tr>
      <w:tr w:rsidR="00CF52FD" w14:paraId="6506A454" w14:textId="77777777">
        <w:trPr>
          <w:cantSplit/>
          <w:jc w:val="center"/>
        </w:trPr>
        <w:tc>
          <w:tcPr>
            <w:tcW w:w="4500" w:type="dxa"/>
            <w:tcBorders>
              <w:top w:val="nil"/>
              <w:left w:val="nil"/>
              <w:bottom w:val="nil"/>
              <w:right w:val="nil"/>
            </w:tcBorders>
            <w:vAlign w:val="center"/>
          </w:tcPr>
          <w:p w14:paraId="703DA202" w14:textId="77777777" w:rsidR="00CF52FD" w:rsidRDefault="00000000">
            <w:pPr>
              <w:keepNext/>
              <w:spacing w:after="0" w:line="240" w:lineRule="exact"/>
            </w:pPr>
            <w:r>
              <w:rPr>
                <w:rFonts w:cs="Times New Roman"/>
                <w:sz w:val="22"/>
              </w:rPr>
              <w:t>Issuer-reported pairs show revenue and transaction value moving apart within platforms.</w:t>
            </w:r>
          </w:p>
        </w:tc>
        <w:tc>
          <w:tcPr>
            <w:tcW w:w="5046" w:type="dxa"/>
            <w:tcBorders>
              <w:top w:val="nil"/>
              <w:left w:val="nil"/>
              <w:bottom w:val="nil"/>
              <w:right w:val="nil"/>
            </w:tcBorders>
            <w:vAlign w:val="center"/>
          </w:tcPr>
          <w:p w14:paraId="077D17CC" w14:textId="77777777" w:rsidR="00CF52FD" w:rsidRDefault="00000000">
            <w:pPr>
              <w:keepNext/>
              <w:spacing w:after="0" w:line="240" w:lineRule="exact"/>
            </w:pPr>
            <w:r>
              <w:rPr>
                <w:rFonts w:cs="Times New Roman"/>
                <w:sz w:val="22"/>
              </w:rPr>
              <w:t>Independent Indonesian ratio evidence from the constructed Grab and Shopee series.</w:t>
            </w:r>
          </w:p>
        </w:tc>
      </w:tr>
      <w:tr w:rsidR="00CF52FD" w14:paraId="054D38AC" w14:textId="77777777">
        <w:trPr>
          <w:cantSplit/>
          <w:jc w:val="center"/>
        </w:trPr>
        <w:tc>
          <w:tcPr>
            <w:tcW w:w="4500" w:type="dxa"/>
            <w:tcBorders>
              <w:top w:val="nil"/>
              <w:left w:val="nil"/>
              <w:bottom w:val="nil"/>
              <w:right w:val="nil"/>
            </w:tcBorders>
            <w:vAlign w:val="center"/>
          </w:tcPr>
          <w:p w14:paraId="4ADB25B3" w14:textId="77777777" w:rsidR="00CF52FD" w:rsidRDefault="00000000">
            <w:pPr>
              <w:keepNext/>
              <w:spacing w:after="0" w:line="240" w:lineRule="exact"/>
            </w:pPr>
            <w:r>
              <w:rPr>
                <w:rFonts w:cs="Times New Roman"/>
                <w:sz w:val="22"/>
              </w:rPr>
              <w:t>Disclosed revenue components reconcile selected movements in the wedge.</w:t>
            </w:r>
          </w:p>
        </w:tc>
        <w:tc>
          <w:tcPr>
            <w:tcW w:w="5046" w:type="dxa"/>
            <w:tcBorders>
              <w:top w:val="nil"/>
              <w:left w:val="nil"/>
              <w:bottom w:val="nil"/>
              <w:right w:val="nil"/>
            </w:tcBorders>
            <w:vAlign w:val="center"/>
          </w:tcPr>
          <w:p w14:paraId="54420F2E" w14:textId="77777777" w:rsidR="00CF52FD" w:rsidRDefault="00000000">
            <w:pPr>
              <w:keepNext/>
              <w:spacing w:after="0" w:line="240" w:lineRule="exact"/>
            </w:pPr>
            <w:r>
              <w:rPr>
                <w:rFonts w:cs="Times New Roman"/>
                <w:sz w:val="22"/>
              </w:rPr>
              <w:t>A causal effect of incentives, monetization, or accounting choices.</w:t>
            </w:r>
          </w:p>
        </w:tc>
      </w:tr>
      <w:tr w:rsidR="00CF52FD" w14:paraId="6BEE1E9D" w14:textId="77777777">
        <w:trPr>
          <w:cantSplit/>
          <w:jc w:val="center"/>
        </w:trPr>
        <w:tc>
          <w:tcPr>
            <w:tcW w:w="4500" w:type="dxa"/>
            <w:tcBorders>
              <w:top w:val="nil"/>
              <w:left w:val="nil"/>
              <w:bottom w:val="nil"/>
              <w:right w:val="nil"/>
            </w:tcBorders>
            <w:vAlign w:val="center"/>
          </w:tcPr>
          <w:p w14:paraId="7E83D39B" w14:textId="77777777" w:rsidR="00CF52FD" w:rsidRDefault="00000000">
            <w:pPr>
              <w:keepNext/>
              <w:spacing w:after="0" w:line="240" w:lineRule="exact"/>
            </w:pPr>
            <w:r>
              <w:rPr>
                <w:rFonts w:cs="Times New Roman"/>
                <w:sz w:val="22"/>
              </w:rPr>
              <w:t>BPS evidence describes the sources and channels of e-commerce growth and recordkeeping associations.</w:t>
            </w:r>
          </w:p>
        </w:tc>
        <w:tc>
          <w:tcPr>
            <w:tcW w:w="5046" w:type="dxa"/>
            <w:tcBorders>
              <w:top w:val="nil"/>
              <w:left w:val="nil"/>
              <w:bottom w:val="nil"/>
              <w:right w:val="nil"/>
            </w:tcBorders>
            <w:vAlign w:val="center"/>
          </w:tcPr>
          <w:p w14:paraId="2259D932" w14:textId="77777777" w:rsidR="00CF52FD" w:rsidRDefault="00000000">
            <w:pPr>
              <w:keepNext/>
              <w:spacing w:after="0" w:line="240" w:lineRule="exact"/>
            </w:pPr>
            <w:r>
              <w:rPr>
                <w:rFonts w:cs="Times New Roman"/>
                <w:sz w:val="22"/>
              </w:rPr>
              <w:t>Causal business entry, productivity effects, or marketplace-induced formalization.</w:t>
            </w:r>
          </w:p>
        </w:tc>
      </w:tr>
      <w:tr w:rsidR="00CF52FD" w14:paraId="2F997D6E" w14:textId="77777777">
        <w:trPr>
          <w:cantSplit/>
          <w:jc w:val="center"/>
        </w:trPr>
        <w:tc>
          <w:tcPr>
            <w:tcW w:w="4500" w:type="dxa"/>
            <w:tcBorders>
              <w:top w:val="nil"/>
              <w:left w:val="nil"/>
              <w:bottom w:val="nil"/>
              <w:right w:val="nil"/>
            </w:tcBorders>
            <w:vAlign w:val="center"/>
          </w:tcPr>
          <w:p w14:paraId="291969DE" w14:textId="77777777" w:rsidR="00CF52FD" w:rsidRDefault="00000000">
            <w:pPr>
              <w:keepNext/>
              <w:spacing w:after="0" w:line="240" w:lineRule="exact"/>
            </w:pPr>
            <w:r>
              <w:rPr>
                <w:rFonts w:cs="Times New Roman"/>
                <w:sz w:val="22"/>
              </w:rPr>
              <w:t xml:space="preserve">Platform, BPS and payment </w:t>
            </w:r>
            <w:r>
              <w:rPr>
                <w:sz w:val="18"/>
              </w:rPr>
              <w:t>indicators</w:t>
            </w:r>
            <w:r>
              <w:rPr>
                <w:rFonts w:cs="Times New Roman"/>
                <w:sz w:val="22"/>
              </w:rPr>
              <w:t xml:space="preserve"> disagree in level and growth.</w:t>
            </w:r>
          </w:p>
        </w:tc>
        <w:tc>
          <w:tcPr>
            <w:tcW w:w="5046" w:type="dxa"/>
            <w:tcBorders>
              <w:top w:val="nil"/>
              <w:left w:val="nil"/>
              <w:bottom w:val="nil"/>
              <w:right w:val="nil"/>
            </w:tcBorders>
            <w:vAlign w:val="center"/>
          </w:tcPr>
          <w:p w14:paraId="4EFF34CD" w14:textId="77777777" w:rsidR="00CF52FD" w:rsidRDefault="00000000">
            <w:pPr>
              <w:keepNext/>
              <w:spacing w:after="0" w:line="240" w:lineRule="exact"/>
            </w:pPr>
            <w:r>
              <w:rPr>
                <w:rFonts w:cs="Times New Roman"/>
                <w:sz w:val="22"/>
              </w:rPr>
              <w:t xml:space="preserve">Which </w:t>
            </w:r>
            <w:r>
              <w:rPr>
                <w:sz w:val="18"/>
              </w:rPr>
              <w:t>indicator</w:t>
            </w:r>
            <w:r>
              <w:rPr>
                <w:rFonts w:cs="Times New Roman"/>
                <w:sz w:val="22"/>
              </w:rPr>
              <w:t>, if any, contains measurement error, or that payment values measure sales.</w:t>
            </w:r>
          </w:p>
        </w:tc>
      </w:tr>
      <w:tr w:rsidR="00CF52FD" w14:paraId="25DCCE6D" w14:textId="77777777">
        <w:trPr>
          <w:cantSplit/>
          <w:jc w:val="center"/>
        </w:trPr>
        <w:tc>
          <w:tcPr>
            <w:tcW w:w="4500" w:type="dxa"/>
            <w:tcBorders>
              <w:top w:val="nil"/>
              <w:left w:val="nil"/>
              <w:bottom w:val="single" w:sz="4" w:space="0" w:color="auto"/>
              <w:right w:val="nil"/>
            </w:tcBorders>
            <w:vAlign w:val="center"/>
          </w:tcPr>
          <w:p w14:paraId="2E6DC073" w14:textId="77777777" w:rsidR="00CF52FD" w:rsidRDefault="00000000">
            <w:pPr>
              <w:spacing w:after="0" w:line="240" w:lineRule="exact"/>
            </w:pPr>
            <w:r>
              <w:rPr>
                <w:rFonts w:cs="Times New Roman"/>
                <w:sz w:val="22"/>
              </w:rPr>
              <w:t>PMK 37/2025 draws on designated operators' transaction records.</w:t>
            </w:r>
          </w:p>
        </w:tc>
        <w:tc>
          <w:tcPr>
            <w:tcW w:w="5046" w:type="dxa"/>
            <w:tcBorders>
              <w:top w:val="nil"/>
              <w:left w:val="nil"/>
              <w:bottom w:val="single" w:sz="4" w:space="0" w:color="auto"/>
              <w:right w:val="nil"/>
            </w:tcBorders>
            <w:vAlign w:val="center"/>
          </w:tcPr>
          <w:p w14:paraId="437CCD4D" w14:textId="77777777" w:rsidR="00CF52FD" w:rsidRDefault="00000000">
            <w:pPr>
              <w:spacing w:after="0" w:line="240" w:lineRule="exact"/>
            </w:pPr>
            <w:r>
              <w:rPr>
                <w:rFonts w:cs="Times New Roman"/>
                <w:sz w:val="22"/>
              </w:rPr>
              <w:t>Its coverage of the digital economy, or a compliance or tax-revenue effect.</w:t>
            </w:r>
          </w:p>
        </w:tc>
      </w:tr>
    </w:tbl>
    <w:p w14:paraId="22E80211" w14:textId="77777777" w:rsidR="00CF52FD" w:rsidRDefault="00000000">
      <w:pPr>
        <w:spacing w:before="120" w:after="110" w:line="257" w:lineRule="auto"/>
        <w:jc w:val="both"/>
      </w:pPr>
      <w:r>
        <w:t xml:space="preserve">One concern is that the results depend on how the sample is defined. </w:t>
      </w:r>
      <w:r>
        <w:t>Robustness is</w:t>
      </w:r>
      <w:r>
        <w:t xml:space="preserve"> therefore</w:t>
      </w:r>
      <w:r>
        <w:t xml:space="preserve"> reported as sensitivity ranges: </w:t>
      </w:r>
      <w:r>
        <w:t xml:space="preserve">I vary </w:t>
      </w:r>
      <w:r>
        <w:t>Shopee's assumed rate</w:t>
      </w:r>
      <w:r>
        <w:t>,</w:t>
      </w:r>
      <w:r>
        <w:t xml:space="preserve"> </w:t>
      </w:r>
      <w:r>
        <w:t>exclude</w:t>
      </w:r>
      <w:r>
        <w:t xml:space="preserve"> each platform</w:t>
      </w:r>
      <w:r>
        <w:t xml:space="preserve"> in turn, </w:t>
      </w:r>
      <w:r>
        <w:t xml:space="preserve">drop </w:t>
      </w:r>
      <w:r>
        <w:t>the largest comparison</w:t>
      </w:r>
      <w:r>
        <w:t>, and</w:t>
      </w:r>
      <w:r>
        <w:t xml:space="preserve"> restrict</w:t>
      </w:r>
      <w:r>
        <w:t xml:space="preserve"> the longitudinal result</w:t>
      </w:r>
      <w:r>
        <w:t xml:space="preserve"> to issuer-reported pairs.</w:t>
      </w:r>
    </w:p>
    <w:p w14:paraId="39A4112E" w14:textId="77777777" w:rsidR="00CF52FD" w:rsidRDefault="00000000">
      <w:pPr>
        <w:pStyle w:val="Heading1"/>
        <w:spacing w:before="200" w:after="100"/>
      </w:pPr>
      <w:r>
        <w:rPr>
          <w:rFonts w:ascii="Times New Roman" w:eastAsia="Times New Roman" w:hAnsi="Times New Roman"/>
        </w:rPr>
        <w:t>8. Next Steps</w:t>
      </w:r>
    </w:p>
    <w:p w14:paraId="6633E4BB" w14:textId="77777777" w:rsidR="00CF52FD" w:rsidRDefault="00000000">
      <w:pPr>
        <w:keepLines/>
        <w:spacing w:after="110" w:line="257" w:lineRule="auto"/>
        <w:jc w:val="both"/>
      </w:pPr>
      <w:r>
        <w:rPr>
          <w:rFonts w:ascii="Times New Roman" w:hAnsi="Times New Roman"/>
          <w:sz w:val="22"/>
        </w:rPr>
        <w:t>The data and empirical framework are assembled. The remaining work is bounded: close the exact source treatment of customer incentives, resolve or disclose the alternative BPS business-count decomposition, complete final source certification and figure wording, incorporate examination feedback, and decide whether the stock-return extension belongs in the final thesis or a subsequent paper. Table 8 sets out that schedule.</w:t>
      </w:r>
    </w:p>
    <w:p w14:paraId="6FDABDA9" w14:textId="77777777" w:rsidR="00CF52FD" w:rsidRDefault="00000000">
      <w:pPr>
        <w:keepNext/>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2232"/>
        <w:gridCol w:w="7315"/>
      </w:tblGrid>
      <w:tr w:rsidR="00CF52FD" w14:paraId="097688FA" w14:textId="77777777">
        <w:trPr>
          <w:cantSplit/>
          <w:jc w:val="center"/>
        </w:trPr>
        <w:tc>
          <w:tcPr>
            <w:tcW w:w="9546" w:type="dxa"/>
            <w:gridSpan w:val="2"/>
            <w:tcBorders>
              <w:top w:val="single" w:sz="4" w:space="0" w:color="auto"/>
              <w:left w:val="nil"/>
              <w:bottom w:val="single" w:sz="4" w:space="0" w:color="auto"/>
              <w:right w:val="nil"/>
            </w:tcBorders>
            <w:vAlign w:val="center"/>
          </w:tcPr>
          <w:p w14:paraId="35AAF388" w14:textId="3DA110FE" w:rsidR="00CF52FD" w:rsidRDefault="00000000">
            <w:pPr>
              <w:keepNext/>
              <w:spacing w:after="0" w:line="240" w:lineRule="exact"/>
              <w:jc w:val="both"/>
              <w:rPr/>
            </w:pPr>
            <w:r>
              <w:rPr>
                <w:rFonts w:cs="Times New Roman"/>
                <w:b/>
                <w:sz w:val="22"/>
              </w:rPr>
              <w:t xml:space="preserve">Table 8. Planned work toward the final </w:t>
            </w:r>
            <w:r w:rsidR="00183555">
              <w:rPr>
                <w:rFonts w:cs="Times New Roman"/>
                <w:b/>
                <w:sz w:val="22"/>
              </w:rPr>
              <w:t>study</w:t>
            </w:r>
          </w:p>
          <w:p w14:paraId="7A4D7B0D" w14:textId="6715AFFF" w:rsidR="00CF52FD" w:rsidRDefault="00000000">
            <w:pPr>
              <w:spacing w:after="0" w:line="240" w:lineRule="exact"/>
              <w:jc w:val="both"/>
              <w:rPr/>
            </w:pPr>
            <w:r>
              <w:rPr>
                <w:rFonts w:cs="Times New Roman"/>
                <w:sz w:val="22"/>
              </w:rPr>
              <w:t xml:space="preserve">This table sets out the planned work toward the final </w:t>
            </w:r>
            <w:r w:rsidR="00183555">
              <w:rPr>
                <w:rFonts w:cs="Times New Roman"/>
                <w:sz w:val="22"/>
              </w:rPr>
              <w:t>study</w:t>
            </w:r>
            <w:r>
              <w:rPr>
                <w:rFonts w:cs="Times New Roman"/>
                <w:sz w:val="22"/>
              </w:rPr>
              <w:t>.</w:t>
            </w:r>
          </w:p>
        </w:tc>
      </w:tr>
      <w:tr w:rsidR="00CF52FD" w14:paraId="589F0D7D" w14:textId="77777777">
        <w:trPr>
          <w:cantSplit/>
          <w:tblHeader/>
          <w:jc w:val="center"/>
        </w:trPr>
        <w:tc>
          <w:tcPr>
            <w:tcW w:w="2232" w:type="dxa"/>
            <w:tcBorders>
              <w:top w:val="single" w:sz="4" w:space="0" w:color="auto"/>
              <w:left w:val="nil"/>
              <w:bottom w:val="single" w:sz="4" w:space="0" w:color="auto"/>
              <w:right w:val="nil"/>
            </w:tcBorders>
            <w:vAlign w:val="center"/>
          </w:tcPr>
          <w:p w14:paraId="23719DFD" w14:textId="77777777" w:rsidR="00CF52FD" w:rsidRDefault="00000000">
            <w:pPr>
              <w:keepNext/>
              <w:spacing w:after="0" w:line="240" w:lineRule="exact"/>
            </w:pPr>
            <w:r>
              <w:rPr>
                <w:rFonts w:cs="Times New Roman"/>
                <w:b/>
                <w:sz w:val="22"/>
              </w:rPr>
              <w:t>Period</w:t>
            </w:r>
          </w:p>
        </w:tc>
        <w:tc>
          <w:tcPr>
            <w:tcW w:w="7314" w:type="dxa"/>
            <w:tcBorders>
              <w:top w:val="single" w:sz="4" w:space="0" w:color="auto"/>
              <w:left w:val="nil"/>
              <w:bottom w:val="single" w:sz="4" w:space="0" w:color="auto"/>
              <w:right w:val="nil"/>
            </w:tcBorders>
            <w:vAlign w:val="center"/>
          </w:tcPr>
          <w:p w14:paraId="58C6AB1B" w14:textId="77777777" w:rsidR="00CF52FD" w:rsidRDefault="00000000">
            <w:pPr>
              <w:keepNext/>
              <w:spacing w:after="0" w:line="240" w:lineRule="exact"/>
            </w:pPr>
            <w:r>
              <w:rPr>
                <w:rFonts w:cs="Times New Roman"/>
                <w:b/>
                <w:sz w:val="22"/>
              </w:rPr>
              <w:t>Planned work</w:t>
            </w:r>
          </w:p>
        </w:tc>
      </w:tr>
      <w:tr w:rsidR="00CF52FD" w14:paraId="6EE8FAC4" w14:textId="77777777">
        <w:trPr>
          <w:cantSplit/>
          <w:jc w:val="center"/>
        </w:trPr>
        <w:tc>
          <w:tcPr>
            <w:tcW w:w="2232" w:type="dxa"/>
            <w:tcBorders>
              <w:top w:val="nil"/>
              <w:left w:val="nil"/>
              <w:bottom w:val="nil"/>
              <w:right w:val="nil"/>
            </w:tcBorders>
            <w:vAlign w:val="center"/>
          </w:tcPr>
          <w:p w14:paraId="68D556B7" w14:textId="77777777" w:rsidR="00CF52FD" w:rsidRDefault="00000000">
            <w:pPr>
              <w:keepNext/>
              <w:spacing w:after="0" w:line="240" w:lineRule="exact"/>
            </w:pPr>
            <w:r>
              <w:rPr>
                <w:rFonts w:cs="Times New Roman"/>
                <w:sz w:val="22"/>
              </w:rPr>
              <w:t>Proposal stage</w:t>
            </w:r>
          </w:p>
        </w:tc>
        <w:tc>
          <w:tcPr>
            <w:tcW w:w="7314" w:type="dxa"/>
            <w:tcBorders>
              <w:top w:val="nil"/>
              <w:left w:val="nil"/>
              <w:bottom w:val="nil"/>
              <w:right w:val="nil"/>
            </w:tcBorders>
            <w:vAlign w:val="center"/>
          </w:tcPr>
          <w:p>
            <w:r>
              <w:t>Incorporate examination feedback; close source definitions and final figure wording.</w:t>
            </w:r>
          </w:p>
        </w:tc>
      </w:tr>
      <w:tr w:rsidR="00CF52FD" w14:paraId="74F2CEA0" w14:textId="77777777">
        <w:trPr>
          <w:cantSplit/>
          <w:jc w:val="center"/>
        </w:trPr>
        <w:tc>
          <w:tcPr>
            <w:tcW w:w="2232" w:type="dxa"/>
            <w:tcBorders>
              <w:top w:val="nil"/>
              <w:left w:val="nil"/>
              <w:bottom w:val="nil"/>
              <w:right w:val="nil"/>
            </w:tcBorders>
            <w:vAlign w:val="center"/>
          </w:tcPr>
          <w:p w14:paraId="7AE929C2" w14:textId="77777777" w:rsidR="00CF52FD" w:rsidRDefault="00000000">
            <w:pPr>
              <w:keepNext/>
              <w:spacing w:after="0" w:line="240" w:lineRule="exact"/>
            </w:pPr>
            <w:r>
              <w:rPr>
                <w:rFonts w:cs="Times New Roman"/>
                <w:sz w:val="22"/>
              </w:rPr>
              <w:t>October–November 2026</w:t>
            </w:r>
          </w:p>
        </w:tc>
        <w:tc>
          <w:tcPr>
            <w:tcW w:w="7314" w:type="dxa"/>
            <w:tcBorders>
              <w:top w:val="nil"/>
              <w:left w:val="nil"/>
              <w:bottom w:val="nil"/>
              <w:right w:val="nil"/>
            </w:tcBorders>
            <w:vAlign w:val="center"/>
          </w:tcPr>
          <w:p>
            <w:r>
              <w:t>Resolve BPS sensitivities; complete robustness and source audit; decide and, if feasible, execute the stock-return extension.</w:t>
            </w:r>
          </w:p>
        </w:tc>
      </w:tr>
      <w:tr w:rsidR="00CF52FD" w14:paraId="15659167" w14:textId="77777777">
        <w:trPr>
          <w:cantSplit/>
          <w:jc w:val="center"/>
        </w:trPr>
        <w:tc>
          <w:tcPr>
            <w:tcW w:w="2232" w:type="dxa"/>
            <w:tcBorders>
              <w:top w:val="nil"/>
              <w:left w:val="nil"/>
              <w:bottom w:val="single" w:sz="4" w:space="0" w:color="auto"/>
              <w:right w:val="nil"/>
            </w:tcBorders>
            <w:vAlign w:val="center"/>
          </w:tcPr>
          <w:p w14:paraId="21EDC7B6" w14:textId="77777777" w:rsidR="00CF52FD" w:rsidRDefault="00000000">
            <w:pPr>
              <w:spacing w:after="0" w:line="240" w:lineRule="exact"/>
            </w:pPr>
            <w:r>
              <w:rPr>
                <w:rFonts w:cs="Times New Roman"/>
                <w:sz w:val="22"/>
              </w:rPr>
              <w:t>Before the final defense</w:t>
            </w:r>
          </w:p>
        </w:tc>
        <w:tc>
          <w:tcPr>
            <w:tcW w:w="7314" w:type="dxa"/>
            <w:tcBorders>
              <w:top w:val="nil"/>
              <w:left w:val="nil"/>
              <w:bottom w:val="single" w:sz="4" w:space="0" w:color="auto"/>
              <w:right w:val="nil"/>
            </w:tcBorders>
            <w:vAlign w:val="center"/>
          </w:tcPr>
          <w:p>
            <w:r>
              <w:t>Complete the full manuscript; finalize tables, figures, citations and consistency review.</w:t>
            </w:r>
          </w:p>
        </w:tc>
      </w:tr>
    </w:tbl>
    <w:p w14:paraId="7487E5EB" w14:textId="460DADAA" w:rsidR="00CF52FD" w:rsidRDefault="00000000">
      <w:pPr>
        <w:keepLines/>
        <w:spacing w:before="120" w:after="110" w:line="257" w:lineRule="auto"/>
        <w:jc w:val="both"/>
      </w:pPr>
      <w:r>
        <w:rPr>
          <w:rFonts w:ascii="Times New Roman" w:hAnsi="Times New Roman"/>
          <w:sz w:val="22"/>
        </w:rPr>
        <w:t>The study treats indicator choice as an empirical question rather than assuming one record is universally correct. For each task, it defines the economic target and scope, measures the level relationship with W and E, tests dynamic stability with D, reconciles selected failures with disclosed components, and checks whether the relationship survives in other admissible windows or records. The intended output is conditional: which observable is sufficient for which economic conclusion, over which scope and period.</w:t>
      </w:r>
    </w:p>
    <w:p w14:paraId="1C8C6FD8" w14:textId="77777777" w:rsidR="00CF52FD" w:rsidRDefault="00000000">
      <w:pPr>
        <w:pStyle w:val="Heading1"/>
        <w:keepNext w:val="0"/>
        <w:spacing w:before="200" w:after="60"/>
      </w:pPr>
      <w:r>
        <w:rPr>
          <w:rFonts w:ascii="Times New Roman" w:eastAsia="Times New Roman" w:hAnsi="Times New Roman"/>
        </w:rPr>
        <w:lastRenderedPageBreak/>
        <w:t>Appendix A. Variables and Data Sources</w:t>
      </w:r>
    </w:p>
    <w:p w14:paraId="52AB7487" w14:textId="77777777" w:rsidR="00CF52FD" w:rsidRDefault="00000000">
      <w:pPr>
        <w:keepNext/>
        <w:keepLines/>
        <w:spacing w:before="80" w:after="70" w:line="240" w:lineRule="auto"/>
        <w:rPr/>
      </w:pPr>
    </w:p>
    <w:p w14:paraId="2CC6BEAB" w14:textId="77777777" w:rsidR="00CF52FD" w:rsidRDefault="00000000">
      <w:pPr>
        <w:keepNext w:val="0"/>
        <w:keepLines/>
        <w:spacing w:before="40" w:after="80" w:line="257" w:lineRule="auto"/>
        <w:jc w:val="both"/>
      </w:pPr>
      <w:r>
        <w:t xml:space="preserve">In </w:t>
      </w:r>
      <w:r>
        <w:t>Table A1</w:t>
      </w:r>
      <w:r>
        <w:t>,</w:t>
      </w:r>
      <w:r>
        <w:t xml:space="preserve"> </w:t>
      </w:r>
      <w:r>
        <w:t>I report the definition and source of</w:t>
      </w:r>
      <w:r>
        <w:t xml:space="preserve"> each variable </w:t>
      </w:r>
      <w:r>
        <w:t xml:space="preserve">used in the analysis. V </w:t>
      </w:r>
      <w:r>
        <w:t xml:space="preserve">and </w:t>
      </w:r>
      <w:r>
        <w:t>R</w:t>
      </w:r>
      <w:r>
        <w:t xml:space="preserve"> </w:t>
      </w:r>
      <w:r>
        <w:t>refer</w:t>
      </w:r>
      <w:r>
        <w:t xml:space="preserve"> </w:t>
      </w:r>
      <w:r>
        <w:t>to</w:t>
      </w:r>
      <w:r>
        <w:t xml:space="preserve"> </w:t>
      </w:r>
      <w:r>
        <w:t>the same period and business scope, and t, W, E and D are computed</w:t>
      </w:r>
      <w:r>
        <w:t xml:space="preserve"> from</w:t>
      </w:r>
      <w:r>
        <w:t xml:space="preserve"> them</w:t>
      </w:r>
      <w:r>
        <w:t xml:space="preserve">. Table A2 traces each </w:t>
      </w:r>
      <w:r>
        <w:t>indicator</w:t>
      </w:r>
      <w:r>
        <w:t xml:space="preserve"> to the filings and publications behind it.</w:t>
      </w: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1000"/>
        <w:gridCol w:w="5800"/>
        <w:gridCol w:w="2747"/>
      </w:tblGrid>
      <w:tr w:rsidR="00CF52FD" w14:paraId="13DA6E81" w14:textId="77777777">
        <w:trPr>
          <w:cantSplit/>
          <w:jc w:val="center"/>
          <w:tblHeader w:val="true"/>
        </w:trPr>
        <w:tc>
          <w:tcPr>
            <w:tcW w:w="9547" w:type="dxa"/>
            <w:gridSpan w:val="3"/>
            <w:tcBorders>
              <w:top w:val="single" w:sz="4" w:space="0" w:color="auto"/>
              <w:left w:val="nil"/>
              <w:bottom w:val="single" w:sz="4" w:space="0" w:color="auto"/>
              <w:right w:val="nil"/>
            </w:tcBorders>
            <w:vAlign w:val="center"/>
          </w:tcPr>
          <w:p w14:paraId="16A24EB0" w14:textId="77777777" w:rsidR="00CF52FD" w:rsidRDefault="00000000">
            <w:pPr>
              <w:keepNext/>
              <w:keepLines/>
              <w:spacing w:after="0" w:line="240" w:lineRule="exact"/>
              <w:jc w:val="both"/>
              <w:rPr/>
            </w:pPr>
            <w:r>
              <w:rPr>
                <w:rFonts w:cs="Times New Roman"/>
                <w:b/>
                <w:sz w:val="22"/>
              </w:rPr>
              <w:t>Table A1. Variable definitions and sources</w:t>
            </w:r>
          </w:p>
          <w:p w14:paraId="6BB18223" w14:textId="77777777" w:rsidR="00CF52FD" w:rsidRDefault="00000000">
            <w:pPr>
              <w:keepNext/>
              <w:keepLines/>
              <w:spacing w:after="0" w:line="240" w:lineRule="exact"/>
              <w:jc w:val="both"/>
              <w:rPr/>
            </w:pPr>
            <w:r>
              <w:rPr>
                <w:rFonts w:cs="Times New Roman"/>
                <w:sz w:val="22"/>
              </w:rPr>
              <w:t>This table defines each variable used in the analysis and gives its source. V and R refer to the same period and business scope. Growth rates are computed in each issuer’s reporting currency, so exchange-rate movements do not enter D. US dollar values are used only for the 2023 cross-section, converted at the World Bank’s 2023 official exchange rate of 15,236.88 rupiah per dollar.</w:t>
            </w:r>
          </w:p>
        </w:tc>
      </w:tr>
      <w:tr w:rsidR="00CF52FD" w14:paraId="3DE2A343" w14:textId="77777777">
        <w:trPr>
          <w:cantSplit/>
          <w:jc w:val="center"/>
          <w:tblHeader w:val="true"/>
        </w:trPr>
        <w:tc>
          <w:tcPr>
            <w:tcW w:w="1000" w:type="dxa"/>
            <w:tcBorders>
              <w:top w:val="single" w:sz="4" w:space="0" w:color="auto"/>
              <w:left w:val="nil"/>
              <w:bottom w:val="single" w:sz="4" w:space="0" w:color="auto"/>
              <w:right w:val="nil"/>
            </w:tcBorders>
            <w:vAlign w:val="center"/>
          </w:tcPr>
          <w:p w14:paraId="3DCE1305" w14:textId="77777777" w:rsidR="00CF52FD" w:rsidRDefault="00000000">
            <w:pPr>
              <w:keepNext/>
              <w:keepLines/>
              <w:spacing w:after="0" w:line="240" w:lineRule="exact"/>
            </w:pPr>
            <w:r>
              <w:rPr>
                <w:rFonts w:cs="Times New Roman"/>
                <w:b/>
                <w:sz w:val="22"/>
              </w:rPr>
              <w:t>Variable</w:t>
            </w:r>
          </w:p>
        </w:tc>
        <w:tc>
          <w:tcPr>
            <w:tcW w:w="5800" w:type="dxa"/>
            <w:tcBorders>
              <w:top w:val="single" w:sz="4" w:space="0" w:color="auto"/>
              <w:left w:val="nil"/>
              <w:bottom w:val="single" w:sz="4" w:space="0" w:color="auto"/>
              <w:right w:val="nil"/>
            </w:tcBorders>
            <w:vAlign w:val="center"/>
          </w:tcPr>
          <w:p w14:paraId="25BC7D96" w14:textId="77777777" w:rsidR="00CF52FD" w:rsidRDefault="00000000">
            <w:pPr>
              <w:keepNext/>
              <w:keepLines/>
              <w:spacing w:after="0" w:line="240" w:lineRule="exact"/>
            </w:pPr>
            <w:r>
              <w:rPr>
                <w:rFonts w:cs="Times New Roman"/>
                <w:b/>
                <w:sz w:val="22"/>
              </w:rPr>
              <w:t>Definition</w:t>
            </w:r>
          </w:p>
        </w:tc>
        <w:tc>
          <w:tcPr>
            <w:tcW w:w="2747" w:type="dxa"/>
            <w:tcBorders>
              <w:top w:val="single" w:sz="4" w:space="0" w:color="auto"/>
              <w:left w:val="nil"/>
              <w:bottom w:val="single" w:sz="4" w:space="0" w:color="auto"/>
              <w:right w:val="nil"/>
            </w:tcBorders>
            <w:vAlign w:val="center"/>
          </w:tcPr>
          <w:p w14:paraId="4B2AA401" w14:textId="77777777" w:rsidR="00CF52FD" w:rsidRDefault="00000000">
            <w:pPr>
              <w:keepNext/>
              <w:keepLines/>
              <w:spacing w:after="0" w:line="240" w:lineRule="exact"/>
            </w:pPr>
            <w:r>
              <w:rPr>
                <w:rFonts w:cs="Times New Roman"/>
                <w:b/>
                <w:sz w:val="22"/>
              </w:rPr>
              <w:t>Source</w:t>
            </w:r>
          </w:p>
        </w:tc>
      </w:tr>
      <w:tr w:rsidR="00CF52FD" w14:paraId="04B95253" w14:textId="77777777">
        <w:trPr>
          <w:cantSplit/>
          <w:jc w:val="center"/>
        </w:trPr>
        <w:tc>
          <w:tcPr>
            <w:tcW w:w="1000" w:type="dxa"/>
            <w:tcBorders>
              <w:top w:val="nil"/>
              <w:left w:val="nil"/>
              <w:bottom w:val="nil"/>
              <w:right w:val="nil"/>
            </w:tcBorders>
            <w:vAlign w:val="center"/>
          </w:tcPr>
          <w:p w14:paraId="3A9E2692" w14:textId="77777777" w:rsidR="00CF52FD" w:rsidRDefault="00000000">
            <w:pPr>
              <w:keepNext w:val="0"/>
              <w:keepLines/>
              <w:spacing w:after="0" w:line="240" w:lineRule="exact"/>
            </w:pPr>
            <w:r>
              <w:rPr>
                <w:rFonts w:cs="Times New Roman"/>
                <w:i/>
                <w:sz w:val="22"/>
              </w:rPr>
              <w:t>V</w:t>
            </w:r>
          </w:p>
        </w:tc>
        <w:tc>
          <w:tcPr>
            <w:tcW w:w="5800" w:type="dxa"/>
            <w:tcBorders>
              <w:top w:val="nil"/>
              <w:left w:val="nil"/>
              <w:bottom w:val="nil"/>
              <w:right w:val="nil"/>
            </w:tcBorders>
            <w:vAlign w:val="center"/>
          </w:tcPr>
          <w:p w14:paraId="603A71B9" w14:textId="77777777" w:rsidR="00CF52FD" w:rsidRDefault="00000000">
            <w:pPr>
              <w:keepNext w:val="0"/>
              <w:keepLines/>
              <w:spacing w:after="0" w:line="240" w:lineRule="exact"/>
            </w:pPr>
            <w:r>
              <w:rPr>
                <w:rFonts w:cs="Times New Roman"/>
                <w:sz w:val="22"/>
              </w:rPr>
              <w:t xml:space="preserve">Transaction value processed through </w:t>
            </w:r>
            <w:r>
              <w:rPr>
                <w:rFonts w:cs="Times New Roman"/>
                <w:sz w:val="22"/>
              </w:rPr>
              <w:t xml:space="preserve">platform </w:t>
            </w:r>
            <w:proofErr w:type="spellStart"/>
            <w:r>
              <w:rPr>
                <w:rFonts w:cs="Times New Roman"/>
                <w:sz w:val="22"/>
              </w:rPr>
              <w:t>i</w:t>
            </w:r>
            <w:proofErr w:type="spellEnd"/>
            <w:r>
              <w:rPr>
                <w:rFonts w:cs="Times New Roman"/>
                <w:sz w:val="22"/>
              </w:rPr>
              <w:t xml:space="preserve"> in period t: the gross value of the transactions </w:t>
            </w:r>
            <w:r>
              <w:rPr>
                <w:rFonts w:cs="Times New Roman"/>
                <w:sz w:val="22"/>
              </w:rPr>
              <w:t xml:space="preserve">the platform </w:t>
            </w:r>
            <w:r>
              <w:rPr>
                <w:rFonts w:cs="Times New Roman"/>
                <w:sz w:val="22"/>
              </w:rPr>
              <w:t xml:space="preserve">carries, labeled GTV </w:t>
            </w:r>
            <w:r>
              <w:rPr>
                <w:rFonts w:cs="Times New Roman"/>
                <w:sz w:val="22"/>
              </w:rPr>
              <w:t xml:space="preserve">in </w:t>
            </w:r>
            <w:r>
              <w:rPr>
                <w:rFonts w:cs="Times New Roman"/>
                <w:sz w:val="22"/>
              </w:rPr>
              <w:t>this</w:t>
            </w:r>
            <w:r>
              <w:rPr>
                <w:rFonts w:cs="Times New Roman"/>
                <w:sz w:val="22"/>
              </w:rPr>
              <w:t xml:space="preserve"> </w:t>
            </w:r>
            <w:r>
              <w:rPr>
                <w:rFonts w:cs="Times New Roman"/>
                <w:sz w:val="22"/>
              </w:rPr>
              <w:t>proposal. Each issuer’s own label, such as GMV or TPV, is retained and checked.</w:t>
            </w:r>
          </w:p>
        </w:tc>
        <w:tc>
          <w:tcPr>
            <w:tcW w:w="2747" w:type="dxa"/>
            <w:tcBorders>
              <w:top w:val="nil"/>
              <w:left w:val="nil"/>
              <w:bottom w:val="nil"/>
              <w:right w:val="nil"/>
            </w:tcBorders>
            <w:vAlign w:val="center"/>
          </w:tcPr>
          <w:p w14:paraId="3D29B95F" w14:textId="77777777" w:rsidR="00CF52FD" w:rsidRDefault="00000000">
            <w:pPr>
              <w:keepNext w:val="0"/>
              <w:keepLines/>
              <w:spacing w:after="0" w:line="240" w:lineRule="exact"/>
            </w:pPr>
            <w:r>
              <w:rPr>
                <w:rFonts w:cs="Times New Roman"/>
                <w:sz w:val="22"/>
              </w:rPr>
              <w:t>Issuer disclosure, or construction (Table 3)</w:t>
            </w:r>
          </w:p>
        </w:tc>
      </w:tr>
      <w:tr w:rsidR="00CF52FD" w14:paraId="799A467D" w14:textId="77777777">
        <w:trPr>
          <w:cantSplit/>
          <w:jc w:val="center"/>
        </w:trPr>
        <w:tc>
          <w:tcPr>
            <w:tcW w:w="1000" w:type="dxa"/>
            <w:tcBorders>
              <w:top w:val="nil"/>
              <w:left w:val="nil"/>
              <w:bottom w:val="nil"/>
              <w:right w:val="nil"/>
            </w:tcBorders>
            <w:vAlign w:val="center"/>
          </w:tcPr>
          <w:p w14:paraId="5497E157" w14:textId="77777777" w:rsidR="00CF52FD" w:rsidRDefault="00000000">
            <w:pPr>
              <w:keepNext w:val="0"/>
              <w:keepLines/>
              <w:spacing w:after="0" w:line="240" w:lineRule="exact"/>
            </w:pPr>
            <w:r>
              <w:rPr>
                <w:rFonts w:cs="Times New Roman"/>
                <w:i/>
                <w:sz w:val="22"/>
              </w:rPr>
              <w:t>R</w:t>
            </w:r>
          </w:p>
        </w:tc>
        <w:tc>
          <w:tcPr>
            <w:tcW w:w="5800" w:type="dxa"/>
            <w:tcBorders>
              <w:top w:val="nil"/>
              <w:left w:val="nil"/>
              <w:bottom w:val="nil"/>
              <w:right w:val="nil"/>
            </w:tcBorders>
            <w:vAlign w:val="center"/>
          </w:tcPr>
          <w:p w14:paraId="61ACA05E" w14:textId="77777777" w:rsidR="00CF52FD" w:rsidRDefault="00000000">
            <w:pPr>
              <w:keepNext w:val="0"/>
              <w:keepLines/>
              <w:spacing w:after="0" w:line="240" w:lineRule="exact"/>
            </w:pPr>
            <w:r>
              <w:rPr>
                <w:rFonts w:cs="Times New Roman"/>
                <w:sz w:val="22"/>
              </w:rPr>
              <w:t xml:space="preserve">Revenue </w:t>
            </w:r>
            <w:r>
              <w:rPr>
                <w:rFonts w:cs="Times New Roman"/>
                <w:sz w:val="22"/>
              </w:rPr>
              <w:t>that</w:t>
            </w:r>
            <w:r>
              <w:rPr>
                <w:rFonts w:cs="Times New Roman"/>
                <w:sz w:val="22"/>
              </w:rPr>
              <w:t xml:space="preserve"> platform </w:t>
            </w:r>
            <w:proofErr w:type="spellStart"/>
            <w:r>
              <w:rPr>
                <w:rFonts w:cs="Times New Roman"/>
                <w:sz w:val="22"/>
              </w:rPr>
              <w:t>i</w:t>
            </w:r>
            <w:proofErr w:type="spellEnd"/>
            <w:r>
              <w:rPr>
                <w:rFonts w:cs="Times New Roman"/>
                <w:sz w:val="22"/>
              </w:rPr>
              <w:t xml:space="preserve"> </w:t>
            </w:r>
            <w:r>
              <w:rPr>
                <w:rFonts w:cs="Times New Roman"/>
                <w:sz w:val="22"/>
              </w:rPr>
              <w:t>recognizes</w:t>
            </w:r>
            <w:r>
              <w:rPr>
                <w:rFonts w:cs="Times New Roman"/>
                <w:sz w:val="22"/>
              </w:rPr>
              <w:t xml:space="preserve"> in period t,</w:t>
            </w:r>
            <w:r>
              <w:rPr>
                <w:rFonts w:cs="Times New Roman"/>
                <w:sz w:val="22"/>
              </w:rPr>
              <w:t xml:space="preserve"> for the same period and business scope</w:t>
            </w:r>
            <w:r>
              <w:rPr>
                <w:rFonts w:cs="Times New Roman"/>
                <w:sz w:val="22"/>
              </w:rPr>
              <w:t xml:space="preserve"> as V.</w:t>
            </w:r>
          </w:p>
        </w:tc>
        <w:tc>
          <w:tcPr>
            <w:tcW w:w="2747" w:type="dxa"/>
            <w:tcBorders>
              <w:top w:val="nil"/>
              <w:left w:val="nil"/>
              <w:bottom w:val="nil"/>
              <w:right w:val="nil"/>
            </w:tcBorders>
            <w:vAlign w:val="center"/>
          </w:tcPr>
          <w:p w14:paraId="36912737" w14:textId="77777777" w:rsidR="00CF52FD" w:rsidRDefault="00000000">
            <w:pPr>
              <w:keepNext w:val="0"/>
              <w:keepLines/>
              <w:spacing w:after="0" w:line="240" w:lineRule="exact"/>
            </w:pPr>
            <w:r>
              <w:rPr>
                <w:rFonts w:cs="Times New Roman"/>
                <w:sz w:val="22"/>
              </w:rPr>
              <w:t>Issuer disclosure, or construction (Table 3)</w:t>
            </w:r>
          </w:p>
        </w:tc>
      </w:tr>
      <w:tr w:rsidR="00CF52FD" w14:paraId="1E76FD1E" w14:textId="77777777">
        <w:trPr>
          <w:cantSplit/>
          <w:jc w:val="center"/>
        </w:trPr>
        <w:tc>
          <w:tcPr>
            <w:tcW w:w="1000" w:type="dxa"/>
            <w:tcBorders>
              <w:top w:val="nil"/>
              <w:left w:val="nil"/>
              <w:bottom w:val="nil"/>
              <w:right w:val="nil"/>
            </w:tcBorders>
            <w:vAlign w:val="center"/>
          </w:tcPr>
          <w:p w14:paraId="2E8F1DA0" w14:textId="77777777" w:rsidR="00CF52FD" w:rsidRDefault="00000000">
            <w:pPr>
              <w:keepNext w:val="0"/>
              <w:keepLines/>
              <w:spacing w:after="0" w:line="240" w:lineRule="exact"/>
            </w:pPr>
            <w:r>
              <w:rPr>
                <w:rFonts w:cs="Times New Roman"/>
                <w:i/>
                <w:sz w:val="22"/>
              </w:rPr>
              <w:t>t</w:t>
            </w:r>
          </w:p>
        </w:tc>
        <w:tc>
          <w:tcPr>
            <w:tcW w:w="5800" w:type="dxa"/>
            <w:tcBorders>
              <w:top w:val="nil"/>
              <w:left w:val="nil"/>
              <w:bottom w:val="nil"/>
              <w:right w:val="nil"/>
            </w:tcBorders>
            <w:vAlign w:val="center"/>
          </w:tcPr>
          <w:p w14:paraId="43705279" w14:textId="77777777" w:rsidR="00CF52FD" w:rsidRDefault="00000000">
            <w:pPr>
              <w:keepNext w:val="0"/>
              <w:keepLines/>
              <w:spacing w:after="0" w:line="240" w:lineRule="exact"/>
            </w:pPr>
            <w:r>
              <w:rPr>
                <w:rFonts w:cs="Times New Roman"/>
                <w:sz w:val="22"/>
              </w:rPr>
              <w:t>Monetization rate: the share of transaction value recognized as revenue</w:t>
            </w:r>
            <w:r>
              <w:rPr>
                <w:rFonts w:cs="Times New Roman"/>
                <w:sz w:val="22"/>
              </w:rPr>
              <w:t>, t = R / V.</w:t>
            </w:r>
          </w:p>
        </w:tc>
        <w:tc>
          <w:tcPr>
            <w:tcW w:w="2747" w:type="dxa"/>
            <w:tcBorders>
              <w:top w:val="nil"/>
              <w:left w:val="nil"/>
              <w:bottom w:val="nil"/>
              <w:right w:val="nil"/>
            </w:tcBorders>
            <w:vAlign w:val="center"/>
          </w:tcPr>
          <w:p w14:paraId="4718D382" w14:textId="77777777" w:rsidR="00CF52FD" w:rsidRDefault="00000000">
            <w:pPr>
              <w:keepNext w:val="0"/>
              <w:keepLines/>
              <w:spacing w:after="0" w:line="240" w:lineRule="exact"/>
            </w:pPr>
            <w:r>
              <w:rPr>
                <w:rFonts w:cs="Times New Roman"/>
                <w:sz w:val="22"/>
              </w:rPr>
              <w:t>Computed</w:t>
            </w:r>
          </w:p>
        </w:tc>
      </w:tr>
      <w:tr w:rsidR="00CF52FD" w14:paraId="5E4EB6BE" w14:textId="77777777">
        <w:trPr>
          <w:cantSplit/>
          <w:jc w:val="center"/>
        </w:trPr>
        <w:tc>
          <w:tcPr>
            <w:tcW w:w="1000" w:type="dxa"/>
            <w:tcBorders>
              <w:top w:val="nil"/>
              <w:left w:val="nil"/>
              <w:bottom w:val="nil"/>
              <w:right w:val="nil"/>
            </w:tcBorders>
            <w:vAlign w:val="center"/>
          </w:tcPr>
          <w:p w14:paraId="55D92809" w14:textId="77777777" w:rsidR="00CF52FD" w:rsidRDefault="00000000">
            <w:pPr>
              <w:keepNext w:val="0"/>
              <w:keepLines/>
              <w:spacing w:after="0" w:line="240" w:lineRule="exact"/>
            </w:pPr>
            <w:r>
              <w:rPr>
                <w:rFonts w:cs="Times New Roman"/>
                <w:i/>
                <w:sz w:val="22"/>
              </w:rPr>
              <w:t>W</w:t>
            </w:r>
          </w:p>
        </w:tc>
        <w:tc>
          <w:tcPr>
            <w:tcW w:w="5800" w:type="dxa"/>
            <w:tcBorders>
              <w:top w:val="nil"/>
              <w:left w:val="nil"/>
              <w:bottom w:val="nil"/>
              <w:right w:val="nil"/>
            </w:tcBorders>
            <w:vAlign w:val="center"/>
          </w:tcPr>
          <w:p w14:paraId="06E1CDB2" w14:textId="77777777" w:rsidR="00CF52FD" w:rsidRDefault="00000000">
            <w:pPr>
              <w:keepNext w:val="0"/>
              <w:keepLines/>
              <w:spacing w:after="0" w:line="240" w:lineRule="exact"/>
            </w:pPr>
            <w:r>
              <w:rPr>
                <w:rFonts w:cs="Times New Roman"/>
                <w:sz w:val="22"/>
              </w:rPr>
              <w:t xml:space="preserve">Invisible wedge: transaction value outside </w:t>
            </w:r>
            <w:r>
              <w:rPr>
                <w:rFonts w:cs="Times New Roman"/>
                <w:sz w:val="22"/>
              </w:rPr>
              <w:t xml:space="preserve">the platform’s </w:t>
            </w:r>
            <w:r>
              <w:rPr>
                <w:rFonts w:cs="Times New Roman"/>
                <w:sz w:val="22"/>
              </w:rPr>
              <w:t>recognized revenue</w:t>
            </w:r>
            <w:r>
              <w:rPr>
                <w:rFonts w:cs="Times New Roman"/>
                <w:sz w:val="22"/>
              </w:rPr>
              <w:t>, W = V − R, in currency units.</w:t>
            </w:r>
          </w:p>
        </w:tc>
        <w:tc>
          <w:tcPr>
            <w:tcW w:w="2747" w:type="dxa"/>
            <w:tcBorders>
              <w:top w:val="nil"/>
              <w:left w:val="nil"/>
              <w:bottom w:val="nil"/>
              <w:right w:val="nil"/>
            </w:tcBorders>
            <w:vAlign w:val="center"/>
          </w:tcPr>
          <w:p w14:paraId="1F9CD2C6" w14:textId="77777777" w:rsidR="00CF52FD" w:rsidRDefault="00000000">
            <w:pPr>
              <w:keepNext w:val="0"/>
              <w:keepLines/>
              <w:spacing w:after="0" w:line="240" w:lineRule="exact"/>
            </w:pPr>
            <w:r>
              <w:rPr>
                <w:rFonts w:cs="Times New Roman"/>
                <w:sz w:val="22"/>
              </w:rPr>
              <w:t>Computed</w:t>
            </w:r>
          </w:p>
        </w:tc>
      </w:tr>
      <w:tr w:rsidR="00CF52FD" w14:paraId="018B344A" w14:textId="77777777">
        <w:trPr>
          <w:cantSplit/>
          <w:jc w:val="center"/>
        </w:trPr>
        <w:tc>
          <w:tcPr>
            <w:tcW w:w="1000" w:type="dxa"/>
            <w:tcBorders>
              <w:top w:val="nil"/>
              <w:left w:val="nil"/>
              <w:bottom w:val="nil"/>
              <w:right w:val="nil"/>
            </w:tcBorders>
            <w:vAlign w:val="center"/>
          </w:tcPr>
          <w:p w14:paraId="0CC57570" w14:textId="77777777" w:rsidR="00CF52FD" w:rsidRDefault="00000000">
            <w:pPr>
              <w:keepNext w:val="0"/>
              <w:keepLines/>
              <w:spacing w:after="0" w:line="240" w:lineRule="exact"/>
            </w:pPr>
            <w:r>
              <w:rPr>
                <w:rFonts w:cs="Times New Roman"/>
                <w:i/>
                <w:sz w:val="22"/>
              </w:rPr>
              <w:t>E</w:t>
            </w:r>
          </w:p>
        </w:tc>
        <w:tc>
          <w:tcPr>
            <w:tcW w:w="5800" w:type="dxa"/>
            <w:tcBorders>
              <w:top w:val="nil"/>
              <w:left w:val="nil"/>
              <w:bottom w:val="nil"/>
              <w:right w:val="nil"/>
            </w:tcBorders>
            <w:vAlign w:val="center"/>
          </w:tcPr>
          <w:p w14:paraId="0E36F812" w14:textId="77777777" w:rsidR="00CF52FD" w:rsidRDefault="00000000">
            <w:pPr>
              <w:keepNext w:val="0"/>
              <w:keepLines/>
              <w:spacing w:after="0" w:line="240" w:lineRule="exact"/>
            </w:pPr>
            <w:r>
              <w:rPr>
                <w:rFonts w:cs="Times New Roman"/>
                <w:sz w:val="22"/>
              </w:rPr>
              <w:t>Ecosystem Ratio:</w:t>
            </w:r>
            <w:r>
              <w:rPr>
                <w:rFonts w:cs="Times New Roman"/>
                <w:sz w:val="22"/>
              </w:rPr>
              <w:t xml:space="preserve"> the</w:t>
            </w:r>
            <w:r>
              <w:rPr>
                <w:rFonts w:cs="Times New Roman"/>
                <w:sz w:val="22"/>
              </w:rPr>
              <w:t xml:space="preserve"> wedge per unit of revenue</w:t>
            </w:r>
            <w:r>
              <w:rPr>
                <w:rFonts w:cs="Times New Roman"/>
                <w:sz w:val="22"/>
              </w:rPr>
              <w:t>, E = (V − R) / R = 1/t − 1. It is</w:t>
            </w:r>
            <w:r>
              <w:rPr>
                <w:rFonts w:cs="Times New Roman"/>
                <w:sz w:val="22"/>
              </w:rPr>
              <w:t xml:space="preserve"> constructed for this study</w:t>
            </w:r>
            <w:r>
              <w:rPr>
                <w:rFonts w:cs="Times New Roman"/>
                <w:sz w:val="22"/>
              </w:rPr>
              <w:t xml:space="preserve"> as a descriptive transformation of the monetization rate.</w:t>
            </w:r>
          </w:p>
        </w:tc>
        <w:tc>
          <w:tcPr>
            <w:tcW w:w="2747" w:type="dxa"/>
            <w:tcBorders>
              <w:top w:val="nil"/>
              <w:left w:val="nil"/>
              <w:bottom w:val="nil"/>
              <w:right w:val="nil"/>
            </w:tcBorders>
            <w:vAlign w:val="center"/>
          </w:tcPr>
          <w:p w14:paraId="6DD78EB9" w14:textId="77777777" w:rsidR="00CF52FD" w:rsidRDefault="00000000">
            <w:pPr>
              <w:keepNext w:val="0"/>
              <w:keepLines/>
              <w:spacing w:after="0" w:line="240" w:lineRule="exact"/>
            </w:pPr>
            <w:r>
              <w:rPr>
                <w:rFonts w:cs="Times New Roman"/>
                <w:sz w:val="22"/>
              </w:rPr>
              <w:t>Computed</w:t>
            </w:r>
          </w:p>
        </w:tc>
      </w:tr>
      <w:tr w:rsidR="00CF52FD" w14:paraId="0F36F343" w14:textId="77777777">
        <w:trPr>
          <w:cantSplit/>
          <w:jc w:val="center"/>
        </w:trPr>
        <w:tc>
          <w:tcPr>
            <w:tcW w:w="1000" w:type="dxa"/>
            <w:tcBorders>
              <w:top w:val="nil"/>
              <w:left w:val="nil"/>
              <w:bottom w:val="nil"/>
              <w:right w:val="nil"/>
            </w:tcBorders>
            <w:vAlign w:val="center"/>
          </w:tcPr>
          <w:p w14:paraId="5461AFB5" w14:textId="77777777" w:rsidR="00CF52FD" w:rsidRDefault="00000000">
            <w:pPr>
              <w:keepNext w:val="0"/>
              <w:keepLines/>
              <w:spacing w:after="0" w:line="240" w:lineRule="exact"/>
            </w:pPr>
            <w:r>
              <w:rPr>
                <w:rFonts w:cs="Times New Roman"/>
                <w:i/>
                <w:sz w:val="22"/>
              </w:rPr>
              <w:t>D</w:t>
            </w:r>
          </w:p>
        </w:tc>
        <w:tc>
          <w:tcPr>
            <w:tcW w:w="5800" w:type="dxa"/>
            <w:tcBorders>
              <w:top w:val="nil"/>
              <w:left w:val="nil"/>
              <w:bottom w:val="nil"/>
              <w:right w:val="nil"/>
            </w:tcBorders>
            <w:vAlign w:val="center"/>
          </w:tcPr>
          <w:p w14:paraId="429E8EC4" w14:textId="77777777" w:rsidR="00CF52FD" w:rsidRDefault="00000000">
            <w:pPr>
              <w:keepNext w:val="0"/>
              <w:keepLines/>
              <w:spacing w:after="0" w:line="240" w:lineRule="exact"/>
            </w:pPr>
            <w:r>
              <w:rPr>
                <w:rFonts w:cs="Times New Roman"/>
                <w:sz w:val="22"/>
              </w:rPr>
              <w:t>Growth divergence: revenue growth minus transaction-value growth</w:t>
            </w:r>
            <w:r>
              <w:rPr>
                <w:rFonts w:cs="Times New Roman"/>
                <w:sz w:val="22"/>
              </w:rPr>
              <w:t>, D = g(R) − g(V), where g(X) is the percentage growth of X from one year to the next. A positive D means revenue grew faster than transaction value.</w:t>
            </w:r>
          </w:p>
        </w:tc>
        <w:tc>
          <w:tcPr>
            <w:tcW w:w="2747" w:type="dxa"/>
            <w:tcBorders>
              <w:top w:val="nil"/>
              <w:left w:val="nil"/>
              <w:bottom w:val="nil"/>
              <w:right w:val="nil"/>
            </w:tcBorders>
            <w:vAlign w:val="center"/>
          </w:tcPr>
          <w:p w14:paraId="57D7DC9A" w14:textId="77777777" w:rsidR="00CF52FD" w:rsidRDefault="00000000">
            <w:pPr>
              <w:keepNext w:val="0"/>
              <w:keepLines/>
              <w:spacing w:after="0" w:line="240" w:lineRule="exact"/>
            </w:pPr>
            <w:r>
              <w:rPr>
                <w:rFonts w:cs="Times New Roman"/>
                <w:sz w:val="22"/>
              </w:rPr>
              <w:t>Computed from consecutive years</w:t>
            </w:r>
          </w:p>
        </w:tc>
      </w:tr>
      <w:tr w:rsidR="00CF52FD" w14:paraId="60FA0441" w14:textId="77777777">
        <w:trPr>
          <w:cantSplit/>
          <w:jc w:val="center"/>
        </w:trPr>
        <w:tc>
          <w:tcPr>
            <w:tcW w:w="1000" w:type="dxa"/>
            <w:tcBorders>
              <w:top w:val="nil"/>
              <w:left w:val="nil"/>
              <w:bottom w:val="nil"/>
              <w:right w:val="nil"/>
            </w:tcBorders>
            <w:vAlign w:val="center"/>
          </w:tcPr>
          <w:p w14:paraId="4A1F19B8" w14:textId="77777777" w:rsidR="00CF52FD" w:rsidRDefault="00000000">
            <w:pPr>
              <w:keepNext w:val="0"/>
              <w:keepLines/>
              <w:spacing w:after="0" w:line="240" w:lineRule="exact"/>
            </w:pPr>
            <w:r>
              <w:rPr>
                <w:rFonts w:cs="Times New Roman"/>
                <w:i/>
                <w:sz w:val="22"/>
              </w:rPr>
              <w:t>S</w:t>
            </w:r>
          </w:p>
        </w:tc>
        <w:tc>
          <w:tcPr>
            <w:tcW w:w="5800" w:type="dxa"/>
            <w:tcBorders>
              <w:top w:val="nil"/>
              <w:left w:val="nil"/>
              <w:bottom w:val="nil"/>
              <w:right w:val="nil"/>
            </w:tcBorders>
            <w:vAlign w:val="center"/>
          </w:tcPr>
          <w:p w14:paraId="262A9385" w14:textId="77777777" w:rsidR="00CF52FD" w:rsidRDefault="00000000">
            <w:pPr>
              <w:keepNext w:val="0"/>
              <w:keepLines/>
              <w:spacing w:after="0" w:line="240" w:lineRule="exact"/>
            </w:pPr>
            <w:r>
              <w:rPr>
                <w:rFonts w:cs="Times New Roman"/>
                <w:sz w:val="22"/>
              </w:rPr>
              <w:t xml:space="preserve">National e-commerce value: </w:t>
            </w:r>
            <w:r>
              <w:rPr>
                <w:rFonts w:cs="Times New Roman"/>
                <w:sz w:val="22"/>
              </w:rPr>
              <w:t>the online sales</w:t>
            </w:r>
            <w:r>
              <w:rPr>
                <w:rFonts w:cs="Times New Roman"/>
                <w:sz w:val="22"/>
              </w:rPr>
              <w:t xml:space="preserve"> of </w:t>
            </w:r>
            <w:r>
              <w:rPr>
                <w:rFonts w:cs="Times New Roman"/>
                <w:sz w:val="22"/>
              </w:rPr>
              <w:t xml:space="preserve">surveyed </w:t>
            </w:r>
            <w:r>
              <w:rPr>
                <w:rFonts w:cs="Times New Roman"/>
                <w:sz w:val="22"/>
              </w:rPr>
              <w:t>businesses</w:t>
            </w:r>
            <w:r>
              <w:rPr>
                <w:rFonts w:cs="Times New Roman"/>
                <w:sz w:val="22"/>
              </w:rPr>
              <w:t>,</w:t>
            </w:r>
            <w:r>
              <w:rPr>
                <w:rFonts w:cs="Times New Roman"/>
                <w:sz w:val="22"/>
              </w:rPr>
              <w:t xml:space="preserve"> </w:t>
            </w:r>
            <w:r>
              <w:rPr>
                <w:rFonts w:cs="Times New Roman"/>
                <w:sz w:val="22"/>
              </w:rPr>
              <w:t>S</w:t>
            </w:r>
            <w:r>
              <w:rPr>
                <w:rFonts w:cs="Times New Roman"/>
                <w:sz w:val="22"/>
              </w:rPr>
              <w:t xml:space="preserve"> </w:t>
            </w:r>
            <w:r>
              <w:rPr>
                <w:rFonts w:cs="Times New Roman"/>
                <w:sz w:val="22"/>
              </w:rPr>
              <w:t>=</w:t>
            </w:r>
            <w:r>
              <w:rPr>
                <w:rFonts w:cs="Times New Roman"/>
                <w:sz w:val="22"/>
              </w:rPr>
              <w:t xml:space="preserve"> </w:t>
            </w:r>
            <w:r>
              <w:rPr>
                <w:rFonts w:cs="Times New Roman"/>
                <w:sz w:val="22"/>
              </w:rPr>
              <w:t>N</w:t>
            </w:r>
            <w:r>
              <w:rPr>
                <w:rFonts w:cs="Times New Roman"/>
                <w:sz w:val="22"/>
              </w:rPr>
              <w:t xml:space="preserve"> </w:t>
            </w:r>
            <w:r>
              <w:rPr>
                <w:rFonts w:cs="Times New Roman"/>
                <w:sz w:val="22"/>
              </w:rPr>
              <w:t>× A.</w:t>
            </w:r>
          </w:p>
        </w:tc>
        <w:tc>
          <w:tcPr>
            <w:tcW w:w="2747" w:type="dxa"/>
            <w:tcBorders>
              <w:top w:val="nil"/>
              <w:left w:val="nil"/>
              <w:bottom w:val="nil"/>
              <w:right w:val="nil"/>
            </w:tcBorders>
            <w:vAlign w:val="center"/>
          </w:tcPr>
          <w:p w14:paraId="4A6A0977" w14:textId="77777777" w:rsidR="00CF52FD" w:rsidRDefault="00000000">
            <w:pPr>
              <w:keepNext w:val="0"/>
              <w:keepLines/>
              <w:spacing w:after="0" w:line="240" w:lineRule="exact"/>
            </w:pPr>
            <w:r>
              <w:rPr>
                <w:rFonts w:cs="Times New Roman"/>
                <w:sz w:val="22"/>
              </w:rPr>
              <w:t>BPS-Statistics Indonesia</w:t>
            </w:r>
          </w:p>
        </w:tc>
      </w:tr>
      <w:tr w:rsidR="00CF52FD" w14:paraId="309066F8" w14:textId="77777777">
        <w:trPr>
          <w:cantSplit/>
          <w:jc w:val="center"/>
        </w:trPr>
        <w:tc>
          <w:tcPr>
            <w:tcW w:w="1000" w:type="dxa"/>
            <w:tcBorders>
              <w:top w:val="nil"/>
              <w:left w:val="nil"/>
              <w:bottom w:val="nil"/>
              <w:right w:val="nil"/>
            </w:tcBorders>
            <w:vAlign w:val="center"/>
          </w:tcPr>
          <w:p w14:paraId="72820C46" w14:textId="77777777" w:rsidR="00CF52FD" w:rsidRDefault="00000000">
            <w:pPr>
              <w:keepNext w:val="0"/>
              <w:keepLines/>
              <w:spacing w:after="0" w:line="240" w:lineRule="exact"/>
            </w:pPr>
            <w:r>
              <w:rPr>
                <w:rFonts w:cs="Times New Roman"/>
                <w:i/>
                <w:sz w:val="22"/>
              </w:rPr>
              <w:t>N</w:t>
            </w:r>
          </w:p>
        </w:tc>
        <w:tc>
          <w:tcPr>
            <w:tcW w:w="5800" w:type="dxa"/>
            <w:tcBorders>
              <w:top w:val="nil"/>
              <w:left w:val="nil"/>
              <w:bottom w:val="nil"/>
              <w:right w:val="nil"/>
            </w:tcBorders>
            <w:vAlign w:val="center"/>
          </w:tcPr>
          <w:p w14:paraId="021DD165" w14:textId="77777777" w:rsidR="00CF52FD" w:rsidRDefault="00000000">
            <w:pPr>
              <w:keepNext w:val="0"/>
              <w:keepLines/>
              <w:spacing w:after="0" w:line="240" w:lineRule="exact"/>
            </w:pPr>
            <w:r>
              <w:rPr>
                <w:rFonts w:cs="Times New Roman"/>
                <w:sz w:val="22"/>
              </w:rPr>
              <w:t>Estimated number of e-commerce businesses. BPS publishes two counts for 2023; the count consistent with its stated growth figure is used, and the other is retained as a sensitivity check.</w:t>
            </w:r>
          </w:p>
        </w:tc>
        <w:tc>
          <w:tcPr>
            <w:tcW w:w="2747" w:type="dxa"/>
            <w:tcBorders>
              <w:top w:val="nil"/>
              <w:left w:val="nil"/>
              <w:bottom w:val="nil"/>
              <w:right w:val="nil"/>
            </w:tcBorders>
            <w:vAlign w:val="center"/>
          </w:tcPr>
          <w:p w14:paraId="4CF6BBD3" w14:textId="77777777" w:rsidR="00CF52FD" w:rsidRDefault="00000000">
            <w:pPr>
              <w:keepNext w:val="0"/>
              <w:keepLines/>
              <w:spacing w:after="0" w:line="240" w:lineRule="exact"/>
            </w:pPr>
            <w:r>
              <w:rPr>
                <w:rFonts w:cs="Times New Roman"/>
                <w:sz w:val="22"/>
              </w:rPr>
              <w:t>BPS-Statistics Indonesia</w:t>
            </w:r>
          </w:p>
        </w:tc>
      </w:tr>
      <w:tr w:rsidR="00CF52FD" w14:paraId="24BAC93C" w14:textId="77777777">
        <w:trPr>
          <w:cantSplit/>
          <w:jc w:val="center"/>
        </w:trPr>
        <w:tc>
          <w:tcPr>
            <w:tcW w:w="1000" w:type="dxa"/>
            <w:tcBorders>
              <w:top w:val="nil"/>
              <w:left w:val="nil"/>
              <w:bottom w:val="single" w:sz="4" w:space="0" w:color="auto"/>
              <w:right w:val="nil"/>
            </w:tcBorders>
            <w:vAlign w:val="center"/>
          </w:tcPr>
          <w:p w14:paraId="2ECB165B" w14:textId="77777777" w:rsidR="00CF52FD" w:rsidRDefault="00000000">
            <w:pPr>
              <w:keepNext w:val="0"/>
              <w:keepLines/>
              <w:spacing w:after="0" w:line="240" w:lineRule="exact"/>
            </w:pPr>
            <w:r>
              <w:rPr>
                <w:rFonts w:cs="Times New Roman"/>
                <w:i/>
                <w:sz w:val="22"/>
              </w:rPr>
              <w:t>A</w:t>
            </w:r>
          </w:p>
        </w:tc>
        <w:tc>
          <w:tcPr>
            <w:tcW w:w="5800" w:type="dxa"/>
            <w:tcBorders>
              <w:top w:val="nil"/>
              <w:left w:val="nil"/>
              <w:bottom w:val="single" w:sz="4" w:space="0" w:color="auto"/>
              <w:right w:val="nil"/>
            </w:tcBorders>
            <w:vAlign w:val="center"/>
          </w:tcPr>
          <w:p w14:paraId="402567DE" w14:textId="77777777" w:rsidR="00CF52FD" w:rsidRDefault="00000000">
            <w:pPr>
              <w:keepNext w:val="0"/>
              <w:keepLines/>
              <w:spacing w:after="0" w:line="240" w:lineRule="exact"/>
            </w:pPr>
            <w:r>
              <w:rPr>
                <w:rFonts w:cs="Times New Roman"/>
                <w:sz w:val="22"/>
              </w:rPr>
              <w:t>Implied nominal sales per e-commerce business, A = S / N. The change in S is divided arithmetically into the change in N and the change in A.</w:t>
            </w:r>
          </w:p>
        </w:tc>
        <w:tc>
          <w:tcPr>
            <w:tcW w:w="2747" w:type="dxa"/>
            <w:tcBorders>
              <w:top w:val="nil"/>
              <w:left w:val="nil"/>
              <w:bottom w:val="single" w:sz="4" w:space="0" w:color="auto"/>
              <w:right w:val="nil"/>
            </w:tcBorders>
            <w:vAlign w:val="center"/>
          </w:tcPr>
          <w:p w14:paraId="760E7C13" w14:textId="77777777" w:rsidR="00CF52FD" w:rsidRDefault="00000000">
            <w:pPr>
              <w:keepNext w:val="0"/>
              <w:keepLines/>
              <w:spacing w:after="0" w:line="240" w:lineRule="exact"/>
            </w:pPr>
            <w:r>
              <w:rPr>
                <w:rFonts w:cs="Times New Roman"/>
                <w:sz w:val="22"/>
              </w:rPr>
              <w:t>Computed from BPS-Statistics Indonesia</w:t>
            </w:r>
          </w:p>
        </w:tc>
      </w:tr>
    </w:tbl>
    <w:p w14:paraId="5F8D5E9E" w14:textId="77777777" w:rsidR="00CF52FD" w:rsidRDefault="00000000">
      <w:pPr>
        <w:keepNext/>
        <w:spacing w:before="80" w:after="70" w:line="240" w:lineRule="auto"/>
        <w:rPr/>
      </w:pPr>
    </w:p>
    <w:tbl>
      <w:tblPr>
        <w:tblW w:w="9547" w:type="dxa"/>
        <w:jc w:val="center"/>
        <w:tblLayout w:type="fixed"/>
        <w:tblCellMar>
          <w:top w:w="45" w:type="dxa"/>
          <w:left w:w="28" w:type="dxa"/>
          <w:bottom w:w="45" w:type="dxa"/>
          <w:right w:w="28" w:type="dxa"/>
        </w:tblCellMar>
        <w:tblLook w:val="04A0" w:firstRow="1" w:lastRow="0" w:firstColumn="1" w:lastColumn="0" w:noHBand="0" w:noVBand="1"/>
      </w:tblPr>
      <w:tblGrid>
        <w:gridCol w:w="2001"/>
        <w:gridCol w:w="2100"/>
        <w:gridCol w:w="2899"/>
        <w:gridCol w:w="2547"/>
      </w:tblGrid>
      <w:tr w:rsidR="00CF52FD" w14:paraId="0403812E" w14:textId="77777777">
        <w:trPr>
          <w:cantSplit/>
          <w:jc w:val="center"/>
        </w:trPr>
        <w:tc>
          <w:tcPr>
            <w:tcW w:w="9546" w:type="dxa"/>
            <w:gridSpan w:val="4"/>
            <w:tcBorders>
              <w:top w:val="single" w:sz="4" w:space="0" w:color="auto"/>
              <w:left w:val="nil"/>
              <w:bottom w:val="single" w:sz="4" w:space="0" w:color="auto"/>
              <w:right w:val="nil"/>
            </w:tcBorders>
            <w:vAlign w:val="center"/>
          </w:tcPr>
          <w:p w14:paraId="4D73AB97" w14:textId="77777777" w:rsidR="00CF52FD" w:rsidRDefault="00000000">
            <w:pPr>
              <w:keepNext/>
              <w:spacing w:after="0" w:line="240" w:lineRule="exact"/>
              <w:jc w:val="both"/>
              <w:rPr/>
            </w:pPr>
            <w:r>
              <w:rPr>
                <w:rFonts w:cs="Times New Roman"/>
                <w:b/>
                <w:sz w:val="22"/>
              </w:rPr>
              <w:t>Table A2. Source lineage by evidence type</w:t>
            </w:r>
          </w:p>
          <w:p w14:paraId="698A91AD" w14:textId="77777777" w:rsidR="00CF52FD" w:rsidRDefault="00000000">
            <w:pPr>
              <w:spacing w:after="0" w:line="240" w:lineRule="exact"/>
              <w:jc w:val="both"/>
              <w:rPr/>
            </w:pPr>
            <w:r>
              <w:rPr>
                <w:rFonts w:cs="Times New Roman"/>
                <w:sz w:val="22"/>
              </w:rPr>
              <w:t>This table traces each indicator to the filings and publications behind it. Constructed series are labeled as such wherever they appear. Shopee’s Indonesian transaction value is a third-party estimate (Momentum Works 2024), and Indonesian figures for Grab and Shopee are derived from Group ratios (Table 3).</w:t>
            </w:r>
          </w:p>
        </w:tc>
      </w:tr>
      <w:tr w:rsidR="00CF52FD" w14:paraId="570A5A1A" w14:textId="77777777">
        <w:trPr>
          <w:cantSplit/>
          <w:tblHeader/>
          <w:jc w:val="center"/>
        </w:trPr>
        <w:tc>
          <w:tcPr>
            <w:tcW w:w="2000" w:type="dxa"/>
            <w:tcBorders>
              <w:top w:val="single" w:sz="4" w:space="0" w:color="auto"/>
              <w:left w:val="nil"/>
              <w:bottom w:val="single" w:sz="4" w:space="0" w:color="auto"/>
              <w:right w:val="nil"/>
            </w:tcBorders>
            <w:vAlign w:val="center"/>
          </w:tcPr>
          <w:p w14:paraId="157F6155" w14:textId="77777777" w:rsidR="00CF52FD" w:rsidRDefault="00000000">
            <w:pPr>
              <w:keepNext/>
              <w:spacing w:after="0" w:line="240" w:lineRule="exact"/>
            </w:pPr>
            <w:r>
              <w:rPr>
                <w:rFonts w:cs="Times New Roman"/>
                <w:b/>
                <w:sz w:val="22"/>
              </w:rPr>
              <w:t>Evidence type</w:t>
            </w:r>
          </w:p>
        </w:tc>
        <w:tc>
          <w:tcPr>
            <w:tcW w:w="2100" w:type="dxa"/>
            <w:tcBorders>
              <w:top w:val="single" w:sz="4" w:space="0" w:color="auto"/>
              <w:left w:val="nil"/>
              <w:bottom w:val="single" w:sz="4" w:space="0" w:color="auto"/>
              <w:right w:val="nil"/>
            </w:tcBorders>
            <w:vAlign w:val="center"/>
          </w:tcPr>
          <w:p w14:paraId="52C5C661" w14:textId="77777777" w:rsidR="00CF52FD" w:rsidRDefault="00000000">
            <w:pPr>
              <w:keepNext/>
              <w:spacing w:after="0" w:line="240" w:lineRule="exact"/>
            </w:pPr>
            <w:r>
              <w:rPr>
                <w:rFonts w:cs="Times New Roman"/>
                <w:b/>
                <w:sz w:val="22"/>
              </w:rPr>
              <w:t>Platform / source</w:t>
            </w:r>
          </w:p>
        </w:tc>
        <w:tc>
          <w:tcPr>
            <w:tcW w:w="2899" w:type="dxa"/>
            <w:tcBorders>
              <w:top w:val="single" w:sz="4" w:space="0" w:color="auto"/>
              <w:left w:val="nil"/>
              <w:bottom w:val="single" w:sz="4" w:space="0" w:color="auto"/>
              <w:right w:val="nil"/>
            </w:tcBorders>
            <w:vAlign w:val="center"/>
          </w:tcPr>
          <w:p w14:paraId="0858628A" w14:textId="77777777" w:rsidR="00CF52FD" w:rsidRDefault="00000000">
            <w:pPr>
              <w:keepNext/>
              <w:spacing w:after="0" w:line="240" w:lineRule="exact"/>
            </w:pPr>
            <w:r>
              <w:rPr>
                <w:rFonts w:cs="Times New Roman"/>
                <w:b/>
                <w:sz w:val="22"/>
              </w:rPr>
              <w:t>Transaction-value source</w:t>
            </w:r>
          </w:p>
        </w:tc>
        <w:tc>
          <w:tcPr>
            <w:tcW w:w="2547" w:type="dxa"/>
            <w:tcBorders>
              <w:top w:val="single" w:sz="4" w:space="0" w:color="auto"/>
              <w:left w:val="nil"/>
              <w:bottom w:val="single" w:sz="4" w:space="0" w:color="auto"/>
              <w:right w:val="nil"/>
            </w:tcBorders>
            <w:vAlign w:val="center"/>
          </w:tcPr>
          <w:p w14:paraId="41C8FFCE" w14:textId="77777777" w:rsidR="00CF52FD" w:rsidRDefault="00000000">
            <w:pPr>
              <w:keepNext/>
              <w:spacing w:after="0" w:line="240" w:lineRule="exact"/>
            </w:pPr>
            <w:r>
              <w:rPr>
                <w:rFonts w:cs="Times New Roman"/>
                <w:b/>
                <w:sz w:val="22"/>
              </w:rPr>
              <w:t>Revenue / comparison source</w:t>
            </w:r>
          </w:p>
        </w:tc>
      </w:tr>
      <w:tr w:rsidR="00CF52FD" w14:paraId="59786321" w14:textId="77777777">
        <w:trPr>
          <w:cantSplit/>
          <w:jc w:val="center"/>
        </w:trPr>
        <w:tc>
          <w:tcPr>
            <w:tcW w:w="2000" w:type="dxa"/>
            <w:tcBorders>
              <w:top w:val="nil"/>
              <w:left w:val="nil"/>
              <w:bottom w:val="nil"/>
              <w:right w:val="nil"/>
            </w:tcBorders>
            <w:vAlign w:val="center"/>
          </w:tcPr>
          <w:p w14:paraId="432F703C" w14:textId="77777777" w:rsidR="00CF52FD" w:rsidRDefault="00000000">
            <w:pPr>
              <w:keepNext/>
              <w:spacing w:after="0" w:line="240" w:lineRule="exact"/>
            </w:pPr>
            <w:r>
              <w:rPr>
                <w:rFonts w:cs="Times New Roman"/>
                <w:sz w:val="22"/>
              </w:rPr>
              <w:t>Issuer-reported, Indonesia-aligned</w:t>
            </w:r>
          </w:p>
        </w:tc>
        <w:tc>
          <w:tcPr>
            <w:tcW w:w="2100" w:type="dxa"/>
            <w:tcBorders>
              <w:top w:val="nil"/>
              <w:left w:val="nil"/>
              <w:bottom w:val="nil"/>
              <w:right w:val="nil"/>
            </w:tcBorders>
            <w:vAlign w:val="center"/>
          </w:tcPr>
          <w:p w14:paraId="0DF19101" w14:textId="77777777" w:rsidR="00CF52FD" w:rsidRDefault="00000000">
            <w:pPr>
              <w:keepNext/>
              <w:spacing w:after="0" w:line="240" w:lineRule="exact"/>
            </w:pPr>
            <w:r>
              <w:rPr>
                <w:rFonts w:cs="Times New Roman"/>
                <w:sz w:val="22"/>
              </w:rPr>
              <w:t>Tokopedia e-commerce</w:t>
            </w:r>
          </w:p>
        </w:tc>
        <w:tc>
          <w:tcPr>
            <w:tcW w:w="2899" w:type="dxa"/>
            <w:tcBorders>
              <w:top w:val="nil"/>
              <w:left w:val="nil"/>
              <w:bottom w:val="nil"/>
              <w:right w:val="nil"/>
            </w:tcBorders>
            <w:vAlign w:val="center"/>
          </w:tcPr>
          <w:p w14:paraId="075499BA" w14:textId="77777777" w:rsidR="00CF52FD" w:rsidRDefault="00000000">
            <w:pPr>
              <w:keepNext/>
              <w:spacing w:after="0" w:line="240" w:lineRule="exact"/>
            </w:pPr>
            <w:proofErr w:type="spellStart"/>
            <w:r>
              <w:rPr>
                <w:rFonts w:cs="Times New Roman"/>
                <w:sz w:val="22"/>
              </w:rPr>
              <w:t>GoTo</w:t>
            </w:r>
            <w:proofErr w:type="spellEnd"/>
            <w:r>
              <w:rPr>
                <w:rFonts w:cs="Times New Roman"/>
                <w:sz w:val="22"/>
              </w:rPr>
              <w:t xml:space="preserve"> annual report, e-commerce segment metrics</w:t>
            </w:r>
          </w:p>
        </w:tc>
        <w:tc>
          <w:tcPr>
            <w:tcW w:w="2547" w:type="dxa"/>
            <w:tcBorders>
              <w:top w:val="nil"/>
              <w:left w:val="nil"/>
              <w:bottom w:val="nil"/>
              <w:right w:val="nil"/>
            </w:tcBorders>
            <w:vAlign w:val="center"/>
          </w:tcPr>
          <w:p w14:paraId="539A1730" w14:textId="77777777" w:rsidR="00CF52FD" w:rsidRDefault="00000000">
            <w:pPr>
              <w:keepNext/>
              <w:spacing w:after="0" w:line="240" w:lineRule="exact"/>
            </w:pPr>
            <w:proofErr w:type="spellStart"/>
            <w:r>
              <w:rPr>
                <w:rFonts w:cs="Times New Roman"/>
                <w:sz w:val="22"/>
              </w:rPr>
              <w:t>GoTo</w:t>
            </w:r>
            <w:proofErr w:type="spellEnd"/>
            <w:r>
              <w:rPr>
                <w:rFonts w:cs="Times New Roman"/>
                <w:sz w:val="22"/>
              </w:rPr>
              <w:t xml:space="preserve"> annual report, segment note</w:t>
            </w:r>
          </w:p>
        </w:tc>
      </w:tr>
      <w:tr w:rsidR="00CF52FD" w14:paraId="35B0388E" w14:textId="77777777">
        <w:trPr>
          <w:cantSplit/>
          <w:jc w:val="center"/>
        </w:trPr>
        <w:tc>
          <w:tcPr>
            <w:tcW w:w="2000" w:type="dxa"/>
            <w:tcBorders>
              <w:top w:val="nil"/>
              <w:left w:val="nil"/>
              <w:bottom w:val="nil"/>
              <w:right w:val="nil"/>
            </w:tcBorders>
            <w:vAlign w:val="center"/>
          </w:tcPr>
          <w:p w14:paraId="7A7FC8E5" w14:textId="77777777" w:rsidR="00CF52FD" w:rsidRDefault="00000000">
            <w:pPr>
              <w:keepNext/>
              <w:spacing w:after="0" w:line="240" w:lineRule="exact"/>
            </w:pPr>
            <w:r>
              <w:rPr>
                <w:rFonts w:cs="Times New Roman"/>
                <w:sz w:val="22"/>
              </w:rPr>
              <w:t>Issuer-reported, broader scope</w:t>
            </w:r>
          </w:p>
        </w:tc>
        <w:tc>
          <w:tcPr>
            <w:tcW w:w="2100" w:type="dxa"/>
            <w:tcBorders>
              <w:top w:val="nil"/>
              <w:left w:val="nil"/>
              <w:bottom w:val="nil"/>
              <w:right w:val="nil"/>
            </w:tcBorders>
            <w:vAlign w:val="center"/>
          </w:tcPr>
          <w:p w14:paraId="134AE637" w14:textId="77777777" w:rsidR="00CF52FD" w:rsidRDefault="00000000">
            <w:pPr>
              <w:keepNext/>
              <w:spacing w:after="0" w:line="240" w:lineRule="exact"/>
            </w:pPr>
            <w:r>
              <w:rPr>
                <w:rFonts w:cs="Times New Roman"/>
                <w:sz w:val="22"/>
              </w:rPr>
              <w:t>Blibli third-party business</w:t>
            </w:r>
          </w:p>
        </w:tc>
        <w:tc>
          <w:tcPr>
            <w:tcW w:w="2899" w:type="dxa"/>
            <w:tcBorders>
              <w:top w:val="nil"/>
              <w:left w:val="nil"/>
              <w:bottom w:val="nil"/>
              <w:right w:val="nil"/>
            </w:tcBorders>
            <w:vAlign w:val="center"/>
          </w:tcPr>
          <w:p w14:paraId="3B6E8A8C" w14:textId="77777777" w:rsidR="00CF52FD" w:rsidRDefault="00000000">
            <w:pPr>
              <w:keepNext/>
              <w:spacing w:after="0" w:line="240" w:lineRule="exact"/>
            </w:pPr>
            <w:r>
              <w:rPr>
                <w:rFonts w:cs="Times New Roman"/>
                <w:sz w:val="22"/>
              </w:rPr>
              <w:t xml:space="preserve">Global Digital </w:t>
            </w:r>
            <w:proofErr w:type="spellStart"/>
            <w:r>
              <w:rPr>
                <w:rFonts w:cs="Times New Roman"/>
                <w:sz w:val="22"/>
              </w:rPr>
              <w:t>Niaga</w:t>
            </w:r>
            <w:proofErr w:type="spellEnd"/>
            <w:r>
              <w:rPr>
                <w:rFonts w:cs="Times New Roman"/>
                <w:sz w:val="22"/>
              </w:rPr>
              <w:t xml:space="preserve"> prospectus and results releases</w:t>
            </w:r>
          </w:p>
        </w:tc>
        <w:tc>
          <w:tcPr>
            <w:tcW w:w="2547" w:type="dxa"/>
            <w:tcBorders>
              <w:top w:val="nil"/>
              <w:left w:val="nil"/>
              <w:bottom w:val="nil"/>
              <w:right w:val="nil"/>
            </w:tcBorders>
            <w:vAlign w:val="center"/>
          </w:tcPr>
          <w:p w14:paraId="1AC5EA0A" w14:textId="77777777" w:rsidR="00CF52FD" w:rsidRDefault="00000000">
            <w:pPr>
              <w:keepNext/>
              <w:spacing w:after="0" w:line="240" w:lineRule="exact"/>
            </w:pPr>
            <w:r>
              <w:rPr>
                <w:rFonts w:cs="Times New Roman"/>
                <w:sz w:val="22"/>
              </w:rPr>
              <w:t>Same issuer filings</w:t>
            </w:r>
          </w:p>
        </w:tc>
      </w:tr>
      <w:tr w:rsidR="00CF52FD" w14:paraId="2FE5B5A0" w14:textId="77777777">
        <w:trPr>
          <w:cantSplit/>
          <w:jc w:val="center"/>
        </w:trPr>
        <w:tc>
          <w:tcPr>
            <w:tcW w:w="2000" w:type="dxa"/>
            <w:tcBorders>
              <w:top w:val="nil"/>
              <w:left w:val="nil"/>
              <w:bottom w:val="nil"/>
              <w:right w:val="nil"/>
            </w:tcBorders>
            <w:vAlign w:val="center"/>
          </w:tcPr>
          <w:p w14:paraId="44767EE5" w14:textId="77777777" w:rsidR="00CF52FD" w:rsidRDefault="00000000">
            <w:pPr>
              <w:keepNext/>
              <w:spacing w:after="0" w:line="240" w:lineRule="exact"/>
            </w:pPr>
            <w:r>
              <w:rPr>
                <w:rFonts w:cs="Times New Roman"/>
                <w:sz w:val="22"/>
              </w:rPr>
              <w:t>Issuer-reported, broader scope</w:t>
            </w:r>
          </w:p>
        </w:tc>
        <w:tc>
          <w:tcPr>
            <w:tcW w:w="2100" w:type="dxa"/>
            <w:tcBorders>
              <w:top w:val="nil"/>
              <w:left w:val="nil"/>
              <w:bottom w:val="nil"/>
              <w:right w:val="nil"/>
            </w:tcBorders>
            <w:vAlign w:val="center"/>
          </w:tcPr>
          <w:p w14:paraId="10EEF2D5" w14:textId="77777777" w:rsidR="00CF52FD" w:rsidRDefault="00000000">
            <w:pPr>
              <w:keepNext/>
              <w:spacing w:after="0" w:line="240" w:lineRule="exact"/>
            </w:pPr>
            <w:proofErr w:type="spellStart"/>
            <w:r>
              <w:rPr>
                <w:rFonts w:cs="Times New Roman"/>
                <w:sz w:val="22"/>
              </w:rPr>
              <w:t>Bukalapak</w:t>
            </w:r>
            <w:proofErr w:type="spellEnd"/>
            <w:r>
              <w:rPr>
                <w:rFonts w:cs="Times New Roman"/>
                <w:sz w:val="22"/>
              </w:rPr>
              <w:t xml:space="preserve"> Group</w:t>
            </w:r>
          </w:p>
        </w:tc>
        <w:tc>
          <w:tcPr>
            <w:tcW w:w="2899" w:type="dxa"/>
            <w:tcBorders>
              <w:top w:val="nil"/>
              <w:left w:val="nil"/>
              <w:bottom w:val="nil"/>
              <w:right w:val="nil"/>
            </w:tcBorders>
            <w:vAlign w:val="center"/>
          </w:tcPr>
          <w:p w14:paraId="39E68E7A" w14:textId="77777777" w:rsidR="00CF52FD" w:rsidRDefault="00000000">
            <w:pPr>
              <w:keepNext/>
              <w:spacing w:after="0" w:line="240" w:lineRule="exact"/>
            </w:pPr>
            <w:proofErr w:type="spellStart"/>
            <w:r>
              <w:rPr>
                <w:rFonts w:cs="Times New Roman"/>
                <w:sz w:val="22"/>
              </w:rPr>
              <w:t>Bukalapak</w:t>
            </w:r>
            <w:proofErr w:type="spellEnd"/>
            <w:r>
              <w:rPr>
                <w:rFonts w:cs="Times New Roman"/>
                <w:sz w:val="22"/>
              </w:rPr>
              <w:t xml:space="preserve"> annual and sustainability reports</w:t>
            </w:r>
          </w:p>
        </w:tc>
        <w:tc>
          <w:tcPr>
            <w:tcW w:w="2547" w:type="dxa"/>
            <w:tcBorders>
              <w:top w:val="nil"/>
              <w:left w:val="nil"/>
              <w:bottom w:val="nil"/>
              <w:right w:val="nil"/>
            </w:tcBorders>
            <w:vAlign w:val="center"/>
          </w:tcPr>
          <w:p w14:paraId="5CF4A188" w14:textId="77777777" w:rsidR="00CF52FD" w:rsidRDefault="00000000">
            <w:pPr>
              <w:keepNext/>
              <w:spacing w:after="0" w:line="240" w:lineRule="exact"/>
            </w:pPr>
            <w:r>
              <w:rPr>
                <w:rFonts w:cs="Times New Roman"/>
                <w:sz w:val="22"/>
              </w:rPr>
              <w:t>Same issuer filings</w:t>
            </w:r>
          </w:p>
        </w:tc>
      </w:tr>
      <w:tr w:rsidR="00CF52FD" w14:paraId="3C2CA59B" w14:textId="77777777">
        <w:trPr>
          <w:cantSplit/>
          <w:jc w:val="center"/>
        </w:trPr>
        <w:tc>
          <w:tcPr>
            <w:tcW w:w="2000" w:type="dxa"/>
            <w:tcBorders>
              <w:top w:val="nil"/>
              <w:left w:val="nil"/>
              <w:bottom w:val="nil"/>
              <w:right w:val="nil"/>
            </w:tcBorders>
            <w:vAlign w:val="center"/>
          </w:tcPr>
          <w:p w14:paraId="1A757F16" w14:textId="77777777" w:rsidR="00CF52FD" w:rsidRDefault="00000000">
            <w:pPr>
              <w:keepNext/>
              <w:spacing w:after="0" w:line="240" w:lineRule="exact"/>
            </w:pPr>
            <w:r>
              <w:rPr>
                <w:rFonts w:cs="Times New Roman"/>
                <w:sz w:val="22"/>
              </w:rPr>
              <w:t>Requires construction</w:t>
            </w:r>
          </w:p>
        </w:tc>
        <w:tc>
          <w:tcPr>
            <w:tcW w:w="2100" w:type="dxa"/>
            <w:tcBorders>
              <w:top w:val="nil"/>
              <w:left w:val="nil"/>
              <w:bottom w:val="nil"/>
              <w:right w:val="nil"/>
            </w:tcBorders>
            <w:vAlign w:val="center"/>
          </w:tcPr>
          <w:p w14:paraId="28993F2B" w14:textId="77777777" w:rsidR="00CF52FD" w:rsidRDefault="00000000">
            <w:pPr>
              <w:keepNext/>
              <w:spacing w:after="0" w:line="240" w:lineRule="exact"/>
            </w:pPr>
            <w:r>
              <w:rPr>
                <w:rFonts w:cs="Times New Roman"/>
                <w:sz w:val="22"/>
              </w:rPr>
              <w:t>Grab Indonesia</w:t>
            </w:r>
          </w:p>
        </w:tc>
        <w:tc>
          <w:tcPr>
            <w:tcW w:w="2899" w:type="dxa"/>
            <w:tcBorders>
              <w:top w:val="nil"/>
              <w:left w:val="nil"/>
              <w:bottom w:val="nil"/>
              <w:right w:val="nil"/>
            </w:tcBorders>
            <w:vAlign w:val="center"/>
          </w:tcPr>
          <w:p w14:paraId="1A1915BD" w14:textId="77777777" w:rsidR="00CF52FD" w:rsidRDefault="00000000">
            <w:pPr>
              <w:keepNext/>
              <w:spacing w:after="0" w:line="240" w:lineRule="exact"/>
            </w:pPr>
            <w:r>
              <w:rPr>
                <w:rFonts w:cs="Times New Roman"/>
                <w:sz w:val="22"/>
              </w:rPr>
              <w:t>Derived from Indonesia revenue and Group monetization rate</w:t>
            </w:r>
          </w:p>
        </w:tc>
        <w:tc>
          <w:tcPr>
            <w:tcW w:w="2547" w:type="dxa"/>
            <w:tcBorders>
              <w:top w:val="nil"/>
              <w:left w:val="nil"/>
              <w:bottom w:val="nil"/>
              <w:right w:val="nil"/>
            </w:tcBorders>
            <w:vAlign w:val="center"/>
          </w:tcPr>
          <w:p w14:paraId="4F63A137" w14:textId="77777777" w:rsidR="00CF52FD" w:rsidRDefault="00000000">
            <w:pPr>
              <w:keepNext/>
              <w:spacing w:after="0" w:line="240" w:lineRule="exact"/>
            </w:pPr>
            <w:r>
              <w:rPr>
                <w:rFonts w:cs="Times New Roman"/>
                <w:sz w:val="22"/>
              </w:rPr>
              <w:t>Grab Form 20-F</w:t>
            </w:r>
          </w:p>
        </w:tc>
      </w:tr>
      <w:tr w:rsidR="00CF52FD" w14:paraId="22227E77" w14:textId="77777777">
        <w:trPr>
          <w:cantSplit/>
          <w:jc w:val="center"/>
        </w:trPr>
        <w:tc>
          <w:tcPr>
            <w:tcW w:w="2000" w:type="dxa"/>
            <w:tcBorders>
              <w:top w:val="nil"/>
              <w:left w:val="nil"/>
              <w:bottom w:val="nil"/>
              <w:right w:val="nil"/>
            </w:tcBorders>
            <w:vAlign w:val="center"/>
          </w:tcPr>
          <w:p w14:paraId="17D9F0FF" w14:textId="77777777" w:rsidR="00CF52FD" w:rsidRDefault="00000000">
            <w:pPr>
              <w:keepNext/>
              <w:spacing w:after="0" w:line="240" w:lineRule="exact"/>
            </w:pPr>
            <w:r>
              <w:rPr>
                <w:rFonts w:cs="Times New Roman"/>
                <w:sz w:val="22"/>
              </w:rPr>
              <w:t>Requires construction</w:t>
            </w:r>
          </w:p>
        </w:tc>
        <w:tc>
          <w:tcPr>
            <w:tcW w:w="2100" w:type="dxa"/>
            <w:tcBorders>
              <w:top w:val="nil"/>
              <w:left w:val="nil"/>
              <w:bottom w:val="nil"/>
              <w:right w:val="nil"/>
            </w:tcBorders>
            <w:vAlign w:val="center"/>
          </w:tcPr>
          <w:p w14:paraId="1EFF1744" w14:textId="77777777" w:rsidR="00CF52FD" w:rsidRDefault="00000000">
            <w:pPr>
              <w:keepNext/>
              <w:spacing w:after="0" w:line="240" w:lineRule="exact"/>
            </w:pPr>
            <w:r>
              <w:rPr>
                <w:rFonts w:cs="Times New Roman"/>
                <w:sz w:val="22"/>
              </w:rPr>
              <w:t>Shopee Indonesia</w:t>
            </w:r>
          </w:p>
        </w:tc>
        <w:tc>
          <w:tcPr>
            <w:tcW w:w="2899" w:type="dxa"/>
            <w:tcBorders>
              <w:top w:val="nil"/>
              <w:left w:val="nil"/>
              <w:bottom w:val="nil"/>
              <w:right w:val="nil"/>
            </w:tcBorders>
            <w:vAlign w:val="center"/>
          </w:tcPr>
          <w:p w14:paraId="3B2C611F" w14:textId="77777777" w:rsidR="00CF52FD" w:rsidRDefault="00000000">
            <w:pPr>
              <w:keepNext/>
              <w:spacing w:after="0" w:line="240" w:lineRule="exact"/>
            </w:pPr>
            <w:r>
              <w:rPr>
                <w:rFonts w:cs="Times New Roman"/>
                <w:sz w:val="22"/>
              </w:rPr>
              <w:t>Momentum Works Southeast Asia e-commerce estimate</w:t>
            </w:r>
          </w:p>
        </w:tc>
        <w:tc>
          <w:tcPr>
            <w:tcW w:w="2547" w:type="dxa"/>
            <w:tcBorders>
              <w:top w:val="nil"/>
              <w:left w:val="nil"/>
              <w:bottom w:val="nil"/>
              <w:right w:val="nil"/>
            </w:tcBorders>
            <w:vAlign w:val="center"/>
          </w:tcPr>
          <w:p w14:paraId="3096BECD" w14:textId="77777777" w:rsidR="00CF52FD" w:rsidRDefault="00000000">
            <w:pPr>
              <w:keepNext/>
              <w:spacing w:after="0" w:line="240" w:lineRule="exact"/>
            </w:pPr>
            <w:r>
              <w:rPr>
                <w:rFonts w:cs="Times New Roman"/>
                <w:sz w:val="22"/>
              </w:rPr>
              <w:t>Derived from Sea Limited Form 20-F</w:t>
            </w:r>
          </w:p>
        </w:tc>
      </w:tr>
      <w:tr w:rsidR="00CF52FD" w14:paraId="23CD8C59" w14:textId="77777777">
        <w:trPr>
          <w:cantSplit/>
          <w:jc w:val="center"/>
        </w:trPr>
        <w:tc>
          <w:tcPr>
            <w:tcW w:w="2000" w:type="dxa"/>
            <w:tcBorders>
              <w:top w:val="nil"/>
              <w:left w:val="nil"/>
              <w:bottom w:val="nil"/>
              <w:right w:val="nil"/>
            </w:tcBorders>
            <w:vAlign w:val="center"/>
          </w:tcPr>
          <w:p w14:paraId="205A535B" w14:textId="77777777" w:rsidR="00CF52FD" w:rsidRDefault="00000000">
            <w:pPr>
              <w:keepNext/>
              <w:spacing w:after="0" w:line="240" w:lineRule="exact"/>
            </w:pPr>
            <w:r>
              <w:rPr>
                <w:rFonts w:cs="Times New Roman"/>
                <w:sz w:val="22"/>
              </w:rPr>
              <w:t>National statistics</w:t>
            </w:r>
          </w:p>
        </w:tc>
        <w:tc>
          <w:tcPr>
            <w:tcW w:w="2100" w:type="dxa"/>
            <w:tcBorders>
              <w:top w:val="nil"/>
              <w:left w:val="nil"/>
              <w:bottom w:val="nil"/>
              <w:right w:val="nil"/>
            </w:tcBorders>
            <w:vAlign w:val="center"/>
          </w:tcPr>
          <w:p w14:paraId="443C7F68" w14:textId="77777777" w:rsidR="00CF52FD" w:rsidRDefault="00000000">
            <w:pPr>
              <w:keepNext/>
              <w:spacing w:after="0" w:line="240" w:lineRule="exact"/>
            </w:pPr>
            <w:r>
              <w:rPr>
                <w:rFonts w:cs="Times New Roman"/>
                <w:sz w:val="22"/>
              </w:rPr>
              <w:t>BPS-Statistics Indonesia</w:t>
            </w:r>
          </w:p>
        </w:tc>
        <w:tc>
          <w:tcPr>
            <w:tcW w:w="2899" w:type="dxa"/>
            <w:tcBorders>
              <w:top w:val="nil"/>
              <w:left w:val="nil"/>
              <w:bottom w:val="nil"/>
              <w:right w:val="nil"/>
            </w:tcBorders>
            <w:vAlign w:val="center"/>
          </w:tcPr>
          <w:p w14:paraId="5FF09F35" w14:textId="77777777" w:rsidR="00CF52FD" w:rsidRDefault="00000000">
            <w:pPr>
              <w:keepNext/>
              <w:spacing w:after="0" w:line="240" w:lineRule="exact"/>
            </w:pPr>
            <w:r>
              <w:rPr>
                <w:rFonts w:cs="Times New Roman"/>
                <w:sz w:val="22"/>
              </w:rPr>
              <w:t>E-Commerce Statistics 2023 and 2024; marketplace study</w:t>
            </w:r>
          </w:p>
        </w:tc>
        <w:tc>
          <w:tcPr>
            <w:tcW w:w="2547" w:type="dxa"/>
            <w:tcBorders>
              <w:top w:val="nil"/>
              <w:left w:val="nil"/>
              <w:bottom w:val="nil"/>
              <w:right w:val="nil"/>
            </w:tcBorders>
            <w:vAlign w:val="center"/>
          </w:tcPr>
          <w:p w14:paraId="2D1899B5" w14:textId="77777777" w:rsidR="00CF52FD" w:rsidRDefault="00000000">
            <w:pPr>
              <w:keepNext/>
              <w:spacing w:after="0" w:line="240" w:lineRule="exact"/>
            </w:pPr>
            <w:r>
              <w:rPr>
                <w:rFonts w:cs="Times New Roman"/>
                <w:sz w:val="22"/>
              </w:rPr>
              <w:t>Business-count, channel and recordkeeping evidence</w:t>
            </w:r>
          </w:p>
        </w:tc>
      </w:tr>
      <w:tr w:rsidR="00CF52FD" w14:paraId="7EB4C087" w14:textId="77777777">
        <w:trPr>
          <w:cantSplit/>
          <w:jc w:val="center"/>
        </w:trPr>
        <w:tc>
          <w:tcPr>
            <w:tcW w:w="2000" w:type="dxa"/>
            <w:tcBorders>
              <w:top w:val="nil"/>
              <w:left w:val="nil"/>
              <w:bottom w:val="nil"/>
              <w:right w:val="nil"/>
            </w:tcBorders>
            <w:vAlign w:val="center"/>
          </w:tcPr>
          <w:p w14:paraId="1F8DF2C6" w14:textId="77777777" w:rsidR="00CF52FD" w:rsidRDefault="00000000">
            <w:pPr>
              <w:keepNext/>
              <w:spacing w:after="0" w:line="240" w:lineRule="exact"/>
            </w:pPr>
            <w:r>
              <w:rPr>
                <w:rFonts w:cs="Times New Roman"/>
                <w:sz w:val="22"/>
              </w:rPr>
              <w:t>Payment statistics</w:t>
            </w:r>
          </w:p>
        </w:tc>
        <w:tc>
          <w:tcPr>
            <w:tcW w:w="2100" w:type="dxa"/>
            <w:tcBorders>
              <w:top w:val="nil"/>
              <w:left w:val="nil"/>
              <w:bottom w:val="nil"/>
              <w:right w:val="nil"/>
            </w:tcBorders>
            <w:vAlign w:val="center"/>
          </w:tcPr>
          <w:p w14:paraId="23A75180" w14:textId="77777777" w:rsidR="00CF52FD" w:rsidRDefault="00000000">
            <w:pPr>
              <w:keepNext/>
              <w:spacing w:after="0" w:line="240" w:lineRule="exact"/>
            </w:pPr>
            <w:r>
              <w:rPr>
                <w:rFonts w:cs="Times New Roman"/>
                <w:sz w:val="22"/>
              </w:rPr>
              <w:t>Bank Indonesia</w:t>
            </w:r>
          </w:p>
        </w:tc>
        <w:tc>
          <w:tcPr>
            <w:tcW w:w="2899" w:type="dxa"/>
            <w:tcBorders>
              <w:top w:val="nil"/>
              <w:left w:val="nil"/>
              <w:bottom w:val="nil"/>
              <w:right w:val="nil"/>
            </w:tcBorders>
            <w:vAlign w:val="center"/>
          </w:tcPr>
          <w:p w14:paraId="64EE5E7C" w14:textId="77777777" w:rsidR="00CF52FD" w:rsidRDefault="00000000">
            <w:pPr>
              <w:keepNext/>
              <w:spacing w:after="0" w:line="240" w:lineRule="exact"/>
            </w:pPr>
            <w:r>
              <w:rPr>
                <w:rFonts w:cs="Times New Roman"/>
                <w:sz w:val="22"/>
              </w:rPr>
              <w:t>Payment System Statistics and QRIS reports</w:t>
            </w:r>
          </w:p>
        </w:tc>
        <w:tc>
          <w:tcPr>
            <w:tcW w:w="2547" w:type="dxa"/>
            <w:tcBorders>
              <w:top w:val="nil"/>
              <w:left w:val="nil"/>
              <w:bottom w:val="nil"/>
              <w:right w:val="nil"/>
            </w:tcBorders>
            <w:vAlign w:val="center"/>
          </w:tcPr>
          <w:p w14:paraId="27ABA3B9" w14:textId="77777777" w:rsidR="00CF52FD" w:rsidRDefault="00000000">
            <w:pPr>
              <w:keepNext/>
              <w:spacing w:after="0" w:line="240" w:lineRule="exact"/>
            </w:pPr>
            <w:r>
              <w:rPr>
                <w:rFonts w:cs="Times New Roman"/>
                <w:sz w:val="22"/>
              </w:rPr>
              <w:t>Growth-rate comparison only</w:t>
            </w:r>
          </w:p>
        </w:tc>
      </w:tr>
      <w:tr w:rsidR="00CF52FD" w14:paraId="561B5B17" w14:textId="77777777">
        <w:trPr>
          <w:cantSplit/>
          <w:jc w:val="center"/>
        </w:trPr>
        <w:tc>
          <w:tcPr>
            <w:tcW w:w="2000" w:type="dxa"/>
            <w:tcBorders>
              <w:top w:val="nil"/>
              <w:left w:val="nil"/>
              <w:bottom w:val="nil"/>
              <w:right w:val="nil"/>
            </w:tcBorders>
            <w:vAlign w:val="center"/>
          </w:tcPr>
          <w:p>
            <w:r>
              <w:t>Exchange rate</w:t>
            </w:r>
          </w:p>
        </w:tc>
        <w:tc>
          <w:tcPr>
            <w:tcW w:w="2100" w:type="dxa"/>
            <w:tcBorders>
              <w:top w:val="nil"/>
              <w:left w:val="nil"/>
              <w:bottom w:val="nil"/>
              <w:right w:val="nil"/>
            </w:tcBorders>
            <w:vAlign w:val="center"/>
          </w:tcPr>
          <w:p>
            <w:r>
              <w:t>World Bank</w:t>
            </w:r>
          </w:p>
        </w:tc>
        <w:tc>
          <w:tcPr>
            <w:tcW w:w="2899" w:type="dxa"/>
            <w:tcBorders>
              <w:top w:val="nil"/>
              <w:left w:val="nil"/>
              <w:bottom w:val="nil"/>
              <w:right w:val="nil"/>
            </w:tcBorders>
            <w:vAlign w:val="center"/>
          </w:tcPr>
          <w:p>
            <w:r>
              <w:t>World Bank official exchange-rate series</w:t>
            </w:r>
          </w:p>
        </w:tc>
        <w:tc>
          <w:tcPr>
            <w:tcW w:w="2547" w:type="dxa"/>
            <w:tcBorders>
              <w:top w:val="nil"/>
              <w:left w:val="nil"/>
              <w:bottom w:val="nil"/>
              <w:right w:val="nil"/>
            </w:tcBorders>
            <w:vAlign w:val="center"/>
          </w:tcPr>
          <w:p>
            <w:r>
              <w:t>Cross-section currency conversion only</w:t>
            </w:r>
          </w:p>
        </w:tc>
      </w:tr>
      <w:tr w:rsidR="00CF52FD" w14:paraId="3C1612C3" w14:textId="77777777">
        <w:trPr>
          <w:cantSplit/>
          <w:jc w:val="center"/>
        </w:trPr>
        <w:tc>
          <w:tcPr>
            <w:tcW w:w="2000" w:type="dxa"/>
            <w:tcBorders>
              <w:top w:val="nil"/>
              <w:left w:val="nil"/>
              <w:bottom w:val="nil"/>
              <w:right w:val="nil"/>
            </w:tcBorders>
            <w:vAlign w:val="center"/>
          </w:tcPr>
          <w:p w14:paraId="72826E60" w14:textId="77777777" w:rsidR="00CF52FD" w:rsidRDefault="00000000">
            <w:pPr>
              <w:keepNext/>
              <w:spacing w:after="0" w:line="240" w:lineRule="exact"/>
            </w:pPr>
            <w:r>
              <w:rPr>
                <w:rFonts w:cs="Times New Roman"/>
                <w:sz w:val="22"/>
              </w:rPr>
              <w:t>External corroboration</w:t>
            </w:r>
          </w:p>
        </w:tc>
        <w:tc>
          <w:tcPr>
            <w:tcW w:w="2100" w:type="dxa"/>
            <w:tcBorders>
              <w:top w:val="nil"/>
              <w:left w:val="nil"/>
              <w:bottom w:val="nil"/>
              <w:right w:val="nil"/>
            </w:tcBorders>
            <w:vAlign w:val="center"/>
          </w:tcPr>
          <w:p w14:paraId="10D13DBB" w14:textId="77777777" w:rsidR="00CF52FD" w:rsidRDefault="00000000">
            <w:pPr>
              <w:keepNext/>
              <w:spacing w:after="0" w:line="240" w:lineRule="exact"/>
            </w:pPr>
            <w:r>
              <w:rPr>
                <w:rFonts w:cs="Times New Roman"/>
                <w:sz w:val="22"/>
              </w:rPr>
              <w:t>eBay, Etsy, Jumia, Mercado Libre, Rakuten, Sea, Shopify, Zalando</w:t>
            </w:r>
          </w:p>
        </w:tc>
        <w:tc>
          <w:tcPr>
            <w:tcW w:w="2899" w:type="dxa"/>
            <w:tcBorders>
              <w:top w:val="nil"/>
              <w:left w:val="nil"/>
              <w:bottom w:val="nil"/>
              <w:right w:val="nil"/>
            </w:tcBorders>
            <w:vAlign w:val="center"/>
          </w:tcPr>
          <w:p w14:paraId="4639F54B" w14:textId="77777777" w:rsidR="00CF52FD" w:rsidRDefault="00000000">
            <w:pPr>
              <w:keepNext/>
              <w:spacing w:after="0" w:line="240" w:lineRule="exact"/>
            </w:pPr>
            <w:r>
              <w:rPr>
                <w:rFonts w:cs="Times New Roman"/>
                <w:sz w:val="22"/>
              </w:rPr>
              <w:t>Issuer transaction measures</w:t>
            </w:r>
          </w:p>
        </w:tc>
        <w:tc>
          <w:tcPr>
            <w:tcW w:w="2547" w:type="dxa"/>
            <w:tcBorders>
              <w:top w:val="nil"/>
              <w:left w:val="nil"/>
              <w:bottom w:val="nil"/>
              <w:right w:val="nil"/>
            </w:tcBorders>
            <w:vAlign w:val="center"/>
          </w:tcPr>
          <w:p w14:paraId="3884073A" w14:textId="77777777" w:rsidR="00CF52FD" w:rsidRDefault="00000000">
            <w:pPr>
              <w:keepNext/>
              <w:spacing w:after="0" w:line="240" w:lineRule="exact"/>
            </w:pPr>
            <w:r>
              <w:rPr>
                <w:rFonts w:cs="Times New Roman"/>
                <w:sz w:val="22"/>
              </w:rPr>
              <w:t>Issuer revenue measures</w:t>
            </w:r>
          </w:p>
        </w:tc>
      </w:tr>
      <w:tr w:rsidR="00CF52FD" w14:paraId="627C5FA4" w14:textId="77777777">
        <w:trPr>
          <w:cantSplit/>
          <w:jc w:val="center"/>
        </w:trPr>
        <w:tc>
          <w:tcPr>
            <w:tcW w:w="2000" w:type="dxa"/>
            <w:tcBorders>
              <w:top w:val="nil"/>
              <w:left w:val="nil"/>
              <w:bottom w:val="single" w:sz="4" w:space="0" w:color="auto"/>
              <w:right w:val="nil"/>
            </w:tcBorders>
            <w:vAlign w:val="center"/>
          </w:tcPr>
          <w:p w14:paraId="35DAA2C0" w14:textId="77777777" w:rsidR="00CF52FD" w:rsidRDefault="00000000">
            <w:pPr>
              <w:spacing w:after="0" w:line="240" w:lineRule="exact"/>
            </w:pPr>
            <w:r>
              <w:rPr>
                <w:rFonts w:cs="Times New Roman"/>
                <w:sz w:val="22"/>
              </w:rPr>
              <w:t>Regulatory</w:t>
            </w:r>
          </w:p>
        </w:tc>
        <w:tc>
          <w:tcPr>
            <w:tcW w:w="2100" w:type="dxa"/>
            <w:tcBorders>
              <w:top w:val="nil"/>
              <w:left w:val="nil"/>
              <w:bottom w:val="single" w:sz="4" w:space="0" w:color="auto"/>
              <w:right w:val="nil"/>
            </w:tcBorders>
            <w:vAlign w:val="center"/>
          </w:tcPr>
          <w:p w14:paraId="1FA26669" w14:textId="77777777" w:rsidR="00CF52FD" w:rsidRDefault="00000000">
            <w:pPr>
              <w:spacing w:after="0" w:line="240" w:lineRule="exact"/>
            </w:pPr>
            <w:r>
              <w:rPr>
                <w:rFonts w:cs="Times New Roman"/>
                <w:sz w:val="22"/>
              </w:rPr>
              <w:t>PMK 37/2025; DJP</w:t>
            </w:r>
          </w:p>
        </w:tc>
        <w:tc>
          <w:tcPr>
            <w:tcW w:w="2899" w:type="dxa"/>
            <w:tcBorders>
              <w:top w:val="nil"/>
              <w:left w:val="nil"/>
              <w:bottom w:val="single" w:sz="4" w:space="0" w:color="auto"/>
              <w:right w:val="nil"/>
            </w:tcBorders>
            <w:vAlign w:val="center"/>
          </w:tcPr>
          <w:p w14:paraId="343F88A3" w14:textId="77777777" w:rsidR="00CF52FD" w:rsidRDefault="00000000">
            <w:pPr>
              <w:spacing w:after="0" w:line="240" w:lineRule="exact"/>
            </w:pPr>
            <w:r>
              <w:rPr>
                <w:rFonts w:cs="Times New Roman"/>
                <w:sz w:val="22"/>
              </w:rPr>
              <w:t>Ministry of Finance / Directorate General of Taxes</w:t>
            </w:r>
          </w:p>
        </w:tc>
        <w:tc>
          <w:tcPr>
            <w:tcW w:w="2547" w:type="dxa"/>
            <w:tcBorders>
              <w:top w:val="nil"/>
              <w:left w:val="nil"/>
              <w:bottom w:val="single" w:sz="4" w:space="0" w:color="auto"/>
              <w:right w:val="nil"/>
            </w:tcBorders>
            <w:vAlign w:val="center"/>
          </w:tcPr>
          <w:p w14:paraId="04699B6D" w14:textId="77777777" w:rsidR="00CF52FD" w:rsidRDefault="00000000">
            <w:pPr>
              <w:spacing w:after="0" w:line="240" w:lineRule="exact"/>
            </w:pPr>
            <w:r>
              <w:rPr>
                <w:rFonts w:cs="Times New Roman"/>
                <w:sz w:val="22"/>
              </w:rPr>
              <w:t>Institutional architecture only</w:t>
            </w:r>
          </w:p>
        </w:tc>
      </w:tr>
    </w:tbl>
    <w:p w14:paraId="586DF583" w14:textId="77777777" w:rsidR="00CF52FD" w:rsidRDefault="00000000">
      <w:pPr>
        <w:keepLines/>
        <w:spacing w:before="100" w:after="110" w:line="257" w:lineRule="auto"/>
        <w:jc w:val="both"/>
      </w:pPr>
      <w:r>
        <w:t>Every figure used in this proposal traces to a named file and locator in the accompanying data package.</w:t>
      </w:r>
      <w:r>
        <w:br w:type="page"/>
      </w:r>
    </w:p>
    <w:p w14:paraId="0D7081C1" w14:textId="77777777" w:rsidR="00CF52FD" w:rsidRDefault="00000000">
      <w:pPr>
        <w:pStyle w:val="Heading1"/>
        <w:spacing w:before="160" w:after="100"/>
      </w:pPr>
      <w:r>
        <w:rPr>
          <w:rFonts w:ascii="Times New Roman" w:eastAsia="Times New Roman" w:hAnsi="Times New Roman" w:cs="Times New Roman"/>
        </w:rPr>
        <w:lastRenderedPageBreak/>
        <w:t>References</w:t>
      </w:r>
    </w:p>
    <w:p w14:paraId="302E7074" w14:textId="77777777" w:rsidR="00CF52FD" w:rsidRDefault="00000000">
      <w:pPr>
        <w:pStyle w:val="Reference"/>
        <w:keepNext/>
        <w:keepLines/>
        <w:spacing w:after="12"/>
        <w:ind w:left="216" w:hanging="216"/>
      </w:pPr>
      <w:r>
        <w:rPr>
          <w:rFonts w:cs="Times New Roman"/>
          <w:sz w:val="21"/>
        </w:rPr>
        <w:t xml:space="preserve">Ahmad, N., &amp; Schreyer, P. (2016). Measuring GDP in a </w:t>
      </w:r>
      <w:proofErr w:type="spellStart"/>
      <w:r>
        <w:rPr>
          <w:rFonts w:cs="Times New Roman"/>
          <w:sz w:val="21"/>
        </w:rPr>
        <w:t>Digitalised</w:t>
      </w:r>
      <w:proofErr w:type="spellEnd"/>
      <w:r>
        <w:rPr>
          <w:rFonts w:cs="Times New Roman"/>
          <w:sz w:val="21"/>
        </w:rPr>
        <w:t xml:space="preserve"> Economy. OECD Statistics Working Papers 2016/07.</w:t>
      </w:r>
    </w:p>
    <w:p w14:paraId="009CD37B" w14:textId="77777777" w:rsidR="00CF52FD" w:rsidRDefault="00000000">
      <w:pPr>
        <w:pStyle w:val="Reference"/>
        <w:keepLines/>
        <w:spacing w:after="12"/>
        <w:ind w:left="216" w:hanging="216"/>
      </w:pPr>
      <w:r>
        <w:rPr>
          <w:rFonts w:cs="Times New Roman"/>
          <w:sz w:val="21"/>
        </w:rPr>
        <w:t>Armstrong, M. (2006). Competition in two-sided markets. RAND Journal of Economics, 37(3), 668-691.</w:t>
      </w:r>
    </w:p>
    <w:p w14:paraId="1B69D826" w14:textId="77777777" w:rsidR="00CF52FD" w:rsidRDefault="00000000">
      <w:pPr>
        <w:pStyle w:val="Reference"/>
        <w:spacing w:after="12"/>
        <w:ind w:left="216" w:hanging="216"/>
      </w:pPr>
      <w:r>
        <w:rPr>
          <w:rFonts w:cs="Times New Roman"/>
          <w:sz w:val="21"/>
        </w:rPr>
        <w:t>Bank Indonesia. (2025). Payment System Statistics (SPIP) and QRIS reports. Jakarta: Bank Indonesia.</w:t>
      </w:r>
    </w:p>
    <w:p w14:paraId="4695E1B4" w14:textId="77777777" w:rsidR="00CF52FD" w:rsidRDefault="00000000">
      <w:pPr>
        <w:pStyle w:val="Reference"/>
        <w:spacing w:after="12"/>
        <w:ind w:left="216" w:hanging="216"/>
      </w:pPr>
      <w:r>
        <w:rPr>
          <w:rFonts w:cs="Times New Roman"/>
          <w:sz w:val="21"/>
        </w:rPr>
        <w:t>Barrios, J. M., Hochberg, Y. V., &amp; Yi, H. (2022). Launching with a parachute: The gig economy and new business formation. Journal of Financial Economics, 144(1), 22-43.</w:t>
      </w:r>
    </w:p>
    <w:p w14:paraId="7F0088B2" w14:textId="77777777" w:rsidR="00CF52FD" w:rsidRDefault="00000000">
      <w:pPr>
        <w:pStyle w:val="Reference"/>
        <w:spacing w:after="12"/>
        <w:ind w:left="216" w:hanging="216"/>
      </w:pPr>
      <w:r>
        <w:rPr>
          <w:rFonts w:cs="Times New Roman"/>
          <w:sz w:val="21"/>
        </w:rPr>
        <w:t xml:space="preserve">Berg, T., Burg, V., </w:t>
      </w:r>
      <w:proofErr w:type="spellStart"/>
      <w:r>
        <w:rPr>
          <w:rFonts w:cs="Times New Roman"/>
          <w:sz w:val="21"/>
        </w:rPr>
        <w:t>Gombovic</w:t>
      </w:r>
      <w:proofErr w:type="spellEnd"/>
      <w:r>
        <w:rPr>
          <w:rFonts w:cs="Times New Roman"/>
          <w:sz w:val="21"/>
        </w:rPr>
        <w:t xml:space="preserve">, A., &amp; Puri, M. (2020). On the rise of </w:t>
      </w:r>
      <w:proofErr w:type="spellStart"/>
      <w:r>
        <w:rPr>
          <w:rFonts w:cs="Times New Roman"/>
          <w:sz w:val="21"/>
        </w:rPr>
        <w:t>FinTechs</w:t>
      </w:r>
      <w:proofErr w:type="spellEnd"/>
      <w:r>
        <w:rPr>
          <w:rFonts w:cs="Times New Roman"/>
          <w:sz w:val="21"/>
        </w:rPr>
        <w:t>: Credit scoring using digital footprints. Review of Financial Studies, 33(7), 2845-2897.</w:t>
      </w:r>
    </w:p>
    <w:p w14:paraId="52891624" w14:textId="77777777" w:rsidR="00CF52FD" w:rsidRDefault="00000000">
      <w:pPr>
        <w:pStyle w:val="Reference"/>
        <w:spacing w:after="12"/>
        <w:ind w:left="216" w:hanging="216"/>
      </w:pPr>
      <w:r>
        <w:rPr>
          <w:rFonts w:cs="Times New Roman"/>
          <w:sz w:val="21"/>
        </w:rPr>
        <w:t>BPS-Statistics Indonesia. (2025). E-Commerce Statistics 2023 and 2024. Jakarta: BPS.</w:t>
      </w:r>
    </w:p>
    <w:p w14:paraId="7023381E" w14:textId="77777777" w:rsidR="00CF52FD" w:rsidRDefault="00000000">
      <w:pPr>
        <w:pStyle w:val="Reference"/>
        <w:spacing w:after="12"/>
        <w:ind w:left="216" w:hanging="216"/>
      </w:pPr>
      <w:proofErr w:type="spellStart"/>
      <w:r>
        <w:rPr>
          <w:rFonts w:cs="Times New Roman"/>
          <w:sz w:val="21"/>
        </w:rPr>
        <w:t>Caillaud</w:t>
      </w:r>
      <w:proofErr w:type="spellEnd"/>
      <w:r>
        <w:rPr>
          <w:rFonts w:cs="Times New Roman"/>
          <w:sz w:val="21"/>
        </w:rPr>
        <w:t xml:space="preserve">, B., &amp; </w:t>
      </w:r>
      <w:proofErr w:type="spellStart"/>
      <w:r>
        <w:rPr>
          <w:rFonts w:cs="Times New Roman"/>
          <w:sz w:val="21"/>
        </w:rPr>
        <w:t>Jullien</w:t>
      </w:r>
      <w:proofErr w:type="spellEnd"/>
      <w:r>
        <w:rPr>
          <w:rFonts w:cs="Times New Roman"/>
          <w:sz w:val="21"/>
        </w:rPr>
        <w:t>, B. (2003). Chicken and egg: Competition among intermediation service providers. RAND Journal of Economics, 34(2), 309-328.</w:t>
      </w:r>
    </w:p>
    <w:p w14:paraId="122CDD53" w14:textId="77777777" w:rsidR="00CF52FD" w:rsidRDefault="00000000">
      <w:pPr>
        <w:pStyle w:val="Reference"/>
        <w:spacing w:after="12"/>
        <w:ind w:left="216" w:hanging="216"/>
      </w:pPr>
      <w:r>
        <w:rPr>
          <w:rFonts w:cs="Times New Roman"/>
          <w:sz w:val="21"/>
        </w:rPr>
        <w:t>De Franco, G., Kothari, S. P., &amp; Verdi, R. S. (2011). The benefits of financial statement comparability. Journal of Accounting Research, 49(4), 895-931.</w:t>
      </w:r>
    </w:p>
    <w:p w14:paraId="5E336788" w14:textId="77777777" w:rsidR="00CF52FD" w:rsidRDefault="00000000">
      <w:pPr>
        <w:pStyle w:val="Reference"/>
        <w:spacing w:after="12"/>
        <w:ind w:left="216" w:hanging="216"/>
      </w:pPr>
      <w:r>
        <w:rPr>
          <w:rFonts w:cs="Times New Roman"/>
          <w:sz w:val="21"/>
        </w:rPr>
        <w:t xml:space="preserve">Denes, M. R., </w:t>
      </w:r>
      <w:proofErr w:type="spellStart"/>
      <w:r>
        <w:rPr>
          <w:rFonts w:cs="Times New Roman"/>
          <w:sz w:val="21"/>
        </w:rPr>
        <w:t>Lagaras</w:t>
      </w:r>
      <w:proofErr w:type="spellEnd"/>
      <w:r>
        <w:rPr>
          <w:rFonts w:cs="Times New Roman"/>
          <w:sz w:val="21"/>
        </w:rPr>
        <w:t xml:space="preserve">, S., &amp; </w:t>
      </w:r>
      <w:proofErr w:type="spellStart"/>
      <w:r>
        <w:rPr>
          <w:rFonts w:cs="Times New Roman"/>
          <w:sz w:val="21"/>
        </w:rPr>
        <w:t>Tsoutsoura</w:t>
      </w:r>
      <w:proofErr w:type="spellEnd"/>
      <w:r>
        <w:rPr>
          <w:rFonts w:cs="Times New Roman"/>
          <w:sz w:val="21"/>
        </w:rPr>
        <w:t>, M. (2025). Entrepreneurship and the gig economy: Evidence from U.S. tax returns. Journal of Financial Economics, 173, 104156.</w:t>
      </w:r>
    </w:p>
    <w:p w14:paraId="7517B6F4" w14:textId="77777777" w:rsidR="00CF52FD" w:rsidRDefault="00000000">
      <w:pPr>
        <w:pStyle w:val="Reference"/>
        <w:spacing w:after="12"/>
        <w:ind w:left="216" w:hanging="216"/>
      </w:pPr>
      <w:r>
        <w:rPr>
          <w:rFonts w:cs="Times New Roman"/>
          <w:sz w:val="21"/>
        </w:rPr>
        <w:t>European Union. (2021). Council Directive (EU) 2021/514 amending Directive 2011/16/EU (DAC7).</w:t>
      </w:r>
    </w:p>
    <w:p w14:paraId="29D293B8" w14:textId="77777777" w:rsidR="00CF52FD" w:rsidRDefault="00000000">
      <w:pPr>
        <w:pStyle w:val="Reference"/>
        <w:spacing w:after="12"/>
        <w:ind w:left="216" w:hanging="216"/>
      </w:pPr>
      <w:r>
        <w:rPr>
          <w:rFonts w:cs="Times New Roman"/>
          <w:sz w:val="21"/>
        </w:rPr>
        <w:t xml:space="preserve">Evans, D. S., &amp; </w:t>
      </w:r>
      <w:proofErr w:type="spellStart"/>
      <w:r>
        <w:rPr>
          <w:rFonts w:cs="Times New Roman"/>
          <w:sz w:val="21"/>
        </w:rPr>
        <w:t>Schmalensee</w:t>
      </w:r>
      <w:proofErr w:type="spellEnd"/>
      <w:r>
        <w:rPr>
          <w:rFonts w:cs="Times New Roman"/>
          <w:sz w:val="21"/>
        </w:rPr>
        <w:t>, R. (2016). Matchmakers: The New Economics of Multisided Platforms. Boston: Harvard Business Review Press.</w:t>
      </w:r>
    </w:p>
    <w:p w14:paraId="0E79D509" w14:textId="77777777" w:rsidR="00CF52FD" w:rsidRDefault="00000000">
      <w:pPr>
        <w:pStyle w:val="Reference"/>
        <w:spacing w:after="12"/>
        <w:ind w:left="216" w:hanging="216"/>
      </w:pPr>
      <w:r>
        <w:rPr>
          <w:rFonts w:cs="Times New Roman"/>
          <w:sz w:val="21"/>
        </w:rPr>
        <w:t>Google, Temasek, &amp; Bain &amp; Company. (2020). e-</w:t>
      </w:r>
      <w:proofErr w:type="spellStart"/>
      <w:r>
        <w:rPr>
          <w:rFonts w:cs="Times New Roman"/>
          <w:sz w:val="21"/>
        </w:rPr>
        <w:t>Conomy</w:t>
      </w:r>
      <w:proofErr w:type="spellEnd"/>
      <w:r>
        <w:rPr>
          <w:rFonts w:cs="Times New Roman"/>
          <w:sz w:val="21"/>
        </w:rPr>
        <w:t xml:space="preserve"> SEA 2020: At Full Velocity.</w:t>
      </w:r>
    </w:p>
    <w:p w14:paraId="72EE6FEA" w14:textId="77777777" w:rsidR="00CF52FD" w:rsidRDefault="00000000">
      <w:pPr>
        <w:pStyle w:val="Reference"/>
        <w:spacing w:after="12"/>
        <w:ind w:left="216" w:hanging="216"/>
      </w:pPr>
      <w:r>
        <w:rPr>
          <w:rFonts w:cs="Times New Roman"/>
          <w:sz w:val="21"/>
        </w:rPr>
        <w:t>Google, Temasek, &amp; Bain &amp; Company. (2024). e-</w:t>
      </w:r>
      <w:proofErr w:type="spellStart"/>
      <w:r>
        <w:rPr>
          <w:rFonts w:cs="Times New Roman"/>
          <w:sz w:val="21"/>
        </w:rPr>
        <w:t>Conomy</w:t>
      </w:r>
      <w:proofErr w:type="spellEnd"/>
      <w:r>
        <w:rPr>
          <w:rFonts w:cs="Times New Roman"/>
          <w:sz w:val="21"/>
        </w:rPr>
        <w:t xml:space="preserve"> SEA 2024: Profits on the Rise.</w:t>
      </w:r>
    </w:p>
    <w:p w14:paraId="4048664F" w14:textId="77777777" w:rsidR="00CF52FD" w:rsidRDefault="00000000">
      <w:pPr>
        <w:pStyle w:val="Reference"/>
        <w:spacing w:after="12"/>
        <w:ind w:left="216" w:hanging="216"/>
      </w:pPr>
      <w:proofErr w:type="spellStart"/>
      <w:r>
        <w:rPr>
          <w:rFonts w:cs="Times New Roman"/>
          <w:sz w:val="21"/>
        </w:rPr>
        <w:t>Hagiu</w:t>
      </w:r>
      <w:proofErr w:type="spellEnd"/>
      <w:r>
        <w:rPr>
          <w:rFonts w:cs="Times New Roman"/>
          <w:sz w:val="21"/>
        </w:rPr>
        <w:t>, A., &amp; Wright, J. (2015). Multi-sided platforms. International Journal of Industrial Organization, 43, 162-174.</w:t>
      </w:r>
    </w:p>
    <w:p w14:paraId="3489B9BE" w14:textId="77777777" w:rsidR="00CF52FD" w:rsidRDefault="00000000">
      <w:pPr>
        <w:pStyle w:val="Reference"/>
        <w:spacing w:after="12"/>
        <w:ind w:left="216" w:hanging="216"/>
      </w:pPr>
      <w:r>
        <w:rPr>
          <w:rFonts w:cs="Times New Roman"/>
          <w:sz w:val="21"/>
        </w:rPr>
        <w:t>International Accounting Standards Board. (2014). IFRS 15: Revenue from Contracts with Customers.</w:t>
      </w:r>
    </w:p>
    <w:p w14:paraId="22A78E15" w14:textId="77777777" w:rsidR="00CF52FD" w:rsidRDefault="00000000">
      <w:pPr>
        <w:pStyle w:val="Reference"/>
        <w:spacing w:after="12"/>
        <w:ind w:left="216" w:hanging="216"/>
      </w:pPr>
      <w:r>
        <w:rPr>
          <w:rFonts w:cs="Times New Roman"/>
          <w:sz w:val="21"/>
        </w:rPr>
        <w:t>International Monetary Fund. (2018). Measuring the Digital Economy. IMF Policy Paper.</w:t>
      </w:r>
    </w:p>
    <w:p w14:paraId="1102903A" w14:textId="77777777" w:rsidR="00CF52FD" w:rsidRDefault="00000000">
      <w:pPr>
        <w:pStyle w:val="Reference"/>
        <w:spacing w:after="12"/>
        <w:ind w:left="216" w:hanging="216"/>
      </w:pPr>
      <w:proofErr w:type="spellStart"/>
      <w:r>
        <w:rPr>
          <w:rFonts w:cs="Times New Roman"/>
          <w:sz w:val="21"/>
        </w:rPr>
        <w:t>Kleven</w:t>
      </w:r>
      <w:proofErr w:type="spellEnd"/>
      <w:r>
        <w:rPr>
          <w:rFonts w:cs="Times New Roman"/>
          <w:sz w:val="21"/>
        </w:rPr>
        <w:t xml:space="preserve">, H. J., Knudsen, M. B., </w:t>
      </w:r>
      <w:proofErr w:type="spellStart"/>
      <w:r>
        <w:rPr>
          <w:rFonts w:cs="Times New Roman"/>
          <w:sz w:val="21"/>
        </w:rPr>
        <w:t>Kreiner</w:t>
      </w:r>
      <w:proofErr w:type="spellEnd"/>
      <w:r>
        <w:rPr>
          <w:rFonts w:cs="Times New Roman"/>
          <w:sz w:val="21"/>
        </w:rPr>
        <w:t xml:space="preserve">, C. T., Pedersen, S., &amp; </w:t>
      </w:r>
      <w:proofErr w:type="spellStart"/>
      <w:r>
        <w:rPr>
          <w:rFonts w:cs="Times New Roman"/>
          <w:sz w:val="21"/>
        </w:rPr>
        <w:t>Saez</w:t>
      </w:r>
      <w:proofErr w:type="spellEnd"/>
      <w:r>
        <w:rPr>
          <w:rFonts w:cs="Times New Roman"/>
          <w:sz w:val="21"/>
        </w:rPr>
        <w:t xml:space="preserve">, E. (2011). Unwilling or unable to cheat? Evidence from a tax audit experiment in Denmark. </w:t>
      </w:r>
      <w:proofErr w:type="spellStart"/>
      <w:r>
        <w:rPr>
          <w:rFonts w:cs="Times New Roman"/>
          <w:sz w:val="21"/>
        </w:rPr>
        <w:t>Econometrica</w:t>
      </w:r>
      <w:proofErr w:type="spellEnd"/>
      <w:r>
        <w:rPr>
          <w:rFonts w:cs="Times New Roman"/>
          <w:sz w:val="21"/>
        </w:rPr>
        <w:t>, 79(3), 651-692.</w:t>
      </w:r>
    </w:p>
    <w:p w14:paraId="2A63B752" w14:textId="77777777" w:rsidR="00CF52FD" w:rsidRDefault="00000000">
      <w:pPr>
        <w:pStyle w:val="Reference"/>
        <w:spacing w:after="12"/>
        <w:ind w:left="216" w:hanging="216"/>
      </w:pPr>
      <w:proofErr w:type="spellStart"/>
      <w:r>
        <w:rPr>
          <w:rFonts w:cs="Times New Roman"/>
          <w:sz w:val="21"/>
        </w:rPr>
        <w:t>Kleven</w:t>
      </w:r>
      <w:proofErr w:type="spellEnd"/>
      <w:r>
        <w:rPr>
          <w:rFonts w:cs="Times New Roman"/>
          <w:sz w:val="21"/>
        </w:rPr>
        <w:t xml:space="preserve">, H. J., </w:t>
      </w:r>
      <w:proofErr w:type="spellStart"/>
      <w:r>
        <w:rPr>
          <w:rFonts w:cs="Times New Roman"/>
          <w:sz w:val="21"/>
        </w:rPr>
        <w:t>Kreiner</w:t>
      </w:r>
      <w:proofErr w:type="spellEnd"/>
      <w:r>
        <w:rPr>
          <w:rFonts w:cs="Times New Roman"/>
          <w:sz w:val="21"/>
        </w:rPr>
        <w:t xml:space="preserve">, C. T., &amp; </w:t>
      </w:r>
      <w:proofErr w:type="spellStart"/>
      <w:r>
        <w:rPr>
          <w:rFonts w:cs="Times New Roman"/>
          <w:sz w:val="21"/>
        </w:rPr>
        <w:t>Saez</w:t>
      </w:r>
      <w:proofErr w:type="spellEnd"/>
      <w:r>
        <w:rPr>
          <w:rFonts w:cs="Times New Roman"/>
          <w:sz w:val="21"/>
        </w:rPr>
        <w:t xml:space="preserve">, E. (2016). Why can modern governments tax so much? </w:t>
      </w:r>
      <w:proofErr w:type="spellStart"/>
      <w:r>
        <w:rPr>
          <w:rFonts w:cs="Times New Roman"/>
          <w:sz w:val="21"/>
        </w:rPr>
        <w:t>Economica</w:t>
      </w:r>
      <w:proofErr w:type="spellEnd"/>
      <w:r>
        <w:rPr>
          <w:rFonts w:cs="Times New Roman"/>
          <w:sz w:val="21"/>
        </w:rPr>
        <w:t>, 83(330), 219-246.</w:t>
      </w:r>
    </w:p>
    <w:p w14:paraId="4E7C8BBF" w14:textId="77777777" w:rsidR="00CF52FD" w:rsidRDefault="00000000">
      <w:pPr>
        <w:pStyle w:val="Reference"/>
        <w:spacing w:after="12"/>
        <w:ind w:left="216" w:hanging="216"/>
      </w:pPr>
      <w:r>
        <w:rPr>
          <w:rFonts w:cs="Times New Roman"/>
          <w:sz w:val="21"/>
        </w:rPr>
        <w:t>La Porta, R., &amp; Shleifer, A. (2014). Informality and development. Journal of Economic Perspectives, 28(3), 109-126.</w:t>
      </w:r>
    </w:p>
    <w:p w14:paraId="1B09F8C1" w14:textId="77777777" w:rsidR="00CF52FD" w:rsidRDefault="00000000">
      <w:pPr>
        <w:pStyle w:val="Reference"/>
        <w:spacing w:after="12"/>
        <w:ind w:left="216" w:hanging="216"/>
      </w:pPr>
      <w:r>
        <w:rPr>
          <w:rFonts w:cs="Times New Roman"/>
          <w:sz w:val="21"/>
        </w:rPr>
        <w:t xml:space="preserve">Medina, L., &amp; Schneider, F. (2019). Shedding light on the shadow economy: A global database. </w:t>
      </w:r>
      <w:proofErr w:type="spellStart"/>
      <w:r>
        <w:rPr>
          <w:rFonts w:cs="Times New Roman"/>
          <w:sz w:val="21"/>
        </w:rPr>
        <w:t>CESifo</w:t>
      </w:r>
      <w:proofErr w:type="spellEnd"/>
      <w:r>
        <w:rPr>
          <w:rFonts w:cs="Times New Roman"/>
          <w:sz w:val="21"/>
        </w:rPr>
        <w:t xml:space="preserve"> Working Paper 7981.</w:t>
      </w:r>
    </w:p>
    <w:p w14:paraId="6898B9D6" w14:textId="77777777" w:rsidR="00CF52FD" w:rsidRDefault="00000000">
      <w:pPr>
        <w:pStyle w:val="Reference"/>
        <w:spacing w:after="12"/>
        <w:ind w:left="216" w:hanging="216"/>
      </w:pPr>
      <w:r>
        <w:rPr>
          <w:rFonts w:ascii="Times New Roman" w:hAnsi="Times New Roman"/>
          <w:sz w:val="20"/>
        </w:rPr>
        <w:t>Ministry of Finance of the Republic of Indonesia. (2025). PMK 37 Tahun 2025.</w:t>
      </w:r>
    </w:p>
    <w:p w14:paraId="6898B9D6" w14:textId="77777777" w:rsidR="00CF52FD" w:rsidRDefault="00000000">
      <w:pPr>
        <w:pStyle w:val="Reference"/>
        <w:spacing w:after="12"/>
        <w:ind w:left="216" w:hanging="216"/>
      </w:pPr>
      <w:r>
        <w:rPr>
          <w:rFonts w:ascii="Times New Roman" w:hAnsi="Times New Roman"/>
          <w:sz w:val="20"/>
        </w:rPr>
        <w:t>Directorate General of Taxes. (2026). Penundaan waktu pemberlakuan ketentuan pemungutan PPh Pasal 22 oleh marketplace. Jakarta: DJP.</w:t>
      </w:r>
    </w:p>
    <w:p w14:paraId="461E29A6" w14:textId="77777777" w:rsidR="00CF52FD" w:rsidRDefault="00000000">
      <w:pPr>
        <w:pStyle w:val="Reference"/>
        <w:spacing w:after="12"/>
        <w:ind w:left="216" w:hanging="216"/>
      </w:pPr>
      <w:r>
        <w:rPr>
          <w:rFonts w:cs="Times New Roman"/>
          <w:sz w:val="21"/>
        </w:rPr>
        <w:t>Momentum Works. (2024). Ecommerce in Southeast Asia. Singapore: Momentum Works.</w:t>
      </w:r>
    </w:p>
    <w:p w14:paraId="0E309628" w14:textId="77777777" w:rsidR="00CF52FD" w:rsidRDefault="00000000">
      <w:pPr>
        <w:pStyle w:val="Reference"/>
        <w:spacing w:after="12"/>
        <w:ind w:left="216" w:hanging="216"/>
      </w:pPr>
      <w:proofErr w:type="spellStart"/>
      <w:r>
        <w:rPr>
          <w:rFonts w:cs="Times New Roman"/>
          <w:sz w:val="21"/>
        </w:rPr>
        <w:t>Naritomi</w:t>
      </w:r>
      <w:proofErr w:type="spellEnd"/>
      <w:r>
        <w:rPr>
          <w:rFonts w:cs="Times New Roman"/>
          <w:sz w:val="21"/>
        </w:rPr>
        <w:t>, J. (2019). Consumers as tax auditors. American Economic Review, 109(9), 3031-3072.</w:t>
      </w:r>
    </w:p>
    <w:p w14:paraId="78FD2FA1" w14:textId="77777777" w:rsidR="00CF52FD" w:rsidRDefault="00000000">
      <w:pPr>
        <w:pStyle w:val="Reference"/>
        <w:spacing w:after="12"/>
        <w:ind w:left="216" w:hanging="216"/>
      </w:pPr>
      <w:r>
        <w:rPr>
          <w:rFonts w:cs="Times New Roman"/>
          <w:sz w:val="21"/>
        </w:rPr>
        <w:t>OECD. (2020). Model Rules for Reporting by Platform Operators with respect to Sellers in the Sharing and Gig Economy.</w:t>
      </w:r>
    </w:p>
    <w:p w14:paraId="24192F0C" w14:textId="77777777" w:rsidR="00CF52FD" w:rsidRDefault="00000000">
      <w:pPr>
        <w:pStyle w:val="Reference"/>
        <w:spacing w:after="12"/>
        <w:ind w:left="216" w:hanging="216"/>
      </w:pPr>
      <w:r>
        <w:rPr>
          <w:rFonts w:cs="Times New Roman"/>
          <w:sz w:val="21"/>
        </w:rPr>
        <w:t>OECD. (2023). OECD Handbook on Compiling Digital Supply and Use Tables. Paris: OECD Publishing.</w:t>
      </w:r>
    </w:p>
    <w:p w14:paraId="752EA710" w14:textId="77777777" w:rsidR="00CF52FD" w:rsidRDefault="00000000">
      <w:pPr>
        <w:pStyle w:val="Reference"/>
        <w:spacing w:after="12"/>
        <w:ind w:left="216" w:hanging="216"/>
      </w:pPr>
      <w:r>
        <w:rPr>
          <w:rFonts w:cs="Times New Roman"/>
          <w:sz w:val="21"/>
        </w:rPr>
        <w:t>Parker, G. G., &amp; Van Alstyne, M. W. (2005). Two-sided network effects: A theory of information product design. Management Science, 51(10), 1494-1504.</w:t>
      </w:r>
    </w:p>
    <w:p w14:paraId="19CC0A80" w14:textId="77777777" w:rsidR="00CF52FD" w:rsidRDefault="00000000">
      <w:pPr>
        <w:pStyle w:val="Reference"/>
        <w:spacing w:after="12"/>
        <w:ind w:left="216" w:hanging="216"/>
      </w:pPr>
      <w:r>
        <w:rPr>
          <w:rFonts w:cs="Times New Roman"/>
          <w:sz w:val="21"/>
        </w:rPr>
        <w:t>Pomeranz, D. (2015). No taxation without information: Deterrence and self-enforcement in the value added tax. American Economic Review, 105(8), 2539-2569.</w:t>
      </w:r>
    </w:p>
    <w:p w14:paraId="43BB8360" w14:textId="77777777" w:rsidR="00CF52FD" w:rsidRDefault="00000000">
      <w:pPr>
        <w:pStyle w:val="Reference"/>
        <w:spacing w:after="12"/>
        <w:ind w:left="216" w:hanging="216"/>
      </w:pPr>
      <w:r>
        <w:rPr>
          <w:rFonts w:cs="Times New Roman"/>
          <w:sz w:val="21"/>
        </w:rPr>
        <w:t xml:space="preserve">Rochet, J.-C., &amp; </w:t>
      </w:r>
      <w:proofErr w:type="spellStart"/>
      <w:r>
        <w:rPr>
          <w:rFonts w:cs="Times New Roman"/>
          <w:sz w:val="21"/>
        </w:rPr>
        <w:t>Tirole</w:t>
      </w:r>
      <w:proofErr w:type="spellEnd"/>
      <w:r>
        <w:rPr>
          <w:rFonts w:cs="Times New Roman"/>
          <w:sz w:val="21"/>
        </w:rPr>
        <w:t>, J. (2003). Platform competition in two-sided markets. Journal of the European Economic Association, 1(4), 990-1029.</w:t>
      </w:r>
    </w:p>
    <w:p w14:paraId="0BABE088" w14:textId="77777777" w:rsidR="00CF52FD" w:rsidRDefault="00000000">
      <w:pPr>
        <w:pStyle w:val="Reference"/>
        <w:spacing w:after="12"/>
        <w:ind w:left="216" w:hanging="216"/>
      </w:pPr>
      <w:proofErr w:type="spellStart"/>
      <w:r>
        <w:rPr>
          <w:rFonts w:cs="Times New Roman"/>
          <w:sz w:val="21"/>
        </w:rPr>
        <w:t>Slemrod</w:t>
      </w:r>
      <w:proofErr w:type="spellEnd"/>
      <w:r>
        <w:rPr>
          <w:rFonts w:cs="Times New Roman"/>
          <w:sz w:val="21"/>
        </w:rPr>
        <w:t>, J. (2019). Tax compliance and enforcement. Journal of Economic Literature, 57(4), 904-954.</w:t>
      </w:r>
    </w:p>
    <w:p w14:paraId="5BD16F09" w14:textId="77777777" w:rsidR="00CF52FD" w:rsidRDefault="00000000">
      <w:pPr>
        <w:pStyle w:val="Reference"/>
        <w:spacing w:after="12"/>
        <w:ind w:left="216" w:hanging="216"/>
      </w:pPr>
      <w:proofErr w:type="spellStart"/>
      <w:r>
        <w:rPr>
          <w:rFonts w:cs="Times New Roman"/>
          <w:sz w:val="21"/>
        </w:rPr>
        <w:t>Ulyssea</w:t>
      </w:r>
      <w:proofErr w:type="spellEnd"/>
      <w:r>
        <w:rPr>
          <w:rFonts w:cs="Times New Roman"/>
          <w:sz w:val="21"/>
        </w:rPr>
        <w:t>, G. (2018). Firms, informality, and development: Theory and evidence from Brazil. American Economic Review, 108(8), 2015-2047.</w:t>
      </w:r>
    </w:p>
    <w:p w14:paraId="0C9D9DDD" w14:textId="77777777" w:rsidR="00CF52FD" w:rsidRDefault="00000000">
      <w:pPr>
        <w:pStyle w:val="Reference"/>
        <w:spacing w:after="12"/>
        <w:ind w:left="216" w:hanging="216"/>
      </w:pPr>
      <w:r>
        <w:rPr>
          <w:rFonts w:cs="Times New Roman"/>
          <w:sz w:val="21"/>
        </w:rPr>
        <w:t>United Nations et al. (2025). System of National Accounts 2025.</w:t>
      </w:r>
    </w:p>
    <w:p w14:paraId="15BDE8DA" w14:textId="77777777" w:rsidR="00CF52FD" w:rsidRDefault="00000000">
      <w:pPr>
        <w:pStyle w:val="Reference"/>
        <w:spacing w:after="12"/>
        <w:ind w:left="216" w:hanging="216"/>
      </w:pPr>
      <w:r>
        <w:rPr>
          <w:rFonts w:ascii="Times New Roman" w:hAnsi="Times New Roman"/>
          <w:sz w:val="20"/>
        </w:rPr>
        <w:t>World Bank. (n.d.). World Development Indicators: official exchange rate (LCU per US$, period average), Indonesia. Washington, DC: World Bank.</w:t>
      </w:r>
    </w:p>
    <w:sectPr w:rsidR="00CF52FD">
      <w:footerReference w:type="even" r:id="rId13"/>
      <w:footerReference w:type="default" r:id="rId14"/>
      <w:footerReference w:type="first" r:id="rId15"/>
      <w:pgSz w:w="11906" w:h="16838"/>
      <w:pgMar w:top="1123" w:right="1181" w:bottom="1037" w:left="1181" w:header="0" w:footer="720" w:gutter="0"/>
      <w:cols w:space="720"/>
      <w:formProt w:val="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0494A5" w16cex:dateUtc="2026-09-21T08:12:00Z"/>
  <w16cex:commentExtensible w16cex:durableId="5AB69235" w16cex:dateUtc="2026-09-21T09:08:00Z"/>
  <w16cex:commentExtensible w16cex:durableId="2D3F3DE0" w16cex:dateUtc="2026-09-21T09:05:00Z"/>
  <w16cex:commentExtensible w16cex:durableId="4307CC67" w16cex:dateUtc="2026-09-21T09:19:00Z"/>
  <w16cex:commentExtensible w16cex:durableId="1F97A83A" w16cex:dateUtc="2026-09-21T09:21:00Z"/>
  <w16cex:commentExtensible w16cex:durableId="61171EF7" w16cex:dateUtc="2026-09-21T09:26:00Z"/>
  <w16cex:commentExtensible w16cex:durableId="60F75794" w16cex:dateUtc="2026-09-21T0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60B84E" w16cid:durableId="2D0494A5"/>
  <w16cid:commentId w16cid:paraId="53E4D77B" w16cid:durableId="5AB69235"/>
  <w16cid:commentId w16cid:paraId="23B8D8F8" w16cid:durableId="2D3F3DE0"/>
  <w16cid:commentId w16cid:paraId="16E0A348" w16cid:durableId="4307CC67"/>
  <w16cid:commentId w16cid:paraId="4791CAB2" w16cid:durableId="1F97A83A"/>
  <w16cid:commentId w16cid:paraId="32200037" w16cid:durableId="61171EF7"/>
  <w16cid:commentId w16cid:paraId="0F93A0DF" w16cid:durableId="60F757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0ACCD" w14:textId="77777777" w:rsidR="00B355E1" w:rsidRDefault="00B355E1">
      <w:pPr>
        <w:spacing w:after="0" w:line="240" w:lineRule="auto"/>
      </w:pPr>
      <w:r>
        <w:separator/>
      </w:r>
    </w:p>
  </w:endnote>
  <w:endnote w:type="continuationSeparator" w:id="0">
    <w:p w14:paraId="3B07BB3D" w14:textId="77777777" w:rsidR="00B355E1" w:rsidRDefault="00B35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1B708" w14:textId="77777777" w:rsidR="00CF52FD" w:rsidRDefault="00CF5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94A58" w14:textId="77777777" w:rsidR="00CF52FD" w:rsidRDefault="00000000">
    <w:pPr>
      <w:pStyle w:val="Footer"/>
      <w:jc w:val="center"/>
    </w:pPr>
    <w:r>
      <w:rPr>
        <w:rFonts w:cs="Times New Roman"/>
        <w:sz w:val="18"/>
      </w:rPr>
      <w:t xml:space="preserve">Yuan Ze University | Master of Science in Finance | September 2026 | </w:t>
    </w:r>
    <w:r>
      <w:fldChar w:fldCharType="begin"/>
    </w:r>
    <w:r>
      <w:instrText xml:space="preserve"> PAGE </w:instrText>
    </w:r>
    <w:r>
      <w:fldChar w:fldCharType="separate"/>
    </w:r>
    <w:r>
      <w:t>13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6E5FA" w14:textId="77777777" w:rsidR="00CF52FD" w:rsidRDefault="00CF5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441C2" w14:textId="77777777" w:rsidR="00B355E1" w:rsidRDefault="00B355E1">
      <w:r>
        <w:rPr>
          <w:color w:val="000000"/>
          <w:u w:val="none"/>
        </w:rPr>
        <w:separator/>
      </w:r>
    </w:p>
  </w:footnote>
  <w:footnote w:type="continuationSeparator" w:id="0">
    <w:p w14:paraId="17D8133F" w14:textId="77777777" w:rsidR="00B355E1" w:rsidRDefault="00B355E1">
      <w:r>
        <w:rPr>
          <w:color w:val="000000"/>
          <w:u w:val="none"/>
        </w:rPr>
        <w:continuationSeparator/>
      </w:r>
    </w:p>
  </w:footnote>
  <w:footnote w:id="1">
    <w:p w14:paraId="5D5D0969" w14:textId="6E5F99A7" w:rsidR="00FE0104" w:rsidRPr="00FE0104" w:rsidRDefault="00FE0104">
      <w:pPr>
        <w:pStyle w:val="FootnoteText"/>
        <w:rPr>
          <w:rFonts w:eastAsia="新細明體" w:cs="Times New Roman" w:hint="eastAsia"/>
          <w:sz w:val="18"/>
          <w:szCs w:val="16"/>
          <w:lang w:eastAsia="zh-TW"/>
        </w:rPr>
      </w:pPr>
      <w:r w:rsidRPr="00FE0104">
        <w:rPr>
          <w:rStyle w:val="FootnoteReference"/>
          <w:rFonts w:cs="Times New Roman"/>
          <w:sz w:val="18"/>
          <w:szCs w:val="16"/>
          <w:color w:val="000000"/>
          <w:u w:val="none"/>
        </w:rPr>
        <w:footnoteRef/>
      </w:r>
      <w:r w:rsidRPr="00FE0104">
        <w:rPr>
          <w:rFonts w:cs="Times New Roman"/>
          <w:sz w:val="18"/>
          <w:szCs w:val="16"/>
          <w:color w:val="000000"/>
          <w:u w:val="none"/>
        </w:rPr>
        <w:t xml:space="preserve"> </w:t>
      </w:r>
      <w:r w:rsidRPr="00FE0104">
        <w:rPr>
          <w:rFonts w:eastAsia="新細明體" w:cs="Times New Roman"/>
          <w:sz w:val="18"/>
          <w:szCs w:val="16"/>
          <w:lang w:eastAsia="zh-TW"/>
          <w:color w:val="000000"/>
          <w:u w:val="none"/>
        </w:rPr>
        <w:t>S</w:t>
      </w:r>
      <w:r w:rsidRPr="00FE0104">
        <w:rPr>
          <w:rFonts w:eastAsia="新細明體" w:cs="Times New Roman"/>
          <w:sz w:val="18"/>
          <w:szCs w:val="16"/>
          <w:lang w:eastAsia="zh-TW"/>
          <w:color w:val="000000"/>
          <w:u w:val="none"/>
        </w:rPr>
        <w:t xml:space="preserve">ee </w:t>
      </w:r>
      <w:r w:rsidRPr="00FE0104">
        <w:rPr>
          <w:rFonts w:cs="Times New Roman"/>
          <w:sz w:val="18"/>
          <w:szCs w:val="16"/>
          <w:color w:val="000000"/>
          <w:u w:val="none"/>
        </w:rPr>
        <w:t>Section 4.3</w:t>
      </w:r>
      <w:r w:rsidRPr="00FE0104">
        <w:rPr>
          <w:rFonts w:eastAsia="新細明體" w:cs="Times New Roman"/>
          <w:sz w:val="18"/>
          <w:szCs w:val="16"/>
          <w:lang w:eastAsia="zh-TW"/>
          <w:color w:val="000000"/>
          <w:u w:val="none"/>
        </w:rPr>
        <w:t xml:space="preserve"> for more details</w:t>
      </w:r>
      <w:r>
        <w:rPr>
          <w:rFonts w:eastAsia="新細明體" w:cs="Times New Roman" w:hint="eastAsia"/>
          <w:sz w:val="18"/>
          <w:szCs w:val="16"/>
          <w:lang w:eastAsia="zh-TW"/>
          <w:color w:val="000000"/>
          <w:u w:val="none"/>
        </w:rPr>
        <w:t>.</w:t>
      </w:r>
    </w:p>
  </w:footnote>
  <w:footnote w:id="2">
    <w:p w14:paraId="2FA4064D" w14:textId="77777777" w:rsidR="00CF52FD" w:rsidRDefault="00000000">
      <w:pPr>
        <w:spacing w:after="0" w:line="240" w:lineRule="auto"/>
        <w:jc w:val="both"/>
      </w:pPr>
      <w:r>
        <w:rPr>
          <w:rStyle w:val="FootnoteCharacters"/>
          <w:color w:val="000000"/>
          <w:u w:val="none"/>
        </w:rPr>
        <w:footnoteRef/>
      </w:r>
      <w:r>
        <w:rPr>
          <w:sz w:val="20"/>
          <w:color w:val="000000"/>
          <w:u w:val="none"/>
        </w:rPr>
        <w:t xml:space="preserve"> Issuer labels differ. </w:t>
      </w:r>
      <w:proofErr w:type="spellStart"/>
      <w:r>
        <w:rPr>
          <w:sz w:val="20"/>
          <w:color w:val="000000"/>
          <w:u w:val="none"/>
        </w:rPr>
        <w:t>GoTo</w:t>
      </w:r>
      <w:proofErr w:type="spellEnd"/>
      <w:r>
        <w:rPr>
          <w:sz w:val="20"/>
          <w:color w:val="000000"/>
          <w:u w:val="none"/>
        </w:rPr>
        <w:t xml:space="preserve"> reports GTV and Sea Limited reports GMV for Shopee; for these the label differs but the measure is the same. Blibli and </w:t>
      </w:r>
      <w:proofErr w:type="spellStart"/>
      <w:r>
        <w:rPr>
          <w:sz w:val="20"/>
          <w:color w:val="000000"/>
          <w:u w:val="none"/>
        </w:rPr>
        <w:t>Bukalapak</w:t>
      </w:r>
      <w:proofErr w:type="spellEnd"/>
      <w:r>
        <w:rPr>
          <w:sz w:val="20"/>
          <w:color w:val="000000"/>
          <w:u w:val="none"/>
        </w:rPr>
        <w:t xml:space="preserve"> report TPV for the segments used here, and Grab reports GMV for deliveries and mobility and TPV for financial services. Where a source reports TPV the measure rests on a different basis, so it is retained under its own label rather than relabeled as GTV.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373EA"/>
    <w:multiLevelType w:val="multilevel"/>
    <w:tmpl w:val="362A797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BFD134C"/>
    <w:multiLevelType w:val="multilevel"/>
    <w:tmpl w:val="D9B232E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39E4FF3"/>
    <w:multiLevelType w:val="multilevel"/>
    <w:tmpl w:val="A43AC77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8332056"/>
    <w:multiLevelType w:val="multilevel"/>
    <w:tmpl w:val="8AA2D0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B333461"/>
    <w:multiLevelType w:val="multilevel"/>
    <w:tmpl w:val="634E200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CC1312A"/>
    <w:multiLevelType w:val="multilevel"/>
    <w:tmpl w:val="BE80E84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265197A"/>
    <w:multiLevelType w:val="multilevel"/>
    <w:tmpl w:val="066469B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28481606">
    <w:abstractNumId w:val="5"/>
  </w:num>
  <w:num w:numId="2" w16cid:durableId="2056274583">
    <w:abstractNumId w:val="1"/>
  </w:num>
  <w:num w:numId="3" w16cid:durableId="838470188">
    <w:abstractNumId w:val="0"/>
  </w:num>
  <w:num w:numId="4" w16cid:durableId="1746108374">
    <w:abstractNumId w:val="6"/>
  </w:num>
  <w:num w:numId="5" w16cid:durableId="2044671187">
    <w:abstractNumId w:val="4"/>
  </w:num>
  <w:num w:numId="6" w16cid:durableId="344404851">
    <w:abstractNumId w:val="2"/>
  </w:num>
  <w:num w:numId="7" w16cid:durableId="34055253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kong">
    <w15:presenceInfo w15:providerId="None" w15:userId="drk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FD"/>
    <w:rsid w:val="00183555"/>
    <w:rsid w:val="002026E8"/>
    <w:rsid w:val="0025365D"/>
    <w:rsid w:val="00B355E1"/>
    <w:rsid w:val="00B71A4F"/>
    <w:rsid w:val="00CF52FD"/>
    <w:rsid w:val="00DE4A8A"/>
    <w:rsid w:val="00E535CC"/>
    <w:rsid w:val="00E55135"/>
    <w:rsid w:val="00EC19E7"/>
    <w:rsid w:val="00FE0104"/>
    <w:rsid w:val="00FF09F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F65D"/>
  <w15:docId w15:val="{E0806114-E140-4D72-9D41-89E9D92E8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7"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90" w:after="3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Reference">
    <w:name w:val="Reference"/>
    <w:qFormat/>
    <w:pPr>
      <w:spacing w:after="40"/>
      <w:ind w:left="317" w:hanging="317"/>
    </w:pPr>
    <w:rPr>
      <w:rFonts w:ascii="Times New Roman" w:eastAsia="Times New Roman" w:hAnsi="Times New Roman"/>
    </w:rPr>
  </w:style>
  <w:style w:type="paragraph" w:styleId="FootnoteText">
    <w:name w:val="footnote text"/>
    <w:basedOn w:val="Normal"/>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B71A4F"/>
    <w:pPr>
      <w:suppressAutoHyphens w:val="0"/>
    </w:pPr>
    <w:rPr>
      <w:rFonts w:ascii="Times New Roman" w:eastAsia="Times New Roman" w:hAnsi="Times New Roman"/>
      <w:sz w:val="24"/>
    </w:rPr>
  </w:style>
  <w:style w:type="character" w:styleId="CommentReference">
    <w:name w:val="annotation reference"/>
    <w:basedOn w:val="DefaultParagraphFont"/>
    <w:uiPriority w:val="99"/>
    <w:semiHidden/>
    <w:unhideWhenUsed/>
    <w:rsid w:val="00B71A4F"/>
    <w:rPr>
      <w:sz w:val="18"/>
      <w:szCs w:val="18"/>
    </w:rPr>
  </w:style>
  <w:style w:type="paragraph" w:styleId="CommentText">
    <w:name w:val="annotation text"/>
    <w:basedOn w:val="Normal"/>
    <w:link w:val="CommentTextChar"/>
    <w:uiPriority w:val="99"/>
    <w:unhideWhenUsed/>
    <w:rsid w:val="00B71A4F"/>
  </w:style>
  <w:style w:type="character" w:customStyle="1" w:styleId="CommentTextChar">
    <w:name w:val="Comment Text Char"/>
    <w:basedOn w:val="DefaultParagraphFont"/>
    <w:link w:val="CommentText"/>
    <w:uiPriority w:val="99"/>
    <w:rsid w:val="00B71A4F"/>
    <w:rPr>
      <w:rFonts w:ascii="Times New Roman" w:eastAsia="Times New Roman" w:hAnsi="Times New Roman"/>
      <w:sz w:val="24"/>
    </w:rPr>
  </w:style>
  <w:style w:type="paragraph" w:styleId="CommentSubject">
    <w:name w:val="annotation subject"/>
    <w:basedOn w:val="CommentText"/>
    <w:next w:val="CommentText"/>
    <w:link w:val="CommentSubjectChar"/>
    <w:uiPriority w:val="99"/>
    <w:semiHidden/>
    <w:unhideWhenUsed/>
    <w:rsid w:val="00B71A4F"/>
    <w:rPr>
      <w:b/>
      <w:bCs/>
    </w:rPr>
  </w:style>
  <w:style w:type="character" w:customStyle="1" w:styleId="CommentSubjectChar">
    <w:name w:val="Comment Subject Char"/>
    <w:basedOn w:val="CommentTextChar"/>
    <w:link w:val="CommentSubject"/>
    <w:uiPriority w:val="99"/>
    <w:semiHidden/>
    <w:rsid w:val="00B71A4F"/>
    <w:rPr>
      <w:rFonts w:ascii="Times New Roman" w:eastAsia="Times New Roman"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512299">
      <w:bodyDiv w:val="1"/>
      <w:marLeft w:val="0"/>
      <w:marRight w:val="0"/>
      <w:marTop w:val="0"/>
      <w:marBottom w:val="0"/>
      <w:divBdr>
        <w:top w:val="none" w:sz="0" w:space="0" w:color="auto"/>
        <w:left w:val="none" w:sz="0" w:space="0" w:color="auto"/>
        <w:bottom w:val="none" w:sz="0" w:space="0" w:color="auto"/>
        <w:right w:val="none" w:sz="0" w:space="0" w:color="auto"/>
      </w:divBdr>
      <w:divsChild>
        <w:div w:id="1820346860">
          <w:marLeft w:val="0"/>
          <w:marRight w:val="0"/>
          <w:marTop w:val="0"/>
          <w:marBottom w:val="0"/>
          <w:divBdr>
            <w:top w:val="single" w:sz="2" w:space="0" w:color="auto"/>
            <w:left w:val="single" w:sz="2" w:space="0" w:color="auto"/>
            <w:bottom w:val="single" w:sz="2" w:space="0" w:color="auto"/>
            <w:right w:val="single" w:sz="2" w:space="0" w:color="auto"/>
          </w:divBdr>
          <w:divsChild>
            <w:div w:id="193159137">
              <w:marLeft w:val="0"/>
              <w:marRight w:val="0"/>
              <w:marTop w:val="0"/>
              <w:marBottom w:val="0"/>
              <w:divBdr>
                <w:top w:val="single" w:sz="2" w:space="0" w:color="auto"/>
                <w:left w:val="single" w:sz="2" w:space="0" w:color="auto"/>
                <w:bottom w:val="single" w:sz="2" w:space="0" w:color="auto"/>
                <w:right w:val="single" w:sz="2" w:space="0" w:color="auto"/>
              </w:divBdr>
              <w:divsChild>
                <w:div w:id="1094323328">
                  <w:marLeft w:val="0"/>
                  <w:marRight w:val="0"/>
                  <w:marTop w:val="0"/>
                  <w:marBottom w:val="0"/>
                  <w:divBdr>
                    <w:top w:val="single" w:sz="2" w:space="0" w:color="auto"/>
                    <w:left w:val="single" w:sz="2" w:space="0" w:color="auto"/>
                    <w:bottom w:val="single" w:sz="2" w:space="0" w:color="auto"/>
                    <w:right w:val="single" w:sz="2" w:space="0" w:color="auto"/>
                  </w:divBdr>
                  <w:divsChild>
                    <w:div w:id="64229676">
                      <w:marLeft w:val="0"/>
                      <w:marRight w:val="0"/>
                      <w:marTop w:val="0"/>
                      <w:marBottom w:val="0"/>
                      <w:divBdr>
                        <w:top w:val="single" w:sz="2" w:space="0" w:color="auto"/>
                        <w:left w:val="single" w:sz="2" w:space="0" w:color="auto"/>
                        <w:bottom w:val="single" w:sz="2" w:space="0" w:color="auto"/>
                        <w:right w:val="single" w:sz="2" w:space="0" w:color="auto"/>
                      </w:divBdr>
                      <w:divsChild>
                        <w:div w:id="1445727540">
                          <w:marLeft w:val="0"/>
                          <w:marRight w:val="0"/>
                          <w:marTop w:val="0"/>
                          <w:marBottom w:val="0"/>
                          <w:divBdr>
                            <w:top w:val="single" w:sz="2" w:space="0" w:color="auto"/>
                            <w:left w:val="single" w:sz="2" w:space="0" w:color="auto"/>
                            <w:bottom w:val="single" w:sz="2" w:space="0" w:color="auto"/>
                            <w:right w:val="single" w:sz="2" w:space="0" w:color="auto"/>
                          </w:divBdr>
                          <w:divsChild>
                            <w:div w:id="1051154330">
                              <w:marLeft w:val="0"/>
                              <w:marRight w:val="0"/>
                              <w:marTop w:val="0"/>
                              <w:marBottom w:val="0"/>
                              <w:divBdr>
                                <w:top w:val="single" w:sz="2" w:space="0" w:color="auto"/>
                                <w:left w:val="single" w:sz="2" w:space="0" w:color="auto"/>
                                <w:bottom w:val="single" w:sz="2" w:space="0" w:color="auto"/>
                                <w:right w:val="single" w:sz="2" w:space="0" w:color="auto"/>
                              </w:divBdr>
                              <w:divsChild>
                                <w:div w:id="1942028673">
                                  <w:marLeft w:val="0"/>
                                  <w:marRight w:val="0"/>
                                  <w:marTop w:val="240"/>
                                  <w:marBottom w:val="0"/>
                                  <w:divBdr>
                                    <w:top w:val="single" w:sz="2" w:space="0" w:color="auto"/>
                                    <w:left w:val="single" w:sz="2" w:space="0" w:color="auto"/>
                                    <w:bottom w:val="single" w:sz="2" w:space="0" w:color="auto"/>
                                    <w:right w:val="single" w:sz="2" w:space="0" w:color="auto"/>
                                  </w:divBdr>
                                  <w:divsChild>
                                    <w:div w:id="294339044">
                                      <w:marLeft w:val="0"/>
                                      <w:marRight w:val="0"/>
                                      <w:marTop w:val="0"/>
                                      <w:marBottom w:val="0"/>
                                      <w:divBdr>
                                        <w:top w:val="single" w:sz="2" w:space="0" w:color="auto"/>
                                        <w:left w:val="single" w:sz="2" w:space="0" w:color="auto"/>
                                        <w:bottom w:val="single" w:sz="2" w:space="0" w:color="auto"/>
                                        <w:right w:val="single" w:sz="2" w:space="0" w:color="auto"/>
                                      </w:divBdr>
                                      <w:divsChild>
                                        <w:div w:id="1702243425">
                                          <w:marLeft w:val="0"/>
                                          <w:marRight w:val="0"/>
                                          <w:marTop w:val="0"/>
                                          <w:marBottom w:val="0"/>
                                          <w:divBdr>
                                            <w:top w:val="single" w:sz="2" w:space="0" w:color="auto"/>
                                            <w:left w:val="single" w:sz="2" w:space="0" w:color="auto"/>
                                            <w:bottom w:val="single" w:sz="2" w:space="0" w:color="auto"/>
                                            <w:right w:val="single" w:sz="2" w:space="0" w:color="auto"/>
                                          </w:divBdr>
                                          <w:divsChild>
                                            <w:div w:id="1480927751">
                                              <w:marLeft w:val="0"/>
                                              <w:marRight w:val="0"/>
                                              <w:marTop w:val="0"/>
                                              <w:marBottom w:val="0"/>
                                              <w:divBdr>
                                                <w:top w:val="single" w:sz="2" w:space="0" w:color="auto"/>
                                                <w:left w:val="single" w:sz="2" w:space="0" w:color="auto"/>
                                                <w:bottom w:val="single" w:sz="2" w:space="0" w:color="auto"/>
                                                <w:right w:val="single" w:sz="2" w:space="0" w:color="auto"/>
                                              </w:divBdr>
                                              <w:divsChild>
                                                <w:div w:id="951205688">
                                                  <w:marLeft w:val="0"/>
                                                  <w:marRight w:val="0"/>
                                                  <w:marTop w:val="0"/>
                                                  <w:marBottom w:val="0"/>
                                                  <w:divBdr>
                                                    <w:top w:val="single" w:sz="2" w:space="0" w:color="auto"/>
                                                    <w:left w:val="single" w:sz="2" w:space="0" w:color="auto"/>
                                                    <w:bottom w:val="single" w:sz="2" w:space="0" w:color="auto"/>
                                                    <w:right w:val="single" w:sz="2" w:space="0" w:color="auto"/>
                                                  </w:divBdr>
                                                  <w:divsChild>
                                                    <w:div w:id="1503740090">
                                                      <w:marLeft w:val="0"/>
                                                      <w:marRight w:val="0"/>
                                                      <w:marTop w:val="0"/>
                                                      <w:marBottom w:val="0"/>
                                                      <w:divBdr>
                                                        <w:top w:val="single" w:sz="2" w:space="0" w:color="auto"/>
                                                        <w:left w:val="single" w:sz="2" w:space="0" w:color="auto"/>
                                                        <w:bottom w:val="single" w:sz="2" w:space="0" w:color="auto"/>
                                                        <w:right w:val="single" w:sz="2" w:space="0" w:color="auto"/>
                                                      </w:divBdr>
                                                      <w:divsChild>
                                                        <w:div w:id="1619069071">
                                                          <w:marLeft w:val="0"/>
                                                          <w:marRight w:val="0"/>
                                                          <w:marTop w:val="0"/>
                                                          <w:marBottom w:val="0"/>
                                                          <w:divBdr>
                                                            <w:top w:val="single" w:sz="2" w:space="0" w:color="auto"/>
                                                            <w:left w:val="single" w:sz="2" w:space="0" w:color="auto"/>
                                                            <w:bottom w:val="single" w:sz="2" w:space="0" w:color="auto"/>
                                                            <w:right w:val="single" w:sz="2" w:space="0" w:color="auto"/>
                                                          </w:divBdr>
                                                          <w:divsChild>
                                                            <w:div w:id="529881587">
                                                              <w:marLeft w:val="0"/>
                                                              <w:marRight w:val="0"/>
                                                              <w:marTop w:val="0"/>
                                                              <w:marBottom w:val="0"/>
                                                              <w:divBdr>
                                                                <w:top w:val="single" w:sz="2" w:space="0" w:color="auto"/>
                                                                <w:left w:val="single" w:sz="2" w:space="0" w:color="auto"/>
                                                                <w:bottom w:val="single" w:sz="2" w:space="0" w:color="auto"/>
                                                                <w:right w:val="single" w:sz="2" w:space="0" w:color="auto"/>
                                                              </w:divBdr>
                                                              <w:divsChild>
                                                                <w:div w:id="705106669">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0940875">
      <w:bodyDiv w:val="1"/>
      <w:marLeft w:val="0"/>
      <w:marRight w:val="0"/>
      <w:marTop w:val="0"/>
      <w:marBottom w:val="0"/>
      <w:divBdr>
        <w:top w:val="none" w:sz="0" w:space="0" w:color="auto"/>
        <w:left w:val="none" w:sz="0" w:space="0" w:color="auto"/>
        <w:bottom w:val="none" w:sz="0" w:space="0" w:color="auto"/>
        <w:right w:val="none" w:sz="0" w:space="0" w:color="auto"/>
      </w:divBdr>
      <w:divsChild>
        <w:div w:id="821311443">
          <w:marLeft w:val="0"/>
          <w:marRight w:val="0"/>
          <w:marTop w:val="0"/>
          <w:marBottom w:val="0"/>
          <w:divBdr>
            <w:top w:val="single" w:sz="2" w:space="0" w:color="auto"/>
            <w:left w:val="single" w:sz="2" w:space="0" w:color="auto"/>
            <w:bottom w:val="single" w:sz="2" w:space="0" w:color="auto"/>
            <w:right w:val="single" w:sz="2" w:space="0" w:color="auto"/>
          </w:divBdr>
          <w:divsChild>
            <w:div w:id="65080656">
              <w:marLeft w:val="0"/>
              <w:marRight w:val="0"/>
              <w:marTop w:val="0"/>
              <w:marBottom w:val="0"/>
              <w:divBdr>
                <w:top w:val="single" w:sz="2" w:space="0" w:color="auto"/>
                <w:left w:val="single" w:sz="2" w:space="0" w:color="auto"/>
                <w:bottom w:val="single" w:sz="2" w:space="0" w:color="auto"/>
                <w:right w:val="single" w:sz="2" w:space="0" w:color="auto"/>
              </w:divBdr>
              <w:divsChild>
                <w:div w:id="1683700336">
                  <w:marLeft w:val="0"/>
                  <w:marRight w:val="0"/>
                  <w:marTop w:val="0"/>
                  <w:marBottom w:val="0"/>
                  <w:divBdr>
                    <w:top w:val="single" w:sz="2" w:space="0" w:color="auto"/>
                    <w:left w:val="single" w:sz="2" w:space="0" w:color="auto"/>
                    <w:bottom w:val="single" w:sz="2" w:space="0" w:color="auto"/>
                    <w:right w:val="single" w:sz="2" w:space="0" w:color="auto"/>
                  </w:divBdr>
                  <w:divsChild>
                    <w:div w:id="984161261">
                      <w:marLeft w:val="0"/>
                      <w:marRight w:val="0"/>
                      <w:marTop w:val="0"/>
                      <w:marBottom w:val="0"/>
                      <w:divBdr>
                        <w:top w:val="single" w:sz="2" w:space="0" w:color="auto"/>
                        <w:left w:val="single" w:sz="2" w:space="0" w:color="auto"/>
                        <w:bottom w:val="single" w:sz="2" w:space="0" w:color="auto"/>
                        <w:right w:val="single" w:sz="2" w:space="0" w:color="auto"/>
                      </w:divBdr>
                      <w:divsChild>
                        <w:div w:id="492768225">
                          <w:marLeft w:val="0"/>
                          <w:marRight w:val="0"/>
                          <w:marTop w:val="0"/>
                          <w:marBottom w:val="0"/>
                          <w:divBdr>
                            <w:top w:val="single" w:sz="2" w:space="0" w:color="auto"/>
                            <w:left w:val="single" w:sz="2" w:space="0" w:color="auto"/>
                            <w:bottom w:val="single" w:sz="2" w:space="0" w:color="auto"/>
                            <w:right w:val="single" w:sz="2" w:space="0" w:color="auto"/>
                          </w:divBdr>
                          <w:divsChild>
                            <w:div w:id="6370982">
                              <w:marLeft w:val="0"/>
                              <w:marRight w:val="0"/>
                              <w:marTop w:val="0"/>
                              <w:marBottom w:val="0"/>
                              <w:divBdr>
                                <w:top w:val="single" w:sz="2" w:space="0" w:color="auto"/>
                                <w:left w:val="single" w:sz="2" w:space="0" w:color="auto"/>
                                <w:bottom w:val="single" w:sz="2" w:space="0" w:color="auto"/>
                                <w:right w:val="single" w:sz="2" w:space="0" w:color="auto"/>
                              </w:divBdr>
                              <w:divsChild>
                                <w:div w:id="221798647">
                                  <w:marLeft w:val="0"/>
                                  <w:marRight w:val="0"/>
                                  <w:marTop w:val="240"/>
                                  <w:marBottom w:val="0"/>
                                  <w:divBdr>
                                    <w:top w:val="single" w:sz="2" w:space="0" w:color="auto"/>
                                    <w:left w:val="single" w:sz="2" w:space="0" w:color="auto"/>
                                    <w:bottom w:val="single" w:sz="2" w:space="0" w:color="auto"/>
                                    <w:right w:val="single" w:sz="2" w:space="0" w:color="auto"/>
                                  </w:divBdr>
                                  <w:divsChild>
                                    <w:div w:id="473571821">
                                      <w:marLeft w:val="0"/>
                                      <w:marRight w:val="0"/>
                                      <w:marTop w:val="0"/>
                                      <w:marBottom w:val="0"/>
                                      <w:divBdr>
                                        <w:top w:val="single" w:sz="2" w:space="0" w:color="auto"/>
                                        <w:left w:val="single" w:sz="2" w:space="0" w:color="auto"/>
                                        <w:bottom w:val="single" w:sz="2" w:space="0" w:color="auto"/>
                                        <w:right w:val="single" w:sz="2" w:space="0" w:color="auto"/>
                                      </w:divBdr>
                                      <w:divsChild>
                                        <w:div w:id="697127652">
                                          <w:marLeft w:val="0"/>
                                          <w:marRight w:val="0"/>
                                          <w:marTop w:val="0"/>
                                          <w:marBottom w:val="0"/>
                                          <w:divBdr>
                                            <w:top w:val="single" w:sz="2" w:space="0" w:color="auto"/>
                                            <w:left w:val="single" w:sz="2" w:space="0" w:color="auto"/>
                                            <w:bottom w:val="single" w:sz="2" w:space="0" w:color="auto"/>
                                            <w:right w:val="single" w:sz="2" w:space="0" w:color="auto"/>
                                          </w:divBdr>
                                          <w:divsChild>
                                            <w:div w:id="1996955491">
                                              <w:marLeft w:val="0"/>
                                              <w:marRight w:val="0"/>
                                              <w:marTop w:val="0"/>
                                              <w:marBottom w:val="0"/>
                                              <w:divBdr>
                                                <w:top w:val="single" w:sz="2" w:space="0" w:color="auto"/>
                                                <w:left w:val="single" w:sz="2" w:space="0" w:color="auto"/>
                                                <w:bottom w:val="single" w:sz="2" w:space="0" w:color="auto"/>
                                                <w:right w:val="single" w:sz="2" w:space="0" w:color="auto"/>
                                              </w:divBdr>
                                              <w:divsChild>
                                                <w:div w:id="1505782417">
                                                  <w:marLeft w:val="0"/>
                                                  <w:marRight w:val="0"/>
                                                  <w:marTop w:val="0"/>
                                                  <w:marBottom w:val="0"/>
                                                  <w:divBdr>
                                                    <w:top w:val="single" w:sz="2" w:space="0" w:color="auto"/>
                                                    <w:left w:val="single" w:sz="2" w:space="0" w:color="auto"/>
                                                    <w:bottom w:val="single" w:sz="2" w:space="0" w:color="auto"/>
                                                    <w:right w:val="single" w:sz="2" w:space="0" w:color="auto"/>
                                                  </w:divBdr>
                                                  <w:divsChild>
                                                    <w:div w:id="370038449">
                                                      <w:marLeft w:val="0"/>
                                                      <w:marRight w:val="0"/>
                                                      <w:marTop w:val="0"/>
                                                      <w:marBottom w:val="0"/>
                                                      <w:divBdr>
                                                        <w:top w:val="single" w:sz="2" w:space="0" w:color="auto"/>
                                                        <w:left w:val="single" w:sz="2" w:space="0" w:color="auto"/>
                                                        <w:bottom w:val="single" w:sz="2" w:space="0" w:color="auto"/>
                                                        <w:right w:val="single" w:sz="2" w:space="0" w:color="auto"/>
                                                      </w:divBdr>
                                                      <w:divsChild>
                                                        <w:div w:id="1476726322">
                                                          <w:marLeft w:val="0"/>
                                                          <w:marRight w:val="0"/>
                                                          <w:marTop w:val="0"/>
                                                          <w:marBottom w:val="0"/>
                                                          <w:divBdr>
                                                            <w:top w:val="single" w:sz="2" w:space="0" w:color="auto"/>
                                                            <w:left w:val="single" w:sz="2" w:space="0" w:color="auto"/>
                                                            <w:bottom w:val="single" w:sz="2" w:space="0" w:color="auto"/>
                                                            <w:right w:val="single" w:sz="2" w:space="0" w:color="auto"/>
                                                          </w:divBdr>
                                                          <w:divsChild>
                                                            <w:div w:id="225921221">
                                                              <w:marLeft w:val="0"/>
                                                              <w:marRight w:val="0"/>
                                                              <w:marTop w:val="0"/>
                                                              <w:marBottom w:val="0"/>
                                                              <w:divBdr>
                                                                <w:top w:val="single" w:sz="2" w:space="0" w:color="auto"/>
                                                                <w:left w:val="single" w:sz="2" w:space="0" w:color="auto"/>
                                                                <w:bottom w:val="single" w:sz="2" w:space="0" w:color="auto"/>
                                                                <w:right w:val="single" w:sz="2" w:space="0" w:color="auto"/>
                                                              </w:divBdr>
                                                              <w:divsChild>
                                                                <w:div w:id="541328568">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52268278">
      <w:bodyDiv w:val="1"/>
      <w:marLeft w:val="0"/>
      <w:marRight w:val="0"/>
      <w:marTop w:val="0"/>
      <w:marBottom w:val="0"/>
      <w:divBdr>
        <w:top w:val="none" w:sz="0" w:space="0" w:color="auto"/>
        <w:left w:val="none" w:sz="0" w:space="0" w:color="auto"/>
        <w:bottom w:val="none" w:sz="0" w:space="0" w:color="auto"/>
        <w:right w:val="none" w:sz="0" w:space="0" w:color="auto"/>
      </w:divBdr>
      <w:divsChild>
        <w:div w:id="1646280793">
          <w:marLeft w:val="0"/>
          <w:marRight w:val="0"/>
          <w:marTop w:val="0"/>
          <w:marBottom w:val="0"/>
          <w:divBdr>
            <w:top w:val="single" w:sz="2" w:space="0" w:color="auto"/>
            <w:left w:val="single" w:sz="2" w:space="0" w:color="auto"/>
            <w:bottom w:val="single" w:sz="2" w:space="0" w:color="auto"/>
            <w:right w:val="single" w:sz="2" w:space="0" w:color="auto"/>
          </w:divBdr>
          <w:divsChild>
            <w:div w:id="859316195">
              <w:marLeft w:val="0"/>
              <w:marRight w:val="0"/>
              <w:marTop w:val="0"/>
              <w:marBottom w:val="0"/>
              <w:divBdr>
                <w:top w:val="single" w:sz="2" w:space="0" w:color="auto"/>
                <w:left w:val="single" w:sz="2" w:space="0" w:color="auto"/>
                <w:bottom w:val="single" w:sz="2" w:space="0" w:color="auto"/>
                <w:right w:val="single" w:sz="2" w:space="0" w:color="auto"/>
              </w:divBdr>
              <w:divsChild>
                <w:div w:id="499928047">
                  <w:marLeft w:val="0"/>
                  <w:marRight w:val="0"/>
                  <w:marTop w:val="0"/>
                  <w:marBottom w:val="0"/>
                  <w:divBdr>
                    <w:top w:val="single" w:sz="2" w:space="0" w:color="auto"/>
                    <w:left w:val="single" w:sz="2" w:space="0" w:color="auto"/>
                    <w:bottom w:val="single" w:sz="2" w:space="0" w:color="auto"/>
                    <w:right w:val="single" w:sz="2" w:space="0" w:color="auto"/>
                  </w:divBdr>
                  <w:divsChild>
                    <w:div w:id="209348212">
                      <w:marLeft w:val="0"/>
                      <w:marRight w:val="0"/>
                      <w:marTop w:val="0"/>
                      <w:marBottom w:val="0"/>
                      <w:divBdr>
                        <w:top w:val="single" w:sz="2" w:space="0" w:color="auto"/>
                        <w:left w:val="single" w:sz="2" w:space="0" w:color="auto"/>
                        <w:bottom w:val="single" w:sz="2" w:space="0" w:color="auto"/>
                        <w:right w:val="single" w:sz="2" w:space="0" w:color="auto"/>
                      </w:divBdr>
                      <w:divsChild>
                        <w:div w:id="1414084429">
                          <w:marLeft w:val="0"/>
                          <w:marRight w:val="0"/>
                          <w:marTop w:val="0"/>
                          <w:marBottom w:val="0"/>
                          <w:divBdr>
                            <w:top w:val="single" w:sz="2" w:space="0" w:color="auto"/>
                            <w:left w:val="single" w:sz="2" w:space="0" w:color="auto"/>
                            <w:bottom w:val="single" w:sz="2" w:space="0" w:color="auto"/>
                            <w:right w:val="single" w:sz="2" w:space="0" w:color="auto"/>
                          </w:divBdr>
                          <w:divsChild>
                            <w:div w:id="1238251352">
                              <w:marLeft w:val="0"/>
                              <w:marRight w:val="0"/>
                              <w:marTop w:val="0"/>
                              <w:marBottom w:val="0"/>
                              <w:divBdr>
                                <w:top w:val="single" w:sz="2" w:space="0" w:color="auto"/>
                                <w:left w:val="single" w:sz="2" w:space="0" w:color="auto"/>
                                <w:bottom w:val="single" w:sz="2" w:space="0" w:color="auto"/>
                                <w:right w:val="single" w:sz="2" w:space="0" w:color="auto"/>
                              </w:divBdr>
                              <w:divsChild>
                                <w:div w:id="1640569793">
                                  <w:marLeft w:val="0"/>
                                  <w:marRight w:val="0"/>
                                  <w:marTop w:val="240"/>
                                  <w:marBottom w:val="0"/>
                                  <w:divBdr>
                                    <w:top w:val="single" w:sz="2" w:space="0" w:color="auto"/>
                                    <w:left w:val="single" w:sz="2" w:space="0" w:color="auto"/>
                                    <w:bottom w:val="single" w:sz="2" w:space="0" w:color="auto"/>
                                    <w:right w:val="single" w:sz="2" w:space="0" w:color="auto"/>
                                  </w:divBdr>
                                  <w:divsChild>
                                    <w:div w:id="309408340">
                                      <w:marLeft w:val="0"/>
                                      <w:marRight w:val="0"/>
                                      <w:marTop w:val="0"/>
                                      <w:marBottom w:val="0"/>
                                      <w:divBdr>
                                        <w:top w:val="single" w:sz="2" w:space="0" w:color="auto"/>
                                        <w:left w:val="single" w:sz="2" w:space="0" w:color="auto"/>
                                        <w:bottom w:val="single" w:sz="2" w:space="0" w:color="auto"/>
                                        <w:right w:val="single" w:sz="2" w:space="0" w:color="auto"/>
                                      </w:divBdr>
                                      <w:divsChild>
                                        <w:div w:id="908157062">
                                          <w:marLeft w:val="0"/>
                                          <w:marRight w:val="0"/>
                                          <w:marTop w:val="0"/>
                                          <w:marBottom w:val="0"/>
                                          <w:divBdr>
                                            <w:top w:val="single" w:sz="2" w:space="0" w:color="auto"/>
                                            <w:left w:val="single" w:sz="2" w:space="0" w:color="auto"/>
                                            <w:bottom w:val="single" w:sz="2" w:space="0" w:color="auto"/>
                                            <w:right w:val="single" w:sz="2" w:space="0" w:color="auto"/>
                                          </w:divBdr>
                                          <w:divsChild>
                                            <w:div w:id="1662345581">
                                              <w:marLeft w:val="0"/>
                                              <w:marRight w:val="0"/>
                                              <w:marTop w:val="0"/>
                                              <w:marBottom w:val="0"/>
                                              <w:divBdr>
                                                <w:top w:val="single" w:sz="2" w:space="0" w:color="auto"/>
                                                <w:left w:val="single" w:sz="2" w:space="0" w:color="auto"/>
                                                <w:bottom w:val="single" w:sz="2" w:space="0" w:color="auto"/>
                                                <w:right w:val="single" w:sz="2" w:space="0" w:color="auto"/>
                                              </w:divBdr>
                                              <w:divsChild>
                                                <w:div w:id="1011685073">
                                                  <w:marLeft w:val="0"/>
                                                  <w:marRight w:val="0"/>
                                                  <w:marTop w:val="0"/>
                                                  <w:marBottom w:val="0"/>
                                                  <w:divBdr>
                                                    <w:top w:val="single" w:sz="2" w:space="0" w:color="auto"/>
                                                    <w:left w:val="single" w:sz="2" w:space="0" w:color="auto"/>
                                                    <w:bottom w:val="single" w:sz="2" w:space="0" w:color="auto"/>
                                                    <w:right w:val="single" w:sz="2" w:space="0" w:color="auto"/>
                                                  </w:divBdr>
                                                  <w:divsChild>
                                                    <w:div w:id="1521354991">
                                                      <w:marLeft w:val="0"/>
                                                      <w:marRight w:val="0"/>
                                                      <w:marTop w:val="0"/>
                                                      <w:marBottom w:val="0"/>
                                                      <w:divBdr>
                                                        <w:top w:val="single" w:sz="2" w:space="0" w:color="auto"/>
                                                        <w:left w:val="single" w:sz="2" w:space="0" w:color="auto"/>
                                                        <w:bottom w:val="single" w:sz="2" w:space="0" w:color="auto"/>
                                                        <w:right w:val="single" w:sz="2" w:space="0" w:color="auto"/>
                                                      </w:divBdr>
                                                      <w:divsChild>
                                                        <w:div w:id="1507984927">
                                                          <w:marLeft w:val="0"/>
                                                          <w:marRight w:val="0"/>
                                                          <w:marTop w:val="0"/>
                                                          <w:marBottom w:val="0"/>
                                                          <w:divBdr>
                                                            <w:top w:val="single" w:sz="2" w:space="0" w:color="auto"/>
                                                            <w:left w:val="single" w:sz="2" w:space="0" w:color="auto"/>
                                                            <w:bottom w:val="single" w:sz="2" w:space="0" w:color="auto"/>
                                                            <w:right w:val="single" w:sz="2" w:space="0" w:color="auto"/>
                                                          </w:divBdr>
                                                          <w:divsChild>
                                                            <w:div w:id="2132744570">
                                                              <w:marLeft w:val="0"/>
                                                              <w:marRight w:val="0"/>
                                                              <w:marTop w:val="0"/>
                                                              <w:marBottom w:val="0"/>
                                                              <w:divBdr>
                                                                <w:top w:val="single" w:sz="2" w:space="0" w:color="auto"/>
                                                                <w:left w:val="single" w:sz="2" w:space="0" w:color="auto"/>
                                                                <w:bottom w:val="single" w:sz="2" w:space="0" w:color="auto"/>
                                                                <w:right w:val="single" w:sz="2" w:space="0" w:color="auto"/>
                                                              </w:divBdr>
                                                              <w:divsChild>
                                                                <w:div w:id="1014961854">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0589980">
      <w:bodyDiv w:val="1"/>
      <w:marLeft w:val="0"/>
      <w:marRight w:val="0"/>
      <w:marTop w:val="0"/>
      <w:marBottom w:val="0"/>
      <w:divBdr>
        <w:top w:val="none" w:sz="0" w:space="0" w:color="auto"/>
        <w:left w:val="none" w:sz="0" w:space="0" w:color="auto"/>
        <w:bottom w:val="none" w:sz="0" w:space="0" w:color="auto"/>
        <w:right w:val="none" w:sz="0" w:space="0" w:color="auto"/>
      </w:divBdr>
      <w:divsChild>
        <w:div w:id="208825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090620">
      <w:bodyDiv w:val="1"/>
      <w:marLeft w:val="0"/>
      <w:marRight w:val="0"/>
      <w:marTop w:val="0"/>
      <w:marBottom w:val="0"/>
      <w:divBdr>
        <w:top w:val="none" w:sz="0" w:space="0" w:color="auto"/>
        <w:left w:val="none" w:sz="0" w:space="0" w:color="auto"/>
        <w:bottom w:val="none" w:sz="0" w:space="0" w:color="auto"/>
        <w:right w:val="none" w:sz="0" w:space="0" w:color="auto"/>
      </w:divBdr>
      <w:divsChild>
        <w:div w:id="846939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351658">
      <w:bodyDiv w:val="1"/>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0"/>
          <w:marTop w:val="0"/>
          <w:marBottom w:val="0"/>
          <w:divBdr>
            <w:top w:val="single" w:sz="2" w:space="0" w:color="auto"/>
            <w:left w:val="single" w:sz="2" w:space="0" w:color="auto"/>
            <w:bottom w:val="single" w:sz="2" w:space="0" w:color="auto"/>
            <w:right w:val="single" w:sz="2" w:space="0" w:color="auto"/>
          </w:divBdr>
          <w:divsChild>
            <w:div w:id="1218082579">
              <w:marLeft w:val="0"/>
              <w:marRight w:val="0"/>
              <w:marTop w:val="0"/>
              <w:marBottom w:val="0"/>
              <w:divBdr>
                <w:top w:val="single" w:sz="2" w:space="0" w:color="auto"/>
                <w:left w:val="single" w:sz="2" w:space="0" w:color="auto"/>
                <w:bottom w:val="single" w:sz="2" w:space="0" w:color="auto"/>
                <w:right w:val="single" w:sz="2" w:space="0" w:color="auto"/>
              </w:divBdr>
              <w:divsChild>
                <w:div w:id="1776319448">
                  <w:marLeft w:val="0"/>
                  <w:marRight w:val="0"/>
                  <w:marTop w:val="0"/>
                  <w:marBottom w:val="0"/>
                  <w:divBdr>
                    <w:top w:val="single" w:sz="2" w:space="0" w:color="auto"/>
                    <w:left w:val="single" w:sz="2" w:space="0" w:color="auto"/>
                    <w:bottom w:val="single" w:sz="2" w:space="0" w:color="auto"/>
                    <w:right w:val="single" w:sz="2" w:space="0" w:color="auto"/>
                  </w:divBdr>
                  <w:divsChild>
                    <w:div w:id="351762266">
                      <w:marLeft w:val="0"/>
                      <w:marRight w:val="0"/>
                      <w:marTop w:val="0"/>
                      <w:marBottom w:val="0"/>
                      <w:divBdr>
                        <w:top w:val="single" w:sz="2" w:space="0" w:color="auto"/>
                        <w:left w:val="single" w:sz="2" w:space="0" w:color="auto"/>
                        <w:bottom w:val="single" w:sz="2" w:space="0" w:color="auto"/>
                        <w:right w:val="single" w:sz="2" w:space="0" w:color="auto"/>
                      </w:divBdr>
                      <w:divsChild>
                        <w:div w:id="2083134003">
                          <w:marLeft w:val="0"/>
                          <w:marRight w:val="0"/>
                          <w:marTop w:val="0"/>
                          <w:marBottom w:val="0"/>
                          <w:divBdr>
                            <w:top w:val="single" w:sz="2" w:space="0" w:color="auto"/>
                            <w:left w:val="single" w:sz="2" w:space="0" w:color="auto"/>
                            <w:bottom w:val="single" w:sz="2" w:space="0" w:color="auto"/>
                            <w:right w:val="single" w:sz="2" w:space="0" w:color="auto"/>
                          </w:divBdr>
                          <w:divsChild>
                            <w:div w:id="1274510114">
                              <w:marLeft w:val="0"/>
                              <w:marRight w:val="0"/>
                              <w:marTop w:val="0"/>
                              <w:marBottom w:val="0"/>
                              <w:divBdr>
                                <w:top w:val="single" w:sz="2" w:space="0" w:color="auto"/>
                                <w:left w:val="single" w:sz="2" w:space="0" w:color="auto"/>
                                <w:bottom w:val="single" w:sz="2" w:space="0" w:color="auto"/>
                                <w:right w:val="single" w:sz="2" w:space="0" w:color="auto"/>
                              </w:divBdr>
                              <w:divsChild>
                                <w:div w:id="341050060">
                                  <w:marLeft w:val="0"/>
                                  <w:marRight w:val="0"/>
                                  <w:marTop w:val="240"/>
                                  <w:marBottom w:val="0"/>
                                  <w:divBdr>
                                    <w:top w:val="single" w:sz="2" w:space="0" w:color="auto"/>
                                    <w:left w:val="single" w:sz="2" w:space="0" w:color="auto"/>
                                    <w:bottom w:val="single" w:sz="2" w:space="0" w:color="auto"/>
                                    <w:right w:val="single" w:sz="2" w:space="0" w:color="auto"/>
                                  </w:divBdr>
                                  <w:divsChild>
                                    <w:div w:id="1826699178">
                                      <w:marLeft w:val="0"/>
                                      <w:marRight w:val="0"/>
                                      <w:marTop w:val="0"/>
                                      <w:marBottom w:val="0"/>
                                      <w:divBdr>
                                        <w:top w:val="single" w:sz="2" w:space="0" w:color="auto"/>
                                        <w:left w:val="single" w:sz="2" w:space="0" w:color="auto"/>
                                        <w:bottom w:val="single" w:sz="2" w:space="0" w:color="auto"/>
                                        <w:right w:val="single" w:sz="2" w:space="0" w:color="auto"/>
                                      </w:divBdr>
                                      <w:divsChild>
                                        <w:div w:id="504443860">
                                          <w:marLeft w:val="0"/>
                                          <w:marRight w:val="0"/>
                                          <w:marTop w:val="0"/>
                                          <w:marBottom w:val="0"/>
                                          <w:divBdr>
                                            <w:top w:val="single" w:sz="2" w:space="0" w:color="auto"/>
                                            <w:left w:val="single" w:sz="2" w:space="0" w:color="auto"/>
                                            <w:bottom w:val="single" w:sz="2" w:space="0" w:color="auto"/>
                                            <w:right w:val="single" w:sz="2" w:space="0" w:color="auto"/>
                                          </w:divBdr>
                                          <w:divsChild>
                                            <w:div w:id="1193807070">
                                              <w:marLeft w:val="0"/>
                                              <w:marRight w:val="0"/>
                                              <w:marTop w:val="0"/>
                                              <w:marBottom w:val="0"/>
                                              <w:divBdr>
                                                <w:top w:val="single" w:sz="2" w:space="0" w:color="auto"/>
                                                <w:left w:val="single" w:sz="2" w:space="0" w:color="auto"/>
                                                <w:bottom w:val="single" w:sz="2" w:space="0" w:color="auto"/>
                                                <w:right w:val="single" w:sz="2" w:space="0" w:color="auto"/>
                                              </w:divBdr>
                                              <w:divsChild>
                                                <w:div w:id="243883053">
                                                  <w:marLeft w:val="0"/>
                                                  <w:marRight w:val="0"/>
                                                  <w:marTop w:val="0"/>
                                                  <w:marBottom w:val="0"/>
                                                  <w:divBdr>
                                                    <w:top w:val="single" w:sz="2" w:space="0" w:color="auto"/>
                                                    <w:left w:val="single" w:sz="2" w:space="0" w:color="auto"/>
                                                    <w:bottom w:val="single" w:sz="2" w:space="0" w:color="auto"/>
                                                    <w:right w:val="single" w:sz="2" w:space="0" w:color="auto"/>
                                                  </w:divBdr>
                                                  <w:divsChild>
                                                    <w:div w:id="1091272666">
                                                      <w:marLeft w:val="0"/>
                                                      <w:marRight w:val="0"/>
                                                      <w:marTop w:val="0"/>
                                                      <w:marBottom w:val="0"/>
                                                      <w:divBdr>
                                                        <w:top w:val="single" w:sz="2" w:space="0" w:color="auto"/>
                                                        <w:left w:val="single" w:sz="2" w:space="0" w:color="auto"/>
                                                        <w:bottom w:val="single" w:sz="2" w:space="0" w:color="auto"/>
                                                        <w:right w:val="single" w:sz="2" w:space="0" w:color="auto"/>
                                                      </w:divBdr>
                                                      <w:divsChild>
                                                        <w:div w:id="1772235707">
                                                          <w:marLeft w:val="0"/>
                                                          <w:marRight w:val="0"/>
                                                          <w:marTop w:val="0"/>
                                                          <w:marBottom w:val="0"/>
                                                          <w:divBdr>
                                                            <w:top w:val="single" w:sz="2" w:space="0" w:color="auto"/>
                                                            <w:left w:val="single" w:sz="2" w:space="0" w:color="auto"/>
                                                            <w:bottom w:val="single" w:sz="2" w:space="0" w:color="auto"/>
                                                            <w:right w:val="single" w:sz="2" w:space="0" w:color="auto"/>
                                                          </w:divBdr>
                                                          <w:divsChild>
                                                            <w:div w:id="71319429">
                                                              <w:marLeft w:val="0"/>
                                                              <w:marRight w:val="0"/>
                                                              <w:marTop w:val="0"/>
                                                              <w:marBottom w:val="0"/>
                                                              <w:divBdr>
                                                                <w:top w:val="single" w:sz="2" w:space="0" w:color="auto"/>
                                                                <w:left w:val="single" w:sz="2" w:space="0" w:color="auto"/>
                                                                <w:bottom w:val="single" w:sz="2" w:space="0" w:color="auto"/>
                                                                <w:right w:val="single" w:sz="2" w:space="0" w:color="auto"/>
                                                              </w:divBdr>
                                                              <w:divsChild>
                                                                <w:div w:id="614600401">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7662001">
      <w:bodyDiv w:val="1"/>
      <w:marLeft w:val="0"/>
      <w:marRight w:val="0"/>
      <w:marTop w:val="0"/>
      <w:marBottom w:val="0"/>
      <w:divBdr>
        <w:top w:val="none" w:sz="0" w:space="0" w:color="auto"/>
        <w:left w:val="none" w:sz="0" w:space="0" w:color="auto"/>
        <w:bottom w:val="none" w:sz="0" w:space="0" w:color="auto"/>
        <w:right w:val="none" w:sz="0" w:space="0" w:color="auto"/>
      </w:divBdr>
      <w:divsChild>
        <w:div w:id="1663309107">
          <w:marLeft w:val="0"/>
          <w:marRight w:val="0"/>
          <w:marTop w:val="0"/>
          <w:marBottom w:val="0"/>
          <w:divBdr>
            <w:top w:val="single" w:sz="2" w:space="0" w:color="auto"/>
            <w:left w:val="single" w:sz="2" w:space="0" w:color="auto"/>
            <w:bottom w:val="single" w:sz="2" w:space="0" w:color="auto"/>
            <w:right w:val="single" w:sz="2" w:space="0" w:color="auto"/>
          </w:divBdr>
          <w:divsChild>
            <w:div w:id="1718578326">
              <w:marLeft w:val="0"/>
              <w:marRight w:val="0"/>
              <w:marTop w:val="0"/>
              <w:marBottom w:val="0"/>
              <w:divBdr>
                <w:top w:val="single" w:sz="2" w:space="0" w:color="auto"/>
                <w:left w:val="single" w:sz="2" w:space="0" w:color="auto"/>
                <w:bottom w:val="single" w:sz="2" w:space="0" w:color="auto"/>
                <w:right w:val="single" w:sz="2" w:space="0" w:color="auto"/>
              </w:divBdr>
              <w:divsChild>
                <w:div w:id="1122193416">
                  <w:marLeft w:val="0"/>
                  <w:marRight w:val="0"/>
                  <w:marTop w:val="0"/>
                  <w:marBottom w:val="0"/>
                  <w:divBdr>
                    <w:top w:val="single" w:sz="2" w:space="0" w:color="auto"/>
                    <w:left w:val="single" w:sz="2" w:space="0" w:color="auto"/>
                    <w:bottom w:val="single" w:sz="2" w:space="0" w:color="auto"/>
                    <w:right w:val="single" w:sz="2" w:space="0" w:color="auto"/>
                  </w:divBdr>
                  <w:divsChild>
                    <w:div w:id="1822770012">
                      <w:marLeft w:val="0"/>
                      <w:marRight w:val="0"/>
                      <w:marTop w:val="0"/>
                      <w:marBottom w:val="0"/>
                      <w:divBdr>
                        <w:top w:val="single" w:sz="2" w:space="0" w:color="auto"/>
                        <w:left w:val="single" w:sz="2" w:space="0" w:color="auto"/>
                        <w:bottom w:val="single" w:sz="2" w:space="0" w:color="auto"/>
                        <w:right w:val="single" w:sz="2" w:space="0" w:color="auto"/>
                      </w:divBdr>
                      <w:divsChild>
                        <w:div w:id="1025132925">
                          <w:marLeft w:val="0"/>
                          <w:marRight w:val="0"/>
                          <w:marTop w:val="0"/>
                          <w:marBottom w:val="0"/>
                          <w:divBdr>
                            <w:top w:val="single" w:sz="2" w:space="0" w:color="auto"/>
                            <w:left w:val="single" w:sz="2" w:space="0" w:color="auto"/>
                            <w:bottom w:val="single" w:sz="2" w:space="0" w:color="auto"/>
                            <w:right w:val="single" w:sz="2" w:space="0" w:color="auto"/>
                          </w:divBdr>
                          <w:divsChild>
                            <w:div w:id="139348098">
                              <w:marLeft w:val="0"/>
                              <w:marRight w:val="0"/>
                              <w:marTop w:val="0"/>
                              <w:marBottom w:val="0"/>
                              <w:divBdr>
                                <w:top w:val="single" w:sz="2" w:space="0" w:color="auto"/>
                                <w:left w:val="single" w:sz="2" w:space="0" w:color="auto"/>
                                <w:bottom w:val="single" w:sz="2" w:space="0" w:color="auto"/>
                                <w:right w:val="single" w:sz="2" w:space="0" w:color="auto"/>
                              </w:divBdr>
                              <w:divsChild>
                                <w:div w:id="397019557">
                                  <w:marLeft w:val="0"/>
                                  <w:marRight w:val="0"/>
                                  <w:marTop w:val="240"/>
                                  <w:marBottom w:val="0"/>
                                  <w:divBdr>
                                    <w:top w:val="single" w:sz="2" w:space="0" w:color="auto"/>
                                    <w:left w:val="single" w:sz="2" w:space="0" w:color="auto"/>
                                    <w:bottom w:val="single" w:sz="2" w:space="0" w:color="auto"/>
                                    <w:right w:val="single" w:sz="2" w:space="0" w:color="auto"/>
                                  </w:divBdr>
                                  <w:divsChild>
                                    <w:div w:id="1836913829">
                                      <w:marLeft w:val="0"/>
                                      <w:marRight w:val="0"/>
                                      <w:marTop w:val="0"/>
                                      <w:marBottom w:val="0"/>
                                      <w:divBdr>
                                        <w:top w:val="single" w:sz="2" w:space="0" w:color="auto"/>
                                        <w:left w:val="single" w:sz="2" w:space="0" w:color="auto"/>
                                        <w:bottom w:val="single" w:sz="2" w:space="0" w:color="auto"/>
                                        <w:right w:val="single" w:sz="2" w:space="0" w:color="auto"/>
                                      </w:divBdr>
                                      <w:divsChild>
                                        <w:div w:id="163934312">
                                          <w:marLeft w:val="0"/>
                                          <w:marRight w:val="0"/>
                                          <w:marTop w:val="0"/>
                                          <w:marBottom w:val="0"/>
                                          <w:divBdr>
                                            <w:top w:val="single" w:sz="2" w:space="0" w:color="auto"/>
                                            <w:left w:val="single" w:sz="2" w:space="0" w:color="auto"/>
                                            <w:bottom w:val="single" w:sz="2" w:space="0" w:color="auto"/>
                                            <w:right w:val="single" w:sz="2" w:space="0" w:color="auto"/>
                                          </w:divBdr>
                                          <w:divsChild>
                                            <w:div w:id="1835681076">
                                              <w:marLeft w:val="0"/>
                                              <w:marRight w:val="0"/>
                                              <w:marTop w:val="0"/>
                                              <w:marBottom w:val="0"/>
                                              <w:divBdr>
                                                <w:top w:val="single" w:sz="2" w:space="0" w:color="auto"/>
                                                <w:left w:val="single" w:sz="2" w:space="0" w:color="auto"/>
                                                <w:bottom w:val="single" w:sz="2" w:space="0" w:color="auto"/>
                                                <w:right w:val="single" w:sz="2" w:space="0" w:color="auto"/>
                                              </w:divBdr>
                                              <w:divsChild>
                                                <w:div w:id="286811966">
                                                  <w:marLeft w:val="0"/>
                                                  <w:marRight w:val="0"/>
                                                  <w:marTop w:val="0"/>
                                                  <w:marBottom w:val="0"/>
                                                  <w:divBdr>
                                                    <w:top w:val="single" w:sz="2" w:space="0" w:color="auto"/>
                                                    <w:left w:val="single" w:sz="2" w:space="0" w:color="auto"/>
                                                    <w:bottom w:val="single" w:sz="2" w:space="0" w:color="auto"/>
                                                    <w:right w:val="single" w:sz="2" w:space="0" w:color="auto"/>
                                                  </w:divBdr>
                                                  <w:divsChild>
                                                    <w:div w:id="489952371">
                                                      <w:marLeft w:val="0"/>
                                                      <w:marRight w:val="0"/>
                                                      <w:marTop w:val="0"/>
                                                      <w:marBottom w:val="0"/>
                                                      <w:divBdr>
                                                        <w:top w:val="single" w:sz="2" w:space="0" w:color="auto"/>
                                                        <w:left w:val="single" w:sz="2" w:space="0" w:color="auto"/>
                                                        <w:bottom w:val="single" w:sz="2" w:space="0" w:color="auto"/>
                                                        <w:right w:val="single" w:sz="2" w:space="0" w:color="auto"/>
                                                      </w:divBdr>
                                                      <w:divsChild>
                                                        <w:div w:id="1861697618">
                                                          <w:marLeft w:val="0"/>
                                                          <w:marRight w:val="0"/>
                                                          <w:marTop w:val="0"/>
                                                          <w:marBottom w:val="0"/>
                                                          <w:divBdr>
                                                            <w:top w:val="single" w:sz="2" w:space="0" w:color="auto"/>
                                                            <w:left w:val="single" w:sz="2" w:space="0" w:color="auto"/>
                                                            <w:bottom w:val="single" w:sz="2" w:space="0" w:color="auto"/>
                                                            <w:right w:val="single" w:sz="2" w:space="0" w:color="auto"/>
                                                          </w:divBdr>
                                                          <w:divsChild>
                                                            <w:div w:id="953483881">
                                                              <w:marLeft w:val="0"/>
                                                              <w:marRight w:val="0"/>
                                                              <w:marTop w:val="0"/>
                                                              <w:marBottom w:val="0"/>
                                                              <w:divBdr>
                                                                <w:top w:val="single" w:sz="2" w:space="0" w:color="auto"/>
                                                                <w:left w:val="single" w:sz="2" w:space="0" w:color="auto"/>
                                                                <w:bottom w:val="single" w:sz="2" w:space="0" w:color="auto"/>
                                                                <w:right w:val="single" w:sz="2" w:space="0" w:color="auto"/>
                                                              </w:divBdr>
                                                              <w:divsChild>
                                                                <w:div w:id="1589072533">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1939088">
      <w:bodyDiv w:val="1"/>
      <w:marLeft w:val="0"/>
      <w:marRight w:val="0"/>
      <w:marTop w:val="0"/>
      <w:marBottom w:val="0"/>
      <w:divBdr>
        <w:top w:val="none" w:sz="0" w:space="0" w:color="auto"/>
        <w:left w:val="none" w:sz="0" w:space="0" w:color="auto"/>
        <w:bottom w:val="none" w:sz="0" w:space="0" w:color="auto"/>
        <w:right w:val="none" w:sz="0" w:space="0" w:color="auto"/>
      </w:divBdr>
      <w:divsChild>
        <w:div w:id="1957132583">
          <w:marLeft w:val="0"/>
          <w:marRight w:val="0"/>
          <w:marTop w:val="0"/>
          <w:marBottom w:val="0"/>
          <w:divBdr>
            <w:top w:val="single" w:sz="2" w:space="0" w:color="auto"/>
            <w:left w:val="single" w:sz="2" w:space="0" w:color="auto"/>
            <w:bottom w:val="single" w:sz="2" w:space="0" w:color="auto"/>
            <w:right w:val="single" w:sz="2" w:space="0" w:color="auto"/>
          </w:divBdr>
          <w:divsChild>
            <w:div w:id="561136618">
              <w:marLeft w:val="0"/>
              <w:marRight w:val="0"/>
              <w:marTop w:val="0"/>
              <w:marBottom w:val="0"/>
              <w:divBdr>
                <w:top w:val="single" w:sz="2" w:space="0" w:color="auto"/>
                <w:left w:val="single" w:sz="2" w:space="0" w:color="auto"/>
                <w:bottom w:val="single" w:sz="2" w:space="0" w:color="auto"/>
                <w:right w:val="single" w:sz="2" w:space="0" w:color="auto"/>
              </w:divBdr>
              <w:divsChild>
                <w:div w:id="680283459">
                  <w:marLeft w:val="0"/>
                  <w:marRight w:val="0"/>
                  <w:marTop w:val="0"/>
                  <w:marBottom w:val="0"/>
                  <w:divBdr>
                    <w:top w:val="single" w:sz="2" w:space="0" w:color="auto"/>
                    <w:left w:val="single" w:sz="2" w:space="0" w:color="auto"/>
                    <w:bottom w:val="single" w:sz="2" w:space="0" w:color="auto"/>
                    <w:right w:val="single" w:sz="2" w:space="0" w:color="auto"/>
                  </w:divBdr>
                  <w:divsChild>
                    <w:div w:id="1567763840">
                      <w:marLeft w:val="0"/>
                      <w:marRight w:val="0"/>
                      <w:marTop w:val="0"/>
                      <w:marBottom w:val="0"/>
                      <w:divBdr>
                        <w:top w:val="single" w:sz="2" w:space="0" w:color="auto"/>
                        <w:left w:val="single" w:sz="2" w:space="0" w:color="auto"/>
                        <w:bottom w:val="single" w:sz="2" w:space="0" w:color="auto"/>
                        <w:right w:val="single" w:sz="2" w:space="0" w:color="auto"/>
                      </w:divBdr>
                      <w:divsChild>
                        <w:div w:id="1768383861">
                          <w:marLeft w:val="0"/>
                          <w:marRight w:val="0"/>
                          <w:marTop w:val="0"/>
                          <w:marBottom w:val="0"/>
                          <w:divBdr>
                            <w:top w:val="single" w:sz="2" w:space="0" w:color="auto"/>
                            <w:left w:val="single" w:sz="2" w:space="0" w:color="auto"/>
                            <w:bottom w:val="single" w:sz="2" w:space="0" w:color="auto"/>
                            <w:right w:val="single" w:sz="2" w:space="0" w:color="auto"/>
                          </w:divBdr>
                          <w:divsChild>
                            <w:div w:id="530263920">
                              <w:marLeft w:val="0"/>
                              <w:marRight w:val="0"/>
                              <w:marTop w:val="0"/>
                              <w:marBottom w:val="0"/>
                              <w:divBdr>
                                <w:top w:val="single" w:sz="2" w:space="0" w:color="auto"/>
                                <w:left w:val="single" w:sz="2" w:space="0" w:color="auto"/>
                                <w:bottom w:val="single" w:sz="2" w:space="0" w:color="auto"/>
                                <w:right w:val="single" w:sz="2" w:space="0" w:color="auto"/>
                              </w:divBdr>
                              <w:divsChild>
                                <w:div w:id="298077941">
                                  <w:marLeft w:val="0"/>
                                  <w:marRight w:val="0"/>
                                  <w:marTop w:val="240"/>
                                  <w:marBottom w:val="0"/>
                                  <w:divBdr>
                                    <w:top w:val="single" w:sz="2" w:space="0" w:color="auto"/>
                                    <w:left w:val="single" w:sz="2" w:space="0" w:color="auto"/>
                                    <w:bottom w:val="single" w:sz="2" w:space="0" w:color="auto"/>
                                    <w:right w:val="single" w:sz="2" w:space="0" w:color="auto"/>
                                  </w:divBdr>
                                  <w:divsChild>
                                    <w:div w:id="1757634741">
                                      <w:marLeft w:val="0"/>
                                      <w:marRight w:val="0"/>
                                      <w:marTop w:val="0"/>
                                      <w:marBottom w:val="0"/>
                                      <w:divBdr>
                                        <w:top w:val="single" w:sz="2" w:space="0" w:color="auto"/>
                                        <w:left w:val="single" w:sz="2" w:space="0" w:color="auto"/>
                                        <w:bottom w:val="single" w:sz="2" w:space="0" w:color="auto"/>
                                        <w:right w:val="single" w:sz="2" w:space="0" w:color="auto"/>
                                      </w:divBdr>
                                      <w:divsChild>
                                        <w:div w:id="1542939614">
                                          <w:marLeft w:val="0"/>
                                          <w:marRight w:val="0"/>
                                          <w:marTop w:val="0"/>
                                          <w:marBottom w:val="0"/>
                                          <w:divBdr>
                                            <w:top w:val="single" w:sz="2" w:space="0" w:color="auto"/>
                                            <w:left w:val="single" w:sz="2" w:space="0" w:color="auto"/>
                                            <w:bottom w:val="single" w:sz="2" w:space="0" w:color="auto"/>
                                            <w:right w:val="single" w:sz="2" w:space="0" w:color="auto"/>
                                          </w:divBdr>
                                          <w:divsChild>
                                            <w:div w:id="1129667292">
                                              <w:marLeft w:val="0"/>
                                              <w:marRight w:val="0"/>
                                              <w:marTop w:val="0"/>
                                              <w:marBottom w:val="0"/>
                                              <w:divBdr>
                                                <w:top w:val="single" w:sz="2" w:space="0" w:color="auto"/>
                                                <w:left w:val="single" w:sz="2" w:space="0" w:color="auto"/>
                                                <w:bottom w:val="single" w:sz="2" w:space="0" w:color="auto"/>
                                                <w:right w:val="single" w:sz="2" w:space="0" w:color="auto"/>
                                              </w:divBdr>
                                              <w:divsChild>
                                                <w:div w:id="1173297242">
                                                  <w:marLeft w:val="0"/>
                                                  <w:marRight w:val="0"/>
                                                  <w:marTop w:val="0"/>
                                                  <w:marBottom w:val="0"/>
                                                  <w:divBdr>
                                                    <w:top w:val="single" w:sz="2" w:space="0" w:color="auto"/>
                                                    <w:left w:val="single" w:sz="2" w:space="0" w:color="auto"/>
                                                    <w:bottom w:val="single" w:sz="2" w:space="0" w:color="auto"/>
                                                    <w:right w:val="single" w:sz="2" w:space="0" w:color="auto"/>
                                                  </w:divBdr>
                                                  <w:divsChild>
                                                    <w:div w:id="2008704993">
                                                      <w:marLeft w:val="0"/>
                                                      <w:marRight w:val="0"/>
                                                      <w:marTop w:val="0"/>
                                                      <w:marBottom w:val="0"/>
                                                      <w:divBdr>
                                                        <w:top w:val="single" w:sz="2" w:space="0" w:color="auto"/>
                                                        <w:left w:val="single" w:sz="2" w:space="0" w:color="auto"/>
                                                        <w:bottom w:val="single" w:sz="2" w:space="0" w:color="auto"/>
                                                        <w:right w:val="single" w:sz="2" w:space="0" w:color="auto"/>
                                                      </w:divBdr>
                                                      <w:divsChild>
                                                        <w:div w:id="492570417">
                                                          <w:marLeft w:val="0"/>
                                                          <w:marRight w:val="0"/>
                                                          <w:marTop w:val="0"/>
                                                          <w:marBottom w:val="0"/>
                                                          <w:divBdr>
                                                            <w:top w:val="single" w:sz="2" w:space="0" w:color="auto"/>
                                                            <w:left w:val="single" w:sz="2" w:space="0" w:color="auto"/>
                                                            <w:bottom w:val="single" w:sz="2" w:space="0" w:color="auto"/>
                                                            <w:right w:val="single" w:sz="2" w:space="0" w:color="auto"/>
                                                          </w:divBdr>
                                                          <w:divsChild>
                                                            <w:div w:id="388967995">
                                                              <w:marLeft w:val="0"/>
                                                              <w:marRight w:val="0"/>
                                                              <w:marTop w:val="0"/>
                                                              <w:marBottom w:val="0"/>
                                                              <w:divBdr>
                                                                <w:top w:val="single" w:sz="2" w:space="0" w:color="auto"/>
                                                                <w:left w:val="single" w:sz="2" w:space="0" w:color="auto"/>
                                                                <w:bottom w:val="single" w:sz="2" w:space="0" w:color="auto"/>
                                                                <w:right w:val="single" w:sz="2" w:space="0" w:color="auto"/>
                                                              </w:divBdr>
                                                              <w:divsChild>
                                                                <w:div w:id="2081711885">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4" Type="http://schemas.openxmlformats.org/officeDocument/2006/relationships/settings" Target="settings.xml"/><Relationship Id="rId14"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18</Pages>
  <Words>8659</Words>
  <Characters>49358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The Invisible Ledger: Quantifying the Invisible Wedge in Indonesia's Platform Economy</vt:lpstr>
    </vt:vector>
  </TitlesOfParts>
  <Company/>
  <LinksUpToDate>false</LinksUpToDate>
  <CharactersWithSpaces>57902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subject>Master's Thesis Proposal</dc:subject>
  <dc:creator>Christopher Ongko</dc:creator>
  <cp:keywords>Invisible Ledger Indonesia platform economy Ecosystem Ratio</cp:keywords>
  <dc:description>generated by python-docx</dc:description>
  <cp:lastModifiedBy>drkong</cp:lastModifiedBy>
  <cp:revision>4</cp:revision>
  <dcterms:created xsi:type="dcterms:W3CDTF">2026-09-21T09:34:00Z</dcterms:created>
  <dcterms:modified xsi:type="dcterms:W3CDTF">2026-09-21T09:54:00Z</dcterms:modified>
  <dc:language>en-US</dc:language>
</cp:coreProperties>
</file>