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University"/>
      </w:pPr>
      <w:r>
        <w:t xml:space="preserve">元　智　大　學</w:t>
      </w:r>
    </w:p>
    <w:p>
      <w:pPr>
        <w:pStyle w:val="CoverDept"/>
      </w:pPr>
      <w:r>
        <w:t xml:space="preserve">管理學院財務金融暨會計碩士班</w:t>
      </w:r>
    </w:p>
    <w:p>
      <w:pPr>
        <w:pStyle w:val="CoverTrack"/>
      </w:pPr>
      <w:r>
        <w:t xml:space="preserve">財務金融碩士學程</w:t>
      </w:r>
    </w:p>
    <w:p>
      <w:pPr>
        <w:pStyle w:val="CoverDegree"/>
      </w:pPr>
      <w:r>
        <w:t xml:space="preserve">碩　士　論　文</w:t>
      </w:r>
    </w:p>
    <w:p>
      <w:pPr>
        <w:pStyle w:val="CoverTitle"/>
      </w:pPr>
      <w:r>
        <w:t xml:space="preserve">隱形帳簿：量化印尼平台經濟中的隱形缺口</w:t>
      </w:r>
    </w:p>
    <w:p>
      <w:pPr>
        <w:pStyle w:val="CoverPerson"/>
      </w:pPr>
      <w:r>
        <w:t xml:space="preserve">研究生：王新福</w:t>
      </w:r>
    </w:p>
    <w:p>
      <w:pPr>
        <w:pStyle w:val="CoverPersonNext"/>
      </w:pPr>
      <w:r>
        <w:t xml:space="preserve">指導教授：孔德蓉</w:t>
      </w:r>
    </w:p>
    <w:p>
      <w:pPr>
        <w:pStyle w:val="CoverDate"/>
      </w:pPr>
      <w:r>
        <w:t xml:space="preserve">中華民國 115 年 10 月</w:t>
      </w:r>
    </w:p>
    <w:p>
      <w:pPr>
        <w:sectPr>
          <w:pgSz w:h="16838" w:w="11906"/>
          <w:pgMar w:bottom="1440" w:footer="0" w:header="850" w:left="1797" w:right="1797" w:top="1440"/>
        </w:sectPr>
      </w:pPr>
    </w:p>
    <w:p>
      <w:pPr>
        <w:pStyle w:val="TPTitle"/>
      </w:pPr>
      <w:r>
        <w:t xml:space="preserve">隱形帳簿：量化印尼平台經濟中的隱形缺口</w:t>
      </w:r>
    </w:p>
    <w:p>
      <w:pPr>
        <w:pStyle w:val="TPTitle"/>
      </w:pPr>
      <w:r>
        <w:t xml:space="preserve">THE INVISIBLE LEDGER: QUANTIFYING THE INVISIBLE WEDGE IN INDONESIA’S PLATFORM ECONOMY</w:t>
      </w:r>
    </w:p>
    <w:p>
      <w:pPr>
        <w:pStyle w:val="TPPeople"/>
      </w:pPr>
      <w:r>
        <w:t xml:space="preserve">研究生：王新福 Student: Christopher Ongko</w:t>
      </w:r>
    </w:p>
    <w:p>
      <w:pPr>
        <w:pStyle w:val="TPLine"/>
      </w:pPr>
      <w:r>
        <w:t xml:space="preserve">指導教授：孔德蓉 Advisor: De-Rong Kong</w:t>
      </w:r>
    </w:p>
    <w:p>
      <w:pPr>
        <w:pStyle w:val="TPGap"/>
      </w:pPr>
      <w:r>
        <w:t xml:space="preserve">元智大學</w:t>
      </w:r>
    </w:p>
    <w:p>
      <w:pPr>
        <w:pStyle w:val="TPLine"/>
      </w:pPr>
      <w:r>
        <w:t xml:space="preserve">管理學院財務金融暨會計碩士班</w:t>
      </w:r>
    </w:p>
    <w:p>
      <w:pPr>
        <w:pStyle w:val="TPLine"/>
      </w:pPr>
      <w:r>
        <w:t xml:space="preserve">碩士論文</w:t>
      </w:r>
    </w:p>
    <w:p>
      <w:pPr>
        <w:pStyle w:val="TPPeople"/>
      </w:pPr>
      <w:r>
        <w:t xml:space="preserve">A Thesis</w:t>
      </w:r>
    </w:p>
    <w:p>
      <w:pPr>
        <w:pStyle w:val="TPBlock"/>
      </w:pPr>
      <w:r>
        <w:t xml:space="preserve">Submitted to MS Program in Finance and Accounting</w:t>
      </w:r>
    </w:p>
    <w:p>
      <w:pPr>
        <w:pStyle w:val="TPBlock"/>
      </w:pPr>
      <w:r>
        <w:t xml:space="preserve">College of Management</w:t>
      </w:r>
    </w:p>
    <w:p>
      <w:pPr>
        <w:pStyle w:val="TPBlock"/>
      </w:pPr>
      <w:r>
        <w:t xml:space="preserve">Yuan Ze University</w:t>
      </w:r>
    </w:p>
    <w:p>
      <w:pPr>
        <w:pStyle w:val="TPBlock"/>
      </w:pPr>
      <w:r>
        <w:t xml:space="preserve">in Partial Fulfillment of the Requirements</w:t>
      </w:r>
    </w:p>
    <w:p>
      <w:pPr>
        <w:pStyle w:val="TPBlock"/>
      </w:pPr>
      <w:r>
        <w:t xml:space="preserve">for the Degree of</w:t>
      </w:r>
    </w:p>
    <w:p>
      <w:pPr>
        <w:pStyle w:val="TPBlock"/>
      </w:pPr>
      <w:r>
        <w:t xml:space="preserve">Master of Science</w:t>
      </w:r>
    </w:p>
    <w:p>
      <w:pPr>
        <w:pStyle w:val="TPBlock"/>
      </w:pPr>
      <w:r>
        <w:t xml:space="preserve">in</w:t>
      </w:r>
    </w:p>
    <w:p>
      <w:pPr>
        <w:pStyle w:val="TPBlock"/>
      </w:pPr>
      <w:r>
        <w:t xml:space="preserve">Finance and Accounting</w:t>
      </w:r>
    </w:p>
    <w:p>
      <w:pPr>
        <w:pStyle w:val="TPBlock"/>
      </w:pPr>
      <w:r>
        <w:t xml:space="preserve">October 2026</w:t>
      </w:r>
    </w:p>
    <w:p>
      <w:pPr>
        <w:pStyle w:val="TPBlock"/>
      </w:pPr>
      <w:r>
        <w:t xml:space="preserve">Chungli, Taiwan, Republic of China.</w:t>
      </w:r>
    </w:p>
    <w:p>
      <w:pPr>
        <w:pStyle w:val="TPLine"/>
      </w:pPr>
      <w:r>
        <w:t xml:space="preserve">中華民國 115 年 10 月</w:t>
      </w:r>
    </w:p>
    <w:p>
      <w:pPr>
        <w:sectPr>
          <w:pgSz w:h="16838" w:w="11906"/>
          <w:pgMar w:bottom="1440" w:footer="0" w:header="850" w:left="1797" w:right="1797" w:top="1440"/>
        </w:sectPr>
      </w:pPr>
    </w:p>
    <w:p>
      <w:pPr>
        <w:pStyle w:val="AbstractTitle"/>
      </w:pPr>
      <w:r>
        <w:t xml:space="preserve">The Invisible Ledger: Quantifying the Invisible Wedge in Indonesia’s Platform Economy</w:t>
      </w:r>
    </w:p>
    <w:p>
      <w:pPr>
        <w:pStyle w:val="AbstractHead"/>
      </w:pPr>
      <w:r>
        <w:t xml:space="preserve">Student: Christopher Ongko 　 Advisor: Dr. De-Rong Kong</w:t>
      </w:r>
    </w:p>
    <w:p>
      <w:pPr>
        <w:pStyle w:val="AbstractHead"/>
      </w:pPr>
      <w:r>
        <w:t xml:space="preserve">Submitted to MS Program in Finance and Accounting</w:t>
      </w:r>
    </w:p>
    <w:p>
      <w:pPr>
        <w:pStyle w:val="AbstractHead"/>
      </w:pPr>
      <w:r>
        <w:t xml:space="preserve">College of Management, Yuan Ze University</w:t>
      </w:r>
    </w:p>
    <w:p>
      <w:pPr>
        <w:pStyle w:val="AbstractLabel"/>
      </w:pPr>
      <w:r>
        <w:t xml:space="preserve">ABSTRACT</w:t>
      </w:r>
    </w:p>
    <w:p>
      <w:pPr>
        <w:pStyle w:val="BodyText"/>
      </w:pPr>
      <w:r>
        <w:t xml:space="preserve">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a national survey of online sellers and national figures.</w:t>
      </w:r>
    </w:p>
    <w:p>
      <w:pPr>
        <w:pStyle w:val="BodyText"/>
      </w:pPr>
      <w:r>
        <w:t xml:space="preserve">In 2023, three major platforms kept about US$3 billion of the US$43 billion that passed through them. Abroad, revenue grew in proportion to transaction value. In Indonesia and the region it did not: platforms changed the share of each sale they kept 3.6 times as much as 27 platforms abroad, mostly between 2022 and 2024, so that hypothesis is rejected.</w:t>
      </w:r>
    </w:p>
    <w:p>
      <w:pPr>
        <w:pStyle w:val="BodyText"/>
      </w:pPr>
      <w:r>
        <w:t xml:space="preserve">The count of online sellers rose by 27 percent in 2023. A test registered in advance finds too few new sellers to produce that rise, and a later, exploratory count shows that first-time entry explains only about half of it. If the rest is read as wider survey coverage, the finding that more businesses drive growth sits on its threshold.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FrontHeading"/>
      </w:pPr>
      <w:r>
        <w:t xml:space="preserve">Contents</w:t>
      </w:r>
    </w:p>
    <w:p>
      <w:pPr>
        <w:pStyle w:val="toc1"/>
        <w:rPr>
          <w:b w:val="0"/>
        </w:rPr>
      </w:pPr>
      <w:r>
        <w:rPr>
          <w:b w:val="0"/>
        </w:rPr>
        <w:t xml:space="preserve">Title Page</w:t>
      </w:r>
      <w:r>
        <w:rPr>
          <w:b w:val="0"/>
        </w:rPr>
        <w:tab/>
      </w:r>
      <w:r>
        <w:rPr>
          <w:b w:val="0"/>
        </w:rPr>
        <w:t xml:space="preserve">i</w:t>
      </w:r>
    </w:p>
    <w:p>
      <w:pPr>
        <w:pStyle w:val="toc1"/>
        <w:rPr>
          <w:b w:val="0"/>
        </w:rPr>
      </w:pPr>
      <w:r>
        <w:rPr>
          <w:b w:val="0"/>
        </w:rPr>
        <w:t xml:space="preserve">Abstract</w:t>
      </w:r>
      <w:r>
        <w:rPr>
          <w:b w:val="0"/>
        </w:rPr>
        <w:tab/>
      </w:r>
      <w:r>
        <w:rPr>
          <w:b w:val="0"/>
        </w:rPr>
        <w:t xml:space="preserve">ii</w:t>
      </w:r>
    </w:p>
    <w:p>
      <w:pPr>
        <w:pStyle w:val="toc1"/>
        <w:rPr>
          <w:b w:val="0"/>
        </w:rPr>
      </w:pPr>
      <w:r>
        <w:rPr>
          <w:b w:val="0"/>
        </w:rPr>
        <w:t xml:space="preserve">Table of Contents</w:t>
      </w:r>
      <w:r>
        <w:rPr>
          <w:b w:val="0"/>
        </w:rPr>
        <w:tab/>
      </w:r>
      <w:r>
        <w:rPr>
          <w:b w:val="0"/>
        </w:rPr>
        <w:t xml:space="preserve">iii</w:t>
      </w:r>
    </w:p>
    <w:p>
      <w:pPr>
        <w:pStyle w:val="toc1"/>
        <w:rPr>
          <w:b w:val="0"/>
        </w:rPr>
      </w:pPr>
      <w:r>
        <w:rPr>
          <w:b w:val="0"/>
        </w:rPr>
        <w:t xml:space="preserve">List of Tables</w:t>
      </w:r>
      <w:r>
        <w:rPr>
          <w:b w:val="0"/>
        </w:rPr>
        <w:tab/>
      </w:r>
      <w:r>
        <w:rPr>
          <w:b w:val="0"/>
        </w:rPr>
        <w:t xml:space="preserve">v</w:t>
      </w:r>
    </w:p>
    <w:p>
      <w:pPr>
        <w:pStyle w:val="toc1"/>
        <w:rPr>
          <w:b w:val="0"/>
        </w:rPr>
      </w:pPr>
      <w:r>
        <w:rPr>
          <w:b w:val="0"/>
        </w:rPr>
        <w:t xml:space="preserve">List of Figures</w:t>
      </w:r>
      <w:r>
        <w:rPr>
          <w:b w:val="0"/>
        </w:rPr>
        <w:tab/>
      </w:r>
      <w:r>
        <w:rPr>
          <w:b w:val="0"/>
        </w:rPr>
        <w:t xml:space="preserve">vi</w:t>
      </w:r>
    </w:p>
    <w:p>
      <w:pPr>
        <w:pStyle w:val="toc1"/>
      </w:pPr>
      <w:r>
        <w:fldChar w:fldCharType="begin"/>
      </w:r>
      <w:r>
        <w:instrText xml:space="preserve">TOC \o "1-2" \u</w:instrText>
      </w:r>
      <w:r>
        <w:fldChar w:fldCharType="separate"/>
      </w:r>
      <w:r>
        <w:t xml:space="preserve">Chapter 1 Introduction</w:t>
      </w:r>
      <w:r>
        <w:tab/>
      </w:r>
      <w:r>
        <w:t xml:space="preserve">1</w:t>
      </w:r>
    </w:p>
    <w:p>
      <w:pPr>
        <w:pStyle w:val="toc2"/>
      </w:pPr>
      <w:r>
        <w:t xml:space="preserve">1.1 Research question and objectives</w:t>
      </w:r>
      <w:r>
        <w:tab/>
      </w:r>
      <w:r>
        <w:t xml:space="preserve">2</w:t>
      </w:r>
    </w:p>
    <w:p>
      <w:pPr>
        <w:pStyle w:val="toc2"/>
      </w:pPr>
      <w:r>
        <w:t xml:space="preserve">1.2 Contributions</w:t>
      </w:r>
      <w:r>
        <w:tab/>
      </w:r>
      <w:r>
        <w:t xml:space="preserve">3</w:t>
      </w:r>
    </w:p>
    <w:p>
      <w:pPr>
        <w:pStyle w:val="toc2"/>
      </w:pPr>
      <w:r>
        <w:t xml:space="preserve">1.3 Structure of the thesis</w:t>
      </w:r>
      <w:r>
        <w:tab/>
      </w:r>
      <w:r>
        <w:t xml:space="preserve">4</w:t>
      </w:r>
    </w:p>
    <w:p>
      <w:pPr>
        <w:pStyle w:val="toc1"/>
      </w:pPr>
      <w:r>
        <w:t xml:space="preserve">Chapter 2 Literature Review</w:t>
      </w:r>
      <w:r>
        <w:tab/>
      </w:r>
      <w:r>
        <w:t xml:space="preserve">6</w:t>
      </w:r>
    </w:p>
    <w:p>
      <w:pPr>
        <w:pStyle w:val="toc2"/>
      </w:pPr>
      <w:r>
        <w:t xml:space="preserve">2.1 Platform economics and revenue recognition</w:t>
      </w:r>
      <w:r>
        <w:tab/>
      </w:r>
      <w:r>
        <w:t xml:space="preserve">6</w:t>
      </w:r>
    </w:p>
    <w:p>
      <w:pPr>
        <w:pStyle w:val="toc2"/>
      </w:pPr>
      <w:r>
        <w:t xml:space="preserve">2.2 Measuring the digital economy</w:t>
      </w:r>
      <w:r>
        <w:tab/>
      </w:r>
      <w:r>
        <w:t xml:space="preserve">7</w:t>
      </w:r>
    </w:p>
    <w:p>
      <w:pPr>
        <w:pStyle w:val="toc2"/>
      </w:pPr>
      <w:r>
        <w:t xml:space="preserve">2.3 Digital records and third-party information</w:t>
      </w:r>
      <w:r>
        <w:tab/>
      </w:r>
      <w:r>
        <w:t xml:space="preserve">8</w:t>
      </w:r>
    </w:p>
    <w:p>
      <w:pPr>
        <w:pStyle w:val="toc2"/>
      </w:pPr>
      <w:r>
        <w:t xml:space="preserve">2.4 Research gap</w:t>
      </w:r>
      <w:r>
        <w:tab/>
      </w:r>
      <w:r>
        <w:t xml:space="preserve">9</w:t>
      </w:r>
    </w:p>
    <w:p>
      <w:pPr>
        <w:pStyle w:val="toc1"/>
      </w:pPr>
      <w:r>
        <w:t xml:space="preserve">Chapter 3 Framework and Hypotheses</w:t>
      </w:r>
      <w:r>
        <w:tab/>
      </w:r>
      <w:r>
        <w:t xml:space="preserve">10</w:t>
      </w:r>
    </w:p>
    <w:p>
      <w:pPr>
        <w:pStyle w:val="toc2"/>
      </w:pPr>
      <w:r>
        <w:t xml:space="preserve">3.1 Terms and rules for comparison</w:t>
      </w:r>
      <w:r>
        <w:tab/>
      </w:r>
      <w:r>
        <w:t xml:space="preserve">12</w:t>
      </w:r>
    </w:p>
    <w:p>
      <w:pPr>
        <w:pStyle w:val="toc2"/>
      </w:pPr>
      <w:r>
        <w:t xml:space="preserve">3.2 Three measures</w:t>
      </w:r>
      <w:r>
        <w:tab/>
      </w:r>
      <w:r>
        <w:t xml:space="preserve">13</w:t>
      </w:r>
    </w:p>
    <w:p>
      <w:pPr>
        <w:pStyle w:val="toc2"/>
      </w:pPr>
      <w:r>
        <w:t xml:space="preserve">3.3 What changes the wedge and the ecosystem ratio</w:t>
      </w:r>
      <w:r>
        <w:tab/>
      </w:r>
      <w:r>
        <w:t xml:space="preserve">15</w:t>
      </w:r>
    </w:p>
    <w:p>
      <w:pPr>
        <w:pStyle w:val="toc2"/>
      </w:pPr>
      <w:r>
        <w:t xml:space="preserve">3.4 Hypotheses</w:t>
      </w:r>
      <w:r>
        <w:tab/>
      </w:r>
      <w:r>
        <w:t xml:space="preserve">16</w:t>
      </w:r>
    </w:p>
    <w:p>
      <w:pPr>
        <w:pStyle w:val="toc2"/>
      </w:pPr>
      <w:r>
        <w:t xml:space="preserve">3.5 The entry test</w:t>
      </w:r>
      <w:r>
        <w:tab/>
      </w:r>
      <w:r>
        <w:t xml:space="preserve">17</w:t>
      </w:r>
    </w:p>
    <w:p>
      <w:pPr>
        <w:pStyle w:val="toc2"/>
      </w:pPr>
      <w:r>
        <w:t xml:space="preserve">3.6 Further analyses</w:t>
      </w:r>
      <w:r>
        <w:tab/>
      </w:r>
      <w:r>
        <w:t xml:space="preserve">18</w:t>
      </w:r>
    </w:p>
    <w:p>
      <w:pPr>
        <w:pStyle w:val="toc1"/>
      </w:pPr>
      <w:r>
        <w:t xml:space="preserve">Chapter 4 Data and Methods</w:t>
      </w:r>
      <w:r>
        <w:tab/>
      </w:r>
      <w:r>
        <w:t xml:space="preserve">20</w:t>
      </w:r>
    </w:p>
    <w:p>
      <w:pPr>
        <w:pStyle w:val="toc2"/>
      </w:pPr>
      <w:r>
        <w:t xml:space="preserve">4.1 The platform data</w:t>
      </w:r>
      <w:r>
        <w:tab/>
      </w:r>
      <w:r>
        <w:t xml:space="preserve">21</w:t>
      </w:r>
    </w:p>
    <w:p>
      <w:pPr>
        <w:pStyle w:val="toc2"/>
      </w:pPr>
      <w:r>
        <w:t xml:space="preserve">4.2 Measuring the wedge in Indonesia</w:t>
      </w:r>
      <w:r>
        <w:tab/>
      </w:r>
      <w:r>
        <w:t xml:space="preserve">22</w:t>
      </w:r>
    </w:p>
    <w:p>
      <w:pPr>
        <w:pStyle w:val="toc2"/>
      </w:pPr>
      <w:r>
        <w:t xml:space="preserve">4.3 Testing H1</w:t>
      </w:r>
      <w:r>
        <w:tab/>
      </w:r>
      <w:r>
        <w:t xml:space="preserve">22</w:t>
      </w:r>
    </w:p>
    <w:p>
      <w:pPr>
        <w:pStyle w:val="toc2"/>
      </w:pPr>
      <w:r>
        <w:t xml:space="preserve">4.4 What explains the wedge and the ecosystem ratio</w:t>
      </w:r>
      <w:r>
        <w:tab/>
      </w:r>
      <w:r>
        <w:t xml:space="preserve">23</w:t>
      </w:r>
    </w:p>
    <w:p>
      <w:pPr>
        <w:pStyle w:val="toc2"/>
      </w:pPr>
      <w:r>
        <w:t xml:space="preserve">4.5 Market values</w:t>
      </w:r>
      <w:r>
        <w:tab/>
      </w:r>
      <w:r>
        <w:t xml:space="preserve">25</w:t>
      </w:r>
    </w:p>
    <w:p>
      <w:pPr>
        <w:pStyle w:val="toc2"/>
      </w:pPr>
      <w:r>
        <w:t xml:space="preserve">4.6 The survey files and H2</w:t>
      </w:r>
      <w:r>
        <w:tab/>
      </w:r>
      <w:r>
        <w:t xml:space="preserve">25</w:t>
      </w:r>
    </w:p>
    <w:p>
      <w:pPr>
        <w:pStyle w:val="toc2"/>
      </w:pPr>
      <w:r>
        <w:t xml:space="preserve">4.7 The entry test and the extra sellers</w:t>
      </w:r>
      <w:r>
        <w:tab/>
      </w:r>
      <w:r>
        <w:t xml:space="preserve">26</w:t>
      </w:r>
    </w:p>
    <w:p>
      <w:pPr>
        <w:pStyle w:val="toc2"/>
      </w:pPr>
      <w:r>
        <w:t xml:space="preserve">4.8 Channels, records and reach</w:t>
      </w:r>
      <w:r>
        <w:tab/>
      </w:r>
      <w:r>
        <w:t xml:space="preserve">27</w:t>
      </w:r>
    </w:p>
    <w:p>
      <w:pPr>
        <w:pStyle w:val="toc2"/>
      </w:pPr>
      <w:r>
        <w:t xml:space="preserve">4.9 Comparing national figures</w:t>
      </w:r>
      <w:r>
        <w:tab/>
      </w:r>
      <w:r>
        <w:t xml:space="preserve">28</w:t>
      </w:r>
    </w:p>
    <w:p>
      <w:pPr>
        <w:pStyle w:val="toc2"/>
      </w:pPr>
      <w:r>
        <w:t xml:space="preserve">4.10 Labels, traceability and licensed data</w:t>
      </w:r>
      <w:r>
        <w:tab/>
      </w:r>
      <w:r>
        <w:t xml:space="preserve">28</w:t>
      </w:r>
    </w:p>
    <w:p>
      <w:pPr>
        <w:pStyle w:val="toc1"/>
      </w:pPr>
      <w:r>
        <w:t xml:space="preserve">Chapter 5 Results</w:t>
      </w:r>
      <w:r>
        <w:tab/>
      </w:r>
      <w:r>
        <w:t xml:space="preserve">30</w:t>
      </w:r>
    </w:p>
    <w:p>
      <w:pPr>
        <w:pStyle w:val="toc2"/>
      </w:pPr>
      <w:r>
        <w:t xml:space="preserve">5.1 How much revenue leaves out</w:t>
      </w:r>
      <w:r>
        <w:tab/>
      </w:r>
      <w:r>
        <w:t xml:space="preserve">30</w:t>
      </w:r>
    </w:p>
    <w:p>
      <w:pPr>
        <w:pStyle w:val="toc2"/>
      </w:pPr>
      <w:r>
        <w:t xml:space="preserve">5.2 Testing H1</w:t>
      </w:r>
      <w:r>
        <w:tab/>
      </w:r>
      <w:r>
        <w:t xml:space="preserve">31</w:t>
      </w:r>
    </w:p>
    <w:p>
      <w:pPr>
        <w:pStyle w:val="toc2"/>
      </w:pPr>
      <w:r>
        <w:t xml:space="preserve">5.3 What explains the wedge and the ecosystem ratio</w:t>
      </w:r>
      <w:r>
        <w:tab/>
      </w:r>
      <w:r>
        <w:t xml:space="preserve">35</w:t>
      </w:r>
    </w:p>
    <w:p>
      <w:pPr>
        <w:pStyle w:val="toc2"/>
      </w:pPr>
      <w:r>
        <w:t xml:space="preserve">5.4 What markets valued</w:t>
      </w:r>
      <w:r>
        <w:tab/>
      </w:r>
      <w:r>
        <w:t xml:space="preserve">39</w:t>
      </w:r>
    </w:p>
    <w:p>
      <w:pPr>
        <w:pStyle w:val="toc2"/>
      </w:pPr>
      <w:r>
        <w:t xml:space="preserve">5.5 The platforms and the sellers in 2023</w:t>
      </w:r>
      <w:r>
        <w:tab/>
      </w:r>
      <w:r>
        <w:t xml:space="preserve">40</w:t>
      </w:r>
    </w:p>
    <w:p>
      <w:pPr>
        <w:pStyle w:val="toc2"/>
      </w:pPr>
      <w:r>
        <w:t xml:space="preserve">5.6 H2 and the entry test</w:t>
      </w:r>
      <w:r>
        <w:tab/>
      </w:r>
      <w:r>
        <w:t xml:space="preserve">41</w:t>
      </w:r>
    </w:p>
    <w:p>
      <w:pPr>
        <w:pStyle w:val="toc2"/>
      </w:pPr>
      <w:r>
        <w:t xml:space="preserve">5.7 What the rise in the count contains</w:t>
      </w:r>
      <w:r>
        <w:tab/>
      </w:r>
      <w:r>
        <w:t xml:space="preserve">41</w:t>
      </w:r>
    </w:p>
    <w:p>
      <w:pPr>
        <w:pStyle w:val="toc2"/>
      </w:pPr>
      <w:r>
        <w:t xml:space="preserve">5.8 Who the extra sellers were</w:t>
      </w:r>
      <w:r>
        <w:tab/>
      </w:r>
      <w:r>
        <w:t xml:space="preserve">43</w:t>
      </w:r>
    </w:p>
    <w:p>
      <w:pPr>
        <w:pStyle w:val="toc2"/>
      </w:pPr>
      <w:r>
        <w:t xml:space="preserve">5.9 Channels and records</w:t>
      </w:r>
      <w:r>
        <w:tab/>
      </w:r>
      <w:r>
        <w:t xml:space="preserve">44</w:t>
      </w:r>
    </w:p>
    <w:p>
      <w:pPr>
        <w:pStyle w:val="toc2"/>
      </w:pPr>
      <w:r>
        <w:t xml:space="preserve">5.10 Why the national figures disagree</w:t>
      </w:r>
      <w:r>
        <w:tab/>
      </w:r>
      <w:r>
        <w:t xml:space="preserve">46</w:t>
      </w:r>
    </w:p>
    <w:p>
      <w:pPr>
        <w:pStyle w:val="toc1"/>
      </w:pPr>
      <w:r>
        <w:t xml:space="preserve">Chapter 6 Discussion and Policy Implications</w:t>
      </w:r>
      <w:r>
        <w:tab/>
      </w:r>
      <w:r>
        <w:t xml:space="preserve">49</w:t>
      </w:r>
    </w:p>
    <w:p>
      <w:pPr>
        <w:pStyle w:val="toc2"/>
      </w:pPr>
      <w:r>
        <w:t xml:space="preserve">6.1 The rules and what each acts on</w:t>
      </w:r>
      <w:r>
        <w:tab/>
      </w:r>
      <w:r>
        <w:t xml:space="preserve">49</w:t>
      </w:r>
    </w:p>
    <w:p>
      <w:pPr>
        <w:pStyle w:val="toc2"/>
      </w:pPr>
      <w:r>
        <w:t xml:space="preserve">6.2 What the commission cap and the discount rule can move</w:t>
      </w:r>
      <w:r>
        <w:tab/>
      </w:r>
      <w:r>
        <w:t xml:space="preserve">51</w:t>
      </w:r>
    </w:p>
    <w:p>
      <w:pPr>
        <w:pStyle w:val="toc2"/>
      </w:pPr>
      <w:r>
        <w:t xml:space="preserve">6.3 How far the marketplace tax reaches</w:t>
      </w:r>
      <w:r>
        <w:tab/>
      </w:r>
      <w:r>
        <w:t xml:space="preserve">53</w:t>
      </w:r>
    </w:p>
    <w:p>
      <w:pPr>
        <w:pStyle w:val="toc2"/>
      </w:pPr>
      <w:r>
        <w:t xml:space="preserve">6.4 What the statistics rules can change</w:t>
      </w:r>
      <w:r>
        <w:tab/>
      </w:r>
      <w:r>
        <w:t xml:space="preserve">54</w:t>
      </w:r>
    </w:p>
    <w:p>
      <w:pPr>
        <w:pStyle w:val="toc2"/>
      </w:pPr>
      <w:r>
        <w:t xml:space="preserve">6.5 What the registered predictions test</w:t>
      </w:r>
      <w:r>
        <w:tab/>
      </w:r>
      <w:r>
        <w:t xml:space="preserve">55</w:t>
      </w:r>
    </w:p>
    <w:p>
      <w:pPr>
        <w:pStyle w:val="toc2"/>
      </w:pPr>
      <w:r>
        <w:t xml:space="preserve">6.6 Beyond Indonesia</w:t>
      </w:r>
      <w:r>
        <w:tab/>
      </w:r>
      <w:r>
        <w:t xml:space="preserve">56</w:t>
      </w:r>
    </w:p>
    <w:p>
      <w:pPr>
        <w:pStyle w:val="toc1"/>
      </w:pPr>
      <w:r>
        <w:t xml:space="preserve">Chapter 7 Conclusion</w:t>
      </w:r>
      <w:r>
        <w:tab/>
      </w:r>
      <w:r>
        <w:t xml:space="preserve">57</w:t>
      </w:r>
    </w:p>
    <w:p>
      <w:pPr>
        <w:pStyle w:val="toc2"/>
      </w:pPr>
      <w:r>
        <w:t xml:space="preserve">7.1 The answer to the research question</w:t>
      </w:r>
      <w:r>
        <w:tab/>
      </w:r>
      <w:r>
        <w:t xml:space="preserve">57</w:t>
      </w:r>
    </w:p>
    <w:p>
      <w:pPr>
        <w:pStyle w:val="toc2"/>
      </w:pPr>
      <w:r>
        <w:t xml:space="preserve">7.2 What the thesis adds</w:t>
      </w:r>
      <w:r>
        <w:tab/>
      </w:r>
      <w:r>
        <w:t xml:space="preserve">58</w:t>
      </w:r>
    </w:p>
    <w:p>
      <w:pPr>
        <w:pStyle w:val="toc2"/>
      </w:pPr>
      <w:r>
        <w:t xml:space="preserve">7.3 Predictions that failed</w:t>
      </w:r>
      <w:r>
        <w:tab/>
      </w:r>
      <w:r>
        <w:t xml:space="preserve">59</w:t>
      </w:r>
    </w:p>
    <w:p>
      <w:pPr>
        <w:pStyle w:val="toc2"/>
      </w:pPr>
      <w:r>
        <w:t xml:space="preserve">7.4 Limits of the evidence</w:t>
      </w:r>
      <w:r>
        <w:tab/>
      </w:r>
      <w:r>
        <w:t xml:space="preserve">60</w:t>
      </w:r>
    </w:p>
    <w:p>
      <w:pPr>
        <w:pStyle w:val="toc2"/>
      </w:pPr>
      <w:r>
        <w:t xml:space="preserve">7.5 Further research</w:t>
      </w:r>
      <w:r>
        <w:tab/>
      </w:r>
      <w:r>
        <w:t xml:space="preserve">62</w:t>
      </w:r>
    </w:p>
    <w:p>
      <w:pPr>
        <w:pStyle w:val="toc1"/>
      </w:pPr>
      <w:r>
        <w:t xml:space="preserve">Appendices</w:t>
      </w:r>
      <w:r>
        <w:tab/>
      </w:r>
      <w:r>
        <w:t xml:space="preserve">64</w:t>
      </w:r>
    </w:p>
    <w:p>
      <w:pPr>
        <w:pStyle w:val="toc2"/>
      </w:pPr>
      <w:r>
        <w:t xml:space="preserve">Appendix A. Definition of variables</w:t>
      </w:r>
      <w:r>
        <w:tab/>
      </w:r>
      <w:r>
        <w:t xml:space="preserve">64</w:t>
      </w:r>
    </w:p>
    <w:p>
      <w:pPr>
        <w:pStyle w:val="toc2"/>
      </w:pPr>
      <w:r>
        <w:t xml:space="preserve">Appendix B. Platforms, windows and the wedge by year</w:t>
      </w:r>
      <w:r>
        <w:tab/>
      </w:r>
      <w:r>
        <w:t xml:space="preserve">66</w:t>
      </w:r>
    </w:p>
    <w:p>
      <w:pPr>
        <w:pStyle w:val="toc2"/>
      </w:pPr>
      <w:r>
        <w:t xml:space="preserve">Appendix C. The checks on the tests of H1 and on the regressions</w:t>
      </w:r>
      <w:r>
        <w:tab/>
      </w:r>
      <w:r>
        <w:t xml:space="preserve">72</w:t>
      </w:r>
    </w:p>
    <w:p>
      <w:pPr>
        <w:pStyle w:val="toc2"/>
      </w:pPr>
      <w:r>
        <w:t xml:space="preserve">Appendix D. Registered tests and their outcomes</w:t>
      </w:r>
      <w:r>
        <w:tab/>
      </w:r>
      <w:r>
        <w:t xml:space="preserve">76</w:t>
      </w:r>
    </w:p>
    <w:p>
      <w:pPr>
        <w:pStyle w:val="toc2"/>
      </w:pPr>
      <w:r>
        <w:t xml:space="preserve">Appendix E. The values behind Figures 4 to 6</w:t>
      </w:r>
      <w:r>
        <w:tab/>
      </w:r>
      <w:r>
        <w:t xml:space="preserve">78</w:t>
      </w:r>
    </w:p>
    <w:p>
      <w:pPr>
        <w:pStyle w:val="toc1"/>
      </w:pPr>
      <w:r>
        <w:t xml:space="preserve">References</w:t>
      </w:r>
      <w:r>
        <w:tab/>
      </w:r>
      <w:r>
        <w:t xml:space="preserve">79</w:t>
      </w:r>
      <w:r>
        <w:fldChar w:fldCharType="end"/>
      </w:r>
    </w:p>
    <w:p>
      <w:pPr>
        <w:pStyle w:val="FrontHeading"/>
      </w:pPr>
      <w:r>
        <w:t xml:space="preserve">List of Tables</w:t>
      </w:r>
    </w:p>
    <w:p>
      <w:pPr>
        <w:pStyle w:val="tableoffigures"/>
      </w:pPr>
      <w:r>
        <w:fldChar w:fldCharType="begin"/>
      </w:r>
      <w:r>
        <w:instrText xml:space="preserve">TOC \t "Table Caption,1"</w:instrText>
      </w:r>
      <w:r>
        <w:fldChar w:fldCharType="separate"/>
      </w:r>
      <w:r>
        <w:t xml:space="preserve">Table 1. The invisible wedge of three platforms, 2023 (US$ billion)</w:t>
      </w:r>
      <w:r>
        <w:tab/>
      </w:r>
      <w:r>
        <w:t xml:space="preserve">30</w:t>
      </w:r>
    </w:p>
    <w:p>
      <w:pPr>
        <w:pStyle w:val="tableoffigures"/>
      </w:pPr>
      <w:r>
        <w:t xml:space="preserve">Table 2. Summary statistics and correlations</w:t>
      </w:r>
      <w:r>
        <w:tab/>
      </w:r>
      <w:r>
        <w:t xml:space="preserve">32</w:t>
      </w:r>
    </w:p>
    <w:p>
      <w:pPr>
        <w:pStyle w:val="tableoffigures"/>
      </w:pPr>
      <w:r>
        <w:t xml:space="preserve">Table 3. Revenue growth and transaction value growth</w:t>
      </w:r>
      <w:r>
        <w:tab/>
      </w:r>
      <w:r>
        <w:t xml:space="preserve">33</w:t>
      </w:r>
    </w:p>
    <w:p>
      <w:pPr>
        <w:pStyle w:val="tableoffigures"/>
      </w:pPr>
      <w:r>
        <w:t xml:space="preserve">Table 4. What explains the wedge and the ecosystem ratio</w:t>
      </w:r>
      <w:r>
        <w:tab/>
      </w:r>
      <w:r>
        <w:t xml:space="preserve">35</w:t>
      </w:r>
    </w:p>
    <w:p>
      <w:pPr>
        <w:pStyle w:val="tableoffigures"/>
      </w:pPr>
      <w:r>
        <w:t xml:space="preserve">Table 5. The 2023 rise in the count of online sellers (thousands)</w:t>
      </w:r>
      <w:r>
        <w:tab/>
      </w:r>
      <w:r>
        <w:t xml:space="preserve">42</w:t>
      </w:r>
    </w:p>
    <w:p>
      <w:pPr>
        <w:pStyle w:val="tableoffigures"/>
      </w:pPr>
      <w:r>
        <w:t xml:space="preserve">Table 6. Indonesia’s recent rules and what each acts on</w:t>
      </w:r>
      <w:r>
        <w:tab/>
      </w:r>
      <w:r>
        <w:t xml:space="preserve">50</w:t>
      </w:r>
    </w:p>
    <w:p>
      <w:pPr>
        <w:pStyle w:val="tableoffigures"/>
      </w:pPr>
      <w:r>
        <w:t xml:space="preserve">Table 7. Registered predictions on the 2026 rules</w:t>
      </w:r>
      <w:r>
        <w:tab/>
      </w:r>
      <w:r>
        <w:t xml:space="preserve">55</w:t>
      </w:r>
      <w:r>
        <w:fldChar w:fldCharType="end"/>
      </w:r>
    </w:p>
    <w:p>
      <w:pPr>
        <w:pStyle w:val="FrontHeading"/>
      </w:pPr>
      <w:r>
        <w:t xml:space="preserve">List of Figures</w:t>
      </w:r>
    </w:p>
    <w:p>
      <w:pPr>
        <w:pStyle w:val="tableoffigures"/>
      </w:pPr>
      <w:r>
        <w:fldChar w:fldCharType="begin"/>
      </w:r>
      <w:r>
        <w:instrText xml:space="preserve">TOC \t "Figure Caption,1"</w:instrText>
      </w:r>
      <w:r>
        <w:fldChar w:fldCharType="separate"/>
      </w:r>
      <w:r>
        <w:t xml:space="preserve">Figure 1. Three nested quantities and the two links.</w:t>
      </w:r>
      <w:r>
        <w:tab/>
      </w:r>
      <w:r>
        <w:t xml:space="preserve">11</w:t>
      </w:r>
    </w:p>
    <w:p>
      <w:pPr>
        <w:pStyle w:val="tableoffigures"/>
      </w:pPr>
      <w:r>
        <w:t xml:space="preserve">Figure 2. The thin take rate.</w:t>
      </w:r>
      <w:r>
        <w:tab/>
      </w:r>
      <w:r>
        <w:t xml:space="preserve">35</w:t>
      </w:r>
    </w:p>
    <w:p>
      <w:pPr>
        <w:pStyle w:val="tableoffigures"/>
      </w:pPr>
      <w:r>
        <w:t xml:space="preserve">Figure 3. Tokopedia, 2022 to 2023: two ways to split the rise in revenue.</w:t>
      </w:r>
      <w:r>
        <w:tab/>
      </w:r>
      <w:r>
        <w:t xml:space="preserve">38</w:t>
      </w:r>
    </w:p>
    <w:p>
      <w:pPr>
        <w:pStyle w:val="tableoffigures"/>
      </w:pPr>
      <w:r>
        <w:t xml:space="preserve">Figure 4. Growth in 2023 (percent).</w:t>
      </w:r>
      <w:r>
        <w:tab/>
      </w:r>
      <w:r>
        <w:t xml:space="preserve">40</w:t>
      </w:r>
    </w:p>
    <w:p>
      <w:pPr>
        <w:pStyle w:val="tableoffigures"/>
      </w:pPr>
      <w:r>
        <w:t xml:space="preserve">Figure 5. Who the extra sellers were.</w:t>
      </w:r>
      <w:r>
        <w:tab/>
      </w:r>
      <w:r>
        <w:t xml:space="preserve">44</w:t>
      </w:r>
    </w:p>
    <w:p>
      <w:pPr>
        <w:pStyle w:val="tableoffigures"/>
      </w:pPr>
      <w:r>
        <w:t xml:space="preserve">Figure 6. Marketplace use and financial statements, 2020 to 2024.</w:t>
      </w:r>
      <w:r>
        <w:tab/>
      </w:r>
      <w:r>
        <w:t xml:space="preserve">45</w:t>
      </w:r>
      <w:r>
        <w:fldChar w:fldCharType="end"/>
      </w:r>
    </w:p>
    <w:p>
      <w:pPr>
        <w:sectPr>
          <w:footerReference r:id="rId9" w:type="default"/>
          <w:pgSz w:h="16838" w:w="11906"/>
          <w:pgMar w:bottom="1134" w:footer="567" w:header="850" w:left="2268" w:right="1134" w:top="1984"/>
          <w:pgNumType w:fmt="lowerRoman" w:start="2"/>
        </w:sectPr>
      </w:pPr>
    </w:p>
    <w:bookmarkStart w:id="23" w:name="chapter-1-introduction"/>
    <w:p>
      <w:pPr>
        <w:pStyle w:val="Heading1"/>
      </w:pPr>
      <w:r>
        <w:t xml:space="preserve">Chapter 1 Introduction</w:t>
      </w:r>
    </w:p>
    <w:p>
      <w:pPr>
        <w:pStyle w:val="FirstParagraph"/>
      </w:pPr>
      <w:r>
        <w:t xml:space="preserve">Over the past decade, digital commerce has changed how goods and services are bought and sold. A growing part of it passes through platforms, such as online marketplaces and ride-hailing and delivery apps. Investors value platforms largely on their reported growth, and governments use the same figures to size their digital economies and to tax online sellers. The trade is large: businesses in 43 economies sold almost US$27 trillion online in 2022, by the estimate of the United Nations Conference on Trade and Development (UNCTAD 2024).</w:t>
      </w:r>
    </w:p>
    <w:p>
      <w:pPr>
        <w:pStyle w:val="BodyText"/>
      </w:pPr>
      <w:r>
        <w:t xml:space="preserve">Investors and governments each treat a figure as a stand-in for the commerce behind it, and a stand-in follows the commerce only while the link between them holds. A platform keeps just part of each sale, as commissions and fees, and the rest is the seller’s receipts, the driver’s fare or another amount that passes through. The share a platform keeps, its take rate, is a pricing choice rather than a fixed number (Rochet and Tirole 2003), so revenue can grow even when the commerce it carries falls. National figures face a similar problem, because a survey can reach more, or different, businesses from one year to the next.</w:t>
      </w:r>
    </w:p>
    <w:p>
      <w:pPr>
        <w:pStyle w:val="BodyText"/>
      </w:pPr>
      <w:r>
        <w:t xml:space="preserve">Indonesia in 2023 offers a striking example, as its figures moved away from the commerce they stand for. Tokopedia, one of Indonesia’s largest online marketplaces, saw its net revenue rise by 53 percent. Yet its transaction value, the value of what was bought through the platform, fell by 9 percent (GoTo Gojek Tokopedia 2024a, 2024b). Nationally, Badan Pusat Statistik (BPS), Indonesia’s national statistics agency, reported that online sales rose by about 41 percent (BPS 2025a), while the central bank’s measure of online shopping fell by about 5 percent (Bank Indonesia 2023; KabarBursa 2024). Depending on which figure one reads, 2023 was either a boom or a stall.</w:t>
      </w:r>
    </w:p>
    <w:p>
      <w:pPr>
        <w:pStyle w:val="BodyText"/>
      </w:pPr>
      <w:r>
        <w:t xml:space="preserve">At Tokopedia, about 60 percent of the extra revenue came from smaller discounts and incentives, which a platform pays out of its own earnings (GoTo Gojek Tokopedia 2024b). So the share the platform kept had changed, not only the commerce. This thesis calls what a revenue-only measure leaves out the invisible wedge. It does not mean activity that goes unrecorded; it is the value that passes through a platform to sellers, drivers and others without appearing in the platform’s revenue.</w:t>
      </w:r>
    </w:p>
    <w:p>
      <w:pPr>
        <w:pStyle w:val="BodyText"/>
      </w:pPr>
      <w:r>
        <w:t xml:space="preserve">Research explains why platform revenue and national sales figures can differ. However, it does not say when a figure stops moving with the activity it represents, or by how much. Answering that takes a platform’s revenue and transaction value over several years, and a national count of online sellers whose underlying answers can be examined.</w:t>
      </w:r>
    </w:p>
    <w:p>
      <w:pPr>
        <w:pStyle w:val="BodyText"/>
      </w:pPr>
      <w:r>
        <w:t xml:space="preserve">There are three reasons why this thesis focuses on Indonesia. First, Indonesia allows the question to be tested. Several platforms report revenue and transaction value each year, and BPS asks online sellers when they began and how their sales changed. Second, the two sources already differ on scale, probably because they cover different sellers: for 2024, BPS gives about US$81 billion for online sales and the central bank about US$31 billion (BPS 2025b; Bank Indonesia 2025). Third, new rules on platform commissions, discounts and tax act directly on these figures, so the evidence bears on how far those rules can reach.</w:t>
      </w:r>
    </w:p>
    <w:p>
      <w:pPr>
        <w:pStyle w:val="BodyText"/>
      </w:pPr>
      <w:r>
        <w:t xml:space="preserve">Platform and survey figures are also likely to disagree, because most online sellers work through messaging and social media, outside the marketplaces.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 two did disagree.</w:t>
      </w:r>
    </w:p>
    <w:bookmarkStart w:id="20" w:name="research-question-and-objectives"/>
    <w:p>
      <w:pPr>
        <w:pStyle w:val="Heading2"/>
      </w:pPr>
      <w:r>
        <w:t xml:space="preserve">1.1 Research question and objectives</w:t>
      </w:r>
    </w:p>
    <w:p>
      <w:pPr>
        <w:pStyle w:val="FirstParagraph"/>
      </w:pPr>
      <w:r>
        <w:t xml:space="preserve">This thesis examines how the digital economy is measured. Most online commerce is missing from the platform figures on which companies are valued and sellers are taxed, and millions of the people who sell online are outside those figures altogether. Decisions on valuation, statistics and tax rest on numbers that show only a fraction of the activity they are taken to describe. This thesis aims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Further analyses test whether a rise in the count of online sellers comes from sellers entering for the first time, and estimate how many sellers a rule built on platform records can reach.</w:t>
      </w:r>
    </w:p>
    <w:p>
      <w:pPr>
        <w:pStyle w:val="BodyText"/>
      </w:pPr>
      <w:r>
        <w:t xml:space="preserve">The analysis begins by measuring the invisible wedge. In 2023, three major platforms in Indonesia kept about US$3 billion of the US$43 billion that passed through them, so revenue shows only a small part of the commerce platforms carry, and marketplaces carry only about a fifth of online sales value in BPS’s survey. The thesis then tests H1. In Indonesia, platform revenue grew faster than the commerce behind it, mainly because platforms kept a larger share of each sale, not because buyers bought more: Indonesian and regional platforms changed their take rates more than three times as much as 27 platforms abroad. Next, the thesis turns to the national figures. National growth came mainly from more sellers, as H2 states. But the registered entry test fails, and about half of the 2023 rise in the count of sellers is not explained by first-time entry. Finally, the thesis finds that the new marketplace tax can collect from at most about 1 in 20 online sellers.</w:t>
      </w:r>
    </w:p>
    <w:bookmarkEnd w:id="20"/>
    <w:bookmarkStart w:id="21"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First, for investors, the thesis shows how small a part of the commerce a platform’s revenue records. That matters for value, because the market values of internet firms track revenue (Bowen, Davis and Rajgopal 2002). It matters for growth too: the larger the wedge is next to revenue, the more a small change in fees or discounts moves revenue growth. Platform economics explains why the share a platform keeps can move (Rochet and Tirole 2003; Armstrong 2006), but not how far it moves in practice. The thesis traces why revenue moved, which lets an investor check whether reported growth came from more commerce or from a larger share of each sale. A prediction registered in advance then tests how market value moves with revenue and with commerce.</w:t>
      </w:r>
    </w:p>
    <w:p>
      <w:pPr>
        <w:pStyle w:val="BodyText"/>
      </w:pPr>
      <w:r>
        <w:t xml:space="preserve">Second, for statistics offices, the thesis shows where the commerce outside the platforms sits and tests what a rise in the count of online sellers represents. A change in survey design can create a break that looks like real change (van den Brakel, Smith and Compton 2008), and published totals cannot tell the two apart. Most online sellers are small businesses that keep no financial statements. Each reports the year it began selling online, so the survey shows how much of a rise is first-time entry. The test was specified before the survey files were opened, and it can be repeated on any survey that asks the same question.</w:t>
      </w:r>
    </w:p>
    <w:p>
      <w:pPr>
        <w:pStyle w:val="BodyText"/>
      </w:pPr>
      <w:r>
        <w:t xml:space="preserve">Third, for tax authorities and regulators, the thesis measures how far rules based on platform records reach. Reports from third parties improve tax compliance where they exist (Kleven et al. 2011; Pomeranz 2015), but such a rule reaches only the sellers who use platforms, so where most sellers work outside them, it covers a minority. The thesis also sets each recent rule, from the cap on ride-hailing commissions to the limit on discounts, against the figure it acts on. Several other countries have adopted similar rules (Organisation for Economic Co-operation and Development [OECD] 2020; European Union 2021), so the same question applies there.</w:t>
      </w:r>
    </w:p>
    <w:p>
      <w:pPr>
        <w:pStyle w:val="BodyText"/>
      </w:pPr>
      <w:r>
        <w:t xml:space="preserve">More broadly, earlier work has already compared platform transaction values with national e-commerce statistics. This thesis adds connected evidence for one country, drawing on the platforms’ accounts, the sellers’ own survey responses and the rules that act on both.</w:t>
      </w:r>
    </w:p>
    <w:bookmarkEnd w:id="21"/>
    <w:bookmarkStart w:id="22"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2"/>
    <w:bookmarkEnd w:id="23"/>
    <w:bookmarkStart w:id="28"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4"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w:t>
      </w:r>
    </w:p>
    <w:p>
      <w:pPr>
        <w:pStyle w:val="BodyText"/>
      </w:pPr>
      <w:r>
        <w:t xml:space="preserve">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4"/>
    <w:bookmarkStart w:id="25"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w:t>
      </w:r>
    </w:p>
    <w:p>
      <w:pPr>
        <w:pStyle w:val="BodyText"/>
      </w:pPr>
      <w:r>
        <w:t xml:space="preserve">Research on measurement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5"/>
    <w:bookmarkStart w:id="26"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6"/>
    <w:bookmarkStart w:id="27" w:name="research-gap"/>
    <w:p>
      <w:pPr>
        <w:pStyle w:val="Heading2"/>
      </w:pPr>
      <w:r>
        <w:t xml:space="preserve">2.4 Research gap</w:t>
      </w:r>
    </w:p>
    <w:p>
      <w:pPr>
        <w:pStyle w:val="FirstParagraph"/>
      </w:pPr>
      <w:r>
        <w:t xml:space="preserve">The shortfalls identified in Sections 2.1 to 2.3 define the research gap, and each becomes one question for the thesis.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whether reported revenue stays a fair guide to reported transaction value has not been tested, least of all for Indonesian platforms.</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platform and national figures have not been followed through time in one country, and published totals cannot show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how much of online selling they cover has not been estimated for Indonesia.</w:t>
      </w:r>
    </w:p>
    <w:bookmarkEnd w:id="27"/>
    <w:bookmarkEnd w:id="28"/>
    <w:bookmarkStart w:id="38"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1 shows the structure.</w:t>
      </w:r>
    </w:p>
    <w:p>
      <w:pPr>
        <w:pStyle w:val="BodyText"/>
      </w:pPr>
      <w:r>
        <w:t xml:space="preserve">Figure 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keepNext/>
        <w:spacing w:before="200" w:after="0" w:line="240" w:lineRule="auto"/>
        <w:jc w:val="center"/>
      </w:pPr>
      <w:r>
        <w:drawing>
          <wp:inline>
            <wp:extent cx="5400000" cy="2949134"/>
            <wp:effectExtent b="0" l="0" r="0" t="0"/>
            <wp:docPr descr="" title="" id="30" name="Picture"/>
            <a:graphic>
              <a:graphicData uri="http://schemas.openxmlformats.org/drawingml/2006/picture">
                <pic:pic>
                  <pic:nvPicPr>
                    <pic:cNvPr descr="figures_yzu/fig3_1_two_links.png" id="31" name="Picture"/>
                    <pic:cNvPicPr>
                      <a:picLocks noChangeArrowheads="1" noChangeAspect="1"/>
                    </pic:cNvPicPr>
                  </pic:nvPicPr>
                  <pic:blipFill>
                    <a:blip r:embed="rId29"/>
                    <a:stretch>
                      <a:fillRect/>
                    </a:stretch>
                  </pic:blipFill>
                  <pic:spPr bwMode="auto">
                    <a:xfrm>
                      <a:off x="0" y="0"/>
                      <a:ext cx="5400000" cy="2949134"/>
                    </a:xfrm>
                    <a:prstGeom prst="rect">
                      <a:avLst/>
                    </a:prstGeom>
                    <a:noFill/>
                    <a:ln w="9525">
                      <a:noFill/>
                      <a:headEnd/>
                      <a:tailEnd/>
                    </a:ln>
                  </pic:spPr>
                </pic:pic>
              </a:graphicData>
            </a:graphic>
          </wp:inline>
        </w:drawing>
      </w:r>
    </w:p>
    <w:p>
      <w:pPr>
        <w:pStyle w:val="FigureCaption"/>
        <w:keepNext/>
      </w:pPr>
      <w:r>
        <w:rPr>
          <w:b/>
        </w:rPr>
        <w:t>Figure 1.</w:t>
      </w:r>
      <w:r>
        <w:rPr>
          <w:b w:val="0"/>
        </w:rPr>
        <w:t xml:space="preserve"> Three nested quantities and the two links.</w:t>
      </w:r>
    </w:p>
    <w:p>
      <w:pPr>
        <w:pStyle w:val="TableNote"/>
      </w:pPr>
      <w:r>
        <w:t xml:space="preserve">Revenue sits inside platform commerce, which sits inside all online commerce. H1 tests the inner link and H2 the outer link.</w:t>
      </w:r>
    </w:p>
    <w:p>
      <w:pPr>
        <w:pStyle w:val="TableNote"/>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direct tests of what changes them,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2" w:name="terms-and-rules-for-comparison"/>
    <w:p>
      <w:pPr>
        <w:pStyle w:val="Heading2"/>
      </w:pPr>
      <w:r>
        <w:t xml:space="preserve">3.1 Terms and rules for comparison</w:t>
      </w:r>
    </w:p>
    <w:p>
      <w:pPr>
        <w:pStyle w:val="FirstParagraph"/>
      </w:pPr>
      <w:r>
        <w:t xml:space="preserve">Six terms recur throughout the thesis. Transaction value, V, is everything bought through a platform in a period, also called the commerce the platform carries. Companies call it gross merchandise value (GMV), gross transaction value (GTV) or total payment volume (TPV); the thesis treats these as one measure and notes where a company’s scope differs. Revenue, R, is what the platform recognizes as its own income in its accounts. The take rate, m, is revenue divided by transaction value: the share of each sale that the platform keeps. Customer incentives are the discounts, vouchers and other promotions that a platform pays for. Accounting rules normally deduct them from revenue, and Tokopedia reports the deduction as a separate line.</w:t>
      </w:r>
    </w:p>
    <w:p>
      <w:pPr>
        <w:pStyle w:val="BodyText"/>
      </w:pPr>
      <w:r>
        <w:t xml:space="preserve">An online seller is a business that BPS counts as selling online; the text also calls it a seller or a business. The count of online sellers is BPS’s estimate of how many there are in a year. First-time entry means that a seller began selling online in the year being measured. The measures built from these terms are defined in Section 3.2, and Appendix A lists every variable with its symbol, definition and source.</w:t>
      </w:r>
    </w:p>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2"/>
    <w:bookmarkStart w:id="33"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Equation"/>
      </w:pPr>
      <w:r>
        <w:tab/>
        <w:t>W</w:t>
      </w:r>
      <w:r>
        <w:rPr>
          <w:vertAlign w:val="subscript"/>
        </w:rPr>
        <w:t xml:space="preserve">it</w:t>
      </w:r>
      <w:r>
        <w:t xml:space="preserve"> </w:t>
      </w:r>
      <w:r>
        <w:t xml:space="preserve">= V</w:t>
      </w:r>
      <w:r>
        <w:rPr>
          <w:vertAlign w:val="subscript"/>
        </w:rPr>
        <w:t xml:space="preserve">it</w:t>
      </w:r>
      <w:r>
        <w:t xml:space="preserve"> </w:t>
      </w:r>
      <w:r>
        <w:t xml:space="preserve">− R</w:t>
      </w:r>
      <w:r>
        <w:rPr>
          <w:vertAlign w:val="subscript"/>
        </w:rPr>
        <w:t xml:space="preserve">it</w:t>
      </w:r>
      <w:r>
        <w:tab/>
        <w:t>(1)</w:t>
      </w:r>
    </w:p>
    <w:p>
      <w:pPr>
        <w:pStyle w:val="BodyText"/>
      </w:pPr>
      <w:r>
        <w:t xml:space="preserve">where V</w:t>
      </w:r>
      <w:r>
        <w:rPr>
          <w:vertAlign w:val="subscript"/>
        </w:rPr>
        <w:t xml:space="preserve">it</w:t>
      </w:r>
      <w:r>
        <w:t xml:space="preserve"> </w:t>
      </w:r>
      <w:r>
        <w:t xml:space="preserve">is the transaction value of platform i in year t and R</w:t>
      </w:r>
      <w:r>
        <w:rPr>
          <w:vertAlign w:val="subscript"/>
        </w:rPr>
        <w:t xml:space="preserve">it</w:t>
      </w:r>
      <w:r>
        <w:t xml:space="preserve"> </w:t>
      </w:r>
      <w:r>
        <w:t xml:space="preserve">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Equation"/>
      </w:pPr>
      <w:r>
        <w:tab/>
        <w:t>E</w:t>
      </w:r>
      <w:r>
        <w:rPr>
          <w:vertAlign w:val="subscript"/>
        </w:rPr>
        <w:t xml:space="preserve">it</w:t>
      </w:r>
      <w:r>
        <w:t xml:space="preserve"> </w:t>
      </w:r>
      <w:r>
        <w:t xml:space="preserve">= W</w:t>
      </w:r>
      <w:r>
        <w:rPr>
          <w:vertAlign w:val="subscript"/>
        </w:rPr>
        <w:t xml:space="preserve">it</w:t>
      </w:r>
      <w:r>
        <w:t xml:space="preserve"> </w:t>
      </w:r>
      <w:r>
        <w:t xml:space="preserve">/ R</w:t>
      </w:r>
      <w:r>
        <w:rPr>
          <w:vertAlign w:val="subscript"/>
        </w:rPr>
        <w:t xml:space="preserve">it</w:t>
      </w:r>
      <w:r>
        <w:t xml:space="preserve"> </w:t>
      </w:r>
      <w:r>
        <w:t xml:space="preserve">= 1 / m</w:t>
      </w:r>
      <w:r>
        <w:rPr>
          <w:vertAlign w:val="subscript"/>
        </w:rPr>
        <w:t xml:space="preserve">it</w:t>
      </w:r>
      <w:r>
        <w:t xml:space="preserve"> </w:t>
      </w:r>
      <w:r>
        <w:t>− 1</w:t>
        <w:tab/>
        <w:t>(2)</w:t>
      </w:r>
    </w:p>
    <w:p>
      <w:pPr>
        <w:pStyle w:val="BodyText"/>
      </w:pPr>
      <w:r>
        <w:t xml:space="preserve">where m</w:t>
      </w:r>
      <w:r>
        <w:rPr>
          <w:vertAlign w:val="subscript"/>
        </w:rPr>
        <w:t xml:space="preserve">it</w:t>
      </w:r>
      <w:r>
        <w:t xml:space="preserve"> </w:t>
      </w:r>
      <w:r>
        <w:t xml:space="preserve">= R</w:t>
      </w:r>
      <w:r>
        <w:rPr>
          <w:vertAlign w:val="subscript"/>
        </w:rPr>
        <w:t xml:space="preserve">it</w:t>
      </w:r>
      <w:r>
        <w:t xml:space="preserve"> </w:t>
      </w:r>
      <w:r>
        <w:t xml:space="preserve">/ V</w:t>
      </w:r>
      <w:r>
        <w:rPr>
          <w:vertAlign w:val="subscript"/>
        </w:rPr>
        <w:t xml:space="preserve">it</w:t>
      </w:r>
      <w:r>
        <w:t xml:space="preserve"> </w:t>
      </w:r>
      <w:r>
        <w:t xml:space="preserve">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 Table 1 applies the measures to three platforms in Indonesia in 2023, where the wedge is about US$40 billion and the ecosystem ratio about 13.</w:t>
      </w:r>
    </w:p>
    <w:p>
      <w:pPr>
        <w:pStyle w:val="BodyText"/>
      </w:pPr>
      <w:r>
        <w:t xml:space="preserve">A single ratio does not show whether the relationship holds over time, so the thesis defines growth divergence:</w:t>
      </w:r>
    </w:p>
    <w:p>
      <w:pPr>
        <w:pStyle w:val="Equation"/>
      </w:pPr>
      <w:r>
        <w:tab/>
        <w:t>D</w:t>
      </w:r>
      <w:r>
        <w:rPr>
          <w:vertAlign w:val="subscript"/>
        </w:rPr>
        <w:t xml:space="preserve">it</w:t>
      </w:r>
      <w:r>
        <w:t xml:space="preserve"> </w:t>
      </w:r>
      <w:r>
        <w:t xml:space="preserve">= g(R</w:t>
      </w:r>
      <w:r>
        <w:rPr>
          <w:vertAlign w:val="subscript"/>
        </w:rPr>
        <w:t xml:space="preserve">it</w:t>
      </w:r>
      <w:r>
        <w:t xml:space="preserve">) − g(V</w:t>
      </w:r>
      <w:r>
        <w:rPr>
          <w:vertAlign w:val="subscript"/>
        </w:rPr>
        <w:t xml:space="preserve">it</w:t>
      </w:r>
      <w:r>
        <w:t>)</w:t>
        <w:tab/>
        <w:t>(3)</w:t>
      </w:r>
    </w:p>
    <w:p>
      <w:pPr>
        <w:pStyle w:val="BodyText"/>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Equation"/>
      </w:pPr>
      <w:r>
        <w:tab/>
        <w:t>D</w:t>
      </w:r>
      <w:r>
        <w:rPr>
          <w:vertAlign w:val="subscript"/>
        </w:rPr>
        <w:t xml:space="preserve">it</w:t>
      </w:r>
      <w:r>
        <w:t xml:space="preserve"> </w:t>
      </w:r>
      <w:r>
        <w:t xml:space="preserve">= (1 + g(V</w:t>
      </w:r>
      <w:r>
        <w:rPr>
          <w:vertAlign w:val="subscript"/>
        </w:rPr>
        <w:t xml:space="preserve">it</w:t>
      </w:r>
      <w:r>
        <w:t xml:space="preserve">)) × (m</w:t>
      </w:r>
      <w:r>
        <w:rPr>
          <w:vertAlign w:val="subscript"/>
        </w:rPr>
        <w:t xml:space="preserve">it</w:t>
      </w:r>
      <w:r>
        <w:t xml:space="preserve"> </w:t>
      </w:r>
      <w:r>
        <w:t xml:space="preserve">− m</w:t>
      </w:r>
      <w:r>
        <w:rPr>
          <w:vertAlign w:val="subscript"/>
        </w:rPr>
        <w:t xml:space="preserve">i,t−1</w:t>
      </w:r>
      <w:r>
        <w:t xml:space="preserve">) / m</w:t>
      </w:r>
      <w:r>
        <w:rPr>
          <w:vertAlign w:val="subscript"/>
        </w:rPr>
        <w:t xml:space="preserve">i,t−1</w:t>
      </w:r>
      <w:r>
        <w:tab/>
        <w:t>(4)</w:t>
      </w:r>
    </w:p>
    <w:p>
      <w:pPr>
        <w:pStyle w:val="BodyText"/>
      </w:pPr>
      <w:r>
        <w:t xml:space="preserve">where m</w:t>
      </w:r>
      <w:r>
        <w:rPr>
          <w:vertAlign w:val="subscript"/>
        </w:rPr>
        <w:t xml:space="preserve">i,t−1</w:t>
      </w:r>
      <w:r>
        <w:t xml:space="preserve"> </w:t>
      </w:r>
      <w:r>
        <w:t xml:space="preserve">is the take rate in the earlier year and m</w:t>
      </w:r>
      <w:r>
        <w:rPr>
          <w:vertAlign w:val="subscript"/>
        </w:rPr>
        <w:t xml:space="preserve">it</w:t>
      </w:r>
      <w:r>
        <w:t xml:space="preserve"> </w:t>
      </w:r>
      <w:r>
        <w:t xml:space="preserve">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p>
      <w:pPr>
        <w:pStyle w:val="BodyText"/>
      </w:pPr>
      <w:r>
        <w:t xml:space="preserve">The take rate itself has two parts:</w:t>
      </w:r>
    </w:p>
    <w:p>
      <w:pPr>
        <w:pStyle w:val="Equation"/>
      </w:pPr>
      <w:r>
        <w:tab/>
        <w:t>m</w:t>
      </w:r>
      <w:r>
        <w:rPr>
          <w:vertAlign w:val="subscript"/>
        </w:rPr>
        <w:t xml:space="preserve">it</w:t>
      </w:r>
      <w:r>
        <w:t xml:space="preserve"> </w:t>
      </w:r>
      <w:r>
        <w:t xml:space="preserve">= f</w:t>
      </w:r>
      <w:r>
        <w:rPr>
          <w:vertAlign w:val="subscript"/>
        </w:rPr>
        <w:t xml:space="preserve">it</w:t>
      </w:r>
      <w:r>
        <w:t xml:space="preserve"> </w:t>
      </w:r>
      <w:r>
        <w:t xml:space="preserve">− s</w:t>
      </w:r>
      <w:r>
        <w:rPr>
          <w:vertAlign w:val="subscript"/>
        </w:rPr>
        <w:t xml:space="preserve">it</w:t>
      </w:r>
      <w:r>
        <w:tab/>
        <w:t>(5)</w:t>
      </w:r>
    </w:p>
    <w:p>
      <w:pPr>
        <w:pStyle w:val="BodyText"/>
      </w:pPr>
      <w:r>
        <w:t xml:space="preserve">where f</w:t>
      </w:r>
      <w:r>
        <w:rPr>
          <w:vertAlign w:val="subscript"/>
        </w:rPr>
        <w:t xml:space="preserve">it</w:t>
      </w:r>
      <w:r>
        <w:t xml:space="preserve"> </w:t>
      </w:r>
      <w:r>
        <w:t xml:space="preserve">is the fee rate and s</w:t>
      </w:r>
      <w:r>
        <w:rPr>
          <w:vertAlign w:val="subscript"/>
        </w:rPr>
        <w:t xml:space="preserve">it</w:t>
      </w:r>
      <w:r>
        <w:t xml:space="preserve"> </w:t>
      </w:r>
      <w:r>
        <w:t xml:space="preserve">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 (5) also shows where a rule acts. A cap on commissions acts on the fee rate, and a limit on discounts acts on the incentive rate. Chapter 6 sets Indonesia’s recent rules against these parts of the take rate.</w:t>
      </w:r>
    </w:p>
    <w:bookmarkEnd w:id="33"/>
    <w:bookmarkStart w:id="34" w:name="Xf5d189a48112b2a5ff2359da6a7450ee2226bce"/>
    <w:p>
      <w:pPr>
        <w:pStyle w:val="Heading2"/>
      </w:pPr>
      <w:r>
        <w:t xml:space="preserve">3.3 What changes the wedge and the ecosystem ratio</w:t>
      </w:r>
    </w:p>
    <w:p>
      <w:pPr>
        <w:pStyle w:val="FirstParagraph"/>
      </w:pPr>
      <w:r>
        <w:t xml:space="preserve">Equations (1) to (4) define the wedge and the ecosystem ratio. They do not say what moves them. Two direct tests do, and Chapter 5 reports both. The first tests whether revenue grows in proportion to transaction value, the claim of H1. The second asks what explains the size of the wedge and of the ecosystem ratio across platforms.</w:t>
      </w:r>
    </w:p>
    <w:p>
      <w:pPr>
        <w:pStyle w:val="BodyText"/>
      </w:pPr>
      <w:r>
        <w:t xml:space="preserve">Revenue grows in proportion to transaction value when a 1 percent rise in transaction value comes with a 1 percent rise in revenue. That claim can be tested in growth rates, with g(·) as defined above:</w:t>
      </w:r>
    </w:p>
    <w:p>
      <w:pPr>
        <w:pStyle w:val="Equation"/>
      </w:pPr>
      <w:r>
        <w:tab/>
        <w:t>g(R</w:t>
      </w:r>
      <w:r>
        <w:rPr>
          <w:vertAlign w:val="subscript"/>
        </w:rPr>
        <w:t xml:space="preserve">it</w:t>
      </w:r>
      <w:r>
        <w:t xml:space="preserve">) = a + b g(V</w:t>
      </w:r>
      <w:r>
        <w:rPr>
          <w:vertAlign w:val="subscript"/>
        </w:rPr>
        <w:t xml:space="preserve">it</w:t>
      </w:r>
      <w:r>
        <w:t xml:space="preserve">) + c Indonesia_i + d (Indonesia_i × g(V</w:t>
      </w:r>
      <w:r>
        <w:rPr>
          <w:vertAlign w:val="subscript"/>
        </w:rPr>
        <w:t xml:space="preserve">it</w:t>
      </w:r>
      <w:r>
        <w:t xml:space="preserve">)) + u</w:t>
      </w:r>
      <w:r>
        <w:rPr>
          <w:vertAlign w:val="subscript"/>
        </w:rPr>
        <w:t xml:space="preserve">it</w:t>
      </w:r>
      <w:r>
        <w:tab/>
        <w:t>(6)</w:t>
      </w:r>
    </w:p>
    <w:p>
      <w:pPr>
        <w:pStyle w:val="BodyText"/>
      </w:pPr>
      <w:r>
        <w:t xml:space="preserve">where Indonesia_i equals one for the Indonesian and regional platforms and zero for the foreign ones. If revenue is proportional to transaction value, b equals 1, a is close to zero, and the group does not matter, so c and d are zero. A slope below 1 in the Indonesian and regional group would mean that revenue moved with the platform’s pricing and not with the commerce. The correlation between the two growth rates, which Chapter 5 reports for each group, gives the same test in one number.</w:t>
      </w:r>
    </w:p>
    <w:p>
      <w:pPr>
        <w:pStyle w:val="BodyText"/>
      </w:pPr>
      <w:r>
        <w:t xml:space="preserve">The second test regresses the wedge and the ecosystem ratio on the features of a platform and of its home market:</w:t>
      </w:r>
    </w:p>
    <w:p>
      <w:pPr>
        <w:pStyle w:val="Equation"/>
      </w:pPr>
      <w:r>
        <w:tab/>
        <w:t>Y</w:t>
      </w:r>
      <w:r>
        <w:rPr>
          <w:vertAlign w:val="subscript"/>
        </w:rPr>
        <w:t xml:space="preserve">it</w:t>
      </w:r>
      <w:r>
        <w:t xml:space="preserve"> </w:t>
      </w:r>
      <w:r>
        <w:t xml:space="preserve">= α + β1 Indonesia_i + β2 ln(1 + Listed</w:t>
      </w:r>
      <w:r>
        <w:rPr>
          <w:vertAlign w:val="subscript"/>
        </w:rPr>
        <w:t xml:space="preserve">it</w:t>
      </w:r>
      <w:r>
        <w:t xml:space="preserve">) + β3 ln(Assets</w:t>
      </w:r>
      <w:r>
        <w:rPr>
          <w:vertAlign w:val="subscript"/>
        </w:rPr>
        <w:t xml:space="preserve">it</w:t>
      </w:r>
      <w:r>
        <w:t xml:space="preserve">) + β4′ Type_i + γ′ Macro</w:t>
      </w:r>
      <w:r>
        <w:rPr>
          <w:vertAlign w:val="subscript"/>
        </w:rPr>
        <w:t xml:space="preserve">it</w:t>
      </w:r>
      <w:r>
        <w:t xml:space="preserve"> </w:t>
      </w:r>
      <w:r>
        <w:t xml:space="preserve">+ δ</w:t>
      </w:r>
      <w:r>
        <w:rPr>
          <w:vertAlign w:val="subscript"/>
        </w:rPr>
        <w:t xml:space="preserve">t</w:t>
      </w:r>
      <w:r>
        <w:t xml:space="preserve"> </w:t>
      </w:r>
      <w:r>
        <w:t xml:space="preserve">+ ε</w:t>
      </w:r>
      <w:r>
        <w:rPr>
          <w:vertAlign w:val="subscript"/>
        </w:rPr>
        <w:t xml:space="preserve">it</w:t>
      </w:r>
      <w:r>
        <w:tab/>
        <w:t>(7)</w:t>
      </w:r>
    </w:p>
    <w:p>
      <w:pPr>
        <w:pStyle w:val="BodyText"/>
      </w:pPr>
      <w:r>
        <w:t xml:space="preserve">where Y</w:t>
      </w:r>
      <w:r>
        <w:rPr>
          <w:vertAlign w:val="subscript"/>
        </w:rPr>
        <w:t xml:space="preserve">it</w:t>
      </w:r>
      <w:r>
        <w:t xml:space="preserve"> </w:t>
      </w:r>
      <w:r>
        <w:t xml:space="preserve">is the natural logarithm of the wedge in US dollars, or the ecosystem ratio. Listed_it is the number of years since the platform listed on a stock exchange. Assets_it is its total assets in US dollars, which measure size without using transaction value, because transaction value is part of the wedge itself. Type_i marks the kind of platform: marketplace, which is the base, on-demand, travel, freelance or resale. Macro_it holds four measures of the platform’s home market: growth in gross domestic product (GDP), consumer-price inflation, growth in household spending and the central bank’s policy rate. The year effects δ_t remove what all platforms share in a year.</w:t>
      </w:r>
    </w:p>
    <w:p>
      <w:pPr>
        <w:pStyle w:val="BodyText"/>
      </w:pPr>
      <w:r>
        <w:t xml:space="preserve">The take rate and its parts do not appear on the right-hand side. The ecosystem ratio equals one divided by the take rate, minus one, so a regression of the ratio on the take rate would restate an identity and show nothing. Chapter 4 describes the data, the variables and the standard errors.</w:t>
      </w:r>
    </w:p>
    <w:bookmarkEnd w:id="34"/>
    <w:bookmarkStart w:id="35"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1. Each hypothesis, and the entry test of Section 3.5, comes with its main test and with the result that would count against it.</w:t>
      </w:r>
    </w:p>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H1 is tested in two ways. The first is equation (6): revenue growth is regressed on transaction value growth, and H1 holds in a group if the slope is 1. The second compares the size of yearly changes in the take rate, measured as simple percentage changes, between two groups. One group is the Indonesian and regional platforms. The other is listed platforms abroad, where revenue and transaction value broadly move together. A slope far below 1 in Indonesia, or changes far larger in Indonesia than abroad, would count against H1. Chapter 4 describes the two groups and the tests.</w:t>
      </w:r>
    </w:p>
    <w:p>
      <w:pPr>
        <w:pStyle w:val="BodyText"/>
      </w:pPr>
      <w:r>
        <w:t xml:space="preserve">National e-commerce value can grow in two ways. Existing businesses can sell more, which is the intensive margin. More businesses can sell online, which is the extensive margin.</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splits in two:</w:t>
      </w:r>
    </w:p>
    <w:p>
      <w:pPr>
        <w:pStyle w:val="Equation"/>
      </w:pPr>
      <w:r>
        <w:tab/>
        <w:t>1 + g(Y</w:t>
      </w:r>
      <w:r>
        <w:rPr>
          <w:vertAlign w:val="subscript"/>
        </w:rPr>
        <w:t xml:space="preserve">t</w:t>
      </w:r>
      <w:r>
        <w:t xml:space="preserve">) = (1 + g(N</w:t>
      </w:r>
      <w:r>
        <w:rPr>
          <w:vertAlign w:val="subscript"/>
        </w:rPr>
        <w:t xml:space="preserve">t</w:t>
      </w:r>
      <w:r>
        <w:t xml:space="preserve">)) × (1 + g(Y</w:t>
      </w:r>
      <w:r>
        <w:rPr>
          <w:vertAlign w:val="subscript"/>
        </w:rPr>
        <w:t xml:space="preserve">t</w:t>
      </w:r>
      <w:r>
        <w:t xml:space="preserve"> </w:t>
      </w:r>
      <w:r>
        <w:t xml:space="preserve">/ N</w:t>
      </w:r>
      <w:r>
        <w:rPr>
          <w:vertAlign w:val="subscript"/>
        </w:rPr>
        <w:t xml:space="preserve">t</w:t>
      </w:r>
      <w:r>
        <w:t>))</w:t>
        <w:tab/>
        <w:t>(8)</w:t>
      </w:r>
    </w:p>
    <w:p>
      <w:pPr>
        <w:pStyle w:val="BodyText"/>
      </w:pPr>
      <w:r>
        <w:t xml:space="preserve">where g(N) is the growth in the number of businesses, the extensive margin, and g(Y/N) the growth in sales per business, the intensive margin. H2 holds if g(N) is larger than g(Y/N), which is the same as saying that more businesses account for most of the growth.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5"/>
    <w:bookmarkStart w:id="36"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as Section 2.2 noted: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The age of the sellers behind the rise bears on the second reading, because small firms that stop are more often young (Section 2.2). Chapter 5 weighs the two readings with that evidence.</w:t>
      </w:r>
    </w:p>
    <w:bookmarkEnd w:id="36"/>
    <w:bookmarkStart w:id="37"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They are the tracing of large movements, the market values of listed platforms, the channels and reach of platform records, and the comparison of national figures.</w:t>
      </w:r>
    </w:p>
    <w:p>
      <w:pPr>
        <w:pStyle w:val="BodyText"/>
      </w:pPr>
      <w:r>
        <w:t xml:space="preserve">Tracing large movements asks what moved revenue when it parted from transaction value. Wherever H1 finds a large change in the take rate, the thesis divides the change in revenue into more commerce, higher fees and lower incentives, using company reports (Appendix B). It also reads the reports for changes in the mix of businesses and in reporting scope.</w:t>
      </w:r>
    </w:p>
    <w:p>
      <w:pPr>
        <w:pStyle w:val="BodyText"/>
      </w:pPr>
      <w:r>
        <w:t xml:space="preserve">The market-value analysis asks whether investors, who price revenue (Section 2.1), treat its two sources alike. Equation (4) shows that revenue growth has two sources: growth in transaction value and a change in the take rate.</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Equation"/>
      </w:pPr>
      <w:r>
        <w:tab/>
        <w:t>Δln MV</w:t>
      </w:r>
      <w:r>
        <w:rPr>
          <w:vertAlign w:val="subscript"/>
        </w:rPr>
        <w:t xml:space="preserve">it</w:t>
      </w:r>
      <w:r>
        <w:t xml:space="preserve"> </w:t>
      </w:r>
      <w:r>
        <w:t xml:space="preserve">= β</w:t>
      </w:r>
      <w:r>
        <w:rPr>
          <w:vertAlign w:val="subscript"/>
        </w:rPr>
        <w:t xml:space="preserve">V</w:t>
      </w:r>
      <w:r>
        <w:t xml:space="preserve"> </w:t>
      </w:r>
      <w:r>
        <w:t xml:space="preserve">Δln V</w:t>
      </w:r>
      <w:r>
        <w:rPr>
          <w:vertAlign w:val="subscript"/>
        </w:rPr>
        <w:t xml:space="preserve">it</w:t>
      </w:r>
      <w:r>
        <w:t xml:space="preserve"> </w:t>
      </w:r>
      <w:r>
        <w:t xml:space="preserve">+ β</w:t>
      </w:r>
      <w:r>
        <w:rPr>
          <w:vertAlign w:val="subscript"/>
        </w:rPr>
        <w:t xml:space="preserve">m</w:t>
      </w:r>
      <w:r>
        <w:t xml:space="preserve"> </w:t>
      </w:r>
      <w:r>
        <w:t xml:space="preserve">Δln m</w:t>
      </w:r>
      <w:r>
        <w:rPr>
          <w:vertAlign w:val="subscript"/>
        </w:rPr>
        <w:t xml:space="preserve">it</w:t>
      </w:r>
      <w:r>
        <w:t xml:space="preserve"> </w:t>
      </w:r>
      <w:r>
        <w:t>+ year effect + error</w:t>
        <w:tab/>
        <w:t>(9)</w:t>
      </w:r>
    </w:p>
    <w:p>
      <w:pPr>
        <w:pStyle w:val="BodyText"/>
      </w:pPr>
      <w:r>
        <w:t xml:space="preserve">where β</w:t>
      </w:r>
      <w:r>
        <w:rPr>
          <w:vertAlign w:val="subscript"/>
        </w:rPr>
        <w:t xml:space="preserve">V</w:t>
      </w:r>
      <w:r>
        <w:t xml:space="preserve"> </w:t>
      </w:r>
      <w:r>
        <w:t xml:space="preserve">shows how market value moves with transaction value, and β</w:t>
      </w:r>
      <w:r>
        <w:rPr>
          <w:vertAlign w:val="subscript"/>
        </w:rPr>
        <w:t xml:space="preserve">m</w:t>
      </w:r>
      <w:r>
        <w:t xml:space="preserve"> </w:t>
      </w:r>
      <w:r>
        <w:t xml:space="preserve">how it moves with the take rate. Two predictions were written down before the market values were collected. The first is that market value moves with transaction value, so β</w:t>
      </w:r>
      <w:r>
        <w:rPr>
          <w:vertAlign w:val="subscript"/>
        </w:rPr>
        <w:t xml:space="preserve">V</w:t>
      </w:r>
      <w:r>
        <w:t xml:space="preserve"> </w:t>
      </w:r>
      <w:r>
        <w:t xml:space="preserve">is positive. The second is that markets value growth from more commerce more than growth from a higher take rate, so β</w:t>
      </w:r>
      <w:r>
        <w:rPr>
          <w:vertAlign w:val="subscript"/>
        </w:rPr>
        <w:t xml:space="preserve">V</w:t>
      </w:r>
      <w:r>
        <w:t xml:space="preserve"> </w:t>
      </w:r>
      <w:r>
        <w:t xml:space="preserve">is larger than β</w:t>
      </w:r>
      <w:r>
        <w:rPr>
          <w:vertAlign w:val="subscript"/>
        </w:rPr>
        <w:t xml:space="preserve">m</w:t>
      </w:r>
      <w:r>
        <w:t xml:space="preserve">. The predictions were registered with changes measured in logs, and the specification is kept as registered.</w:t>
      </w:r>
    </w:p>
    <w:p>
      <w:pPr>
        <w:pStyle w:val="BodyText"/>
      </w:pPr>
      <w:r>
        <w:t xml:space="preserve">The channel analysis answers the third question of Section 2.4. A rule built on platform records reaches only the sellers whose sales pass through a platform. Its reach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1. Platform reports, BPS’s survey, Bank Indonesia’s statistics and industry estimates count different things.</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7"/>
    <w:bookmarkEnd w:id="38"/>
    <w:bookmarkStart w:id="50"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Grab, a Singapore company that runs rides and deliveries across Southeast Asia, completes the group. Sea, also based in Singapore, owns the Shopee marketplace and is read with the foreign platforms (Section 4.1).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platforms first (Sections 4.1 to 4.5) and then the survey (Sections 4.6 to 4.8). It ends with the comparison of national figures and with how every number is labelled and traced (Sections 4.9 and 4.10).</w:t>
      </w:r>
    </w:p>
    <w:bookmarkStart w:id="39"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Appendix B.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t xml:space="preserve">Appendix B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C repeats the test without it. One added pair, Ozon from 2021 to 2022, ends in a kept year but starts in a dropped one. Appendix C repeats the test without Ozon as well. The result is 15 pairs for the Indonesian and regional group and 158 for the foreign group.</w:t>
      </w:r>
    </w:p>
    <w:bookmarkEnd w:id="39"/>
    <w:bookmarkStart w:id="40"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0"/>
    <w:bookmarkStart w:id="41" w:name="testing-h1"/>
    <w:p>
      <w:pPr>
        <w:pStyle w:val="Heading2"/>
      </w:pPr>
      <w:r>
        <w:t xml:space="preserve">4.3 Testing H1</w:t>
      </w:r>
    </w:p>
    <w:p>
      <w:pPr>
        <w:pStyle w:val="FirstParagraph"/>
      </w:pPr>
      <w:r>
        <w:t xml:space="preserve">The test of H1 has two parts, run on the same 32 platforms: the five Indonesian and regional platforms, Tokopedia, Blibli, Bukalapak and the on-demand businesses of Grab and GoTo, and the 27 platforms abroad.</w:t>
      </w:r>
    </w:p>
    <w:p>
      <w:pPr>
        <w:pStyle w:val="BodyText"/>
      </w:pPr>
      <w:r>
        <w:t xml:space="preserve">The first part is equation (6). Each observation is a pair of consecutive years of one platform, and a missing year is never filled. Growth is the simple percentage change, and growth rates are capped at their 5th and 95th percentiles (Section 4.4). The regression runs on all platforms with the group interaction, on the foreign group alone and on the Indonesian and regional group alone, with standard errors clustered by platform. The thesis also reports the correlation between revenue growth and transaction value growth for each group. Appendix C gives the rank correlation and the correlation without caps.</w:t>
      </w:r>
    </w:p>
    <w:p>
      <w:pPr>
        <w:pStyle w:val="BodyText"/>
      </w:pPr>
      <w:r>
        <w:t xml:space="preserve">The second part asks how far each platform’s take rate moves from one year to the next. For each pair of years it takes the simple percentage change in the take rate. Tokopedia’s change in 2023 is 68 percent. A move in either direction counts against H1, so the test uses the size of each yearly change.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C lists the checks on this test. Some change the sample. They drop each platform in turn, drop two at a time, treat Tokopedia and GoTo as one company, move Sea to the regional group, keep only the first five years after listing, or narrow the test to the three marketplaces. Others change the measure: the change in logs, which the first version of this test used, growth divergence in points as Chapter 3 defines it, exact tests, and the change in the take rate in percentage points, to see whether a thin take rate explains the result. One repeats the test with quarterly pairs.</w:t>
      </w:r>
    </w:p>
    <w:bookmarkEnd w:id="41"/>
    <w:bookmarkStart w:id="42" w:name="Xfbf6e5adbfadf21de73f4530e1ec2c5eb39a9a1"/>
    <w:p>
      <w:pPr>
        <w:pStyle w:val="Heading2"/>
      </w:pPr>
      <w:r>
        <w:t xml:space="preserve">4.4 What explains the wedge and the ecosystem ratio</w:t>
      </w:r>
    </w:p>
    <w:p>
      <w:pPr>
        <w:pStyle w:val="FirstParagraph"/>
      </w:pPr>
      <w:r>
        <w:t xml:space="preserve">Equation (7) is estimated on a panel of 213 platform-years for the same 32 platforms, 20 of them Indonesian and regional platform-years and 193 foreign. A platform-year enters when the company reports both transaction value and revenue for it under the rules of Section 3.1, and a year that fails them stays missing. Amounts are in US dollars at the World Bank’s period-average rate for the year (World Bank 2026).</w:t>
      </w:r>
    </w:p>
    <w:p>
      <w:pPr>
        <w:pStyle w:val="BodyText"/>
      </w:pPr>
      <w:r>
        <w:t xml:space="preserve">Size is the platform’s total assets, taken from annual reports filed with the US Securities and Exchange Commission for 26 platforms (U.S. Securities and Exchange Commission 2026) and from published financial statements for the other six: Tokopedia and GoTo, which share one group statement, Blibli, Bukalapak, Rakuten and Zalando. Total assets are those of the company as a whole. They overstate the platform business at GoTo, Rakuten and Sea. The number of years since listing counts from the year the platform listed on a stock exchange, from public record, and a year before listing counts as zero. The type of platform is the author’s classification (Appendix B).</w:t>
      </w:r>
    </w:p>
    <w:p>
      <w:pPr>
        <w:pStyle w:val="BodyText"/>
      </w:pPr>
      <w:r>
        <w:t xml:space="preserve">The home market is the country of the platform’s main market. It is the United States for most US-listed platforms and Indonesia for the five Indonesian and regional platforms. It is also Indonesia for Sea, whose Shopee business has Indonesia as a main market. GDP growth, inflation and growth in household spending come from the World Bank (2026). The policy rate is the central bank’s rate from the Bank for International Settlements (2026), averaged over the year. It is not available for Kazakhstan or Nigeria, so the regressions with macroeconomic variables have 178 platform-years from 30 platforms.</w:t>
      </w:r>
    </w:p>
    <w:p>
      <w:pPr>
        <w:pStyle w:val="BodyText"/>
      </w:pPr>
      <w:r>
        <w:t xml:space="preserve">Growth rates and the ecosystem ratio are capped at their 5th and 95th percentiles across all platforms, the rule that Section 4.5 uses for market value. Standard errors are clustered by platform, with the small-sample correction, and p-values use a t distribution with one fewer degrees of freedom than platforms. Only five platforms are Indonesian and regional, so the thesis adds a wild cluster bootstrap p-value for the Indonesia coefficient (Cameron, Gelbach and Miller 2008). Appendix C lists the checks on this coefficient. All of these tests are exploratory, because they were designed after the data were seen.</w:t>
      </w:r>
    </w:p>
    <w:p>
      <w:pPr>
        <w:pStyle w:val="BodyText"/>
      </w:pPr>
      <w:r>
        <w:t xml:space="preserve">The second objective, to reconcile large movements in revenue with disclosed changes in fees, discounts and scope, rests on company reports. Where a company discloses both its gross fees and its incentives, the thesis splits the growth of revenue over a window into more commerce, a change in the fee rate and a change in the incentive rate (equation (5)). The split is exact only in logs, so Appendix B keeps the log definition for these windows.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 Grab is read from its annual filings and GoTo from its audited statements. Blibli does not report incentives, so its split rests on a proxy built from its releases. Seven windows are traced, and Appendix B lists them. The thesis also records where accounting treatment or reporting scope matters, such as the deduction of incentives from revenue and the travel business inside Blibli’s retail segment. Company explanations are read as reports and are not tested.</w:t>
      </w:r>
    </w:p>
    <w:bookmarkEnd w:id="42"/>
    <w:bookmarkStart w:id="43" w:name="market-values"/>
    <w:p>
      <w:pPr>
        <w:pStyle w:val="Heading2"/>
      </w:pPr>
      <w:r>
        <w:t xml:space="preserve">4.5 Market values</w:t>
      </w:r>
    </w:p>
    <w:p>
      <w:pPr>
        <w:pStyle w:val="FirstParagraph"/>
      </w:pPr>
      <w:r>
        <w:t xml:space="preserve">The market-value analysis of Section 3.6 uses year-end market values from the data service of the London Stock Exchange Group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(9)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with changes measured in logs, and it keeps that definition.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3"/>
    <w:bookmarkStart w:id="45"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(8).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The three files are the E-Commerce rounds of 2021, 2023 and 2024, which describe the activity years 2020, 2022 and 2023.</w:t>
      </w:r>
      <w:r>
        <w:rPr>
          <w:rStyle w:val="FootnoteReference"/>
        </w:rPr>
        <w:footnoteReference w:id="44"/>
      </w:r>
      <w:r>
        <w:t xml:space="preserve"> </w:t>
      </w:r>
      <w:r>
        <w:t xml:space="preserve">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bookmarkEnd w:id="45"/>
    <w:bookmarkStart w:id="46"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and who they are. They compare provinces and channels using rank correlations, look at sellers’ own reports of their sales, and use the sampling error that BPS publishes. They compare each group’s count in 2023 with what its own yearly change in 2020 to 2022 would give. They also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6"/>
    <w:bookmarkStart w:id="47"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w:t>
      </w:r>
    </w:p>
    <w:p>
      <w:pPr>
        <w:pStyle w:val="BodyText"/>
      </w:pPr>
      <w:r>
        <w:t xml:space="preserve">Chapter 6 also sets each recent rule against the part of the figures it acts on. The thesis reads each legal text where it is published. It labels each rule by the status of its text: primary text read, announced, or reported in the news only.</w:t>
      </w:r>
    </w:p>
    <w:bookmarkEnd w:id="47"/>
    <w:bookmarkStart w:id="48"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Appendix A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bookmarkEnd w:id="48"/>
    <w:bookmarkStart w:id="49"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D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The World Bank indicators, the Bank for International Settlements policy rates and the total assets from SEC filings are public. The repository holds the downloaded values and the scripts that fetched them. 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49"/>
    <w:bookmarkEnd w:id="50"/>
    <w:bookmarkStart w:id="76" w:name="chapter-5-results"/>
    <w:p>
      <w:pPr>
        <w:pStyle w:val="Heading1"/>
      </w:pPr>
      <w:r>
        <w:t xml:space="preserve">Chapter 5 Results</w:t>
      </w:r>
    </w:p>
    <w:p>
      <w:pPr>
        <w:pStyle w:val="FirstParagraph"/>
      </w:pPr>
      <w:r>
        <w:t xml:space="preserve">The results follow the two links of Figure 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Each section states the label next to the result it reports.</w:t>
      </w:r>
    </w:p>
    <w:bookmarkStart w:id="51"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1 shows each platform.</w:t>
      </w:r>
    </w:p>
    <w:p>
      <w:pPr>
        <w:pStyle w:val="TableCaption"/>
        <w:keepNext/>
      </w:pPr>
      <w:r>
        <w:rPr>
          <w:b/>
        </w:rPr>
        <w:t>Table 1.</w:t>
      </w:r>
      <w:r>
        <w:rPr>
          <w:b w:val="0"/>
        </w:rPr>
        <w:t xml:space="preserve"> The invisible wedge of three platforms, 2023 (US$ billion)</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116"/>
        <w:gridCol w:w="1225"/>
        <w:gridCol w:w="845"/>
        <w:gridCol w:w="655"/>
        <w:gridCol w:w="1035"/>
        <w:gridCol w:w="3626"/>
      </w:tblGrid>
      <w:tr>
        <w:trPr>
          <w:tblHeader w:val="true"/>
          <w:cantSplit/>
          <w:tblHeader/>
        </w:trPr>
        <w:tc>
          <w:tcPr>
            <w:tcW w:w="1116" w:type="dxa"/>
            <w:tcBorders>
              <w:bottom w:val="single" w:sz="5" w:space="0" w:color="000000"/>
            </w:tcBorders>
          </w:tcPr>
          <w:p>
            <w:pPr>
              <w:pStyle w:val="Compact"/>
              <w:keepNext/>
              <w:spacing w:before="0" w:after="0" w:lineRule="exact" w:line="220"/>
              <w:jc w:val="left"/>
            </w:pPr>
            <w:r>
              <w:rPr>
                <w:b/>
                <w:sz w:val="18"/>
              </w:rPr>
              <w:t xml:space="preserve">Platform</w:t>
            </w:r>
          </w:p>
        </w:tc>
        <w:tc>
          <w:tcPr>
            <w:tcW w:w="1225" w:type="dxa"/>
            <w:tcBorders>
              <w:bottom w:val="single" w:sz="5" w:space="0" w:color="000000"/>
            </w:tcBorders>
          </w:tcPr>
          <w:p>
            <w:pPr>
              <w:pStyle w:val="Compact"/>
              <w:keepNext/>
              <w:spacing w:before="0" w:after="0" w:lineRule="exact" w:line="220"/>
              <w:jc w:val="left"/>
            </w:pPr>
            <w:r>
              <w:rPr>
                <w:b/>
                <w:sz w:val="18"/>
              </w:rPr>
              <w:t xml:space="preserve">Transaction value</w:t>
            </w:r>
          </w:p>
        </w:tc>
        <w:tc>
          <w:tcPr>
            <w:tcW w:w="845" w:type="dxa"/>
            <w:tcBorders>
              <w:bottom w:val="single" w:sz="5" w:space="0" w:color="000000"/>
            </w:tcBorders>
          </w:tcPr>
          <w:p>
            <w:pPr>
              <w:pStyle w:val="Compact"/>
              <w:keepNext/>
              <w:spacing w:before="0" w:after="0" w:lineRule="exact" w:line="220"/>
              <w:jc w:val="left"/>
            </w:pPr>
            <w:r>
              <w:rPr>
                <w:b/>
                <w:sz w:val="18"/>
              </w:rPr>
              <w:t xml:space="preserve">Revenue</w:t>
            </w:r>
          </w:p>
        </w:tc>
        <w:tc>
          <w:tcPr>
            <w:tcW w:w="655" w:type="dxa"/>
            <w:tcBorders>
              <w:bottom w:val="single" w:sz="5" w:space="0" w:color="000000"/>
            </w:tcBorders>
          </w:tcPr>
          <w:p>
            <w:pPr>
              <w:pStyle w:val="Compact"/>
              <w:keepNext/>
              <w:spacing w:before="0" w:after="0" w:lineRule="exact" w:line="220"/>
              <w:jc w:val="left"/>
            </w:pPr>
            <w:r>
              <w:rPr>
                <w:b/>
                <w:sz w:val="18"/>
              </w:rPr>
              <w:t xml:space="preserve">Wedge</w:t>
            </w:r>
          </w:p>
        </w:tc>
        <w:tc>
          <w:tcPr>
            <w:tcW w:w="1035" w:type="dxa"/>
            <w:tcBorders>
              <w:bottom w:val="single" w:sz="5" w:space="0" w:color="000000"/>
            </w:tcBorders>
          </w:tcPr>
          <w:p>
            <w:pPr>
              <w:pStyle w:val="Compact"/>
              <w:keepNext/>
              <w:spacing w:before="0" w:after="0" w:lineRule="exact" w:line="220"/>
              <w:jc w:val="left"/>
            </w:pPr>
            <w:r>
              <w:rPr>
                <w:b/>
                <w:sz w:val="18"/>
              </w:rPr>
              <w:t xml:space="preserve">Ecosystem ratio</w:t>
            </w:r>
          </w:p>
        </w:tc>
        <w:tc>
          <w:tcPr>
            <w:tcW w:w="3626" w:type="dxa"/>
            <w:tcBorders>
              <w:bottom w:val="single" w:sz="5" w:space="0" w:color="000000"/>
            </w:tcBorders>
          </w:tcPr>
          <w:p>
            <w:pPr>
              <w:pStyle w:val="Compact"/>
              <w:keepNext/>
              <w:spacing w:before="0" w:after="0" w:lineRule="exact" w:line="220"/>
              <w:jc w:val="left"/>
            </w:pPr>
            <w:r>
              <w:rPr>
                <w:b/>
                <w:sz w:val="18"/>
              </w:rPr>
              <w:t xml:space="preserve">How it is labelled</w:t>
            </w:r>
          </w:p>
        </w:tc>
      </w:tr>
      <w:tr>
        <w:trPr>
          <w:cantSplit/>
        </w:trPr>
        <w:tc>
          <w:tcPr>
            <w:tcW w:w="1116" w:type="dxa"/>
          </w:tcPr>
          <w:p>
            <w:pPr>
              <w:pStyle w:val="Compact"/>
              <w:keepNext/>
              <w:spacing w:before="0" w:after="0" w:lineRule="exact" w:line="220"/>
              <w:jc w:val="left"/>
            </w:pPr>
            <w:r>
              <w:rPr>
                <w:sz w:val="18"/>
              </w:rPr>
              <w:t xml:space="preserve">Tokopedia</w:t>
            </w:r>
          </w:p>
        </w:tc>
        <w:tc>
          <w:tcPr>
            <w:tcW w:w="1225" w:type="dxa"/>
          </w:tcPr>
          <w:p>
            <w:pPr>
              <w:pStyle w:val="Compact"/>
              <w:keepNext/>
              <w:spacing w:before="0" w:after="0" w:lineRule="exact" w:line="220"/>
              <w:jc w:val="left"/>
            </w:pPr>
            <w:r>
              <w:rPr>
                <w:sz w:val="18"/>
              </w:rPr>
              <w:t xml:space="preserve">16.33</w:t>
            </w:r>
          </w:p>
        </w:tc>
        <w:tc>
          <w:tcPr>
            <w:tcW w:w="845" w:type="dxa"/>
          </w:tcPr>
          <w:p>
            <w:pPr>
              <w:pStyle w:val="Compact"/>
              <w:keepNext/>
              <w:spacing w:before="0" w:after="0" w:lineRule="exact" w:line="220"/>
              <w:jc w:val="left"/>
            </w:pPr>
            <w:r>
              <w:rPr>
                <w:sz w:val="18"/>
              </w:rPr>
              <w:t xml:space="preserve">0.41</w:t>
            </w:r>
          </w:p>
        </w:tc>
        <w:tc>
          <w:tcPr>
            <w:tcW w:w="655" w:type="dxa"/>
          </w:tcPr>
          <w:p>
            <w:pPr>
              <w:pStyle w:val="Compact"/>
              <w:keepNext/>
              <w:spacing w:before="0" w:after="0" w:lineRule="exact" w:line="220"/>
              <w:jc w:val="left"/>
            </w:pPr>
            <w:r>
              <w:rPr>
                <w:sz w:val="18"/>
              </w:rPr>
              <w:t xml:space="preserve">15.93</w:t>
            </w:r>
          </w:p>
        </w:tc>
        <w:tc>
          <w:tcPr>
            <w:tcW w:w="1035" w:type="dxa"/>
          </w:tcPr>
          <w:p>
            <w:pPr>
              <w:pStyle w:val="Compact"/>
              <w:keepNext/>
              <w:spacing w:before="0" w:after="0" w:lineRule="exact" w:line="220"/>
              <w:jc w:val="left"/>
            </w:pPr>
            <w:r>
              <w:rPr>
                <w:sz w:val="18"/>
              </w:rPr>
              <w:t xml:space="preserve">39.3</w:t>
            </w:r>
          </w:p>
        </w:tc>
        <w:tc>
          <w:tcPr>
            <w:tcW w:w="3626" w:type="dxa"/>
          </w:tcPr>
          <w:p>
            <w:pPr>
              <w:pStyle w:val="Compact"/>
              <w:keepNext/>
              <w:spacing w:before="0" w:after="0" w:lineRule="exact" w:line="220"/>
              <w:jc w:val="left"/>
            </w:pPr>
            <w:r>
              <w:rPr>
                <w:sz w:val="18"/>
              </w:rPr>
              <w:t xml:space="preserve">Both direct segment disclosure</w:t>
            </w:r>
          </w:p>
        </w:tc>
      </w:tr>
      <w:tr>
        <w:trPr>
          <w:cantSplit/>
        </w:trPr>
        <w:tc>
          <w:tcPr>
            <w:tcW w:w="1116" w:type="dxa"/>
          </w:tcPr>
          <w:p>
            <w:pPr>
              <w:pStyle w:val="Compact"/>
              <w:keepNext/>
              <w:spacing w:before="0" w:after="0" w:lineRule="exact" w:line="220"/>
              <w:jc w:val="left"/>
            </w:pPr>
            <w:r>
              <w:rPr>
                <w:sz w:val="18"/>
              </w:rPr>
              <w:t xml:space="preserve">Shopee, Indonesia</w:t>
            </w:r>
          </w:p>
        </w:tc>
        <w:tc>
          <w:tcPr>
            <w:tcW w:w="1225" w:type="dxa"/>
          </w:tcPr>
          <w:p>
            <w:pPr>
              <w:pStyle w:val="Compact"/>
              <w:keepNext/>
              <w:spacing w:before="0" w:after="0" w:lineRule="exact" w:line="220"/>
              <w:jc w:val="left"/>
            </w:pPr>
            <w:r>
              <w:rPr>
                <w:sz w:val="18"/>
              </w:rPr>
              <w:t xml:space="preserve">21.52</w:t>
            </w:r>
          </w:p>
        </w:tc>
        <w:tc>
          <w:tcPr>
            <w:tcW w:w="845" w:type="dxa"/>
          </w:tcPr>
          <w:p>
            <w:pPr>
              <w:pStyle w:val="Compact"/>
              <w:keepNext/>
              <w:spacing w:before="0" w:after="0" w:lineRule="exact" w:line="220"/>
              <w:jc w:val="left"/>
            </w:pPr>
            <w:r>
              <w:rPr>
                <w:sz w:val="18"/>
              </w:rPr>
              <w:t xml:space="preserve">2.15</w:t>
            </w:r>
          </w:p>
        </w:tc>
        <w:tc>
          <w:tcPr>
            <w:tcW w:w="655" w:type="dxa"/>
          </w:tcPr>
          <w:p>
            <w:pPr>
              <w:pStyle w:val="Compact"/>
              <w:keepNext/>
              <w:spacing w:before="0" w:after="0" w:lineRule="exact" w:line="220"/>
              <w:jc w:val="left"/>
            </w:pPr>
            <w:r>
              <w:rPr>
                <w:sz w:val="18"/>
              </w:rPr>
              <w:t xml:space="preserve">19.37</w:t>
            </w:r>
          </w:p>
        </w:tc>
        <w:tc>
          <w:tcPr>
            <w:tcW w:w="1035" w:type="dxa"/>
          </w:tcPr>
          <w:p>
            <w:pPr>
              <w:pStyle w:val="Compact"/>
              <w:keepNext/>
              <w:spacing w:before="0" w:after="0" w:lineRule="exact" w:line="220"/>
              <w:jc w:val="left"/>
            </w:pPr>
            <w:r>
              <w:rPr>
                <w:sz w:val="18"/>
              </w:rPr>
              <w:t xml:space="preserve">9.0</w:t>
            </w:r>
          </w:p>
        </w:tc>
        <w:tc>
          <w:tcPr>
            <w:tcW w:w="3626" w:type="dxa"/>
          </w:tcPr>
          <w:p>
            <w:pPr>
              <w:pStyle w:val="Compact"/>
              <w:keepNext/>
              <w:spacing w:before="0" w:after="0" w:lineRule="exact" w:line="220"/>
              <w:jc w:val="left"/>
            </w:pPr>
            <w:r>
              <w:rPr>
                <w:sz w:val="18"/>
              </w:rPr>
              <w:t xml:space="preserve">Transaction value is an outside estimate (Momentum Works); revenue is derived at an assumed take rate of 10 percent</w:t>
            </w:r>
          </w:p>
        </w:tc>
      </w:tr>
      <w:tr>
        <w:trPr>
          <w:cantSplit/>
        </w:trPr>
        <w:tc>
          <w:tcPr>
            <w:tcW w:w="1116" w:type="dxa"/>
          </w:tcPr>
          <w:p>
            <w:pPr>
              <w:pStyle w:val="Compact"/>
              <w:keepNext/>
              <w:spacing w:before="0" w:after="0" w:lineRule="exact" w:line="220"/>
              <w:jc w:val="left"/>
            </w:pPr>
            <w:r>
              <w:rPr>
                <w:sz w:val="18"/>
              </w:rPr>
              <w:t xml:space="preserve">Grab, Indonesia</w:t>
            </w:r>
          </w:p>
        </w:tc>
        <w:tc>
          <w:tcPr>
            <w:tcW w:w="1225" w:type="dxa"/>
          </w:tcPr>
          <w:p>
            <w:pPr>
              <w:pStyle w:val="Compact"/>
              <w:keepNext/>
              <w:spacing w:before="0" w:after="0" w:lineRule="exact" w:line="220"/>
              <w:jc w:val="left"/>
            </w:pPr>
            <w:r>
              <w:rPr>
                <w:sz w:val="18"/>
              </w:rPr>
              <w:t xml:space="preserve">5.38</w:t>
            </w:r>
          </w:p>
        </w:tc>
        <w:tc>
          <w:tcPr>
            <w:tcW w:w="845" w:type="dxa"/>
          </w:tcPr>
          <w:p>
            <w:pPr>
              <w:pStyle w:val="Compact"/>
              <w:keepNext/>
              <w:spacing w:before="0" w:after="0" w:lineRule="exact" w:line="220"/>
              <w:jc w:val="left"/>
            </w:pPr>
            <w:r>
              <w:rPr>
                <w:sz w:val="18"/>
              </w:rPr>
              <w:t xml:space="preserve">0.60</w:t>
            </w:r>
          </w:p>
        </w:tc>
        <w:tc>
          <w:tcPr>
            <w:tcW w:w="655" w:type="dxa"/>
          </w:tcPr>
          <w:p>
            <w:pPr>
              <w:pStyle w:val="Compact"/>
              <w:keepNext/>
              <w:spacing w:before="0" w:after="0" w:lineRule="exact" w:line="220"/>
              <w:jc w:val="left"/>
            </w:pPr>
            <w:r>
              <w:rPr>
                <w:sz w:val="18"/>
              </w:rPr>
              <w:t xml:space="preserve">4.78</w:t>
            </w:r>
          </w:p>
        </w:tc>
        <w:tc>
          <w:tcPr>
            <w:tcW w:w="1035" w:type="dxa"/>
          </w:tcPr>
          <w:p>
            <w:pPr>
              <w:pStyle w:val="Compact"/>
              <w:keepNext/>
              <w:spacing w:before="0" w:after="0" w:lineRule="exact" w:line="220"/>
              <w:jc w:val="left"/>
            </w:pPr>
            <w:r>
              <w:rPr>
                <w:sz w:val="18"/>
              </w:rPr>
              <w:t xml:space="preserve">7.9</w:t>
            </w:r>
          </w:p>
        </w:tc>
        <w:tc>
          <w:tcPr>
            <w:tcW w:w="3626" w:type="dxa"/>
          </w:tcPr>
          <w:p>
            <w:pPr>
              <w:pStyle w:val="Compact"/>
              <w:keepNext/>
              <w:spacing w:before="0" w:after="0" w:lineRule="exact" w:line="220"/>
              <w:jc w:val="left"/>
            </w:pPr>
            <w:r>
              <w:rPr>
                <w:sz w:val="18"/>
              </w:rPr>
              <w:t xml:space="preserve">Revenue is a direct country disclosure; transaction value is derived from Grab’s company-wide ratio</w:t>
            </w:r>
          </w:p>
        </w:tc>
      </w:tr>
      <w:tr>
        <w:trPr>
          <w:cantSplit/>
        </w:trPr>
        <w:tc>
          <w:tcPr>
            <w:tcW w:w="1116" w:type="dxa"/>
          </w:tcPr>
          <w:p>
            <w:pPr>
              <w:pStyle w:val="Compact"/>
              <w:spacing w:before="0" w:after="0" w:lineRule="exact" w:line="220"/>
              <w:jc w:val="left"/>
            </w:pPr>
            <w:r>
              <w:rPr>
                <w:sz w:val="18"/>
              </w:rPr>
              <w:t xml:space="preserve">Total</w:t>
            </w:r>
          </w:p>
        </w:tc>
        <w:tc>
          <w:tcPr>
            <w:tcW w:w="1225" w:type="dxa"/>
          </w:tcPr>
          <w:p>
            <w:pPr>
              <w:pStyle w:val="Compact"/>
              <w:spacing w:before="0" w:after="0" w:lineRule="exact" w:line="220"/>
              <w:jc w:val="left"/>
            </w:pPr>
            <w:r>
              <w:rPr>
                <w:sz w:val="18"/>
              </w:rPr>
              <w:t xml:space="preserve">43.23</w:t>
            </w:r>
          </w:p>
        </w:tc>
        <w:tc>
          <w:tcPr>
            <w:tcW w:w="845" w:type="dxa"/>
          </w:tcPr>
          <w:p>
            <w:pPr>
              <w:pStyle w:val="Compact"/>
              <w:spacing w:before="0" w:after="0" w:lineRule="exact" w:line="220"/>
              <w:jc w:val="left"/>
            </w:pPr>
            <w:r>
              <w:rPr>
                <w:sz w:val="18"/>
              </w:rPr>
              <w:t xml:space="preserve">3.16</w:t>
            </w:r>
          </w:p>
        </w:tc>
        <w:tc>
          <w:tcPr>
            <w:tcW w:w="655" w:type="dxa"/>
          </w:tcPr>
          <w:p>
            <w:pPr>
              <w:pStyle w:val="Compact"/>
              <w:spacing w:before="0" w:after="0" w:lineRule="exact" w:line="220"/>
              <w:jc w:val="left"/>
            </w:pPr>
            <w:r>
              <w:rPr>
                <w:sz w:val="18"/>
              </w:rPr>
              <w:t xml:space="preserve">40.07</w:t>
            </w:r>
          </w:p>
        </w:tc>
        <w:tc>
          <w:tcPr>
            <w:tcW w:w="1035" w:type="dxa"/>
          </w:tcPr>
          <w:p>
            <w:pPr>
              <w:pStyle w:val="Compact"/>
              <w:spacing w:before="0" w:after="0" w:lineRule="exact" w:line="220"/>
              <w:jc w:val="left"/>
            </w:pPr>
            <w:r>
              <w:rPr>
                <w:sz w:val="18"/>
              </w:rPr>
              <w:t xml:space="preserve">12.7</w:t>
            </w:r>
          </w:p>
        </w:tc>
        <w:tc>
          <w:tcPr>
            <w:tcW w:w="3626" w:type="dxa"/>
          </w:tcPr>
          <w:p>
            <w:pPr>
              <w:pStyle w:val="Compact"/>
              <w:spacing w:before="0" w:after="0" w:lineRule="exact" w:line="220"/>
              <w:jc w:val="left"/>
            </w:pPr>
            <w:r>
              <w:rPr>
                <w:sz w:val="18"/>
              </w:rPr>
              <w:t xml:space="preserve">Sum of three platforms, not a national total</w:t>
            </w:r>
          </w:p>
        </w:tc>
      </w:tr>
    </w:tbl>
    <w:p>
      <w:pPr>
        <w:pStyle w:val="TableNote"/>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three ratios differ because the amounts come from different sources. Tokopedia reports both amounts. Shopee’s ratio follows from the assumed take rate, and Grab’s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and dropping any one platform still leaves more than US$20 billion. For platforms that report both amounts, the wedge was 97 to 99 percent of transaction value in every year. It moved almost one for one with the commerce, and Appendix B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1"/>
    <w:bookmarkStart w:id="55" w:name="testing-h1-1"/>
    <w:p>
      <w:pPr>
        <w:pStyle w:val="Heading2"/>
      </w:pPr>
      <w:r>
        <w:t xml:space="preserve">5.2 Testing H1</w:t>
      </w:r>
    </w:p>
    <w:p>
      <w:pPr>
        <w:pStyle w:val="FirstParagraph"/>
      </w:pPr>
      <w:r>
        <w:t xml:space="preserve">Revenue followed transaction value abroad and did not in Indonesia and the region, so the thesis rejects H1 for the Indonesian and regional platforms. Table 2 describes the panel behind the test. The typical Indonesian and regional platform-year has an ecosystem ratio of about 35, against about 5.5 abroad. Transaction value grew by a median of 16 percent a year in both groups, and revenue by 38 percent in Indonesia and the region against 21 percent abroad. The Indonesian and regional platforms are also younger, a median of one year since listing against four.</w:t>
      </w:r>
    </w:p>
    <w:p>
      <w:pPr>
        <w:pStyle w:val="TableCaption"/>
        <w:keepNext/>
      </w:pPr>
      <w:r>
        <w:rPr>
          <w:b/>
        </w:rPr>
        <w:t>Table 2.</w:t>
      </w:r>
      <w:r>
        <w:rPr>
          <w:b w:val="0"/>
        </w:rPr>
        <w:t xml:space="preserve"> Summary statistics and correlations</w:t>
      </w:r>
    </w:p>
    <w:p>
      <w:pPr>
        <w:pStyle w:val="TableNote"/>
        <w:keepNext/>
      </w:pPr>
      <w:r>
        <w:t xml:space="preserve">This table reports summary statistics and pairwise correlations for the panel of 213 platform-years used in Sections 5.2 and 5.3, which covers 32 platforms. Panel A gives the number of observations (N), the mean, the median (P50) and the standard deviation (SD) of each variable for the Indonesian and regional platforms and for the foreign platforms. Panel B gives pairwise Pearson correlations for all platforms. Growth rates and the ecosystem ratio are capped at their 5th and 95th percentiles; the wedge and total assets are in US$ million. Appendix A defines the variables. ∗∗∗, ∗∗ and ∗ correspond to statistical significance at the 1%, 5% and 10% levels.</w:t>
      </w:r>
    </w:p>
    <w:p>
      <w:pPr>
        <w:pStyle w:val="TableNote"/>
        <w:keepNext/>
      </w:pPr>
      <w:r>
        <w:rPr>
          <w:iCs/>
          <w:i/>
        </w:rPr>
        <w:t xml:space="preserve">Panel A. Summary statistics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909"/>
        <w:gridCol w:w="1530"/>
        <w:gridCol w:w="655"/>
        <w:gridCol w:w="655"/>
        <w:gridCol w:w="655"/>
        <w:gridCol w:w="845"/>
        <w:gridCol w:w="750"/>
        <w:gridCol w:w="655"/>
        <w:gridCol w:w="845"/>
      </w:tblGrid>
      <w:tr>
        <w:trPr>
          <w:tblHeader w:val="true"/>
          <w:cantSplit/>
          <w:tblHeader/>
        </w:trPr>
        <w:tc>
          <w:tcPr>
            <w:tcW w:w="1909" w:type="dxa"/>
            <w:tcBorders>
              <w:bottom w:val="single" w:sz="5" w:space="0" w:color="000000"/>
            </w:tcBorders>
          </w:tcPr>
          <w:p>
            <w:pPr>
              <w:pStyle w:val="Compact"/>
              <w:keepNext/>
              <w:spacing w:before="0" w:after="0" w:lineRule="exact" w:line="220"/>
              <w:jc w:val="left"/>
            </w:pPr>
            <w:r>
              <w:rPr>
                <w:b/>
                <w:sz w:val="18"/>
              </w:rPr>
              <w:t xml:space="preserve">Variable</w:t>
            </w:r>
          </w:p>
        </w:tc>
        <w:tc>
          <w:tcPr>
            <w:tcW w:w="3495" w:type="dxa"/>
            <w:gridSpan w:val="4"/>
            <w:tcBorders>
              <w:bottom w:val="single" w:sz="5" w:space="0" w:color="000000"/>
            </w:tcBorders>
          </w:tcPr>
          <w:p>
            <w:pPr>
              <w:pStyle w:val="Compact"/>
              <w:keepNext/>
              <w:spacing w:before="0" w:after="0" w:lineRule="exact" w:line="220"/>
              <w:jc w:val="center"/>
            </w:pPr>
            <w:r>
              <w:rPr>
                <w:b/>
                <w:sz w:val="18"/>
              </w:rPr>
              <w:t xml:space="preserve">Indonesian and regional</w:t>
            </w:r>
          </w:p>
        </w:tc>
        <w:tc>
          <w:tcPr>
            <w:tcW w:w="3095" w:type="dxa"/>
            <w:gridSpan w:val="4"/>
            <w:tcBorders>
              <w:bottom w:val="single" w:sz="5" w:space="0" w:color="000000"/>
            </w:tcBorders>
          </w:tcPr>
          <w:p>
            <w:pPr>
              <w:pStyle w:val="Compact"/>
              <w:keepNext/>
              <w:spacing w:before="0" w:after="0" w:lineRule="exact" w:line="220"/>
              <w:jc w:val="center"/>
            </w:pPr>
            <w:r>
              <w:rPr>
                <w:b/>
                <w:sz w:val="18"/>
              </w:rPr>
              <w:t xml:space="preserve">Foreign</w:t>
            </w:r>
          </w:p>
        </w:tc>
      </w:tr>
      <w:tr>
        <w:trPr>
          <w:cantSplit/>
        </w:trPr>
        <w:tc>
          <w:tcPr>
            <w:tcW w:w="1909" w:type="dxa"/>
          </w:tcPr>
          <w:p>
            <w:pPr>
              <w:pStyle w:val="Compact"/>
              <w:keepNext/>
              <w:spacing w:before="0" w:after="0" w:lineRule="exact" w:line="220"/>
              <w:jc w:val="left"/>
            </w:pPr>
          </w:p>
        </w:tc>
        <w:tc>
          <w:tcPr>
            <w:tcW w:w="1530" w:type="dxa"/>
          </w:tcPr>
          <w:p>
            <w:pPr>
              <w:pStyle w:val="Compact"/>
              <w:keepNext/>
              <w:spacing w:before="0" w:after="0" w:lineRule="exact" w:line="220"/>
              <w:jc w:val="left"/>
            </w:pPr>
            <w:r>
              <w:rPr>
                <w:bCs/>
                <w:b/>
                <w:sz w:val="18"/>
              </w:rPr>
              <w:t xml:space="preserve">N</w:t>
            </w:r>
          </w:p>
        </w:tc>
        <w:tc>
          <w:tcPr>
            <w:tcW w:w="655" w:type="dxa"/>
          </w:tcPr>
          <w:p>
            <w:pPr>
              <w:pStyle w:val="Compact"/>
              <w:keepNext/>
              <w:spacing w:before="0" w:after="0" w:lineRule="exact" w:line="220"/>
              <w:jc w:val="left"/>
            </w:pPr>
            <w:r>
              <w:rPr>
                <w:bCs/>
                <w:b/>
                <w:sz w:val="18"/>
              </w:rPr>
              <w:t xml:space="preserve">Mean</w:t>
            </w:r>
          </w:p>
        </w:tc>
        <w:tc>
          <w:tcPr>
            <w:tcW w:w="655" w:type="dxa"/>
          </w:tcPr>
          <w:p>
            <w:pPr>
              <w:pStyle w:val="Compact"/>
              <w:keepNext/>
              <w:spacing w:before="0" w:after="0" w:lineRule="exact" w:line="220"/>
              <w:jc w:val="left"/>
            </w:pPr>
            <w:r>
              <w:rPr>
                <w:bCs/>
                <w:b/>
                <w:sz w:val="18"/>
              </w:rPr>
              <w:t xml:space="preserve">P50</w:t>
            </w:r>
          </w:p>
        </w:tc>
        <w:tc>
          <w:tcPr>
            <w:tcW w:w="655" w:type="dxa"/>
          </w:tcPr>
          <w:p>
            <w:pPr>
              <w:pStyle w:val="Compact"/>
              <w:keepNext/>
              <w:spacing w:before="0" w:after="0" w:lineRule="exact" w:line="220"/>
              <w:jc w:val="left"/>
            </w:pPr>
            <w:r>
              <w:rPr>
                <w:bCs/>
                <w:b/>
                <w:sz w:val="18"/>
              </w:rPr>
              <w:t xml:space="preserve">SD</w:t>
            </w:r>
          </w:p>
        </w:tc>
        <w:tc>
          <w:tcPr>
            <w:tcW w:w="845" w:type="dxa"/>
          </w:tcPr>
          <w:p>
            <w:pPr>
              <w:pStyle w:val="Compact"/>
              <w:keepNext/>
              <w:spacing w:before="0" w:after="0" w:lineRule="exact" w:line="220"/>
              <w:jc w:val="left"/>
            </w:pPr>
            <w:r>
              <w:rPr>
                <w:bCs/>
                <w:b/>
                <w:sz w:val="18"/>
              </w:rPr>
              <w:t xml:space="preserve">N</w:t>
            </w:r>
          </w:p>
        </w:tc>
        <w:tc>
          <w:tcPr>
            <w:tcW w:w="750" w:type="dxa"/>
          </w:tcPr>
          <w:p>
            <w:pPr>
              <w:pStyle w:val="Compact"/>
              <w:keepNext/>
              <w:spacing w:before="0" w:after="0" w:lineRule="exact" w:line="220"/>
              <w:jc w:val="left"/>
            </w:pPr>
            <w:r>
              <w:rPr>
                <w:bCs/>
                <w:b/>
                <w:sz w:val="18"/>
              </w:rPr>
              <w:t xml:space="preserve">Mean</w:t>
            </w:r>
          </w:p>
        </w:tc>
        <w:tc>
          <w:tcPr>
            <w:tcW w:w="655" w:type="dxa"/>
          </w:tcPr>
          <w:p>
            <w:pPr>
              <w:pStyle w:val="Compact"/>
              <w:keepNext/>
              <w:spacing w:before="0" w:after="0" w:lineRule="exact" w:line="220"/>
              <w:jc w:val="left"/>
            </w:pPr>
            <w:r>
              <w:rPr>
                <w:bCs/>
                <w:b/>
                <w:sz w:val="18"/>
              </w:rPr>
              <w:t xml:space="preserve">P50</w:t>
            </w:r>
          </w:p>
        </w:tc>
        <w:tc>
          <w:tcPr>
            <w:tcW w:w="845" w:type="dxa"/>
          </w:tcPr>
          <w:p>
            <w:pPr>
              <w:pStyle w:val="Compact"/>
              <w:keepNext/>
              <w:spacing w:before="0" w:after="0" w:lineRule="exact" w:line="220"/>
              <w:jc w:val="left"/>
            </w:pPr>
            <w:r>
              <w:rPr>
                <w:bCs/>
                <w:b/>
                <w:sz w:val="18"/>
              </w:rPr>
              <w:t xml:space="preserve">SD</w:t>
            </w:r>
          </w:p>
        </w:tc>
      </w:tr>
      <w:tr>
        <w:trPr>
          <w:cantSplit/>
        </w:trPr>
        <w:tc>
          <w:tcPr>
            <w:tcW w:w="1909" w:type="dxa"/>
          </w:tcPr>
          <w:p>
            <w:pPr>
              <w:pStyle w:val="Compact"/>
              <w:keepNext/>
              <w:spacing w:before="0" w:after="0" w:lineRule="exact" w:line="220"/>
              <w:jc w:val="left"/>
            </w:pPr>
            <w:r>
              <w:rPr>
                <w:sz w:val="18"/>
              </w:rPr>
              <w:t xml:space="preserve">Wedge, US$ million</w:t>
            </w:r>
          </w:p>
        </w:tc>
        <w:tc>
          <w:tcPr>
            <w:tcW w:w="1530" w:type="dxa"/>
          </w:tcPr>
          <w:p>
            <w:pPr>
              <w:pStyle w:val="Compact"/>
              <w:keepNext/>
              <w:spacing w:before="0" w:after="0" w:lineRule="exact" w:line="220"/>
              <w:jc w:val="left"/>
            </w:pPr>
            <w:r>
              <w:rPr>
                <w:sz w:val="18"/>
              </w:rPr>
              <w:t xml:space="preserve">20</w:t>
            </w:r>
          </w:p>
        </w:tc>
        <w:tc>
          <w:tcPr>
            <w:tcW w:w="655" w:type="dxa"/>
          </w:tcPr>
          <w:p>
            <w:pPr>
              <w:pStyle w:val="Compact"/>
              <w:keepNext/>
              <w:spacing w:before="0" w:after="0" w:lineRule="exact" w:line="220"/>
              <w:jc w:val="left"/>
            </w:pPr>
            <w:r>
              <w:rPr>
                <w:sz w:val="18"/>
              </w:rPr>
              <w:t xml:space="preserve">7,834</w:t>
            </w:r>
          </w:p>
        </w:tc>
        <w:tc>
          <w:tcPr>
            <w:tcW w:w="655" w:type="dxa"/>
          </w:tcPr>
          <w:p>
            <w:pPr>
              <w:pStyle w:val="Compact"/>
              <w:keepNext/>
              <w:spacing w:before="0" w:after="0" w:lineRule="exact" w:line="220"/>
              <w:jc w:val="left"/>
            </w:pPr>
            <w:r>
              <w:rPr>
                <w:sz w:val="18"/>
              </w:rPr>
              <w:t xml:space="preserve">6,999</w:t>
            </w:r>
          </w:p>
        </w:tc>
        <w:tc>
          <w:tcPr>
            <w:tcW w:w="655" w:type="dxa"/>
          </w:tcPr>
          <w:p>
            <w:pPr>
              <w:pStyle w:val="Compact"/>
              <w:keepNext/>
              <w:spacing w:before="0" w:after="0" w:lineRule="exact" w:line="220"/>
              <w:jc w:val="left"/>
            </w:pPr>
            <w:r>
              <w:rPr>
                <w:sz w:val="18"/>
              </w:rPr>
              <w:t xml:space="preserve">5,311</w:t>
            </w:r>
          </w:p>
        </w:tc>
        <w:tc>
          <w:tcPr>
            <w:tcW w:w="845" w:type="dxa"/>
          </w:tcPr>
          <w:p>
            <w:pPr>
              <w:pStyle w:val="Compact"/>
              <w:keepNext/>
              <w:spacing w:before="0" w:after="0" w:lineRule="exact" w:line="220"/>
              <w:jc w:val="left"/>
            </w:pPr>
            <w:r>
              <w:rPr>
                <w:sz w:val="18"/>
              </w:rPr>
              <w:t xml:space="preserve">193</w:t>
            </w:r>
          </w:p>
        </w:tc>
        <w:tc>
          <w:tcPr>
            <w:tcW w:w="750" w:type="dxa"/>
          </w:tcPr>
          <w:p>
            <w:pPr>
              <w:pStyle w:val="Compact"/>
              <w:keepNext/>
              <w:spacing w:before="0" w:after="0" w:lineRule="exact" w:line="220"/>
              <w:jc w:val="left"/>
            </w:pPr>
            <w:r>
              <w:rPr>
                <w:sz w:val="18"/>
              </w:rPr>
              <w:t xml:space="preserve">50,439</w:t>
            </w:r>
          </w:p>
        </w:tc>
        <w:tc>
          <w:tcPr>
            <w:tcW w:w="655" w:type="dxa"/>
          </w:tcPr>
          <w:p>
            <w:pPr>
              <w:pStyle w:val="Compact"/>
              <w:keepNext/>
              <w:spacing w:before="0" w:after="0" w:lineRule="exact" w:line="220"/>
              <w:jc w:val="left"/>
            </w:pPr>
            <w:r>
              <w:rPr>
                <w:sz w:val="18"/>
              </w:rPr>
              <w:t xml:space="preserve">3,732</w:t>
            </w:r>
          </w:p>
        </w:tc>
        <w:tc>
          <w:tcPr>
            <w:tcW w:w="845" w:type="dxa"/>
          </w:tcPr>
          <w:p>
            <w:pPr>
              <w:pStyle w:val="Compact"/>
              <w:keepNext/>
              <w:spacing w:before="0" w:after="0" w:lineRule="exact" w:line="220"/>
              <w:jc w:val="left"/>
            </w:pPr>
            <w:r>
              <w:rPr>
                <w:sz w:val="18"/>
              </w:rPr>
              <w:t xml:space="preserve">142,180</w:t>
            </w:r>
          </w:p>
        </w:tc>
      </w:tr>
      <w:tr>
        <w:trPr>
          <w:cantSplit/>
        </w:trPr>
        <w:tc>
          <w:tcPr>
            <w:tcW w:w="1909" w:type="dxa"/>
          </w:tcPr>
          <w:p>
            <w:pPr>
              <w:pStyle w:val="Compact"/>
              <w:keepNext/>
              <w:spacing w:before="0" w:after="0" w:lineRule="exact" w:line="220"/>
              <w:jc w:val="left"/>
            </w:pPr>
            <w:r>
              <w:rPr>
                <w:sz w:val="18"/>
              </w:rPr>
              <w:t xml:space="preserve">Ecosystem ratio</w:t>
            </w:r>
          </w:p>
        </w:tc>
        <w:tc>
          <w:tcPr>
            <w:tcW w:w="1530" w:type="dxa"/>
          </w:tcPr>
          <w:p>
            <w:pPr>
              <w:pStyle w:val="Compact"/>
              <w:keepNext/>
              <w:spacing w:before="0" w:after="0" w:lineRule="exact" w:line="220"/>
              <w:jc w:val="left"/>
            </w:pPr>
            <w:r>
              <w:rPr>
                <w:sz w:val="18"/>
              </w:rPr>
              <w:t xml:space="preserve">20</w:t>
            </w:r>
          </w:p>
        </w:tc>
        <w:tc>
          <w:tcPr>
            <w:tcW w:w="655" w:type="dxa"/>
          </w:tcPr>
          <w:p>
            <w:pPr>
              <w:pStyle w:val="Compact"/>
              <w:keepNext/>
              <w:spacing w:before="0" w:after="0" w:lineRule="exact" w:line="220"/>
              <w:jc w:val="left"/>
            </w:pPr>
            <w:r>
              <w:rPr>
                <w:sz w:val="18"/>
              </w:rPr>
              <w:t xml:space="preserve">25.08</w:t>
            </w:r>
          </w:p>
        </w:tc>
        <w:tc>
          <w:tcPr>
            <w:tcW w:w="655" w:type="dxa"/>
          </w:tcPr>
          <w:p>
            <w:pPr>
              <w:pStyle w:val="Compact"/>
              <w:keepNext/>
              <w:spacing w:before="0" w:after="0" w:lineRule="exact" w:line="220"/>
              <w:jc w:val="left"/>
            </w:pPr>
            <w:r>
              <w:rPr>
                <w:sz w:val="18"/>
              </w:rPr>
              <w:t xml:space="preserve">34.66</w:t>
            </w:r>
          </w:p>
        </w:tc>
        <w:tc>
          <w:tcPr>
            <w:tcW w:w="655" w:type="dxa"/>
          </w:tcPr>
          <w:p>
            <w:pPr>
              <w:pStyle w:val="Compact"/>
              <w:keepNext/>
              <w:spacing w:before="0" w:after="0" w:lineRule="exact" w:line="220"/>
              <w:jc w:val="left"/>
            </w:pPr>
            <w:r>
              <w:rPr>
                <w:sz w:val="18"/>
              </w:rPr>
              <w:t xml:space="preserve">14.95</w:t>
            </w:r>
          </w:p>
        </w:tc>
        <w:tc>
          <w:tcPr>
            <w:tcW w:w="845" w:type="dxa"/>
          </w:tcPr>
          <w:p>
            <w:pPr>
              <w:pStyle w:val="Compact"/>
              <w:keepNext/>
              <w:spacing w:before="0" w:after="0" w:lineRule="exact" w:line="220"/>
              <w:jc w:val="left"/>
            </w:pPr>
            <w:r>
              <w:rPr>
                <w:sz w:val="18"/>
              </w:rPr>
              <w:t xml:space="preserve">193</w:t>
            </w:r>
          </w:p>
        </w:tc>
        <w:tc>
          <w:tcPr>
            <w:tcW w:w="750" w:type="dxa"/>
          </w:tcPr>
          <w:p>
            <w:pPr>
              <w:pStyle w:val="Compact"/>
              <w:keepNext/>
              <w:spacing w:before="0" w:after="0" w:lineRule="exact" w:line="220"/>
              <w:jc w:val="left"/>
            </w:pPr>
            <w:r>
              <w:rPr>
                <w:sz w:val="18"/>
              </w:rPr>
              <w:t xml:space="preserve">8.84</w:t>
            </w:r>
          </w:p>
        </w:tc>
        <w:tc>
          <w:tcPr>
            <w:tcW w:w="655" w:type="dxa"/>
          </w:tcPr>
          <w:p>
            <w:pPr>
              <w:pStyle w:val="Compact"/>
              <w:keepNext/>
              <w:spacing w:before="0" w:after="0" w:lineRule="exact" w:line="220"/>
              <w:jc w:val="left"/>
            </w:pPr>
            <w:r>
              <w:rPr>
                <w:sz w:val="18"/>
              </w:rPr>
              <w:t xml:space="preserve">5.50</w:t>
            </w:r>
          </w:p>
        </w:tc>
        <w:tc>
          <w:tcPr>
            <w:tcW w:w="845" w:type="dxa"/>
          </w:tcPr>
          <w:p>
            <w:pPr>
              <w:pStyle w:val="Compact"/>
              <w:keepNext/>
              <w:spacing w:before="0" w:after="0" w:lineRule="exact" w:line="220"/>
              <w:jc w:val="left"/>
            </w:pPr>
            <w:r>
              <w:rPr>
                <w:sz w:val="18"/>
              </w:rPr>
              <w:t xml:space="preserve">9.56</w:t>
            </w:r>
          </w:p>
        </w:tc>
      </w:tr>
      <w:tr>
        <w:trPr>
          <w:cantSplit/>
        </w:trPr>
        <w:tc>
          <w:tcPr>
            <w:tcW w:w="1909" w:type="dxa"/>
          </w:tcPr>
          <w:p>
            <w:pPr>
              <w:pStyle w:val="Compact"/>
              <w:keepNext/>
              <w:spacing w:before="0" w:after="0" w:lineRule="exact" w:line="220"/>
              <w:jc w:val="left"/>
            </w:pPr>
            <w:r>
              <w:rPr>
                <w:sz w:val="18"/>
              </w:rPr>
              <w:t xml:space="preserve">Revenue growth, g(R)</w:t>
            </w:r>
          </w:p>
        </w:tc>
        <w:tc>
          <w:tcPr>
            <w:tcW w:w="1530" w:type="dxa"/>
          </w:tcPr>
          <w:p>
            <w:pPr>
              <w:pStyle w:val="Compact"/>
              <w:keepNext/>
              <w:spacing w:before="0" w:after="0" w:lineRule="exact" w:line="220"/>
              <w:jc w:val="left"/>
            </w:pPr>
            <w:r>
              <w:rPr>
                <w:sz w:val="18"/>
              </w:rPr>
              <w:t xml:space="preserve">15</w:t>
            </w:r>
          </w:p>
        </w:tc>
        <w:tc>
          <w:tcPr>
            <w:tcW w:w="655" w:type="dxa"/>
          </w:tcPr>
          <w:p>
            <w:pPr>
              <w:pStyle w:val="Compact"/>
              <w:keepNext/>
              <w:spacing w:before="0" w:after="0" w:lineRule="exact" w:line="220"/>
              <w:jc w:val="left"/>
            </w:pPr>
            <w:r>
              <w:rPr>
                <w:sz w:val="18"/>
              </w:rPr>
              <w:t xml:space="preserve">0.53</w:t>
            </w:r>
          </w:p>
        </w:tc>
        <w:tc>
          <w:tcPr>
            <w:tcW w:w="655" w:type="dxa"/>
          </w:tcPr>
          <w:p>
            <w:pPr>
              <w:pStyle w:val="Compact"/>
              <w:keepNext/>
              <w:spacing w:before="0" w:after="0" w:lineRule="exact" w:line="220"/>
              <w:jc w:val="left"/>
            </w:pPr>
            <w:r>
              <w:rPr>
                <w:sz w:val="18"/>
              </w:rPr>
              <w:t xml:space="preserve">0.38</w:t>
            </w:r>
          </w:p>
        </w:tc>
        <w:tc>
          <w:tcPr>
            <w:tcW w:w="655" w:type="dxa"/>
          </w:tcPr>
          <w:p>
            <w:pPr>
              <w:pStyle w:val="Compact"/>
              <w:keepNext/>
              <w:spacing w:before="0" w:after="0" w:lineRule="exact" w:line="220"/>
              <w:jc w:val="left"/>
            </w:pPr>
            <w:r>
              <w:rPr>
                <w:sz w:val="18"/>
              </w:rPr>
              <w:t xml:space="preserve">0.44</w:t>
            </w:r>
          </w:p>
        </w:tc>
        <w:tc>
          <w:tcPr>
            <w:tcW w:w="845" w:type="dxa"/>
          </w:tcPr>
          <w:p>
            <w:pPr>
              <w:pStyle w:val="Compact"/>
              <w:keepNext/>
              <w:spacing w:before="0" w:after="0" w:lineRule="exact" w:line="220"/>
              <w:jc w:val="left"/>
            </w:pPr>
            <w:r>
              <w:rPr>
                <w:sz w:val="18"/>
              </w:rPr>
              <w:t xml:space="preserve">166</w:t>
            </w:r>
          </w:p>
        </w:tc>
        <w:tc>
          <w:tcPr>
            <w:tcW w:w="750" w:type="dxa"/>
          </w:tcPr>
          <w:p>
            <w:pPr>
              <w:pStyle w:val="Compact"/>
              <w:keepNext/>
              <w:spacing w:before="0" w:after="0" w:lineRule="exact" w:line="220"/>
              <w:jc w:val="left"/>
            </w:pPr>
            <w:r>
              <w:rPr>
                <w:sz w:val="18"/>
              </w:rPr>
              <w:t xml:space="preserve">0.32</w:t>
            </w:r>
          </w:p>
        </w:tc>
        <w:tc>
          <w:tcPr>
            <w:tcW w:w="655" w:type="dxa"/>
          </w:tcPr>
          <w:p>
            <w:pPr>
              <w:pStyle w:val="Compact"/>
              <w:keepNext/>
              <w:spacing w:before="0" w:after="0" w:lineRule="exact" w:line="220"/>
              <w:jc w:val="left"/>
            </w:pPr>
            <w:r>
              <w:rPr>
                <w:sz w:val="18"/>
              </w:rPr>
              <w:t xml:space="preserve">0.21</w:t>
            </w:r>
          </w:p>
        </w:tc>
        <w:tc>
          <w:tcPr>
            <w:tcW w:w="845" w:type="dxa"/>
          </w:tcPr>
          <w:p>
            <w:pPr>
              <w:pStyle w:val="Compact"/>
              <w:keepNext/>
              <w:spacing w:before="0" w:after="0" w:lineRule="exact" w:line="220"/>
              <w:jc w:val="left"/>
            </w:pPr>
            <w:r>
              <w:rPr>
                <w:sz w:val="18"/>
              </w:rPr>
              <w:t xml:space="preserve">0.44</w:t>
            </w:r>
          </w:p>
        </w:tc>
      </w:tr>
      <w:tr>
        <w:trPr>
          <w:cantSplit/>
        </w:trPr>
        <w:tc>
          <w:tcPr>
            <w:tcW w:w="1909" w:type="dxa"/>
          </w:tcPr>
          <w:p>
            <w:pPr>
              <w:pStyle w:val="Compact"/>
              <w:keepNext/>
              <w:spacing w:before="0" w:after="0" w:lineRule="exact" w:line="220"/>
              <w:jc w:val="left"/>
            </w:pPr>
            <w:r>
              <w:rPr>
                <w:sz w:val="18"/>
              </w:rPr>
              <w:t xml:space="preserve">Transaction value growth, g(V)</w:t>
            </w:r>
          </w:p>
        </w:tc>
        <w:tc>
          <w:tcPr>
            <w:tcW w:w="1530" w:type="dxa"/>
          </w:tcPr>
          <w:p>
            <w:pPr>
              <w:pStyle w:val="Compact"/>
              <w:keepNext/>
              <w:spacing w:before="0" w:after="0" w:lineRule="exact" w:line="220"/>
              <w:jc w:val="left"/>
            </w:pPr>
            <w:r>
              <w:rPr>
                <w:sz w:val="18"/>
              </w:rPr>
              <w:t xml:space="preserve">15</w:t>
            </w:r>
          </w:p>
        </w:tc>
        <w:tc>
          <w:tcPr>
            <w:tcW w:w="655" w:type="dxa"/>
          </w:tcPr>
          <w:p>
            <w:pPr>
              <w:pStyle w:val="Compact"/>
              <w:keepNext/>
              <w:spacing w:before="0" w:after="0" w:lineRule="exact" w:line="220"/>
              <w:jc w:val="left"/>
            </w:pPr>
            <w:r>
              <w:rPr>
                <w:sz w:val="18"/>
              </w:rPr>
              <w:t xml:space="preserve">0.22</w:t>
            </w:r>
          </w:p>
        </w:tc>
        <w:tc>
          <w:tcPr>
            <w:tcW w:w="655" w:type="dxa"/>
          </w:tcPr>
          <w:p>
            <w:pPr>
              <w:pStyle w:val="Compact"/>
              <w:keepNext/>
              <w:spacing w:before="0" w:after="0" w:lineRule="exact" w:line="220"/>
              <w:jc w:val="left"/>
            </w:pPr>
            <w:r>
              <w:rPr>
                <w:sz w:val="18"/>
              </w:rPr>
              <w:t xml:space="preserve">0.16</w:t>
            </w:r>
          </w:p>
        </w:tc>
        <w:tc>
          <w:tcPr>
            <w:tcW w:w="655" w:type="dxa"/>
          </w:tcPr>
          <w:p>
            <w:pPr>
              <w:pStyle w:val="Compact"/>
              <w:keepNext/>
              <w:spacing w:before="0" w:after="0" w:lineRule="exact" w:line="220"/>
              <w:jc w:val="left"/>
            </w:pPr>
            <w:r>
              <w:rPr>
                <w:sz w:val="18"/>
              </w:rPr>
              <w:t xml:space="preserve">0.34</w:t>
            </w:r>
          </w:p>
        </w:tc>
        <w:tc>
          <w:tcPr>
            <w:tcW w:w="845" w:type="dxa"/>
          </w:tcPr>
          <w:p>
            <w:pPr>
              <w:pStyle w:val="Compact"/>
              <w:keepNext/>
              <w:spacing w:before="0" w:after="0" w:lineRule="exact" w:line="220"/>
              <w:jc w:val="left"/>
            </w:pPr>
            <w:r>
              <w:rPr>
                <w:sz w:val="18"/>
              </w:rPr>
              <w:t xml:space="preserve">166</w:t>
            </w:r>
          </w:p>
        </w:tc>
        <w:tc>
          <w:tcPr>
            <w:tcW w:w="750" w:type="dxa"/>
          </w:tcPr>
          <w:p>
            <w:pPr>
              <w:pStyle w:val="Compact"/>
              <w:keepNext/>
              <w:spacing w:before="0" w:after="0" w:lineRule="exact" w:line="220"/>
              <w:jc w:val="left"/>
            </w:pPr>
            <w:r>
              <w:rPr>
                <w:sz w:val="18"/>
              </w:rPr>
              <w:t xml:space="preserve">0.26</w:t>
            </w:r>
          </w:p>
        </w:tc>
        <w:tc>
          <w:tcPr>
            <w:tcW w:w="655" w:type="dxa"/>
          </w:tcPr>
          <w:p>
            <w:pPr>
              <w:pStyle w:val="Compact"/>
              <w:keepNext/>
              <w:spacing w:before="0" w:after="0" w:lineRule="exact" w:line="220"/>
              <w:jc w:val="left"/>
            </w:pPr>
            <w:r>
              <w:rPr>
                <w:sz w:val="18"/>
              </w:rPr>
              <w:t xml:space="preserve">0.16</w:t>
            </w:r>
          </w:p>
        </w:tc>
        <w:tc>
          <w:tcPr>
            <w:tcW w:w="845" w:type="dxa"/>
          </w:tcPr>
          <w:p>
            <w:pPr>
              <w:pStyle w:val="Compact"/>
              <w:keepNext/>
              <w:spacing w:before="0" w:after="0" w:lineRule="exact" w:line="220"/>
              <w:jc w:val="left"/>
            </w:pPr>
            <w:r>
              <w:rPr>
                <w:sz w:val="18"/>
              </w:rPr>
              <w:t xml:space="preserve">0.40</w:t>
            </w:r>
          </w:p>
        </w:tc>
      </w:tr>
      <w:tr>
        <w:trPr>
          <w:cantSplit/>
        </w:trPr>
        <w:tc>
          <w:tcPr>
            <w:tcW w:w="1909" w:type="dxa"/>
          </w:tcPr>
          <w:p>
            <w:pPr>
              <w:pStyle w:val="Compact"/>
              <w:keepNext/>
              <w:spacing w:before="0" w:after="0" w:lineRule="exact" w:line="220"/>
              <w:jc w:val="left"/>
            </w:pPr>
            <w:r>
              <w:rPr>
                <w:sz w:val="18"/>
              </w:rPr>
              <w:t xml:space="preserve">Total assets, US$ million</w:t>
            </w:r>
          </w:p>
        </w:tc>
        <w:tc>
          <w:tcPr>
            <w:tcW w:w="1530" w:type="dxa"/>
          </w:tcPr>
          <w:p>
            <w:pPr>
              <w:pStyle w:val="Compact"/>
              <w:keepNext/>
              <w:spacing w:before="0" w:after="0" w:lineRule="exact" w:line="220"/>
              <w:jc w:val="left"/>
            </w:pPr>
            <w:r>
              <w:rPr>
                <w:sz w:val="18"/>
              </w:rPr>
              <w:t xml:space="preserve">20</w:t>
            </w:r>
          </w:p>
        </w:tc>
        <w:tc>
          <w:tcPr>
            <w:tcW w:w="655" w:type="dxa"/>
          </w:tcPr>
          <w:p>
            <w:pPr>
              <w:pStyle w:val="Compact"/>
              <w:keepNext/>
              <w:spacing w:before="0" w:after="0" w:lineRule="exact" w:line="220"/>
              <w:jc w:val="left"/>
            </w:pPr>
            <w:r>
              <w:rPr>
                <w:sz w:val="18"/>
              </w:rPr>
              <w:t xml:space="preserve">4,300</w:t>
            </w:r>
          </w:p>
        </w:tc>
        <w:tc>
          <w:tcPr>
            <w:tcW w:w="655" w:type="dxa"/>
          </w:tcPr>
          <w:p>
            <w:pPr>
              <w:pStyle w:val="Compact"/>
              <w:keepNext/>
              <w:spacing w:before="0" w:after="0" w:lineRule="exact" w:line="220"/>
              <w:jc w:val="left"/>
            </w:pPr>
            <w:r>
              <w:rPr>
                <w:sz w:val="18"/>
              </w:rPr>
              <w:t xml:space="preserve">2,751</w:t>
            </w:r>
          </w:p>
        </w:tc>
        <w:tc>
          <w:tcPr>
            <w:tcW w:w="655" w:type="dxa"/>
          </w:tcPr>
          <w:p>
            <w:pPr>
              <w:pStyle w:val="Compact"/>
              <w:keepNext/>
              <w:spacing w:before="0" w:after="0" w:lineRule="exact" w:line="220"/>
              <w:jc w:val="left"/>
            </w:pPr>
            <w:r>
              <w:rPr>
                <w:sz w:val="18"/>
              </w:rPr>
              <w:t xml:space="preserve">3,727</w:t>
            </w:r>
          </w:p>
        </w:tc>
        <w:tc>
          <w:tcPr>
            <w:tcW w:w="845" w:type="dxa"/>
          </w:tcPr>
          <w:p>
            <w:pPr>
              <w:pStyle w:val="Compact"/>
              <w:keepNext/>
              <w:spacing w:before="0" w:after="0" w:lineRule="exact" w:line="220"/>
              <w:jc w:val="left"/>
            </w:pPr>
            <w:r>
              <w:rPr>
                <w:sz w:val="18"/>
              </w:rPr>
              <w:t xml:space="preserve">182</w:t>
            </w:r>
          </w:p>
        </w:tc>
        <w:tc>
          <w:tcPr>
            <w:tcW w:w="750" w:type="dxa"/>
          </w:tcPr>
          <w:p>
            <w:pPr>
              <w:pStyle w:val="Compact"/>
              <w:keepNext/>
              <w:spacing w:before="0" w:after="0" w:lineRule="exact" w:line="220"/>
              <w:jc w:val="left"/>
            </w:pPr>
            <w:r>
              <w:rPr>
                <w:sz w:val="18"/>
              </w:rPr>
              <w:t xml:space="preserve">13,252</w:t>
            </w:r>
          </w:p>
        </w:tc>
        <w:tc>
          <w:tcPr>
            <w:tcW w:w="655" w:type="dxa"/>
          </w:tcPr>
          <w:p>
            <w:pPr>
              <w:pStyle w:val="Compact"/>
              <w:keepNext/>
              <w:spacing w:before="0" w:after="0" w:lineRule="exact" w:line="220"/>
              <w:jc w:val="left"/>
            </w:pPr>
            <w:r>
              <w:rPr>
                <w:sz w:val="18"/>
              </w:rPr>
              <w:t xml:space="preserve">1,461</w:t>
            </w:r>
          </w:p>
        </w:tc>
        <w:tc>
          <w:tcPr>
            <w:tcW w:w="845" w:type="dxa"/>
          </w:tcPr>
          <w:p>
            <w:pPr>
              <w:pStyle w:val="Compact"/>
              <w:keepNext/>
              <w:spacing w:before="0" w:after="0" w:lineRule="exact" w:line="220"/>
              <w:jc w:val="left"/>
            </w:pPr>
            <w:r>
              <w:rPr>
                <w:sz w:val="18"/>
              </w:rPr>
              <w:t xml:space="preserve">35,325</w:t>
            </w:r>
          </w:p>
        </w:tc>
      </w:tr>
      <w:tr>
        <w:trPr>
          <w:cantSplit/>
        </w:trPr>
        <w:tc>
          <w:tcPr>
            <w:tcW w:w="1909" w:type="dxa"/>
          </w:tcPr>
          <w:p>
            <w:pPr>
              <w:pStyle w:val="Compact"/>
              <w:keepNext/>
              <w:spacing w:before="0" w:after="0" w:lineRule="exact" w:line="220"/>
              <w:jc w:val="left"/>
            </w:pPr>
            <w:r>
              <w:rPr>
                <w:sz w:val="18"/>
              </w:rPr>
              <w:t xml:space="preserve">Years since listing</w:t>
            </w:r>
          </w:p>
        </w:tc>
        <w:tc>
          <w:tcPr>
            <w:tcW w:w="1530" w:type="dxa"/>
          </w:tcPr>
          <w:p>
            <w:pPr>
              <w:pStyle w:val="Compact"/>
              <w:keepNext/>
              <w:spacing w:before="0" w:after="0" w:lineRule="exact" w:line="220"/>
              <w:jc w:val="left"/>
            </w:pPr>
            <w:r>
              <w:rPr>
                <w:sz w:val="18"/>
              </w:rPr>
              <w:t xml:space="preserve">20</w:t>
            </w:r>
          </w:p>
        </w:tc>
        <w:tc>
          <w:tcPr>
            <w:tcW w:w="655" w:type="dxa"/>
          </w:tcPr>
          <w:p>
            <w:pPr>
              <w:pStyle w:val="Compact"/>
              <w:keepNext/>
              <w:spacing w:before="0" w:after="0" w:lineRule="exact" w:line="220"/>
              <w:jc w:val="left"/>
            </w:pPr>
            <w:r>
              <w:rPr>
                <w:sz w:val="18"/>
              </w:rPr>
              <w:t xml:space="preserve">1.10</w:t>
            </w:r>
          </w:p>
        </w:tc>
        <w:tc>
          <w:tcPr>
            <w:tcW w:w="655" w:type="dxa"/>
          </w:tcPr>
          <w:p>
            <w:pPr>
              <w:pStyle w:val="Compact"/>
              <w:keepNext/>
              <w:spacing w:before="0" w:after="0" w:lineRule="exact" w:line="220"/>
              <w:jc w:val="left"/>
            </w:pPr>
            <w:r>
              <w:rPr>
                <w:sz w:val="18"/>
              </w:rPr>
              <w:t xml:space="preserve">1.00</w:t>
            </w:r>
          </w:p>
        </w:tc>
        <w:tc>
          <w:tcPr>
            <w:tcW w:w="655" w:type="dxa"/>
          </w:tcPr>
          <w:p>
            <w:pPr>
              <w:pStyle w:val="Compact"/>
              <w:keepNext/>
              <w:spacing w:before="0" w:after="0" w:lineRule="exact" w:line="220"/>
              <w:jc w:val="left"/>
            </w:pPr>
            <w:r>
              <w:rPr>
                <w:sz w:val="18"/>
              </w:rPr>
              <w:t xml:space="preserve">1.12</w:t>
            </w:r>
          </w:p>
        </w:tc>
        <w:tc>
          <w:tcPr>
            <w:tcW w:w="845" w:type="dxa"/>
          </w:tcPr>
          <w:p>
            <w:pPr>
              <w:pStyle w:val="Compact"/>
              <w:keepNext/>
              <w:spacing w:before="0" w:after="0" w:lineRule="exact" w:line="220"/>
              <w:jc w:val="left"/>
            </w:pPr>
            <w:r>
              <w:rPr>
                <w:sz w:val="18"/>
              </w:rPr>
              <w:t xml:space="preserve">193</w:t>
            </w:r>
          </w:p>
        </w:tc>
        <w:tc>
          <w:tcPr>
            <w:tcW w:w="750" w:type="dxa"/>
          </w:tcPr>
          <w:p>
            <w:pPr>
              <w:pStyle w:val="Compact"/>
              <w:keepNext/>
              <w:spacing w:before="0" w:after="0" w:lineRule="exact" w:line="220"/>
              <w:jc w:val="left"/>
            </w:pPr>
            <w:r>
              <w:rPr>
                <w:sz w:val="18"/>
              </w:rPr>
              <w:t xml:space="preserve">6.38</w:t>
            </w:r>
          </w:p>
        </w:tc>
        <w:tc>
          <w:tcPr>
            <w:tcW w:w="655" w:type="dxa"/>
          </w:tcPr>
          <w:p>
            <w:pPr>
              <w:pStyle w:val="Compact"/>
              <w:keepNext/>
              <w:spacing w:before="0" w:after="0" w:lineRule="exact" w:line="220"/>
              <w:jc w:val="left"/>
            </w:pPr>
            <w:r>
              <w:rPr>
                <w:sz w:val="18"/>
              </w:rPr>
              <w:t xml:space="preserve">4.00</w:t>
            </w:r>
          </w:p>
        </w:tc>
        <w:tc>
          <w:tcPr>
            <w:tcW w:w="845" w:type="dxa"/>
          </w:tcPr>
          <w:p>
            <w:pPr>
              <w:pStyle w:val="Compact"/>
              <w:keepNext/>
              <w:spacing w:before="0" w:after="0" w:lineRule="exact" w:line="220"/>
              <w:jc w:val="left"/>
            </w:pPr>
            <w:r>
              <w:rPr>
                <w:sz w:val="18"/>
              </w:rPr>
              <w:t xml:space="preserve">7.21</w:t>
            </w:r>
          </w:p>
        </w:tc>
      </w:tr>
      <w:tr>
        <w:trPr>
          <w:cantSplit/>
        </w:trPr>
        <w:tc>
          <w:tcPr>
            <w:tcW w:w="1909" w:type="dxa"/>
          </w:tcPr>
          <w:p>
            <w:pPr>
              <w:pStyle w:val="Compact"/>
              <w:keepNext/>
              <w:spacing w:before="0" w:after="0" w:lineRule="exact" w:line="220"/>
              <w:jc w:val="left"/>
            </w:pPr>
            <w:r>
              <w:rPr>
                <w:sz w:val="18"/>
              </w:rPr>
              <w:t xml:space="preserve">GDP growth, percent</w:t>
            </w:r>
          </w:p>
        </w:tc>
        <w:tc>
          <w:tcPr>
            <w:tcW w:w="1530" w:type="dxa"/>
          </w:tcPr>
          <w:p>
            <w:pPr>
              <w:pStyle w:val="Compact"/>
              <w:keepNext/>
              <w:spacing w:before="0" w:after="0" w:lineRule="exact" w:line="220"/>
              <w:jc w:val="left"/>
            </w:pPr>
            <w:r>
              <w:rPr>
                <w:sz w:val="18"/>
              </w:rPr>
              <w:t xml:space="preserve">20</w:t>
            </w:r>
          </w:p>
        </w:tc>
        <w:tc>
          <w:tcPr>
            <w:tcW w:w="655" w:type="dxa"/>
          </w:tcPr>
          <w:p>
            <w:pPr>
              <w:pStyle w:val="Compact"/>
              <w:keepNext/>
              <w:spacing w:before="0" w:after="0" w:lineRule="exact" w:line="220"/>
              <w:jc w:val="left"/>
            </w:pPr>
            <w:r>
              <w:rPr>
                <w:sz w:val="18"/>
              </w:rPr>
              <w:t xml:space="preserve">4.20</w:t>
            </w:r>
          </w:p>
        </w:tc>
        <w:tc>
          <w:tcPr>
            <w:tcW w:w="655" w:type="dxa"/>
          </w:tcPr>
          <w:p>
            <w:pPr>
              <w:pStyle w:val="Compact"/>
              <w:keepNext/>
              <w:spacing w:before="0" w:after="0" w:lineRule="exact" w:line="220"/>
              <w:jc w:val="left"/>
            </w:pPr>
            <w:r>
              <w:rPr>
                <w:sz w:val="18"/>
              </w:rPr>
              <w:t xml:space="preserve">5.05</w:t>
            </w:r>
          </w:p>
        </w:tc>
        <w:tc>
          <w:tcPr>
            <w:tcW w:w="655" w:type="dxa"/>
          </w:tcPr>
          <w:p>
            <w:pPr>
              <w:pStyle w:val="Compact"/>
              <w:keepNext/>
              <w:spacing w:before="0" w:after="0" w:lineRule="exact" w:line="220"/>
              <w:jc w:val="left"/>
            </w:pPr>
            <w:r>
              <w:rPr>
                <w:sz w:val="18"/>
              </w:rPr>
              <w:t xml:space="preserve">2.21</w:t>
            </w:r>
          </w:p>
        </w:tc>
        <w:tc>
          <w:tcPr>
            <w:tcW w:w="845" w:type="dxa"/>
          </w:tcPr>
          <w:p>
            <w:pPr>
              <w:pStyle w:val="Compact"/>
              <w:keepNext/>
              <w:spacing w:before="0" w:after="0" w:lineRule="exact" w:line="220"/>
              <w:jc w:val="left"/>
            </w:pPr>
            <w:r>
              <w:rPr>
                <w:sz w:val="18"/>
              </w:rPr>
              <w:t xml:space="preserve">193</w:t>
            </w:r>
          </w:p>
        </w:tc>
        <w:tc>
          <w:tcPr>
            <w:tcW w:w="750" w:type="dxa"/>
          </w:tcPr>
          <w:p>
            <w:pPr>
              <w:pStyle w:val="Compact"/>
              <w:keepNext/>
              <w:spacing w:before="0" w:after="0" w:lineRule="exact" w:line="220"/>
              <w:jc w:val="left"/>
            </w:pPr>
            <w:r>
              <w:rPr>
                <w:sz w:val="18"/>
              </w:rPr>
              <w:t xml:space="preserve">3.06</w:t>
            </w:r>
          </w:p>
        </w:tc>
        <w:tc>
          <w:tcPr>
            <w:tcW w:w="655" w:type="dxa"/>
          </w:tcPr>
          <w:p>
            <w:pPr>
              <w:pStyle w:val="Compact"/>
              <w:keepNext/>
              <w:spacing w:before="0" w:after="0" w:lineRule="exact" w:line="220"/>
              <w:jc w:val="left"/>
            </w:pPr>
            <w:r>
              <w:rPr>
                <w:sz w:val="18"/>
              </w:rPr>
              <w:t xml:space="preserve">2.79</w:t>
            </w:r>
          </w:p>
        </w:tc>
        <w:tc>
          <w:tcPr>
            <w:tcW w:w="845" w:type="dxa"/>
          </w:tcPr>
          <w:p>
            <w:pPr>
              <w:pStyle w:val="Compact"/>
              <w:keepNext/>
              <w:spacing w:before="0" w:after="0" w:lineRule="exact" w:line="220"/>
              <w:jc w:val="left"/>
            </w:pPr>
            <w:r>
              <w:rPr>
                <w:sz w:val="18"/>
              </w:rPr>
              <w:t xml:space="preserve">3.00</w:t>
            </w:r>
          </w:p>
        </w:tc>
      </w:tr>
      <w:tr>
        <w:trPr>
          <w:cantSplit/>
        </w:trPr>
        <w:tc>
          <w:tcPr>
            <w:tcW w:w="1909" w:type="dxa"/>
          </w:tcPr>
          <w:p>
            <w:pPr>
              <w:pStyle w:val="Compact"/>
              <w:keepNext/>
              <w:spacing w:before="0" w:after="0" w:lineRule="exact" w:line="220"/>
              <w:jc w:val="left"/>
            </w:pPr>
            <w:r>
              <w:rPr>
                <w:sz w:val="18"/>
              </w:rPr>
              <w:t xml:space="preserve">Inflation, percent</w:t>
            </w:r>
          </w:p>
        </w:tc>
        <w:tc>
          <w:tcPr>
            <w:tcW w:w="1530" w:type="dxa"/>
          </w:tcPr>
          <w:p>
            <w:pPr>
              <w:pStyle w:val="Compact"/>
              <w:keepNext/>
              <w:spacing w:before="0" w:after="0" w:lineRule="exact" w:line="220"/>
              <w:jc w:val="left"/>
            </w:pPr>
            <w:r>
              <w:rPr>
                <w:sz w:val="18"/>
              </w:rPr>
              <w:t xml:space="preserve">20</w:t>
            </w:r>
          </w:p>
        </w:tc>
        <w:tc>
          <w:tcPr>
            <w:tcW w:w="655" w:type="dxa"/>
          </w:tcPr>
          <w:p>
            <w:pPr>
              <w:pStyle w:val="Compact"/>
              <w:keepNext/>
              <w:spacing w:before="0" w:after="0" w:lineRule="exact" w:line="220"/>
              <w:jc w:val="left"/>
            </w:pPr>
            <w:r>
              <w:rPr>
                <w:sz w:val="18"/>
              </w:rPr>
              <w:t xml:space="preserve">2.91</w:t>
            </w:r>
          </w:p>
        </w:tc>
        <w:tc>
          <w:tcPr>
            <w:tcW w:w="655" w:type="dxa"/>
          </w:tcPr>
          <w:p>
            <w:pPr>
              <w:pStyle w:val="Compact"/>
              <w:keepNext/>
              <w:spacing w:before="0" w:after="0" w:lineRule="exact" w:line="220"/>
              <w:jc w:val="left"/>
            </w:pPr>
            <w:r>
              <w:rPr>
                <w:sz w:val="18"/>
              </w:rPr>
              <w:t xml:space="preserve">2.93</w:t>
            </w:r>
          </w:p>
        </w:tc>
        <w:tc>
          <w:tcPr>
            <w:tcW w:w="655" w:type="dxa"/>
          </w:tcPr>
          <w:p>
            <w:pPr>
              <w:pStyle w:val="Compact"/>
              <w:keepNext/>
              <w:spacing w:before="0" w:after="0" w:lineRule="exact" w:line="220"/>
              <w:jc w:val="left"/>
            </w:pPr>
            <w:r>
              <w:rPr>
                <w:sz w:val="18"/>
              </w:rPr>
              <w:t xml:space="preserve">1.08</w:t>
            </w:r>
          </w:p>
        </w:tc>
        <w:tc>
          <w:tcPr>
            <w:tcW w:w="845" w:type="dxa"/>
          </w:tcPr>
          <w:p>
            <w:pPr>
              <w:pStyle w:val="Compact"/>
              <w:keepNext/>
              <w:spacing w:before="0" w:after="0" w:lineRule="exact" w:line="220"/>
              <w:jc w:val="left"/>
            </w:pPr>
            <w:r>
              <w:rPr>
                <w:sz w:val="18"/>
              </w:rPr>
              <w:t xml:space="preserve">179</w:t>
            </w:r>
          </w:p>
        </w:tc>
        <w:tc>
          <w:tcPr>
            <w:tcW w:w="750" w:type="dxa"/>
          </w:tcPr>
          <w:p>
            <w:pPr>
              <w:pStyle w:val="Compact"/>
              <w:keepNext/>
              <w:spacing w:before="0" w:after="0" w:lineRule="exact" w:line="220"/>
              <w:jc w:val="left"/>
            </w:pPr>
            <w:r>
              <w:rPr>
                <w:sz w:val="18"/>
              </w:rPr>
              <w:t xml:space="preserve">8.55</w:t>
            </w:r>
          </w:p>
        </w:tc>
        <w:tc>
          <w:tcPr>
            <w:tcW w:w="655" w:type="dxa"/>
          </w:tcPr>
          <w:p>
            <w:pPr>
              <w:pStyle w:val="Compact"/>
              <w:keepNext/>
              <w:spacing w:before="0" w:after="0" w:lineRule="exact" w:line="220"/>
              <w:jc w:val="left"/>
            </w:pPr>
            <w:r>
              <w:rPr>
                <w:sz w:val="18"/>
              </w:rPr>
              <w:t xml:space="preserve">2.95</w:t>
            </w:r>
          </w:p>
        </w:tc>
        <w:tc>
          <w:tcPr>
            <w:tcW w:w="845" w:type="dxa"/>
          </w:tcPr>
          <w:p>
            <w:pPr>
              <w:pStyle w:val="Compact"/>
              <w:keepNext/>
              <w:spacing w:before="0" w:after="0" w:lineRule="exact" w:line="220"/>
              <w:jc w:val="left"/>
            </w:pPr>
            <w:r>
              <w:rPr>
                <w:sz w:val="18"/>
              </w:rPr>
              <w:t xml:space="preserve">21.84</w:t>
            </w:r>
          </w:p>
        </w:tc>
      </w:tr>
      <w:tr>
        <w:trPr>
          <w:cantSplit/>
        </w:trPr>
        <w:tc>
          <w:tcPr>
            <w:tcW w:w="1909" w:type="dxa"/>
          </w:tcPr>
          <w:p>
            <w:pPr>
              <w:pStyle w:val="Compact"/>
              <w:keepNext/>
              <w:spacing w:before="0" w:after="0" w:lineRule="exact" w:line="220"/>
              <w:jc w:val="left"/>
            </w:pPr>
            <w:r>
              <w:rPr>
                <w:sz w:val="18"/>
              </w:rPr>
              <w:t xml:space="preserve">Household spending growth, percent</w:t>
            </w:r>
          </w:p>
        </w:tc>
        <w:tc>
          <w:tcPr>
            <w:tcW w:w="1530" w:type="dxa"/>
          </w:tcPr>
          <w:p>
            <w:pPr>
              <w:pStyle w:val="Compact"/>
              <w:keepNext/>
              <w:spacing w:before="0" w:after="0" w:lineRule="exact" w:line="220"/>
              <w:jc w:val="left"/>
            </w:pPr>
            <w:r>
              <w:rPr>
                <w:sz w:val="18"/>
              </w:rPr>
              <w:t xml:space="preserve">20</w:t>
            </w:r>
          </w:p>
        </w:tc>
        <w:tc>
          <w:tcPr>
            <w:tcW w:w="655" w:type="dxa"/>
          </w:tcPr>
          <w:p>
            <w:pPr>
              <w:pStyle w:val="Compact"/>
              <w:keepNext/>
              <w:spacing w:before="0" w:after="0" w:lineRule="exact" w:line="220"/>
              <w:jc w:val="left"/>
            </w:pPr>
            <w:r>
              <w:rPr>
                <w:sz w:val="18"/>
              </w:rPr>
              <w:t xml:space="preserve">3.77</w:t>
            </w:r>
          </w:p>
        </w:tc>
        <w:tc>
          <w:tcPr>
            <w:tcW w:w="655" w:type="dxa"/>
          </w:tcPr>
          <w:p>
            <w:pPr>
              <w:pStyle w:val="Compact"/>
              <w:keepNext/>
              <w:spacing w:before="0" w:after="0" w:lineRule="exact" w:line="220"/>
              <w:jc w:val="left"/>
            </w:pPr>
            <w:r>
              <w:rPr>
                <w:sz w:val="18"/>
              </w:rPr>
              <w:t xml:space="preserve">4.95</w:t>
            </w:r>
          </w:p>
        </w:tc>
        <w:tc>
          <w:tcPr>
            <w:tcW w:w="655" w:type="dxa"/>
          </w:tcPr>
          <w:p>
            <w:pPr>
              <w:pStyle w:val="Compact"/>
              <w:keepNext/>
              <w:spacing w:before="0" w:after="0" w:lineRule="exact" w:line="220"/>
              <w:jc w:val="left"/>
            </w:pPr>
            <w:r>
              <w:rPr>
                <w:sz w:val="18"/>
              </w:rPr>
              <w:t xml:space="preserve">2.45</w:t>
            </w:r>
          </w:p>
        </w:tc>
        <w:tc>
          <w:tcPr>
            <w:tcW w:w="845" w:type="dxa"/>
          </w:tcPr>
          <w:p>
            <w:pPr>
              <w:pStyle w:val="Compact"/>
              <w:keepNext/>
              <w:spacing w:before="0" w:after="0" w:lineRule="exact" w:line="220"/>
              <w:jc w:val="left"/>
            </w:pPr>
            <w:r>
              <w:rPr>
                <w:sz w:val="18"/>
              </w:rPr>
              <w:t xml:space="preserve">174</w:t>
            </w:r>
          </w:p>
        </w:tc>
        <w:tc>
          <w:tcPr>
            <w:tcW w:w="750" w:type="dxa"/>
          </w:tcPr>
          <w:p>
            <w:pPr>
              <w:pStyle w:val="Compact"/>
              <w:keepNext/>
              <w:spacing w:before="0" w:after="0" w:lineRule="exact" w:line="220"/>
              <w:jc w:val="left"/>
            </w:pPr>
            <w:r>
              <w:rPr>
                <w:sz w:val="18"/>
              </w:rPr>
              <w:t xml:space="preserve">3.55</w:t>
            </w:r>
          </w:p>
        </w:tc>
        <w:tc>
          <w:tcPr>
            <w:tcW w:w="655" w:type="dxa"/>
          </w:tcPr>
          <w:p>
            <w:pPr>
              <w:pStyle w:val="Compact"/>
              <w:keepNext/>
              <w:spacing w:before="0" w:after="0" w:lineRule="exact" w:line="220"/>
              <w:jc w:val="left"/>
            </w:pPr>
            <w:r>
              <w:rPr>
                <w:sz w:val="18"/>
              </w:rPr>
              <w:t xml:space="preserve">2.95</w:t>
            </w:r>
          </w:p>
        </w:tc>
        <w:tc>
          <w:tcPr>
            <w:tcW w:w="845" w:type="dxa"/>
          </w:tcPr>
          <w:p>
            <w:pPr>
              <w:pStyle w:val="Compact"/>
              <w:keepNext/>
              <w:spacing w:before="0" w:after="0" w:lineRule="exact" w:line="220"/>
              <w:jc w:val="left"/>
            </w:pPr>
            <w:r>
              <w:rPr>
                <w:sz w:val="18"/>
              </w:rPr>
              <w:t xml:space="preserve">4.21</w:t>
            </w:r>
          </w:p>
        </w:tc>
      </w:tr>
      <w:tr>
        <w:trPr>
          <w:cantSplit/>
        </w:trPr>
        <w:tc>
          <w:tcPr>
            <w:tcW w:w="1909" w:type="dxa"/>
          </w:tcPr>
          <w:p>
            <w:pPr>
              <w:pStyle w:val="Compact"/>
              <w:spacing w:before="0" w:after="0" w:lineRule="exact" w:line="220"/>
              <w:jc w:val="left"/>
            </w:pPr>
            <w:r>
              <w:rPr>
                <w:sz w:val="18"/>
              </w:rPr>
              <w:t xml:space="preserve">Policy rate, percent</w:t>
            </w:r>
          </w:p>
        </w:tc>
        <w:tc>
          <w:tcPr>
            <w:tcW w:w="1530" w:type="dxa"/>
          </w:tcPr>
          <w:p>
            <w:pPr>
              <w:pStyle w:val="Compact"/>
              <w:spacing w:before="0" w:after="0" w:lineRule="exact" w:line="220"/>
              <w:jc w:val="left"/>
            </w:pPr>
            <w:r>
              <w:rPr>
                <w:sz w:val="18"/>
              </w:rPr>
              <w:t xml:space="preserve">20</w:t>
            </w:r>
          </w:p>
        </w:tc>
        <w:tc>
          <w:tcPr>
            <w:tcW w:w="655" w:type="dxa"/>
          </w:tcPr>
          <w:p>
            <w:pPr>
              <w:pStyle w:val="Compact"/>
              <w:spacing w:before="0" w:after="0" w:lineRule="exact" w:line="220"/>
              <w:jc w:val="left"/>
            </w:pPr>
            <w:r>
              <w:rPr>
                <w:sz w:val="18"/>
              </w:rPr>
              <w:t xml:space="preserve">4.85</w:t>
            </w:r>
          </w:p>
        </w:tc>
        <w:tc>
          <w:tcPr>
            <w:tcW w:w="655" w:type="dxa"/>
          </w:tcPr>
          <w:p>
            <w:pPr>
              <w:pStyle w:val="Compact"/>
              <w:spacing w:before="0" w:after="0" w:lineRule="exact" w:line="220"/>
              <w:jc w:val="left"/>
            </w:pPr>
            <w:r>
              <w:rPr>
                <w:sz w:val="18"/>
              </w:rPr>
              <w:t xml:space="preserve">4.76</w:t>
            </w:r>
          </w:p>
        </w:tc>
        <w:tc>
          <w:tcPr>
            <w:tcW w:w="655" w:type="dxa"/>
          </w:tcPr>
          <w:p>
            <w:pPr>
              <w:pStyle w:val="Compact"/>
              <w:spacing w:before="0" w:after="0" w:lineRule="exact" w:line="220"/>
              <w:jc w:val="left"/>
            </w:pPr>
            <w:r>
              <w:rPr>
                <w:sz w:val="18"/>
              </w:rPr>
              <w:t xml:space="preserve">1.01</w:t>
            </w:r>
          </w:p>
        </w:tc>
        <w:tc>
          <w:tcPr>
            <w:tcW w:w="845" w:type="dxa"/>
          </w:tcPr>
          <w:p>
            <w:pPr>
              <w:pStyle w:val="Compact"/>
              <w:spacing w:before="0" w:after="0" w:lineRule="exact" w:line="220"/>
              <w:jc w:val="left"/>
            </w:pPr>
            <w:r>
              <w:rPr>
                <w:sz w:val="18"/>
              </w:rPr>
              <w:t xml:space="preserve">183</w:t>
            </w:r>
          </w:p>
        </w:tc>
        <w:tc>
          <w:tcPr>
            <w:tcW w:w="750" w:type="dxa"/>
          </w:tcPr>
          <w:p>
            <w:pPr>
              <w:pStyle w:val="Compact"/>
              <w:spacing w:before="0" w:after="0" w:lineRule="exact" w:line="220"/>
              <w:jc w:val="left"/>
            </w:pPr>
            <w:r>
              <w:rPr>
                <w:sz w:val="18"/>
              </w:rPr>
              <w:t xml:space="preserve">6.24</w:t>
            </w:r>
          </w:p>
        </w:tc>
        <w:tc>
          <w:tcPr>
            <w:tcW w:w="655" w:type="dxa"/>
          </w:tcPr>
          <w:p>
            <w:pPr>
              <w:pStyle w:val="Compact"/>
              <w:spacing w:before="0" w:after="0" w:lineRule="exact" w:line="220"/>
              <w:jc w:val="left"/>
            </w:pPr>
            <w:r>
              <w:rPr>
                <w:sz w:val="18"/>
              </w:rPr>
              <w:t xml:space="preserve">3.91</w:t>
            </w:r>
          </w:p>
        </w:tc>
        <w:tc>
          <w:tcPr>
            <w:tcW w:w="845" w:type="dxa"/>
          </w:tcPr>
          <w:p>
            <w:pPr>
              <w:pStyle w:val="Compact"/>
              <w:spacing w:before="0" w:after="0" w:lineRule="exact" w:line="220"/>
              <w:jc w:val="left"/>
            </w:pPr>
            <w:r>
              <w:rPr>
                <w:sz w:val="18"/>
              </w:rPr>
              <w:t xml:space="preserve">12.34</w:t>
            </w:r>
          </w:p>
        </w:tc>
      </w:tr>
    </w:tbl>
    <w:p>
      <w:pPr>
        <w:pStyle w:val="TableNote"/>
        <w:keepNext/>
      </w:pPr>
      <w:r>
        <w:rPr>
          <w:iCs/>
          <w:i/>
        </w:rPr>
        <w:t xml:space="preserve">Panel B. Pairwise correlations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500"/>
        <w:gridCol w:w="778"/>
        <w:gridCol w:w="778"/>
        <w:gridCol w:w="778"/>
        <w:gridCol w:w="778"/>
        <w:gridCol w:w="778"/>
        <w:gridCol w:w="778"/>
        <w:gridCol w:w="778"/>
        <w:gridCol w:w="778"/>
        <w:gridCol w:w="778"/>
      </w:tblGrid>
      <w:tr>
        <w:trPr>
          <w:tblHeader w:val="true"/>
          <w:cantSplit/>
          <w:tblHeader/>
        </w:trPr>
        <w:tc>
          <w:tcPr>
            <w:tcW w:w="1500" w:type="dxa"/>
            <w:tcBorders>
              <w:bottom w:val="single" w:sz="5" w:space="0" w:color="000000"/>
            </w:tcBorders>
          </w:tcPr>
          <w:p>
            <w:pPr>
              <w:pStyle w:val="Compact"/>
              <w:keepNext/>
              <w:spacing w:before="0" w:after="0" w:lineRule="exact" w:line="220"/>
              <w:jc w:val="left"/>
            </w:pPr>
            <w:r>
              <w:rPr>
                <w:b/>
                <w:sz w:val="16"/>
              </w:rPr>
              <w:t xml:space="preserve">Variables</w:t>
            </w:r>
          </w:p>
        </w:tc>
        <w:tc>
          <w:tcPr>
            <w:tcW w:w="778" w:type="dxa"/>
            <w:tcBorders>
              <w:bottom w:val="single" w:sz="5" w:space="0" w:color="000000"/>
            </w:tcBorders>
          </w:tcPr>
          <w:p>
            <w:pPr>
              <w:pStyle w:val="Compact"/>
              <w:keepNext/>
              <w:spacing w:before="0" w:after="0" w:lineRule="exact" w:line="220"/>
              <w:jc w:val="left"/>
            </w:pPr>
            <w:r>
              <w:rPr>
                <w:b/>
                <w:sz w:val="16"/>
              </w:rPr>
              <w:t xml:space="preserve">(1)</w:t>
            </w:r>
          </w:p>
        </w:tc>
        <w:tc>
          <w:tcPr>
            <w:tcW w:w="778" w:type="dxa"/>
            <w:tcBorders>
              <w:bottom w:val="single" w:sz="5" w:space="0" w:color="000000"/>
            </w:tcBorders>
          </w:tcPr>
          <w:p>
            <w:pPr>
              <w:pStyle w:val="Compact"/>
              <w:keepNext/>
              <w:spacing w:before="0" w:after="0" w:lineRule="exact" w:line="220"/>
              <w:jc w:val="left"/>
            </w:pPr>
            <w:r>
              <w:rPr>
                <w:b/>
                <w:sz w:val="16"/>
              </w:rPr>
              <w:t xml:space="preserve">(2)</w:t>
            </w:r>
          </w:p>
        </w:tc>
        <w:tc>
          <w:tcPr>
            <w:tcW w:w="778" w:type="dxa"/>
            <w:tcBorders>
              <w:bottom w:val="single" w:sz="5" w:space="0" w:color="000000"/>
            </w:tcBorders>
          </w:tcPr>
          <w:p>
            <w:pPr>
              <w:pStyle w:val="Compact"/>
              <w:keepNext/>
              <w:spacing w:before="0" w:after="0" w:lineRule="exact" w:line="220"/>
              <w:jc w:val="left"/>
            </w:pPr>
            <w:r>
              <w:rPr>
                <w:b/>
                <w:sz w:val="16"/>
              </w:rPr>
              <w:t xml:space="preserve">(3)</w:t>
            </w:r>
          </w:p>
        </w:tc>
        <w:tc>
          <w:tcPr>
            <w:tcW w:w="778" w:type="dxa"/>
            <w:tcBorders>
              <w:bottom w:val="single" w:sz="5" w:space="0" w:color="000000"/>
            </w:tcBorders>
          </w:tcPr>
          <w:p>
            <w:pPr>
              <w:pStyle w:val="Compact"/>
              <w:keepNext/>
              <w:spacing w:before="0" w:after="0" w:lineRule="exact" w:line="220"/>
              <w:jc w:val="left"/>
            </w:pPr>
            <w:r>
              <w:rPr>
                <w:b/>
                <w:sz w:val="16"/>
              </w:rPr>
              <w:t xml:space="preserve">(4)</w:t>
            </w:r>
          </w:p>
        </w:tc>
        <w:tc>
          <w:tcPr>
            <w:tcW w:w="778" w:type="dxa"/>
            <w:tcBorders>
              <w:bottom w:val="single" w:sz="5" w:space="0" w:color="000000"/>
            </w:tcBorders>
          </w:tcPr>
          <w:p>
            <w:pPr>
              <w:pStyle w:val="Compact"/>
              <w:keepNext/>
              <w:spacing w:before="0" w:after="0" w:lineRule="exact" w:line="220"/>
              <w:jc w:val="left"/>
            </w:pPr>
            <w:r>
              <w:rPr>
                <w:b/>
                <w:sz w:val="16"/>
              </w:rPr>
              <w:t xml:space="preserve">(5)</w:t>
            </w:r>
          </w:p>
        </w:tc>
        <w:tc>
          <w:tcPr>
            <w:tcW w:w="778" w:type="dxa"/>
            <w:tcBorders>
              <w:bottom w:val="single" w:sz="5" w:space="0" w:color="000000"/>
            </w:tcBorders>
          </w:tcPr>
          <w:p>
            <w:pPr>
              <w:pStyle w:val="Compact"/>
              <w:keepNext/>
              <w:spacing w:before="0" w:after="0" w:lineRule="exact" w:line="220"/>
              <w:jc w:val="left"/>
            </w:pPr>
            <w:r>
              <w:rPr>
                <w:b/>
                <w:sz w:val="16"/>
              </w:rPr>
              <w:t xml:space="preserve">(6)</w:t>
            </w:r>
          </w:p>
        </w:tc>
        <w:tc>
          <w:tcPr>
            <w:tcW w:w="778" w:type="dxa"/>
            <w:tcBorders>
              <w:bottom w:val="single" w:sz="5" w:space="0" w:color="000000"/>
            </w:tcBorders>
          </w:tcPr>
          <w:p>
            <w:pPr>
              <w:pStyle w:val="Compact"/>
              <w:keepNext/>
              <w:spacing w:before="0" w:after="0" w:lineRule="exact" w:line="220"/>
              <w:jc w:val="left"/>
            </w:pPr>
            <w:r>
              <w:rPr>
                <w:b/>
                <w:sz w:val="16"/>
              </w:rPr>
              <w:t xml:space="preserve">(7)</w:t>
            </w:r>
          </w:p>
        </w:tc>
        <w:tc>
          <w:tcPr>
            <w:tcW w:w="778" w:type="dxa"/>
            <w:tcBorders>
              <w:bottom w:val="single" w:sz="5" w:space="0" w:color="000000"/>
            </w:tcBorders>
          </w:tcPr>
          <w:p>
            <w:pPr>
              <w:pStyle w:val="Compact"/>
              <w:keepNext/>
              <w:spacing w:before="0" w:after="0" w:lineRule="exact" w:line="220"/>
              <w:jc w:val="left"/>
            </w:pPr>
            <w:r>
              <w:rPr>
                <w:b/>
                <w:sz w:val="16"/>
              </w:rPr>
              <w:t xml:space="preserve">(8)</w:t>
            </w:r>
          </w:p>
        </w:tc>
        <w:tc>
          <w:tcPr>
            <w:tcW w:w="778" w:type="dxa"/>
            <w:tcBorders>
              <w:bottom w:val="single" w:sz="5" w:space="0" w:color="000000"/>
            </w:tcBorders>
          </w:tcPr>
          <w:p>
            <w:pPr>
              <w:pStyle w:val="Compact"/>
              <w:keepNext/>
              <w:spacing w:before="0" w:after="0" w:lineRule="exact" w:line="220"/>
              <w:jc w:val="left"/>
            </w:pPr>
            <w:r>
              <w:rPr>
                <w:b/>
                <w:sz w:val="16"/>
              </w:rPr>
              <w:t xml:space="preserve">(9)</w:t>
            </w:r>
          </w:p>
        </w:tc>
      </w:tr>
      <w:tr>
        <w:trPr>
          <w:cantSplit/>
        </w:trPr>
        <w:tc>
          <w:tcPr>
            <w:tcW w:w="1500" w:type="dxa"/>
          </w:tcPr>
          <w:p>
            <w:pPr>
              <w:pStyle w:val="Compact"/>
              <w:keepNext/>
              <w:spacing w:before="0" w:after="0" w:lineRule="exact" w:line="220"/>
              <w:jc w:val="left"/>
            </w:pPr>
            <w:r>
              <w:rPr>
                <w:sz w:val="16"/>
              </w:rPr>
              <w:t xml:space="preserve">(1) ln(Wedge)</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r>
      <w:tr>
        <w:trPr>
          <w:cantSplit/>
        </w:trPr>
        <w:tc>
          <w:tcPr>
            <w:tcW w:w="1500" w:type="dxa"/>
          </w:tcPr>
          <w:p>
            <w:pPr>
              <w:pStyle w:val="Compact"/>
              <w:keepNext/>
              <w:spacing w:before="0" w:after="0" w:lineRule="exact" w:line="220"/>
              <w:jc w:val="left"/>
            </w:pPr>
            <w:r>
              <w:rPr>
                <w:sz w:val="16"/>
              </w:rPr>
              <w:t xml:space="preserve">(2) Ecosystem ratio</w:t>
            </w:r>
          </w:p>
        </w:tc>
        <w:tc>
          <w:tcPr>
            <w:tcW w:w="778" w:type="dxa"/>
          </w:tcPr>
          <w:p>
            <w:pPr>
              <w:pStyle w:val="Compact"/>
              <w:keepNext/>
              <w:spacing w:before="0" w:after="0" w:lineRule="exact" w:line="220"/>
              <w:jc w:val="left"/>
            </w:pPr>
            <w:r>
              <w:rPr>
                <w:sz w:val="16"/>
              </w:rPr>
              <w:t xml:space="preserve">0.37∗∗∗</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r>
      <w:tr>
        <w:trPr>
          <w:cantSplit/>
        </w:trPr>
        <w:tc>
          <w:tcPr>
            <w:tcW w:w="1500" w:type="dxa"/>
          </w:tcPr>
          <w:p>
            <w:pPr>
              <w:pStyle w:val="Compact"/>
              <w:keepNext/>
              <w:spacing w:before="0" w:after="0" w:lineRule="exact" w:line="220"/>
              <w:jc w:val="left"/>
            </w:pPr>
            <w:r>
              <w:rPr>
                <w:sz w:val="16"/>
              </w:rPr>
              <w:t xml:space="preserve">(3) g(R)</w:t>
            </w:r>
          </w:p>
        </w:tc>
        <w:tc>
          <w:tcPr>
            <w:tcW w:w="778" w:type="dxa"/>
          </w:tcPr>
          <w:p>
            <w:pPr>
              <w:pStyle w:val="Compact"/>
              <w:keepNext/>
              <w:spacing w:before="0" w:after="0" w:lineRule="exact" w:line="220"/>
              <w:jc w:val="left"/>
            </w:pPr>
            <w:r>
              <w:rPr>
                <w:sz w:val="16"/>
              </w:rPr>
              <w:t xml:space="preserve">0.13∗</w:t>
            </w:r>
          </w:p>
        </w:tc>
        <w:tc>
          <w:tcPr>
            <w:tcW w:w="778" w:type="dxa"/>
          </w:tcPr>
          <w:p>
            <w:pPr>
              <w:pStyle w:val="Compact"/>
              <w:keepNext/>
              <w:spacing w:before="0" w:after="0" w:lineRule="exact" w:line="220"/>
              <w:jc w:val="left"/>
            </w:pPr>
            <w:r>
              <w:rPr>
                <w:sz w:val="16"/>
              </w:rPr>
              <w:t xml:space="preserve">0.18∗∗</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r>
      <w:tr>
        <w:trPr>
          <w:cantSplit/>
        </w:trPr>
        <w:tc>
          <w:tcPr>
            <w:tcW w:w="1500" w:type="dxa"/>
          </w:tcPr>
          <w:p>
            <w:pPr>
              <w:pStyle w:val="Compact"/>
              <w:keepNext/>
              <w:spacing w:before="0" w:after="0" w:lineRule="exact" w:line="220"/>
              <w:jc w:val="left"/>
            </w:pPr>
            <w:r>
              <w:rPr>
                <w:sz w:val="16"/>
              </w:rPr>
              <w:t xml:space="preserve">(4) g(V)</w:t>
            </w:r>
          </w:p>
        </w:tc>
        <w:tc>
          <w:tcPr>
            <w:tcW w:w="778" w:type="dxa"/>
          </w:tcPr>
          <w:p>
            <w:pPr>
              <w:pStyle w:val="Compact"/>
              <w:keepNext/>
              <w:spacing w:before="0" w:after="0" w:lineRule="exact" w:line="220"/>
              <w:jc w:val="left"/>
            </w:pPr>
            <w:r>
              <w:rPr>
                <w:sz w:val="16"/>
              </w:rPr>
              <w:t xml:space="preserve">0.05</w:t>
            </w:r>
          </w:p>
        </w:tc>
        <w:tc>
          <w:tcPr>
            <w:tcW w:w="778" w:type="dxa"/>
          </w:tcPr>
          <w:p>
            <w:pPr>
              <w:pStyle w:val="Compact"/>
              <w:keepNext/>
              <w:spacing w:before="0" w:after="0" w:lineRule="exact" w:line="220"/>
              <w:jc w:val="left"/>
            </w:pPr>
            <w:r>
              <w:rPr>
                <w:sz w:val="16"/>
              </w:rPr>
              <w:t xml:space="preserve">0.15∗</w:t>
            </w:r>
          </w:p>
        </w:tc>
        <w:tc>
          <w:tcPr>
            <w:tcW w:w="778" w:type="dxa"/>
          </w:tcPr>
          <w:p>
            <w:pPr>
              <w:pStyle w:val="Compact"/>
              <w:keepNext/>
              <w:spacing w:before="0" w:after="0" w:lineRule="exact" w:line="220"/>
              <w:jc w:val="left"/>
            </w:pPr>
            <w:r>
              <w:rPr>
                <w:sz w:val="16"/>
              </w:rPr>
              <w:t xml:space="preserve">0.84∗∗∗</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r>
      <w:tr>
        <w:trPr>
          <w:cantSplit/>
        </w:trPr>
        <w:tc>
          <w:tcPr>
            <w:tcW w:w="1500" w:type="dxa"/>
          </w:tcPr>
          <w:p>
            <w:pPr>
              <w:pStyle w:val="Compact"/>
              <w:keepNext/>
              <w:spacing w:before="0" w:after="0" w:lineRule="exact" w:line="220"/>
              <w:jc w:val="left"/>
            </w:pPr>
            <w:r>
              <w:rPr>
                <w:sz w:val="16"/>
              </w:rPr>
              <w:t xml:space="preserve">(5) ln(Assets)</w:t>
            </w:r>
          </w:p>
        </w:tc>
        <w:tc>
          <w:tcPr>
            <w:tcW w:w="778" w:type="dxa"/>
          </w:tcPr>
          <w:p>
            <w:pPr>
              <w:pStyle w:val="Compact"/>
              <w:keepNext/>
              <w:spacing w:before="0" w:after="0" w:lineRule="exact" w:line="220"/>
              <w:jc w:val="left"/>
            </w:pPr>
            <w:r>
              <w:rPr>
                <w:sz w:val="16"/>
              </w:rPr>
              <w:t xml:space="preserve">0.88∗∗∗</w:t>
            </w:r>
          </w:p>
        </w:tc>
        <w:tc>
          <w:tcPr>
            <w:tcW w:w="778" w:type="dxa"/>
          </w:tcPr>
          <w:p>
            <w:pPr>
              <w:pStyle w:val="Compact"/>
              <w:keepNext/>
              <w:spacing w:before="0" w:after="0" w:lineRule="exact" w:line="220"/>
              <w:jc w:val="left"/>
            </w:pPr>
            <w:r>
              <w:rPr>
                <w:sz w:val="16"/>
              </w:rPr>
              <w:t xml:space="preserve">0.10</w:t>
            </w:r>
          </w:p>
        </w:tc>
        <w:tc>
          <w:tcPr>
            <w:tcW w:w="778" w:type="dxa"/>
          </w:tcPr>
          <w:p>
            <w:pPr>
              <w:pStyle w:val="Compact"/>
              <w:keepNext/>
              <w:spacing w:before="0" w:after="0" w:lineRule="exact" w:line="220"/>
              <w:jc w:val="left"/>
            </w:pPr>
            <w:r>
              <w:rPr>
                <w:sz w:val="16"/>
              </w:rPr>
              <w:t xml:space="preserve">0.10</w:t>
            </w:r>
          </w:p>
        </w:tc>
        <w:tc>
          <w:tcPr>
            <w:tcW w:w="778" w:type="dxa"/>
          </w:tcPr>
          <w:p>
            <w:pPr>
              <w:pStyle w:val="Compact"/>
              <w:keepNext/>
              <w:spacing w:before="0" w:after="0" w:lineRule="exact" w:line="220"/>
              <w:jc w:val="left"/>
            </w:pPr>
            <w:r>
              <w:rPr>
                <w:sz w:val="16"/>
              </w:rPr>
              <w:t xml:space="preserve">0.01</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r>
      <w:tr>
        <w:trPr>
          <w:cantSplit/>
        </w:trPr>
        <w:tc>
          <w:tcPr>
            <w:tcW w:w="1500" w:type="dxa"/>
          </w:tcPr>
          <w:p>
            <w:pPr>
              <w:pStyle w:val="Compact"/>
              <w:keepNext/>
              <w:spacing w:before="0" w:after="0" w:lineRule="exact" w:line="220"/>
              <w:jc w:val="left"/>
            </w:pPr>
            <w:r>
              <w:rPr>
                <w:sz w:val="16"/>
              </w:rPr>
              <w:t xml:space="preserve">(6) ln(1+YearsListed)</w:t>
            </w:r>
          </w:p>
        </w:tc>
        <w:tc>
          <w:tcPr>
            <w:tcW w:w="778" w:type="dxa"/>
          </w:tcPr>
          <w:p>
            <w:pPr>
              <w:pStyle w:val="Compact"/>
              <w:keepNext/>
              <w:spacing w:before="0" w:after="0" w:lineRule="exact" w:line="220"/>
              <w:jc w:val="left"/>
            </w:pPr>
            <w:r>
              <w:rPr>
                <w:sz w:val="16"/>
              </w:rPr>
              <w:t xml:space="preserve">0.44∗∗∗</w:t>
            </w:r>
          </w:p>
        </w:tc>
        <w:tc>
          <w:tcPr>
            <w:tcW w:w="778" w:type="dxa"/>
          </w:tcPr>
          <w:p>
            <w:pPr>
              <w:pStyle w:val="Compact"/>
              <w:keepNext/>
              <w:spacing w:before="0" w:after="0" w:lineRule="exact" w:line="220"/>
              <w:jc w:val="left"/>
            </w:pPr>
            <w:r>
              <w:rPr>
                <w:sz w:val="16"/>
              </w:rPr>
              <w:t xml:space="preserve">-0.20∗∗∗</w:t>
            </w:r>
          </w:p>
        </w:tc>
        <w:tc>
          <w:tcPr>
            <w:tcW w:w="778" w:type="dxa"/>
          </w:tcPr>
          <w:p>
            <w:pPr>
              <w:pStyle w:val="Compact"/>
              <w:keepNext/>
              <w:spacing w:before="0" w:after="0" w:lineRule="exact" w:line="220"/>
              <w:jc w:val="left"/>
            </w:pPr>
            <w:r>
              <w:rPr>
                <w:sz w:val="16"/>
              </w:rPr>
              <w:t xml:space="preserve">-0.30∗∗∗</w:t>
            </w:r>
          </w:p>
        </w:tc>
        <w:tc>
          <w:tcPr>
            <w:tcW w:w="778" w:type="dxa"/>
          </w:tcPr>
          <w:p>
            <w:pPr>
              <w:pStyle w:val="Compact"/>
              <w:keepNext/>
              <w:spacing w:before="0" w:after="0" w:lineRule="exact" w:line="220"/>
              <w:jc w:val="left"/>
            </w:pPr>
            <w:r>
              <w:rPr>
                <w:sz w:val="16"/>
              </w:rPr>
              <w:t xml:space="preserve">-0.35∗∗∗</w:t>
            </w:r>
          </w:p>
        </w:tc>
        <w:tc>
          <w:tcPr>
            <w:tcW w:w="778" w:type="dxa"/>
          </w:tcPr>
          <w:p>
            <w:pPr>
              <w:pStyle w:val="Compact"/>
              <w:keepNext/>
              <w:spacing w:before="0" w:after="0" w:lineRule="exact" w:line="220"/>
              <w:jc w:val="left"/>
            </w:pPr>
            <w:r>
              <w:rPr>
                <w:sz w:val="16"/>
              </w:rPr>
              <w:t xml:space="preserve">0.46∗∗∗</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r>
      <w:tr>
        <w:trPr>
          <w:cantSplit/>
        </w:trPr>
        <w:tc>
          <w:tcPr>
            <w:tcW w:w="1500" w:type="dxa"/>
          </w:tcPr>
          <w:p>
            <w:pPr>
              <w:pStyle w:val="Compact"/>
              <w:keepNext/>
              <w:spacing w:before="0" w:after="0" w:lineRule="exact" w:line="220"/>
              <w:jc w:val="left"/>
            </w:pPr>
            <w:r>
              <w:rPr>
                <w:sz w:val="16"/>
              </w:rPr>
              <w:t xml:space="preserve">(7) IndonesiaRegion</w:t>
            </w:r>
          </w:p>
        </w:tc>
        <w:tc>
          <w:tcPr>
            <w:tcW w:w="778" w:type="dxa"/>
          </w:tcPr>
          <w:p>
            <w:pPr>
              <w:pStyle w:val="Compact"/>
              <w:keepNext/>
              <w:spacing w:before="0" w:after="0" w:lineRule="exact" w:line="220"/>
              <w:jc w:val="left"/>
            </w:pPr>
            <w:r>
              <w:rPr>
                <w:sz w:val="16"/>
              </w:rPr>
              <w:t xml:space="preserve">0.02</w:t>
            </w:r>
          </w:p>
        </w:tc>
        <w:tc>
          <w:tcPr>
            <w:tcW w:w="778" w:type="dxa"/>
          </w:tcPr>
          <w:p>
            <w:pPr>
              <w:pStyle w:val="Compact"/>
              <w:keepNext/>
              <w:spacing w:before="0" w:after="0" w:lineRule="exact" w:line="220"/>
              <w:jc w:val="left"/>
            </w:pPr>
            <w:r>
              <w:rPr>
                <w:sz w:val="16"/>
              </w:rPr>
              <w:t xml:space="preserve">0.42∗∗∗</w:t>
            </w:r>
          </w:p>
        </w:tc>
        <w:tc>
          <w:tcPr>
            <w:tcW w:w="778" w:type="dxa"/>
          </w:tcPr>
          <w:p>
            <w:pPr>
              <w:pStyle w:val="Compact"/>
              <w:keepNext/>
              <w:spacing w:before="0" w:after="0" w:lineRule="exact" w:line="220"/>
              <w:jc w:val="left"/>
            </w:pPr>
            <w:r>
              <w:rPr>
                <w:sz w:val="16"/>
              </w:rPr>
              <w:t xml:space="preserve">0.13∗</w:t>
            </w:r>
          </w:p>
        </w:tc>
        <w:tc>
          <w:tcPr>
            <w:tcW w:w="778" w:type="dxa"/>
          </w:tcPr>
          <w:p>
            <w:pPr>
              <w:pStyle w:val="Compact"/>
              <w:keepNext/>
              <w:spacing w:before="0" w:after="0" w:lineRule="exact" w:line="220"/>
              <w:jc w:val="left"/>
            </w:pPr>
            <w:r>
              <w:rPr>
                <w:sz w:val="16"/>
              </w:rPr>
              <w:t xml:space="preserve">-0.03</w:t>
            </w:r>
          </w:p>
        </w:tc>
        <w:tc>
          <w:tcPr>
            <w:tcW w:w="778" w:type="dxa"/>
          </w:tcPr>
          <w:p>
            <w:pPr>
              <w:pStyle w:val="Compact"/>
              <w:keepNext/>
              <w:spacing w:before="0" w:after="0" w:lineRule="exact" w:line="220"/>
              <w:jc w:val="left"/>
            </w:pPr>
            <w:r>
              <w:rPr>
                <w:sz w:val="16"/>
              </w:rPr>
              <w:t xml:space="preserve">0.04</w:t>
            </w:r>
          </w:p>
        </w:tc>
        <w:tc>
          <w:tcPr>
            <w:tcW w:w="778" w:type="dxa"/>
          </w:tcPr>
          <w:p>
            <w:pPr>
              <w:pStyle w:val="Compact"/>
              <w:keepNext/>
              <w:spacing w:before="0" w:after="0" w:lineRule="exact" w:line="220"/>
              <w:jc w:val="left"/>
            </w:pPr>
            <w:r>
              <w:rPr>
                <w:sz w:val="16"/>
              </w:rPr>
              <w:t xml:space="preserve">-0.27∗∗∗</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c>
          <w:tcPr>
            <w:tcW w:w="778" w:type="dxa"/>
          </w:tcPr>
          <w:p>
            <w:pPr>
              <w:pStyle w:val="Compact"/>
              <w:keepNext/>
              <w:spacing w:before="0" w:after="0" w:lineRule="exact" w:line="220"/>
              <w:jc w:val="left"/>
            </w:pPr>
          </w:p>
        </w:tc>
      </w:tr>
      <w:tr>
        <w:trPr>
          <w:cantSplit/>
        </w:trPr>
        <w:tc>
          <w:tcPr>
            <w:tcW w:w="1500" w:type="dxa"/>
          </w:tcPr>
          <w:p>
            <w:pPr>
              <w:pStyle w:val="Compact"/>
              <w:keepNext/>
              <w:spacing w:before="0" w:after="0" w:lineRule="exact" w:line="220"/>
              <w:jc w:val="left"/>
            </w:pPr>
            <w:r>
              <w:rPr>
                <w:sz w:val="16"/>
              </w:rPr>
              <w:t xml:space="preserve">(8) GDPGrowth</w:t>
            </w:r>
          </w:p>
        </w:tc>
        <w:tc>
          <w:tcPr>
            <w:tcW w:w="778" w:type="dxa"/>
          </w:tcPr>
          <w:p>
            <w:pPr>
              <w:pStyle w:val="Compact"/>
              <w:keepNext/>
              <w:spacing w:before="0" w:after="0" w:lineRule="exact" w:line="220"/>
              <w:jc w:val="left"/>
            </w:pPr>
            <w:r>
              <w:rPr>
                <w:sz w:val="16"/>
              </w:rPr>
              <w:t xml:space="preserve">0.10</w:t>
            </w:r>
          </w:p>
        </w:tc>
        <w:tc>
          <w:tcPr>
            <w:tcW w:w="778" w:type="dxa"/>
          </w:tcPr>
          <w:p>
            <w:pPr>
              <w:pStyle w:val="Compact"/>
              <w:keepNext/>
              <w:spacing w:before="0" w:after="0" w:lineRule="exact" w:line="220"/>
              <w:jc w:val="left"/>
            </w:pPr>
            <w:r>
              <w:rPr>
                <w:sz w:val="16"/>
              </w:rPr>
              <w:t xml:space="preserve">0.23∗∗∗</w:t>
            </w:r>
          </w:p>
        </w:tc>
        <w:tc>
          <w:tcPr>
            <w:tcW w:w="778" w:type="dxa"/>
          </w:tcPr>
          <w:p>
            <w:pPr>
              <w:pStyle w:val="Compact"/>
              <w:keepNext/>
              <w:spacing w:before="0" w:after="0" w:lineRule="exact" w:line="220"/>
              <w:jc w:val="left"/>
            </w:pPr>
            <w:r>
              <w:rPr>
                <w:sz w:val="16"/>
              </w:rPr>
              <w:t xml:space="preserve">0.23∗∗∗</w:t>
            </w:r>
          </w:p>
        </w:tc>
        <w:tc>
          <w:tcPr>
            <w:tcW w:w="778" w:type="dxa"/>
          </w:tcPr>
          <w:p>
            <w:pPr>
              <w:pStyle w:val="Compact"/>
              <w:keepNext/>
              <w:spacing w:before="0" w:after="0" w:lineRule="exact" w:line="220"/>
              <w:jc w:val="left"/>
            </w:pPr>
            <w:r>
              <w:rPr>
                <w:sz w:val="16"/>
              </w:rPr>
              <w:t xml:space="preserve">0.21∗∗∗</w:t>
            </w:r>
          </w:p>
        </w:tc>
        <w:tc>
          <w:tcPr>
            <w:tcW w:w="778" w:type="dxa"/>
          </w:tcPr>
          <w:p>
            <w:pPr>
              <w:pStyle w:val="Compact"/>
              <w:keepNext/>
              <w:spacing w:before="0" w:after="0" w:lineRule="exact" w:line="220"/>
              <w:jc w:val="left"/>
            </w:pPr>
            <w:r>
              <w:rPr>
                <w:sz w:val="16"/>
              </w:rPr>
              <w:t xml:space="preserve">0.06</w:t>
            </w:r>
          </w:p>
        </w:tc>
        <w:tc>
          <w:tcPr>
            <w:tcW w:w="778" w:type="dxa"/>
          </w:tcPr>
          <w:p>
            <w:pPr>
              <w:pStyle w:val="Compact"/>
              <w:keepNext/>
              <w:spacing w:before="0" w:after="0" w:lineRule="exact" w:line="220"/>
              <w:jc w:val="left"/>
            </w:pPr>
            <w:r>
              <w:rPr>
                <w:sz w:val="16"/>
              </w:rPr>
              <w:t xml:space="preserve">-0.11</w:t>
            </w:r>
          </w:p>
        </w:tc>
        <w:tc>
          <w:tcPr>
            <w:tcW w:w="778" w:type="dxa"/>
          </w:tcPr>
          <w:p>
            <w:pPr>
              <w:pStyle w:val="Compact"/>
              <w:keepNext/>
              <w:spacing w:before="0" w:after="0" w:lineRule="exact" w:line="220"/>
              <w:jc w:val="left"/>
            </w:pPr>
            <w:r>
              <w:rPr>
                <w:sz w:val="16"/>
              </w:rPr>
              <w:t xml:space="preserve">0.11</w:t>
            </w:r>
          </w:p>
        </w:tc>
        <w:tc>
          <w:tcPr>
            <w:tcW w:w="778" w:type="dxa"/>
          </w:tcPr>
          <w:p>
            <w:pPr>
              <w:pStyle w:val="Compact"/>
              <w:keepNext/>
              <w:spacing w:before="0" w:after="0" w:lineRule="exact" w:line="220"/>
              <w:jc w:val="left"/>
            </w:pPr>
            <w:r>
              <w:rPr>
                <w:sz w:val="16"/>
              </w:rPr>
              <w:t xml:space="preserve">1</w:t>
            </w:r>
          </w:p>
        </w:tc>
        <w:tc>
          <w:tcPr>
            <w:tcW w:w="778" w:type="dxa"/>
          </w:tcPr>
          <w:p>
            <w:pPr>
              <w:pStyle w:val="Compact"/>
              <w:keepNext/>
              <w:spacing w:before="0" w:after="0" w:lineRule="exact" w:line="220"/>
              <w:jc w:val="left"/>
            </w:pPr>
          </w:p>
        </w:tc>
      </w:tr>
      <w:tr>
        <w:trPr>
          <w:cantSplit/>
        </w:trPr>
        <w:tc>
          <w:tcPr>
            <w:tcW w:w="1500" w:type="dxa"/>
          </w:tcPr>
          <w:p>
            <w:pPr>
              <w:pStyle w:val="Compact"/>
              <w:spacing w:before="0" w:after="0" w:lineRule="exact" w:line="220"/>
              <w:jc w:val="left"/>
            </w:pPr>
            <w:r>
              <w:rPr>
                <w:sz w:val="16"/>
              </w:rPr>
              <w:t xml:space="preserve">(9) PolicyRate</w:t>
            </w:r>
          </w:p>
        </w:tc>
        <w:tc>
          <w:tcPr>
            <w:tcW w:w="778" w:type="dxa"/>
          </w:tcPr>
          <w:p>
            <w:pPr>
              <w:pStyle w:val="Compact"/>
              <w:spacing w:before="0" w:after="0" w:lineRule="exact" w:line="220"/>
              <w:jc w:val="left"/>
            </w:pPr>
            <w:r>
              <w:rPr>
                <w:sz w:val="16"/>
              </w:rPr>
              <w:t xml:space="preserve">-0.02</w:t>
            </w:r>
          </w:p>
        </w:tc>
        <w:tc>
          <w:tcPr>
            <w:tcW w:w="778" w:type="dxa"/>
          </w:tcPr>
          <w:p>
            <w:pPr>
              <w:pStyle w:val="Compact"/>
              <w:spacing w:before="0" w:after="0" w:lineRule="exact" w:line="220"/>
              <w:jc w:val="left"/>
            </w:pPr>
            <w:r>
              <w:rPr>
                <w:sz w:val="16"/>
              </w:rPr>
              <w:t xml:space="preserve">-0.06</w:t>
            </w:r>
          </w:p>
        </w:tc>
        <w:tc>
          <w:tcPr>
            <w:tcW w:w="778" w:type="dxa"/>
          </w:tcPr>
          <w:p>
            <w:pPr>
              <w:pStyle w:val="Compact"/>
              <w:spacing w:before="0" w:after="0" w:lineRule="exact" w:line="220"/>
              <w:jc w:val="left"/>
            </w:pPr>
            <w:r>
              <w:rPr>
                <w:sz w:val="16"/>
              </w:rPr>
              <w:t xml:space="preserve">0.01</w:t>
            </w:r>
          </w:p>
        </w:tc>
        <w:tc>
          <w:tcPr>
            <w:tcW w:w="778" w:type="dxa"/>
          </w:tcPr>
          <w:p>
            <w:pPr>
              <w:pStyle w:val="Compact"/>
              <w:spacing w:before="0" w:after="0" w:lineRule="exact" w:line="220"/>
              <w:jc w:val="left"/>
            </w:pPr>
            <w:r>
              <w:rPr>
                <w:sz w:val="16"/>
              </w:rPr>
              <w:t xml:space="preserve">0.02</w:t>
            </w:r>
          </w:p>
        </w:tc>
        <w:tc>
          <w:tcPr>
            <w:tcW w:w="778" w:type="dxa"/>
          </w:tcPr>
          <w:p>
            <w:pPr>
              <w:pStyle w:val="Compact"/>
              <w:spacing w:before="0" w:after="0" w:lineRule="exact" w:line="220"/>
              <w:jc w:val="left"/>
            </w:pPr>
            <w:r>
              <w:rPr>
                <w:sz w:val="16"/>
              </w:rPr>
              <w:t xml:space="preserve">-0.09</w:t>
            </w:r>
          </w:p>
        </w:tc>
        <w:tc>
          <w:tcPr>
            <w:tcW w:w="778" w:type="dxa"/>
          </w:tcPr>
          <w:p>
            <w:pPr>
              <w:pStyle w:val="Compact"/>
              <w:spacing w:before="0" w:after="0" w:lineRule="exact" w:line="220"/>
              <w:jc w:val="left"/>
            </w:pPr>
            <w:r>
              <w:rPr>
                <w:sz w:val="16"/>
              </w:rPr>
              <w:t xml:space="preserve">-0.04</w:t>
            </w:r>
          </w:p>
        </w:tc>
        <w:tc>
          <w:tcPr>
            <w:tcW w:w="778" w:type="dxa"/>
          </w:tcPr>
          <w:p>
            <w:pPr>
              <w:pStyle w:val="Compact"/>
              <w:spacing w:before="0" w:after="0" w:lineRule="exact" w:line="220"/>
              <w:jc w:val="left"/>
            </w:pPr>
            <w:r>
              <w:rPr>
                <w:sz w:val="16"/>
              </w:rPr>
              <w:t xml:space="preserve">-0.04</w:t>
            </w:r>
          </w:p>
        </w:tc>
        <w:tc>
          <w:tcPr>
            <w:tcW w:w="778" w:type="dxa"/>
          </w:tcPr>
          <w:p>
            <w:pPr>
              <w:pStyle w:val="Compact"/>
              <w:spacing w:before="0" w:after="0" w:lineRule="exact" w:line="220"/>
              <w:jc w:val="left"/>
            </w:pPr>
            <w:r>
              <w:rPr>
                <w:sz w:val="16"/>
              </w:rPr>
              <w:t xml:space="preserve">-0.14∗∗</w:t>
            </w:r>
          </w:p>
        </w:tc>
        <w:tc>
          <w:tcPr>
            <w:tcW w:w="778" w:type="dxa"/>
          </w:tcPr>
          <w:p>
            <w:pPr>
              <w:pStyle w:val="Compact"/>
              <w:spacing w:before="0" w:after="0" w:lineRule="exact" w:line="220"/>
              <w:jc w:val="left"/>
            </w:pPr>
            <w:r>
              <w:rPr>
                <w:sz w:val="16"/>
              </w:rPr>
              <w:t xml:space="preserve">1</w:t>
            </w:r>
          </w:p>
        </w:tc>
      </w:tr>
    </w:tbl>
    <w:p>
      <w:pPr>
        <w:pStyle w:val="TableNote"/>
      </w:pPr>
      <w:r>
        <w:rPr>
          <w:iCs/>
          <w:i/>
        </w:rPr>
        <w:t xml:space="preserve">Note:</w:t>
      </w:r>
      <w:r>
        <w:t xml:space="preserve"> </w:t>
      </w:r>
      <w:r>
        <w:t xml:space="preserve">Inflation and household spending growth are left out of Panel B to fit the page; they correlate 0.80 with the policy rate and 0.92 with GDP growth. The policy rate is missing for Kazakhstan and Nigeria, and some growth and macroeconomic values are missing for the first year of a platform or for 2025. Source: company filings; World Bank; Bank for International Settlements; author’s calculations. Exploratory.</w:t>
      </w:r>
    </w:p>
    <w:p>
      <w:pPr>
        <w:pStyle w:val="BodyText"/>
      </w:pPr>
      <w:r>
        <w:t xml:space="preserve">Across all platforms, revenue growth and transaction value growth have a correlation of 0.84 (Panel B). The wedge and transaction value correlate at 0.9994 in levels, as they must, because the wedge is transaction value minus revenue and revenue is a small part of it. So the test of H1 uses growth rates.</w:t>
      </w:r>
    </w:p>
    <w:p>
      <w:pPr>
        <w:pStyle w:val="BodyText"/>
      </w:pPr>
      <w:r>
        <w:t xml:space="preserve">Table 3 tests H1 in growth rates. Abroad, a rise of 1 percentage point in the growth of transaction value goes with a rise of 0.99 points in the growth of revenue (standard error 0.07), which cannot be told from the 1 that proportional growth requires (p = 0.84). The two growth rates correlate at 0.90. In Indonesia and the region the slope is 0.40 (standard error 0.16) and differs from 1 (p = 0.02). The correlation is 0.31, and the constant is 0.44: revenue grew by about 44 percent a year whatever transaction value did. In the regression on all platforms, the slope of the Indonesian and regional group is 0.59 below the foreign slope. The Indonesian and regional result rests on 15 pairs from five platforms, so its standard errors are less reliable than those abroad.</w:t>
      </w:r>
    </w:p>
    <w:p>
      <w:pPr>
        <w:pStyle w:val="TableCaption"/>
        <w:keepNext/>
      </w:pPr>
      <w:r>
        <w:rPr>
          <w:b/>
        </w:rPr>
        <w:t>Table 3.</w:t>
      </w:r>
      <w:r>
        <w:rPr>
          <w:b w:val="0"/>
        </w:rPr>
        <w:t xml:space="preserve"> Revenue growth and transaction value growth</w:t>
      </w:r>
    </w:p>
    <w:p>
      <w:pPr>
        <w:pStyle w:val="TableNote"/>
        <w:keepNext/>
      </w:pPr>
      <w:r>
        <w:t xml:space="preserve">This table reports OLS estimates of equation (6). The dependent variable is the growth of revenue, g(R), the simple percentage change from the previous year. Column (1) uses all platforms, with an interaction between transaction value growth and the Indonesia and region dummy, so the coefficient on g(V) in that column is the slope of the foreign platforms. Column (2) uses the 26 foreign platforms with a pair of consecutive years, and column (3) the five Indonesian and regional platforms. Growth rates are capped at their 5th and 95th percentiles. Appendix A defines the variables. Standard errors (in parentheses) are clustered at the platform level. ∗∗∗, ∗∗ and ∗ correspond to statistical significance at the 1%, 5% and 10% levels.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3297"/>
        <w:gridCol w:w="1475"/>
        <w:gridCol w:w="1388"/>
        <w:gridCol w:w="2343"/>
      </w:tblGrid>
      <w:tr>
        <w:trPr>
          <w:tblHeader w:val="true"/>
          <w:cantSplit/>
          <w:tblHeader/>
        </w:trPr>
        <w:tc>
          <w:tcPr>
            <w:tcW w:w="3297" w:type="dxa"/>
            <w:tcBorders>
              <w:bottom w:val="single" w:sz="5" w:space="0" w:color="000000"/>
            </w:tcBorders>
          </w:tcPr>
          <w:p>
            <w:pPr>
              <w:pStyle w:val="Compact"/>
              <w:keepNext/>
              <w:spacing w:before="0" w:after="0" w:lineRule="exact" w:line="220"/>
              <w:jc w:val="left"/>
            </w:pPr>
            <w:r>
              <w:rPr>
                <w:iCs/>
                <w:b/>
                <w:i/>
                <w:sz w:val="18"/>
              </w:rPr>
              <w:t xml:space="preserve">Dependent variable</w:t>
            </w:r>
          </w:p>
        </w:tc>
        <w:tc>
          <w:tcPr>
            <w:tcW w:w="1475" w:type="dxa"/>
            <w:tcBorders>
              <w:bottom w:val="single" w:sz="5" w:space="0" w:color="000000"/>
            </w:tcBorders>
          </w:tcPr>
          <w:p>
            <w:pPr>
              <w:pStyle w:val="Compact"/>
              <w:keepNext/>
              <w:spacing w:before="0" w:after="0" w:lineRule="exact" w:line="220"/>
              <w:jc w:val="left"/>
            </w:pPr>
            <w:r>
              <w:rPr>
                <w:b/>
                <w:sz w:val="18"/>
              </w:rPr>
              <w:t xml:space="preserve">g(R)</w:t>
            </w:r>
          </w:p>
        </w:tc>
        <w:tc>
          <w:tcPr>
            <w:tcW w:w="1388" w:type="dxa"/>
            <w:tcBorders>
              <w:bottom w:val="single" w:sz="5" w:space="0" w:color="000000"/>
            </w:tcBorders>
          </w:tcPr>
          <w:p>
            <w:pPr>
              <w:pStyle w:val="Compact"/>
              <w:keepNext/>
              <w:spacing w:before="0" w:after="0" w:lineRule="exact" w:line="220"/>
              <w:jc w:val="left"/>
            </w:pPr>
            <w:r>
              <w:rPr>
                <w:b/>
                <w:sz w:val="18"/>
              </w:rPr>
              <w:t xml:space="preserve">g(R)</w:t>
            </w:r>
          </w:p>
        </w:tc>
        <w:tc>
          <w:tcPr>
            <w:tcW w:w="2343" w:type="dxa"/>
            <w:tcBorders>
              <w:bottom w:val="single" w:sz="5" w:space="0" w:color="000000"/>
            </w:tcBorders>
          </w:tcPr>
          <w:p>
            <w:pPr>
              <w:pStyle w:val="Compact"/>
              <w:keepNext/>
              <w:spacing w:before="0" w:after="0" w:lineRule="exact" w:line="220"/>
              <w:jc w:val="left"/>
            </w:pPr>
            <w:r>
              <w:rPr>
                <w:b/>
                <w:sz w:val="18"/>
              </w:rPr>
              <w:t xml:space="preserve">g(R)</w:t>
            </w:r>
          </w:p>
        </w:tc>
      </w:tr>
      <w:tr>
        <w:trPr>
          <w:cantSplit/>
        </w:trPr>
        <w:tc>
          <w:tcPr>
            <w:tcW w:w="3297" w:type="dxa"/>
          </w:tcPr>
          <w:p>
            <w:pPr>
              <w:pStyle w:val="Compact"/>
              <w:keepNext/>
              <w:spacing w:before="0" w:after="0" w:lineRule="exact" w:line="220"/>
              <w:jc w:val="left"/>
            </w:pPr>
            <w:r>
              <w:rPr>
                <w:sz w:val="18"/>
              </w:rPr>
              <w:t xml:space="preserve">Sample</w:t>
            </w:r>
          </w:p>
        </w:tc>
        <w:tc>
          <w:tcPr>
            <w:tcW w:w="1475" w:type="dxa"/>
          </w:tcPr>
          <w:p>
            <w:pPr>
              <w:pStyle w:val="Compact"/>
              <w:keepNext/>
              <w:spacing w:before="0" w:after="0" w:lineRule="exact" w:line="220"/>
              <w:jc w:val="left"/>
            </w:pPr>
            <w:r>
              <w:rPr>
                <w:sz w:val="18"/>
              </w:rPr>
              <w:t xml:space="preserve">All platforms</w:t>
            </w:r>
          </w:p>
        </w:tc>
        <w:tc>
          <w:tcPr>
            <w:tcW w:w="1388" w:type="dxa"/>
          </w:tcPr>
          <w:p>
            <w:pPr>
              <w:pStyle w:val="Compact"/>
              <w:keepNext/>
              <w:spacing w:before="0" w:after="0" w:lineRule="exact" w:line="220"/>
              <w:jc w:val="left"/>
            </w:pPr>
            <w:r>
              <w:rPr>
                <w:sz w:val="18"/>
              </w:rPr>
              <w:t xml:space="preserve">Foreign</w:t>
            </w:r>
          </w:p>
        </w:tc>
        <w:tc>
          <w:tcPr>
            <w:tcW w:w="2343" w:type="dxa"/>
          </w:tcPr>
          <w:p>
            <w:pPr>
              <w:pStyle w:val="Compact"/>
              <w:keepNext/>
              <w:spacing w:before="0" w:after="0" w:lineRule="exact" w:line="220"/>
              <w:jc w:val="left"/>
            </w:pPr>
            <w:r>
              <w:rPr>
                <w:sz w:val="18"/>
              </w:rPr>
              <w:t xml:space="preserve">Indonesian and regional</w:t>
            </w:r>
          </w:p>
        </w:tc>
      </w:tr>
      <w:tr>
        <w:trPr>
          <w:cantSplit/>
        </w:trPr>
        <w:tc>
          <w:tcPr>
            <w:tcW w:w="3297" w:type="dxa"/>
          </w:tcPr>
          <w:p>
            <w:pPr>
              <w:pStyle w:val="Compact"/>
              <w:keepNext/>
              <w:spacing w:before="0" w:after="0" w:lineRule="exact" w:line="220"/>
              <w:jc w:val="left"/>
            </w:pPr>
          </w:p>
        </w:tc>
        <w:tc>
          <w:tcPr>
            <w:tcW w:w="1475" w:type="dxa"/>
          </w:tcPr>
          <w:p>
            <w:pPr>
              <w:pStyle w:val="Compact"/>
              <w:keepNext/>
              <w:spacing w:before="0" w:after="0" w:lineRule="exact" w:line="220"/>
              <w:jc w:val="left"/>
            </w:pPr>
            <w:r>
              <w:rPr>
                <w:sz w:val="18"/>
              </w:rPr>
              <w:t xml:space="preserve">(1)</w:t>
            </w:r>
          </w:p>
        </w:tc>
        <w:tc>
          <w:tcPr>
            <w:tcW w:w="1388" w:type="dxa"/>
          </w:tcPr>
          <w:p>
            <w:pPr>
              <w:pStyle w:val="Compact"/>
              <w:keepNext/>
              <w:spacing w:before="0" w:after="0" w:lineRule="exact" w:line="220"/>
              <w:jc w:val="left"/>
            </w:pPr>
            <w:r>
              <w:rPr>
                <w:sz w:val="18"/>
              </w:rPr>
              <w:t xml:space="preserve">(2)</w:t>
            </w:r>
          </w:p>
        </w:tc>
        <w:tc>
          <w:tcPr>
            <w:tcW w:w="2343" w:type="dxa"/>
          </w:tcPr>
          <w:p>
            <w:pPr>
              <w:pStyle w:val="Compact"/>
              <w:keepNext/>
              <w:spacing w:before="0" w:after="0" w:lineRule="exact" w:line="220"/>
              <w:jc w:val="left"/>
            </w:pPr>
            <w:r>
              <w:rPr>
                <w:sz w:val="18"/>
              </w:rPr>
              <w:t xml:space="preserve">(3)</w:t>
            </w:r>
          </w:p>
        </w:tc>
      </w:tr>
      <w:tr>
        <w:trPr>
          <w:cantSplit/>
        </w:trPr>
        <w:tc>
          <w:tcPr>
            <w:tcW w:w="3297" w:type="dxa"/>
          </w:tcPr>
          <w:p>
            <w:pPr>
              <w:pStyle w:val="Compact"/>
              <w:spacing w:before="0" w:after="0" w:lineRule="exact" w:line="220"/>
              <w:jc w:val="left"/>
            </w:pPr>
            <w:r>
              <w:rPr>
                <w:sz w:val="18"/>
              </w:rPr>
              <w:t xml:space="preserve">g(V)</w:t>
            </w:r>
          </w:p>
        </w:tc>
        <w:tc>
          <w:tcPr>
            <w:tcW w:w="1475" w:type="dxa"/>
          </w:tcPr>
          <w:p>
            <w:pPr>
              <w:pStyle w:val="Compact"/>
              <w:spacing w:before="0" w:after="0" w:lineRule="exact" w:line="220"/>
              <w:jc w:val="left"/>
            </w:pPr>
            <w:r>
              <w:rPr>
                <w:sz w:val="18"/>
              </w:rPr>
              <w:t xml:space="preserve">0.986∗∗∗</w:t>
            </w:r>
          </w:p>
        </w:tc>
        <w:tc>
          <w:tcPr>
            <w:tcW w:w="1388" w:type="dxa"/>
          </w:tcPr>
          <w:p>
            <w:pPr>
              <w:pStyle w:val="Compact"/>
              <w:spacing w:before="0" w:after="0" w:lineRule="exact" w:line="220"/>
              <w:jc w:val="left"/>
            </w:pPr>
            <w:r>
              <w:rPr>
                <w:sz w:val="18"/>
              </w:rPr>
              <w:t xml:space="preserve">0.986∗∗∗</w:t>
            </w:r>
          </w:p>
        </w:tc>
        <w:tc>
          <w:tcPr>
            <w:tcW w:w="2343" w:type="dxa"/>
          </w:tcPr>
          <w:p>
            <w:pPr>
              <w:pStyle w:val="Compact"/>
              <w:spacing w:before="0" w:after="0" w:lineRule="exact" w:line="220"/>
              <w:jc w:val="left"/>
            </w:pPr>
            <w:r>
              <w:rPr>
                <w:sz w:val="18"/>
              </w:rPr>
              <w:t xml:space="preserve">0.399∗</w:t>
            </w:r>
          </w:p>
        </w:tc>
      </w:tr>
      <w:tr>
        <w:trPr>
          <w:cantSplit/>
        </w:trPr>
        <w:tc>
          <w:tcPr>
            <w:tcW w:w="3297" w:type="dxa"/>
          </w:tcPr>
          <w:p>
            <w:pPr>
              <w:pStyle w:val="Compact"/>
              <w:spacing w:before="0" w:after="0" w:lineRule="exact" w:line="220"/>
              <w:jc w:val="left"/>
            </w:pPr>
          </w:p>
        </w:tc>
        <w:tc>
          <w:tcPr>
            <w:tcW w:w="1475" w:type="dxa"/>
          </w:tcPr>
          <w:p>
            <w:pPr>
              <w:pStyle w:val="Compact"/>
              <w:spacing w:before="0" w:after="0" w:lineRule="exact" w:line="220"/>
              <w:jc w:val="left"/>
            </w:pPr>
            <w:r>
              <w:rPr>
                <w:sz w:val="18"/>
              </w:rPr>
              <w:t xml:space="preserve">(0.072)</w:t>
            </w:r>
          </w:p>
        </w:tc>
        <w:tc>
          <w:tcPr>
            <w:tcW w:w="1388" w:type="dxa"/>
          </w:tcPr>
          <w:p>
            <w:pPr>
              <w:pStyle w:val="Compact"/>
              <w:spacing w:before="0" w:after="0" w:lineRule="exact" w:line="220"/>
              <w:jc w:val="left"/>
            </w:pPr>
            <w:r>
              <w:rPr>
                <w:sz w:val="18"/>
              </w:rPr>
              <w:t xml:space="preserve">(0.072)</w:t>
            </w:r>
          </w:p>
        </w:tc>
        <w:tc>
          <w:tcPr>
            <w:tcW w:w="2343" w:type="dxa"/>
          </w:tcPr>
          <w:p>
            <w:pPr>
              <w:pStyle w:val="Compact"/>
              <w:spacing w:before="0" w:after="0" w:lineRule="exact" w:line="220"/>
              <w:jc w:val="left"/>
            </w:pPr>
            <w:r>
              <w:rPr>
                <w:sz w:val="18"/>
              </w:rPr>
              <w:t xml:space="preserve">(0.159)</w:t>
            </w:r>
          </w:p>
        </w:tc>
      </w:tr>
      <w:tr>
        <w:trPr>
          <w:cantSplit/>
        </w:trPr>
        <w:tc>
          <w:tcPr>
            <w:tcW w:w="3297" w:type="dxa"/>
          </w:tcPr>
          <w:p>
            <w:pPr>
              <w:pStyle w:val="Compact"/>
              <w:spacing w:before="0" w:after="0" w:lineRule="exact" w:line="220"/>
              <w:jc w:val="left"/>
            </w:pPr>
            <w:r>
              <w:rPr>
                <w:sz w:val="18"/>
              </w:rPr>
              <w:t xml:space="preserve">IndonesiaRegion</w:t>
            </w:r>
          </w:p>
        </w:tc>
        <w:tc>
          <w:tcPr>
            <w:tcW w:w="1475" w:type="dxa"/>
          </w:tcPr>
          <w:p>
            <w:pPr>
              <w:pStyle w:val="Compact"/>
              <w:spacing w:before="0" w:after="0" w:lineRule="exact" w:line="220"/>
              <w:jc w:val="left"/>
            </w:pPr>
            <w:r>
              <w:rPr>
                <w:sz w:val="18"/>
              </w:rPr>
              <w:t xml:space="preserve">0.379∗∗∗</w:t>
            </w:r>
          </w:p>
        </w:tc>
        <w:tc>
          <w:tcPr>
            <w:tcW w:w="1388" w:type="dxa"/>
          </w:tcPr>
          <w:p>
            <w:pPr>
              <w:pStyle w:val="Compact"/>
              <w:spacing w:before="0" w:after="0" w:lineRule="exact" w:line="220"/>
              <w:jc w:val="left"/>
            </w:pPr>
          </w:p>
        </w:tc>
        <w:tc>
          <w:tcPr>
            <w:tcW w:w="2343" w:type="dxa"/>
          </w:tcPr>
          <w:p>
            <w:pPr>
              <w:pStyle w:val="Compact"/>
              <w:spacing w:before="0" w:after="0" w:lineRule="exact" w:line="220"/>
              <w:jc w:val="left"/>
            </w:pPr>
          </w:p>
        </w:tc>
      </w:tr>
      <w:tr>
        <w:trPr>
          <w:cantSplit/>
        </w:trPr>
        <w:tc>
          <w:tcPr>
            <w:tcW w:w="3297" w:type="dxa"/>
          </w:tcPr>
          <w:p>
            <w:pPr>
              <w:pStyle w:val="Compact"/>
              <w:spacing w:before="0" w:after="0" w:lineRule="exact" w:line="220"/>
              <w:jc w:val="left"/>
            </w:pPr>
          </w:p>
        </w:tc>
        <w:tc>
          <w:tcPr>
            <w:tcW w:w="1475" w:type="dxa"/>
          </w:tcPr>
          <w:p>
            <w:pPr>
              <w:pStyle w:val="Compact"/>
              <w:spacing w:before="0" w:after="0" w:lineRule="exact" w:line="220"/>
              <w:jc w:val="left"/>
            </w:pPr>
            <w:r>
              <w:rPr>
                <w:sz w:val="18"/>
              </w:rPr>
              <w:t xml:space="preserve">(0.060)</w:t>
            </w:r>
          </w:p>
        </w:tc>
        <w:tc>
          <w:tcPr>
            <w:tcW w:w="1388" w:type="dxa"/>
          </w:tcPr>
          <w:p>
            <w:pPr>
              <w:pStyle w:val="Compact"/>
              <w:spacing w:before="0" w:after="0" w:lineRule="exact" w:line="220"/>
              <w:jc w:val="left"/>
            </w:pPr>
          </w:p>
        </w:tc>
        <w:tc>
          <w:tcPr>
            <w:tcW w:w="2343" w:type="dxa"/>
          </w:tcPr>
          <w:p>
            <w:pPr>
              <w:pStyle w:val="Compact"/>
              <w:spacing w:before="0" w:after="0" w:lineRule="exact" w:line="220"/>
              <w:jc w:val="left"/>
            </w:pPr>
          </w:p>
        </w:tc>
      </w:tr>
      <w:tr>
        <w:trPr>
          <w:cantSplit/>
        </w:trPr>
        <w:tc>
          <w:tcPr>
            <w:tcW w:w="3297" w:type="dxa"/>
          </w:tcPr>
          <w:p>
            <w:pPr>
              <w:pStyle w:val="Compact"/>
              <w:spacing w:before="0" w:after="0" w:lineRule="exact" w:line="220"/>
              <w:jc w:val="left"/>
            </w:pPr>
            <w:r>
              <w:rPr>
                <w:sz w:val="18"/>
              </w:rPr>
              <w:t xml:space="preserve">IndonesiaRegion × g(V)</w:t>
            </w:r>
          </w:p>
        </w:tc>
        <w:tc>
          <w:tcPr>
            <w:tcW w:w="1475" w:type="dxa"/>
          </w:tcPr>
          <w:p>
            <w:pPr>
              <w:pStyle w:val="Compact"/>
              <w:spacing w:before="0" w:after="0" w:lineRule="exact" w:line="220"/>
              <w:jc w:val="left"/>
            </w:pPr>
            <w:r>
              <w:rPr>
                <w:sz w:val="18"/>
              </w:rPr>
              <w:t xml:space="preserve">-0.587∗∗∗</w:t>
            </w:r>
          </w:p>
        </w:tc>
        <w:tc>
          <w:tcPr>
            <w:tcW w:w="1388" w:type="dxa"/>
          </w:tcPr>
          <w:p>
            <w:pPr>
              <w:pStyle w:val="Compact"/>
              <w:spacing w:before="0" w:after="0" w:lineRule="exact" w:line="220"/>
              <w:jc w:val="left"/>
            </w:pPr>
          </w:p>
        </w:tc>
        <w:tc>
          <w:tcPr>
            <w:tcW w:w="2343" w:type="dxa"/>
          </w:tcPr>
          <w:p>
            <w:pPr>
              <w:pStyle w:val="Compact"/>
              <w:spacing w:before="0" w:after="0" w:lineRule="exact" w:line="220"/>
              <w:jc w:val="left"/>
            </w:pPr>
          </w:p>
        </w:tc>
      </w:tr>
      <w:tr>
        <w:trPr>
          <w:cantSplit/>
        </w:trPr>
        <w:tc>
          <w:tcPr>
            <w:tcW w:w="3297" w:type="dxa"/>
          </w:tcPr>
          <w:p>
            <w:pPr>
              <w:pStyle w:val="Compact"/>
              <w:spacing w:before="0" w:after="0" w:lineRule="exact" w:line="220"/>
              <w:jc w:val="left"/>
            </w:pPr>
          </w:p>
        </w:tc>
        <w:tc>
          <w:tcPr>
            <w:tcW w:w="1475" w:type="dxa"/>
          </w:tcPr>
          <w:p>
            <w:pPr>
              <w:pStyle w:val="Compact"/>
              <w:spacing w:before="0" w:after="0" w:lineRule="exact" w:line="220"/>
              <w:jc w:val="left"/>
            </w:pPr>
            <w:r>
              <w:rPr>
                <w:sz w:val="18"/>
              </w:rPr>
              <w:t xml:space="preserve">(0.158)</w:t>
            </w:r>
          </w:p>
        </w:tc>
        <w:tc>
          <w:tcPr>
            <w:tcW w:w="1388" w:type="dxa"/>
          </w:tcPr>
          <w:p>
            <w:pPr>
              <w:pStyle w:val="Compact"/>
              <w:spacing w:before="0" w:after="0" w:lineRule="exact" w:line="220"/>
              <w:jc w:val="left"/>
            </w:pPr>
          </w:p>
        </w:tc>
        <w:tc>
          <w:tcPr>
            <w:tcW w:w="2343" w:type="dxa"/>
          </w:tcPr>
          <w:p>
            <w:pPr>
              <w:pStyle w:val="Compact"/>
              <w:spacing w:before="0" w:after="0" w:lineRule="exact" w:line="220"/>
              <w:jc w:val="left"/>
            </w:pPr>
          </w:p>
        </w:tc>
      </w:tr>
      <w:tr>
        <w:trPr>
          <w:cantSplit/>
        </w:trPr>
        <w:tc>
          <w:tcPr>
            <w:tcW w:w="3297" w:type="dxa"/>
          </w:tcPr>
          <w:p>
            <w:pPr>
              <w:pStyle w:val="Compact"/>
              <w:spacing w:before="0" w:after="0" w:lineRule="exact" w:line="220"/>
              <w:jc w:val="left"/>
            </w:pPr>
            <w:r>
              <w:rPr>
                <w:sz w:val="18"/>
              </w:rPr>
              <w:t xml:space="preserve">Constant</w:t>
            </w:r>
          </w:p>
        </w:tc>
        <w:tc>
          <w:tcPr>
            <w:tcW w:w="1475" w:type="dxa"/>
          </w:tcPr>
          <w:p>
            <w:pPr>
              <w:pStyle w:val="Compact"/>
              <w:spacing w:before="0" w:after="0" w:lineRule="exact" w:line="220"/>
              <w:jc w:val="left"/>
            </w:pPr>
            <w:r>
              <w:rPr>
                <w:sz w:val="18"/>
              </w:rPr>
              <w:t xml:space="preserve">0.059∗∗∗</w:t>
            </w:r>
          </w:p>
        </w:tc>
        <w:tc>
          <w:tcPr>
            <w:tcW w:w="1388" w:type="dxa"/>
          </w:tcPr>
          <w:p>
            <w:pPr>
              <w:pStyle w:val="Compact"/>
              <w:spacing w:before="0" w:after="0" w:lineRule="exact" w:line="220"/>
              <w:jc w:val="left"/>
            </w:pPr>
            <w:r>
              <w:rPr>
                <w:sz w:val="18"/>
              </w:rPr>
              <w:t xml:space="preserve">0.059∗∗∗</w:t>
            </w:r>
          </w:p>
        </w:tc>
        <w:tc>
          <w:tcPr>
            <w:tcW w:w="2343" w:type="dxa"/>
          </w:tcPr>
          <w:p>
            <w:pPr>
              <w:pStyle w:val="Compact"/>
              <w:spacing w:before="0" w:after="0" w:lineRule="exact" w:line="220"/>
              <w:jc w:val="left"/>
            </w:pPr>
            <w:r>
              <w:rPr>
                <w:sz w:val="18"/>
              </w:rPr>
              <w:t xml:space="preserve">0.439∗∗∗</w:t>
            </w:r>
          </w:p>
        </w:tc>
      </w:tr>
      <w:tr>
        <w:trPr>
          <w:cantSplit/>
        </w:trPr>
        <w:tc>
          <w:tcPr>
            <w:tcW w:w="3297" w:type="dxa"/>
          </w:tcPr>
          <w:p>
            <w:pPr>
              <w:pStyle w:val="Compact"/>
              <w:spacing w:before="0" w:after="0" w:lineRule="exact" w:line="220"/>
              <w:jc w:val="left"/>
            </w:pPr>
          </w:p>
        </w:tc>
        <w:tc>
          <w:tcPr>
            <w:tcW w:w="1475" w:type="dxa"/>
          </w:tcPr>
          <w:p>
            <w:pPr>
              <w:pStyle w:val="Compact"/>
              <w:spacing w:before="0" w:after="0" w:lineRule="exact" w:line="220"/>
              <w:jc w:val="left"/>
            </w:pPr>
            <w:r>
              <w:rPr>
                <w:sz w:val="18"/>
              </w:rPr>
              <w:t xml:space="preserve">(0.019)</w:t>
            </w:r>
          </w:p>
        </w:tc>
        <w:tc>
          <w:tcPr>
            <w:tcW w:w="1388" w:type="dxa"/>
          </w:tcPr>
          <w:p>
            <w:pPr>
              <w:pStyle w:val="Compact"/>
              <w:spacing w:before="0" w:after="0" w:lineRule="exact" w:line="220"/>
              <w:jc w:val="left"/>
            </w:pPr>
            <w:r>
              <w:rPr>
                <w:sz w:val="18"/>
              </w:rPr>
              <w:t xml:space="preserve">(0.019)</w:t>
            </w:r>
          </w:p>
        </w:tc>
        <w:tc>
          <w:tcPr>
            <w:tcW w:w="2343" w:type="dxa"/>
          </w:tcPr>
          <w:p>
            <w:pPr>
              <w:pStyle w:val="Compact"/>
              <w:spacing w:before="0" w:after="0" w:lineRule="exact" w:line="220"/>
              <w:jc w:val="left"/>
            </w:pPr>
            <w:r>
              <w:rPr>
                <w:sz w:val="18"/>
              </w:rPr>
              <w:t xml:space="preserve">(0.065)</w:t>
            </w:r>
          </w:p>
        </w:tc>
      </w:tr>
      <w:tr>
        <w:trPr>
          <w:cantSplit/>
        </w:trPr>
        <w:tc>
          <w:tcPr>
            <w:tcW w:w="3297" w:type="dxa"/>
          </w:tcPr>
          <w:p>
            <w:pPr>
              <w:pStyle w:val="Compact"/>
              <w:spacing w:before="0" w:after="0" w:lineRule="exact" w:line="220"/>
              <w:jc w:val="left"/>
            </w:pPr>
            <w:r>
              <w:rPr>
                <w:sz w:val="18"/>
              </w:rPr>
              <w:t xml:space="preserve">Observations</w:t>
            </w:r>
          </w:p>
        </w:tc>
        <w:tc>
          <w:tcPr>
            <w:tcW w:w="1475" w:type="dxa"/>
          </w:tcPr>
          <w:p>
            <w:pPr>
              <w:pStyle w:val="Compact"/>
              <w:spacing w:before="0" w:after="0" w:lineRule="exact" w:line="220"/>
              <w:jc w:val="left"/>
            </w:pPr>
            <w:r>
              <w:rPr>
                <w:sz w:val="18"/>
              </w:rPr>
              <w:t xml:space="preserve">181</w:t>
            </w:r>
          </w:p>
        </w:tc>
        <w:tc>
          <w:tcPr>
            <w:tcW w:w="1388" w:type="dxa"/>
          </w:tcPr>
          <w:p>
            <w:pPr>
              <w:pStyle w:val="Compact"/>
              <w:spacing w:before="0" w:after="0" w:lineRule="exact" w:line="220"/>
              <w:jc w:val="left"/>
            </w:pPr>
            <w:r>
              <w:rPr>
                <w:sz w:val="18"/>
              </w:rPr>
              <w:t xml:space="preserve">166</w:t>
            </w:r>
          </w:p>
        </w:tc>
        <w:tc>
          <w:tcPr>
            <w:tcW w:w="2343" w:type="dxa"/>
          </w:tcPr>
          <w:p>
            <w:pPr>
              <w:pStyle w:val="Compact"/>
              <w:spacing w:before="0" w:after="0" w:lineRule="exact" w:line="220"/>
              <w:jc w:val="left"/>
            </w:pPr>
            <w:r>
              <w:rPr>
                <w:sz w:val="18"/>
              </w:rPr>
              <w:t xml:space="preserve">15</w:t>
            </w:r>
          </w:p>
        </w:tc>
      </w:tr>
      <w:tr>
        <w:trPr>
          <w:cantSplit/>
        </w:trPr>
        <w:tc>
          <w:tcPr>
            <w:tcW w:w="3297" w:type="dxa"/>
          </w:tcPr>
          <w:p>
            <w:pPr>
              <w:pStyle w:val="Compact"/>
              <w:spacing w:before="0" w:after="0" w:lineRule="exact" w:line="220"/>
              <w:jc w:val="left"/>
            </w:pPr>
            <w:r>
              <w:rPr>
                <w:sz w:val="18"/>
              </w:rPr>
              <w:t xml:space="preserve">Platforms (clusters)</w:t>
            </w:r>
          </w:p>
        </w:tc>
        <w:tc>
          <w:tcPr>
            <w:tcW w:w="1475" w:type="dxa"/>
          </w:tcPr>
          <w:p>
            <w:pPr>
              <w:pStyle w:val="Compact"/>
              <w:spacing w:before="0" w:after="0" w:lineRule="exact" w:line="220"/>
              <w:jc w:val="left"/>
            </w:pPr>
            <w:r>
              <w:rPr>
                <w:sz w:val="18"/>
              </w:rPr>
              <w:t xml:space="preserve">31</w:t>
            </w:r>
          </w:p>
        </w:tc>
        <w:tc>
          <w:tcPr>
            <w:tcW w:w="1388" w:type="dxa"/>
          </w:tcPr>
          <w:p>
            <w:pPr>
              <w:pStyle w:val="Compact"/>
              <w:spacing w:before="0" w:after="0" w:lineRule="exact" w:line="220"/>
              <w:jc w:val="left"/>
            </w:pPr>
            <w:r>
              <w:rPr>
                <w:sz w:val="18"/>
              </w:rPr>
              <w:t xml:space="preserve">26</w:t>
            </w:r>
          </w:p>
        </w:tc>
        <w:tc>
          <w:tcPr>
            <w:tcW w:w="2343" w:type="dxa"/>
          </w:tcPr>
          <w:p>
            <w:pPr>
              <w:pStyle w:val="Compact"/>
              <w:spacing w:before="0" w:after="0" w:lineRule="exact" w:line="220"/>
              <w:jc w:val="left"/>
            </w:pPr>
            <w:r>
              <w:rPr>
                <w:sz w:val="18"/>
              </w:rPr>
              <w:t xml:space="preserve">5</w:t>
            </w:r>
          </w:p>
        </w:tc>
      </w:tr>
      <w:tr>
        <w:trPr>
          <w:cantSplit/>
        </w:trPr>
        <w:tc>
          <w:tcPr>
            <w:tcW w:w="3297" w:type="dxa"/>
          </w:tcPr>
          <w:p>
            <w:pPr>
              <w:pStyle w:val="Compact"/>
              <w:spacing w:before="0" w:after="0" w:lineRule="exact" w:line="220"/>
              <w:jc w:val="left"/>
            </w:pPr>
            <w:r>
              <w:rPr>
                <w:iCs/>
                <w:i/>
                <w:sz w:val="18"/>
              </w:rPr>
              <w:t xml:space="preserve">R</w:t>
            </w:r>
            <w:r>
              <w:rPr>
                <w:sz w:val="18"/>
                <w:vertAlign w:val="superscript"/>
              </w:rPr>
              <w:t xml:space="preserve">2</w:t>
            </w:r>
          </w:p>
        </w:tc>
        <w:tc>
          <w:tcPr>
            <w:tcW w:w="1475" w:type="dxa"/>
          </w:tcPr>
          <w:p>
            <w:pPr>
              <w:pStyle w:val="Compact"/>
              <w:spacing w:before="0" w:after="0" w:lineRule="exact" w:line="220"/>
              <w:jc w:val="left"/>
            </w:pPr>
            <w:r>
              <w:rPr>
                <w:sz w:val="18"/>
              </w:rPr>
              <w:t xml:space="preserve">0.750</w:t>
            </w:r>
          </w:p>
        </w:tc>
        <w:tc>
          <w:tcPr>
            <w:tcW w:w="1388" w:type="dxa"/>
          </w:tcPr>
          <w:p>
            <w:pPr>
              <w:pStyle w:val="Compact"/>
              <w:spacing w:before="0" w:after="0" w:lineRule="exact" w:line="220"/>
              <w:jc w:val="left"/>
            </w:pPr>
            <w:r>
              <w:rPr>
                <w:sz w:val="18"/>
              </w:rPr>
              <w:t xml:space="preserve">0.802</w:t>
            </w:r>
          </w:p>
        </w:tc>
        <w:tc>
          <w:tcPr>
            <w:tcW w:w="2343" w:type="dxa"/>
          </w:tcPr>
          <w:p>
            <w:pPr>
              <w:pStyle w:val="Compact"/>
              <w:spacing w:before="0" w:after="0" w:lineRule="exact" w:line="220"/>
              <w:jc w:val="left"/>
            </w:pPr>
            <w:r>
              <w:rPr>
                <w:sz w:val="18"/>
              </w:rPr>
              <w:t xml:space="preserve">0.094</w:t>
            </w:r>
          </w:p>
        </w:tc>
      </w:tr>
      <w:tr>
        <w:trPr>
          <w:cantSplit/>
        </w:trPr>
        <w:tc>
          <w:tcPr>
            <w:tcW w:w="3297" w:type="dxa"/>
          </w:tcPr>
          <w:p>
            <w:pPr>
              <w:pStyle w:val="Compact"/>
              <w:keepNext/>
              <w:spacing w:before="0" w:after="0" w:lineRule="exact" w:line="220"/>
              <w:jc w:val="left"/>
            </w:pPr>
            <w:r>
              <w:rPr>
                <w:iCs/>
                <w:i/>
                <w:sz w:val="18"/>
              </w:rPr>
              <w:t xml:space="preserve">p</w:t>
            </w:r>
            <w:r>
              <w:rPr>
                <w:sz w:val="18"/>
              </w:rPr>
              <w:t xml:space="preserve">-value, slope on g(V) equal to 1</w:t>
            </w:r>
          </w:p>
        </w:tc>
        <w:tc>
          <w:tcPr>
            <w:tcW w:w="1475" w:type="dxa"/>
          </w:tcPr>
          <w:p>
            <w:pPr>
              <w:pStyle w:val="Compact"/>
              <w:keepNext/>
              <w:spacing w:before="0" w:after="0" w:lineRule="exact" w:line="220"/>
              <w:jc w:val="left"/>
            </w:pPr>
            <w:r>
              <w:rPr>
                <w:sz w:val="18"/>
              </w:rPr>
              <w:t xml:space="preserve">0.845</w:t>
            </w:r>
          </w:p>
        </w:tc>
        <w:tc>
          <w:tcPr>
            <w:tcW w:w="1388" w:type="dxa"/>
          </w:tcPr>
          <w:p>
            <w:pPr>
              <w:pStyle w:val="Compact"/>
              <w:keepNext/>
              <w:spacing w:before="0" w:after="0" w:lineRule="exact" w:line="220"/>
              <w:jc w:val="left"/>
            </w:pPr>
            <w:r>
              <w:rPr>
                <w:sz w:val="18"/>
              </w:rPr>
              <w:t xml:space="preserve">0.845</w:t>
            </w:r>
          </w:p>
        </w:tc>
        <w:tc>
          <w:tcPr>
            <w:tcW w:w="2343" w:type="dxa"/>
          </w:tcPr>
          <w:p>
            <w:pPr>
              <w:pStyle w:val="Compact"/>
              <w:keepNext/>
              <w:spacing w:before="0" w:after="0" w:lineRule="exact" w:line="220"/>
              <w:jc w:val="left"/>
            </w:pPr>
            <w:r>
              <w:rPr>
                <w:sz w:val="18"/>
              </w:rPr>
              <w:t xml:space="preserve">0.019</w:t>
            </w:r>
          </w:p>
        </w:tc>
      </w:tr>
      <w:tr>
        <w:trPr>
          <w:cantSplit/>
        </w:trPr>
        <w:tc>
          <w:tcPr>
            <w:tcW w:w="3297" w:type="dxa"/>
          </w:tcPr>
          <w:p>
            <w:pPr>
              <w:pStyle w:val="Compact"/>
              <w:spacing w:before="0" w:after="0" w:lineRule="exact" w:line="220"/>
              <w:jc w:val="left"/>
            </w:pPr>
            <w:r>
              <w:rPr>
                <w:sz w:val="18"/>
              </w:rPr>
              <w:t xml:space="preserve">Pearson correlation, g(R) and g(V)</w:t>
            </w:r>
          </w:p>
        </w:tc>
        <w:tc>
          <w:tcPr>
            <w:tcW w:w="1475" w:type="dxa"/>
          </w:tcPr>
          <w:p>
            <w:pPr>
              <w:pStyle w:val="Compact"/>
              <w:spacing w:before="0" w:after="0" w:lineRule="exact" w:line="220"/>
              <w:jc w:val="left"/>
            </w:pPr>
            <w:r>
              <w:rPr>
                <w:sz w:val="18"/>
              </w:rPr>
              <w:t xml:space="preserve">0.843</w:t>
            </w:r>
          </w:p>
        </w:tc>
        <w:tc>
          <w:tcPr>
            <w:tcW w:w="1388" w:type="dxa"/>
          </w:tcPr>
          <w:p>
            <w:pPr>
              <w:pStyle w:val="Compact"/>
              <w:spacing w:before="0" w:after="0" w:lineRule="exact" w:line="220"/>
              <w:jc w:val="left"/>
            </w:pPr>
            <w:r>
              <w:rPr>
                <w:sz w:val="18"/>
              </w:rPr>
              <w:t xml:space="preserve">0.896</w:t>
            </w:r>
          </w:p>
        </w:tc>
        <w:tc>
          <w:tcPr>
            <w:tcW w:w="2343" w:type="dxa"/>
          </w:tcPr>
          <w:p>
            <w:pPr>
              <w:pStyle w:val="Compact"/>
              <w:spacing w:before="0" w:after="0" w:lineRule="exact" w:line="220"/>
              <w:jc w:val="left"/>
            </w:pPr>
            <w:r>
              <w:rPr>
                <w:sz w:val="18"/>
              </w:rPr>
              <w:t xml:space="preserve">0.307</w:t>
            </w:r>
          </w:p>
        </w:tc>
      </w:tr>
    </w:tbl>
    <w:p>
      <w:pPr>
        <w:pStyle w:val="TableNote"/>
      </w:pPr>
      <w:r>
        <w:rPr>
          <w:iCs/>
          <w:i/>
        </w:rPr>
        <w:t xml:space="preserve">Note:</w:t>
      </w:r>
      <w:r>
        <w:t xml:space="preserve"> </w:t>
      </w:r>
      <w:r>
        <w:t xml:space="preserve">The slope on g(V) is 1 if revenue grows in proportion to transaction value. Source: company filings; author’s calculations. Exploratory.</w:t>
      </w:r>
    </w:p>
    <w:p>
      <w:pPr>
        <w:pStyle w:val="BodyText"/>
      </w:pPr>
      <w:r>
        <w:t xml:space="preserve">The earlier test of the size of take-rate moves points the same way. At the typical Indonesian and regional platform the take rate moved by 22 percent a year, up or down. At the typical foreign platform it moved by 6 percent, so the moves were about 3.6 times as large (Mann–Whitney p = 0.003; shuffling the group labels, p = 0.01). Measured in logs, as in an earlier version of this test, the medians are 0.20 and 0.06 (p = 0.004), and exact versions that list every possible split of the 32 platforms agree (p = 0.004 and 0.021). No single platform carries that result: dropping any one, or treating Tokopedia and GoTo as one company, keeps p at 0.016 or below. Dropping the two largest movers, Blibli and Tokopedia, weakens it to p = 0.058 (Appendix C).</w:t>
      </w:r>
    </w:p>
    <w:p>
      <w:pPr>
        <w:pStyle w:val="BodyText"/>
      </w:pPr>
      <w:r>
        <w:t xml:space="preserve">The test of the size of moves was set up after a first, narrower test, so it is exploratory. 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Both tests of the size of moves ask about their size,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pPr>
      <w:r>
        <w:t xml:space="preserve">Quarterly pairs do not reject H1 (p = 0.19), contrary to a prediction registered before the test was run. Most of the quarterly Indonesian pairs cover 2023 to 2026, after most of the repricing, while the large moves came between 2022 and 2024. So the rejection of H1 describes that period.</w:t>
      </w:r>
    </w:p>
    <w:p>
      <w:pPr>
        <w:pStyle w:val="BodyText"/>
      </w:pPr>
      <w:r>
        <w:t xml:space="preserve">Age does not explain the result. The Indonesian and regional platforms made their largest moves one or two years after listing on the stock market, but foreign platforms did not move their take rates more in their first three years after listing than later (median 0.07 against 0.08 in logs, p = 0.24, an exploratory check), and Table 4 shows that years since listing explains neither the wedge nor the ecosystem ratio.</w:t>
      </w:r>
    </w:p>
    <w:p>
      <w:pPr>
        <w:pStyle w:val="BodyText"/>
      </w:pPr>
      <w:r>
        <w:t xml:space="preserve">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 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2 shows the three measures side by side, in its Panels A, B and C. The test shows that take rates moved, but not what the platforms changed to move them.</w:t>
      </w:r>
    </w:p>
    <w:p>
      <w:pPr>
        <w:pStyle w:val="BodyText"/>
        <w:keepNext/>
        <w:spacing w:before="200" w:after="0" w:line="240" w:lineRule="auto"/>
        <w:jc w:val="center"/>
      </w:pPr>
      <w:r>
        <w:drawing>
          <wp:inline>
            <wp:extent cx="5400000" cy="1978392"/>
            <wp:effectExtent b="0" l="0" r="0" t="0"/>
            <wp:docPr descr="" title="" id="53" name="Picture"/>
            <a:graphic>
              <a:graphicData uri="http://schemas.openxmlformats.org/drawingml/2006/picture">
                <pic:pic>
                  <pic:nvPicPr>
                    <pic:cNvPr descr="figures_yzu/fig5_1_thin_slice.png" id="54" name="Picture"/>
                    <pic:cNvPicPr>
                      <a:picLocks noChangeArrowheads="1" noChangeAspect="1"/>
                    </pic:cNvPicPr>
                  </pic:nvPicPr>
                  <pic:blipFill>
                    <a:blip r:embed="rId52"/>
                    <a:stretch>
                      <a:fillRect/>
                    </a:stretch>
                  </pic:blipFill>
                  <pic:spPr bwMode="auto">
                    <a:xfrm>
                      <a:off x="0" y="0"/>
                      <a:ext cx="5400000" cy="1978392"/>
                    </a:xfrm>
                    <a:prstGeom prst="rect">
                      <a:avLst/>
                    </a:prstGeom>
                    <a:noFill/>
                    <a:ln w="9525">
                      <a:noFill/>
                      <a:headEnd/>
                      <a:tailEnd/>
                    </a:ln>
                  </pic:spPr>
                </pic:pic>
              </a:graphicData>
            </a:graphic>
          </wp:inline>
        </w:drawing>
      </w:r>
    </w:p>
    <w:p>
      <w:pPr>
        <w:pStyle w:val="FigureCaption"/>
        <w:keepNext/>
      </w:pPr>
      <w:r>
        <w:rPr>
          <w:b/>
        </w:rPr>
        <w:t>Figure 2.</w:t>
      </w:r>
      <w:r>
        <w:rPr>
          <w:b w:val="0"/>
        </w:rPr>
        <w:t xml:space="preserve"> The thin take rate.</w:t>
      </w:r>
    </w:p>
    <w:p>
      <w:pPr>
        <w:pStyle w:val="TableNote"/>
      </w:pPr>
      <w:r>
        <w:t xml:space="preserve">Each dot is one platform’s median over its years. Panel A: the share of each sale that the platform keeps, on a log scale. Panel B: the yearly change in that share, in percentage points. Panel C: the same change relative to the share itself, as a simple percentage change. Black bars mark group medians. The foreign group has 26 platforms here and 27 in the main test, because one platform has no pair of usable years for the change in points. Source: company filings; author’s calculations. Exploratory.</w:t>
      </w:r>
    </w:p>
    <w:bookmarkEnd w:id="55"/>
    <w:bookmarkStart w:id="59" w:name="X56de9ba7770ef3105b879e5bfcd70c78553d119"/>
    <w:p>
      <w:pPr>
        <w:pStyle w:val="Heading2"/>
      </w:pPr>
      <w:r>
        <w:t xml:space="preserve">5.3 What explains the wedge and the ecosystem ratio</w:t>
      </w:r>
    </w:p>
    <w:p>
      <w:pPr>
        <w:pStyle w:val="FirstParagraph"/>
      </w:pPr>
      <w:r>
        <w:t xml:space="preserve">Size explains the wedge, and pricing explains the ecosystem ratio. Table 4 regresses each on the features of the platform and of its home market.</w:t>
      </w:r>
    </w:p>
    <w:p>
      <w:pPr>
        <w:pStyle w:val="TableCaption"/>
        <w:keepNext/>
      </w:pPr>
      <w:r>
        <w:rPr>
          <w:b/>
        </w:rPr>
        <w:t>Table 4.</w:t>
      </w:r>
      <w:r>
        <w:rPr>
          <w:b w:val="0"/>
        </w:rPr>
        <w:t xml:space="preserve"> What explains the wedge and the ecosystem ratio</w:t>
      </w:r>
    </w:p>
    <w:p>
      <w:pPr>
        <w:pStyle w:val="TableNote"/>
        <w:keepNext/>
      </w:pPr>
      <w:r>
        <w:t xml:space="preserve">This table reports OLS estimates of equation (7). The dependent variable is the natural logarithm of the wedge in US dollars in columns (1) to (3) and the ecosystem ratio, capped at its 5th and 95th percentiles, in columns (4) to (6). IndonesiaRegion equals one for the Indonesian and regional platforms. Size is total assets in US dollars. The base type is marketplace. Columns (2), (3), (5) and (6) add the GDP growth, inflation, household spending growth and policy rate of the platform’s main market, and columns (3) and (6) add year dummies. Appendix A defines the variables. Standard errors (in parentheses) are clustered at the platform level. ∗∗∗, ∗∗ and ∗ correspond to statistical significance at the 1%, 5% and 10% levels. The last row gives the p-value of a wild cluster bootstrap with 2,999 replications for IndonesiaRegion.</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2008"/>
        <w:gridCol w:w="1035"/>
        <w:gridCol w:w="1035"/>
        <w:gridCol w:w="1035"/>
        <w:gridCol w:w="1130"/>
        <w:gridCol w:w="1130"/>
        <w:gridCol w:w="1130"/>
      </w:tblGrid>
      <w:tr>
        <w:trPr>
          <w:tblHeader w:val="true"/>
          <w:cantSplit/>
          <w:tblHeader/>
        </w:trPr>
        <w:tc>
          <w:tcPr>
            <w:tcW w:w="2008" w:type="dxa"/>
            <w:tcBorders>
              <w:bottom w:val="single" w:sz="5" w:space="0" w:color="000000"/>
            </w:tcBorders>
          </w:tcPr>
          <w:p>
            <w:pPr>
              <w:pStyle w:val="Compact"/>
              <w:keepNext/>
              <w:spacing w:before="0" w:after="0" w:lineRule="exact" w:line="220"/>
              <w:jc w:val="left"/>
            </w:pPr>
            <w:r>
              <w:rPr>
                <w:iCs/>
                <w:b/>
                <w:i/>
                <w:sz w:val="18"/>
              </w:rPr>
              <w:t xml:space="preserve">Dependent variable</w:t>
            </w:r>
          </w:p>
        </w:tc>
        <w:tc>
          <w:tcPr>
            <w:tcW w:w="1035" w:type="dxa"/>
            <w:tcBorders>
              <w:bottom w:val="single" w:sz="5" w:space="0" w:color="000000"/>
            </w:tcBorders>
          </w:tcPr>
          <w:p>
            <w:pPr>
              <w:pStyle w:val="Compact"/>
              <w:keepNext/>
              <w:spacing w:before="0" w:after="0" w:lineRule="exact" w:line="220"/>
              <w:jc w:val="left"/>
            </w:pPr>
            <w:r>
              <w:rPr>
                <w:b/>
                <w:sz w:val="18"/>
              </w:rPr>
              <w:t xml:space="preserve">ln(Wedge)</w:t>
            </w:r>
          </w:p>
        </w:tc>
        <w:tc>
          <w:tcPr>
            <w:tcW w:w="1035" w:type="dxa"/>
            <w:tcBorders>
              <w:bottom w:val="single" w:sz="5" w:space="0" w:color="000000"/>
            </w:tcBorders>
          </w:tcPr>
          <w:p>
            <w:pPr>
              <w:pStyle w:val="Compact"/>
              <w:keepNext/>
              <w:spacing w:before="0" w:after="0" w:lineRule="exact" w:line="220"/>
              <w:jc w:val="left"/>
            </w:pPr>
            <w:r>
              <w:rPr>
                <w:b/>
                <w:sz w:val="18"/>
              </w:rPr>
              <w:t xml:space="preserve">ln(Wedge)</w:t>
            </w:r>
          </w:p>
        </w:tc>
        <w:tc>
          <w:tcPr>
            <w:tcW w:w="1035" w:type="dxa"/>
            <w:tcBorders>
              <w:bottom w:val="single" w:sz="5" w:space="0" w:color="000000"/>
            </w:tcBorders>
          </w:tcPr>
          <w:p>
            <w:pPr>
              <w:pStyle w:val="Compact"/>
              <w:keepNext/>
              <w:spacing w:before="0" w:after="0" w:lineRule="exact" w:line="220"/>
              <w:jc w:val="left"/>
            </w:pPr>
            <w:r>
              <w:rPr>
                <w:b/>
                <w:sz w:val="18"/>
              </w:rPr>
              <w:t xml:space="preserve">ln(Wedge)</w:t>
            </w:r>
          </w:p>
        </w:tc>
        <w:tc>
          <w:tcPr>
            <w:tcW w:w="1130" w:type="dxa"/>
            <w:tcBorders>
              <w:bottom w:val="single" w:sz="5" w:space="0" w:color="000000"/>
            </w:tcBorders>
          </w:tcPr>
          <w:p>
            <w:pPr>
              <w:pStyle w:val="Compact"/>
              <w:keepNext/>
              <w:spacing w:before="0" w:after="0" w:lineRule="exact" w:line="220"/>
              <w:jc w:val="left"/>
            </w:pPr>
            <w:r>
              <w:rPr>
                <w:b/>
                <w:sz w:val="18"/>
              </w:rPr>
              <w:t xml:space="preserve">Ecosystem ratio</w:t>
            </w:r>
          </w:p>
        </w:tc>
        <w:tc>
          <w:tcPr>
            <w:tcW w:w="1130" w:type="dxa"/>
            <w:tcBorders>
              <w:bottom w:val="single" w:sz="5" w:space="0" w:color="000000"/>
            </w:tcBorders>
          </w:tcPr>
          <w:p>
            <w:pPr>
              <w:pStyle w:val="Compact"/>
              <w:keepNext/>
              <w:spacing w:before="0" w:after="0" w:lineRule="exact" w:line="220"/>
              <w:jc w:val="left"/>
            </w:pPr>
            <w:r>
              <w:rPr>
                <w:b/>
                <w:sz w:val="18"/>
              </w:rPr>
              <w:t xml:space="preserve">Ecosystem ratio</w:t>
            </w:r>
          </w:p>
        </w:tc>
        <w:tc>
          <w:tcPr>
            <w:tcW w:w="1130" w:type="dxa"/>
            <w:tcBorders>
              <w:bottom w:val="single" w:sz="5" w:space="0" w:color="000000"/>
            </w:tcBorders>
          </w:tcPr>
          <w:p>
            <w:pPr>
              <w:pStyle w:val="Compact"/>
              <w:keepNext/>
              <w:spacing w:before="0" w:after="0" w:lineRule="exact" w:line="220"/>
              <w:jc w:val="left"/>
            </w:pPr>
            <w:r>
              <w:rPr>
                <w:b/>
                <w:sz w:val="18"/>
              </w:rPr>
              <w:t xml:space="preserve">Ecosystem ratio</w:t>
            </w:r>
          </w:p>
        </w:tc>
      </w:tr>
      <w:tr>
        <w:trPr>
          <w:cantSplit/>
        </w:trPr>
        <w:tc>
          <w:tcPr>
            <w:tcW w:w="2008" w:type="dxa"/>
          </w:tcPr>
          <w:p>
            <w:pPr>
              <w:pStyle w:val="Compact"/>
              <w:keepNext/>
              <w:spacing w:before="0" w:after="0" w:lineRule="exact" w:line="220"/>
              <w:jc w:val="left"/>
            </w:pPr>
          </w:p>
        </w:tc>
        <w:tc>
          <w:tcPr>
            <w:tcW w:w="1035" w:type="dxa"/>
          </w:tcPr>
          <w:p>
            <w:pPr>
              <w:pStyle w:val="Compact"/>
              <w:keepNext/>
              <w:spacing w:before="0" w:after="0" w:lineRule="exact" w:line="220"/>
              <w:jc w:val="left"/>
            </w:pPr>
            <w:r>
              <w:rPr>
                <w:sz w:val="18"/>
              </w:rPr>
              <w:t xml:space="preserve">(1)</w:t>
            </w:r>
          </w:p>
        </w:tc>
        <w:tc>
          <w:tcPr>
            <w:tcW w:w="1035" w:type="dxa"/>
          </w:tcPr>
          <w:p>
            <w:pPr>
              <w:pStyle w:val="Compact"/>
              <w:keepNext/>
              <w:spacing w:before="0" w:after="0" w:lineRule="exact" w:line="220"/>
              <w:jc w:val="left"/>
            </w:pPr>
            <w:r>
              <w:rPr>
                <w:sz w:val="18"/>
              </w:rPr>
              <w:t xml:space="preserve">(2)</w:t>
            </w:r>
          </w:p>
        </w:tc>
        <w:tc>
          <w:tcPr>
            <w:tcW w:w="1035" w:type="dxa"/>
          </w:tcPr>
          <w:p>
            <w:pPr>
              <w:pStyle w:val="Compact"/>
              <w:keepNext/>
              <w:spacing w:before="0" w:after="0" w:lineRule="exact" w:line="220"/>
              <w:jc w:val="left"/>
            </w:pPr>
            <w:r>
              <w:rPr>
                <w:sz w:val="18"/>
              </w:rPr>
              <w:t xml:space="preserve">(3)</w:t>
            </w:r>
          </w:p>
        </w:tc>
        <w:tc>
          <w:tcPr>
            <w:tcW w:w="1130" w:type="dxa"/>
          </w:tcPr>
          <w:p>
            <w:pPr>
              <w:pStyle w:val="Compact"/>
              <w:keepNext/>
              <w:spacing w:before="0" w:after="0" w:lineRule="exact" w:line="220"/>
              <w:jc w:val="left"/>
            </w:pPr>
            <w:r>
              <w:rPr>
                <w:sz w:val="18"/>
              </w:rPr>
              <w:t xml:space="preserve">(4)</w:t>
            </w:r>
          </w:p>
        </w:tc>
        <w:tc>
          <w:tcPr>
            <w:tcW w:w="1130" w:type="dxa"/>
          </w:tcPr>
          <w:p>
            <w:pPr>
              <w:pStyle w:val="Compact"/>
              <w:keepNext/>
              <w:spacing w:before="0" w:after="0" w:lineRule="exact" w:line="220"/>
              <w:jc w:val="left"/>
            </w:pPr>
            <w:r>
              <w:rPr>
                <w:sz w:val="18"/>
              </w:rPr>
              <w:t xml:space="preserve">(5)</w:t>
            </w:r>
          </w:p>
        </w:tc>
        <w:tc>
          <w:tcPr>
            <w:tcW w:w="1130" w:type="dxa"/>
          </w:tcPr>
          <w:p>
            <w:pPr>
              <w:pStyle w:val="Compact"/>
              <w:keepNext/>
              <w:spacing w:before="0" w:after="0" w:lineRule="exact" w:line="220"/>
              <w:jc w:val="left"/>
            </w:pPr>
            <w:r>
              <w:rPr>
                <w:sz w:val="18"/>
              </w:rPr>
              <w:t xml:space="preserve">(6)</w:t>
            </w:r>
          </w:p>
        </w:tc>
      </w:tr>
      <w:tr>
        <w:trPr>
          <w:cantSplit/>
        </w:trPr>
        <w:tc>
          <w:tcPr>
            <w:tcW w:w="2008" w:type="dxa"/>
          </w:tcPr>
          <w:p>
            <w:pPr>
              <w:pStyle w:val="Compact"/>
              <w:keepNext/>
              <w:spacing w:before="0" w:after="0" w:lineRule="exact" w:line="220"/>
              <w:jc w:val="left"/>
            </w:pPr>
            <w:r>
              <w:rPr>
                <w:sz w:val="18"/>
              </w:rPr>
              <w:t xml:space="preserve">IndonesiaRegion</w:t>
            </w:r>
          </w:p>
        </w:tc>
        <w:tc>
          <w:tcPr>
            <w:tcW w:w="1035" w:type="dxa"/>
          </w:tcPr>
          <w:p>
            <w:pPr>
              <w:pStyle w:val="Compact"/>
              <w:keepNext/>
              <w:spacing w:before="0" w:after="0" w:lineRule="exact" w:line="220"/>
              <w:jc w:val="left"/>
            </w:pPr>
            <w:r>
              <w:rPr>
                <w:sz w:val="18"/>
              </w:rPr>
              <w:t xml:space="preserve">-0.075</w:t>
            </w:r>
          </w:p>
        </w:tc>
        <w:tc>
          <w:tcPr>
            <w:tcW w:w="1035" w:type="dxa"/>
          </w:tcPr>
          <w:p>
            <w:pPr>
              <w:pStyle w:val="Compact"/>
              <w:keepNext/>
              <w:spacing w:before="0" w:after="0" w:lineRule="exact" w:line="220"/>
              <w:jc w:val="left"/>
            </w:pPr>
            <w:r>
              <w:rPr>
                <w:sz w:val="18"/>
              </w:rPr>
              <w:t xml:space="preserve">-0.302</w:t>
            </w:r>
          </w:p>
        </w:tc>
        <w:tc>
          <w:tcPr>
            <w:tcW w:w="1035" w:type="dxa"/>
          </w:tcPr>
          <w:p>
            <w:pPr>
              <w:pStyle w:val="Compact"/>
              <w:keepNext/>
              <w:spacing w:before="0" w:after="0" w:lineRule="exact" w:line="220"/>
              <w:jc w:val="left"/>
            </w:pPr>
            <w:r>
              <w:rPr>
                <w:sz w:val="18"/>
              </w:rPr>
              <w:t xml:space="preserve">0.080</w:t>
            </w:r>
          </w:p>
        </w:tc>
        <w:tc>
          <w:tcPr>
            <w:tcW w:w="1130" w:type="dxa"/>
          </w:tcPr>
          <w:p>
            <w:pPr>
              <w:pStyle w:val="Compact"/>
              <w:keepNext/>
              <w:spacing w:before="0" w:after="0" w:lineRule="exact" w:line="220"/>
              <w:jc w:val="left"/>
            </w:pPr>
            <w:r>
              <w:rPr>
                <w:sz w:val="18"/>
              </w:rPr>
              <w:t xml:space="preserve">15.214∗∗∗</w:t>
            </w:r>
          </w:p>
        </w:tc>
        <w:tc>
          <w:tcPr>
            <w:tcW w:w="1130" w:type="dxa"/>
          </w:tcPr>
          <w:p>
            <w:pPr>
              <w:pStyle w:val="Compact"/>
              <w:keepNext/>
              <w:spacing w:before="0" w:after="0" w:lineRule="exact" w:line="220"/>
              <w:jc w:val="left"/>
            </w:pPr>
            <w:r>
              <w:rPr>
                <w:sz w:val="18"/>
              </w:rPr>
              <w:t xml:space="preserve">12.939∗∗∗</w:t>
            </w:r>
          </w:p>
        </w:tc>
        <w:tc>
          <w:tcPr>
            <w:tcW w:w="1130" w:type="dxa"/>
          </w:tcPr>
          <w:p>
            <w:pPr>
              <w:pStyle w:val="Compact"/>
              <w:keepNext/>
              <w:spacing w:before="0" w:after="0" w:lineRule="exact" w:line="220"/>
              <w:jc w:val="left"/>
            </w:pPr>
            <w:r>
              <w:rPr>
                <w:sz w:val="18"/>
              </w:rPr>
              <w:t xml:space="preserve">17.092∗∗∗</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(0.361)</w:t>
            </w:r>
          </w:p>
        </w:tc>
        <w:tc>
          <w:tcPr>
            <w:tcW w:w="1035" w:type="dxa"/>
          </w:tcPr>
          <w:p>
            <w:pPr>
              <w:pStyle w:val="Compact"/>
              <w:spacing w:before="0" w:after="0" w:lineRule="exact" w:line="220"/>
              <w:jc w:val="left"/>
            </w:pPr>
            <w:r>
              <w:rPr>
                <w:sz w:val="18"/>
              </w:rPr>
              <w:t xml:space="preserve">(0.349)</w:t>
            </w:r>
          </w:p>
        </w:tc>
        <w:tc>
          <w:tcPr>
            <w:tcW w:w="1035" w:type="dxa"/>
          </w:tcPr>
          <w:p>
            <w:pPr>
              <w:pStyle w:val="Compact"/>
              <w:spacing w:before="0" w:after="0" w:lineRule="exact" w:line="220"/>
              <w:jc w:val="left"/>
            </w:pPr>
            <w:r>
              <w:rPr>
                <w:sz w:val="18"/>
              </w:rPr>
              <w:t xml:space="preserve">(0.396)</w:t>
            </w:r>
          </w:p>
        </w:tc>
        <w:tc>
          <w:tcPr>
            <w:tcW w:w="1130" w:type="dxa"/>
          </w:tcPr>
          <w:p>
            <w:pPr>
              <w:pStyle w:val="Compact"/>
              <w:spacing w:before="0" w:after="0" w:lineRule="exact" w:line="220"/>
              <w:jc w:val="left"/>
            </w:pPr>
            <w:r>
              <w:rPr>
                <w:sz w:val="18"/>
              </w:rPr>
              <w:t xml:space="preserve">(3.857)</w:t>
            </w:r>
          </w:p>
        </w:tc>
        <w:tc>
          <w:tcPr>
            <w:tcW w:w="1130" w:type="dxa"/>
          </w:tcPr>
          <w:p>
            <w:pPr>
              <w:pStyle w:val="Compact"/>
              <w:spacing w:before="0" w:after="0" w:lineRule="exact" w:line="220"/>
              <w:jc w:val="left"/>
            </w:pPr>
            <w:r>
              <w:rPr>
                <w:sz w:val="18"/>
              </w:rPr>
              <w:t xml:space="preserve">(3.290)</w:t>
            </w:r>
          </w:p>
        </w:tc>
        <w:tc>
          <w:tcPr>
            <w:tcW w:w="1130" w:type="dxa"/>
          </w:tcPr>
          <w:p>
            <w:pPr>
              <w:pStyle w:val="Compact"/>
              <w:spacing w:before="0" w:after="0" w:lineRule="exact" w:line="220"/>
              <w:jc w:val="left"/>
            </w:pPr>
            <w:r>
              <w:rPr>
                <w:sz w:val="18"/>
              </w:rPr>
              <w:t xml:space="preserve">(3.168)</w:t>
            </w:r>
          </w:p>
        </w:tc>
      </w:tr>
      <w:tr>
        <w:trPr>
          <w:cantSplit/>
        </w:trPr>
        <w:tc>
          <w:tcPr>
            <w:tcW w:w="2008" w:type="dxa"/>
          </w:tcPr>
          <w:p>
            <w:pPr>
              <w:pStyle w:val="Compact"/>
              <w:spacing w:before="0" w:after="0" w:lineRule="exact" w:line="220"/>
              <w:jc w:val="left"/>
            </w:pPr>
            <w:r>
              <w:rPr>
                <w:sz w:val="18"/>
              </w:rPr>
              <w:t xml:space="preserve">ln(1+YearsListed)</w:t>
            </w:r>
          </w:p>
        </w:tc>
        <w:tc>
          <w:tcPr>
            <w:tcW w:w="1035" w:type="dxa"/>
          </w:tcPr>
          <w:p>
            <w:pPr>
              <w:pStyle w:val="Compact"/>
              <w:spacing w:before="0" w:after="0" w:lineRule="exact" w:line="220"/>
              <w:jc w:val="left"/>
            </w:pPr>
            <w:r>
              <w:rPr>
                <w:sz w:val="18"/>
              </w:rPr>
              <w:t xml:space="preserve">-0.066</w:t>
            </w:r>
          </w:p>
        </w:tc>
        <w:tc>
          <w:tcPr>
            <w:tcW w:w="1035" w:type="dxa"/>
          </w:tcPr>
          <w:p>
            <w:pPr>
              <w:pStyle w:val="Compact"/>
              <w:spacing w:before="0" w:after="0" w:lineRule="exact" w:line="220"/>
              <w:jc w:val="left"/>
            </w:pPr>
            <w:r>
              <w:rPr>
                <w:sz w:val="18"/>
              </w:rPr>
              <w:t xml:space="preserve">-0.068</w:t>
            </w:r>
          </w:p>
        </w:tc>
        <w:tc>
          <w:tcPr>
            <w:tcW w:w="1035" w:type="dxa"/>
          </w:tcPr>
          <w:p>
            <w:pPr>
              <w:pStyle w:val="Compact"/>
              <w:spacing w:before="0" w:after="0" w:lineRule="exact" w:line="220"/>
              <w:jc w:val="left"/>
            </w:pPr>
            <w:r>
              <w:rPr>
                <w:sz w:val="18"/>
              </w:rPr>
              <w:t xml:space="preserve">0.093</w:t>
            </w:r>
          </w:p>
        </w:tc>
        <w:tc>
          <w:tcPr>
            <w:tcW w:w="1130" w:type="dxa"/>
          </w:tcPr>
          <w:p>
            <w:pPr>
              <w:pStyle w:val="Compact"/>
              <w:spacing w:before="0" w:after="0" w:lineRule="exact" w:line="220"/>
              <w:jc w:val="left"/>
            </w:pPr>
            <w:r>
              <w:rPr>
                <w:sz w:val="18"/>
              </w:rPr>
              <w:t xml:space="preserve">-2.722</w:t>
            </w:r>
          </w:p>
        </w:tc>
        <w:tc>
          <w:tcPr>
            <w:tcW w:w="1130" w:type="dxa"/>
          </w:tcPr>
          <w:p>
            <w:pPr>
              <w:pStyle w:val="Compact"/>
              <w:spacing w:before="0" w:after="0" w:lineRule="exact" w:line="220"/>
              <w:jc w:val="left"/>
            </w:pPr>
            <w:r>
              <w:rPr>
                <w:sz w:val="18"/>
              </w:rPr>
              <w:t xml:space="preserve">-2.719∗</w:t>
            </w:r>
          </w:p>
        </w:tc>
        <w:tc>
          <w:tcPr>
            <w:tcW w:w="1130" w:type="dxa"/>
          </w:tcPr>
          <w:p>
            <w:pPr>
              <w:pStyle w:val="Compact"/>
              <w:spacing w:before="0" w:after="0" w:lineRule="exact" w:line="220"/>
              <w:jc w:val="left"/>
            </w:pPr>
            <w:r>
              <w:rPr>
                <w:sz w:val="18"/>
              </w:rPr>
              <w:t xml:space="preserve">-1.274</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(0.156)</w:t>
            </w:r>
          </w:p>
        </w:tc>
        <w:tc>
          <w:tcPr>
            <w:tcW w:w="1035" w:type="dxa"/>
          </w:tcPr>
          <w:p>
            <w:pPr>
              <w:pStyle w:val="Compact"/>
              <w:spacing w:before="0" w:after="0" w:lineRule="exact" w:line="220"/>
              <w:jc w:val="left"/>
            </w:pPr>
            <w:r>
              <w:rPr>
                <w:sz w:val="18"/>
              </w:rPr>
              <w:t xml:space="preserve">(0.141)</w:t>
            </w:r>
          </w:p>
        </w:tc>
        <w:tc>
          <w:tcPr>
            <w:tcW w:w="1035" w:type="dxa"/>
          </w:tcPr>
          <w:p>
            <w:pPr>
              <w:pStyle w:val="Compact"/>
              <w:spacing w:before="0" w:after="0" w:lineRule="exact" w:line="220"/>
              <w:jc w:val="left"/>
            </w:pPr>
            <w:r>
              <w:rPr>
                <w:sz w:val="18"/>
              </w:rPr>
              <w:t xml:space="preserve">(0.169)</w:t>
            </w:r>
          </w:p>
        </w:tc>
        <w:tc>
          <w:tcPr>
            <w:tcW w:w="1130" w:type="dxa"/>
          </w:tcPr>
          <w:p>
            <w:pPr>
              <w:pStyle w:val="Compact"/>
              <w:spacing w:before="0" w:after="0" w:lineRule="exact" w:line="220"/>
              <w:jc w:val="left"/>
            </w:pPr>
            <w:r>
              <w:rPr>
                <w:sz w:val="18"/>
              </w:rPr>
              <w:t xml:space="preserve">(1.623)</w:t>
            </w:r>
          </w:p>
        </w:tc>
        <w:tc>
          <w:tcPr>
            <w:tcW w:w="1130" w:type="dxa"/>
          </w:tcPr>
          <w:p>
            <w:pPr>
              <w:pStyle w:val="Compact"/>
              <w:spacing w:before="0" w:after="0" w:lineRule="exact" w:line="220"/>
              <w:jc w:val="left"/>
            </w:pPr>
            <w:r>
              <w:rPr>
                <w:sz w:val="18"/>
              </w:rPr>
              <w:t xml:space="preserve">(1.531)</w:t>
            </w:r>
          </w:p>
        </w:tc>
        <w:tc>
          <w:tcPr>
            <w:tcW w:w="1130" w:type="dxa"/>
          </w:tcPr>
          <w:p>
            <w:pPr>
              <w:pStyle w:val="Compact"/>
              <w:spacing w:before="0" w:after="0" w:lineRule="exact" w:line="220"/>
              <w:jc w:val="left"/>
            </w:pPr>
            <w:r>
              <w:rPr>
                <w:sz w:val="18"/>
              </w:rPr>
              <w:t xml:space="preserve">(1.516)</w:t>
            </w:r>
          </w:p>
        </w:tc>
      </w:tr>
      <w:tr>
        <w:trPr>
          <w:cantSplit/>
        </w:trPr>
        <w:tc>
          <w:tcPr>
            <w:tcW w:w="2008" w:type="dxa"/>
          </w:tcPr>
          <w:p>
            <w:pPr>
              <w:pStyle w:val="Compact"/>
              <w:spacing w:before="0" w:after="0" w:lineRule="exact" w:line="220"/>
              <w:jc w:val="left"/>
            </w:pPr>
            <w:r>
              <w:rPr>
                <w:sz w:val="18"/>
              </w:rPr>
              <w:t xml:space="preserve">ln(Assets)</w:t>
            </w:r>
          </w:p>
        </w:tc>
        <w:tc>
          <w:tcPr>
            <w:tcW w:w="1035" w:type="dxa"/>
          </w:tcPr>
          <w:p>
            <w:pPr>
              <w:pStyle w:val="Compact"/>
              <w:spacing w:before="0" w:after="0" w:lineRule="exact" w:line="220"/>
              <w:jc w:val="left"/>
            </w:pPr>
            <w:r>
              <w:rPr>
                <w:sz w:val="18"/>
              </w:rPr>
              <w:t xml:space="preserve">0.898∗∗∗</w:t>
            </w:r>
          </w:p>
        </w:tc>
        <w:tc>
          <w:tcPr>
            <w:tcW w:w="1035" w:type="dxa"/>
          </w:tcPr>
          <w:p>
            <w:pPr>
              <w:pStyle w:val="Compact"/>
              <w:spacing w:before="0" w:after="0" w:lineRule="exact" w:line="220"/>
              <w:jc w:val="left"/>
            </w:pPr>
            <w:r>
              <w:rPr>
                <w:sz w:val="18"/>
              </w:rPr>
              <w:t xml:space="preserve">0.917∗∗∗</w:t>
            </w:r>
          </w:p>
        </w:tc>
        <w:tc>
          <w:tcPr>
            <w:tcW w:w="1035" w:type="dxa"/>
          </w:tcPr>
          <w:p>
            <w:pPr>
              <w:pStyle w:val="Compact"/>
              <w:spacing w:before="0" w:after="0" w:lineRule="exact" w:line="220"/>
              <w:jc w:val="left"/>
            </w:pPr>
            <w:r>
              <w:rPr>
                <w:sz w:val="18"/>
              </w:rPr>
              <w:t xml:space="preserve">0.900∗∗∗</w:t>
            </w:r>
          </w:p>
        </w:tc>
        <w:tc>
          <w:tcPr>
            <w:tcW w:w="1130" w:type="dxa"/>
          </w:tcPr>
          <w:p>
            <w:pPr>
              <w:pStyle w:val="Compact"/>
              <w:spacing w:before="0" w:after="0" w:lineRule="exact" w:line="220"/>
              <w:jc w:val="left"/>
            </w:pPr>
            <w:r>
              <w:rPr>
                <w:sz w:val="18"/>
              </w:rPr>
              <w:t xml:space="preserve">0.016</w:t>
            </w:r>
          </w:p>
        </w:tc>
        <w:tc>
          <w:tcPr>
            <w:tcW w:w="1130" w:type="dxa"/>
          </w:tcPr>
          <w:p>
            <w:pPr>
              <w:pStyle w:val="Compact"/>
              <w:spacing w:before="0" w:after="0" w:lineRule="exact" w:line="220"/>
              <w:jc w:val="left"/>
            </w:pPr>
            <w:r>
              <w:rPr>
                <w:sz w:val="18"/>
              </w:rPr>
              <w:t xml:space="preserve">-0.281</w:t>
            </w:r>
          </w:p>
        </w:tc>
        <w:tc>
          <w:tcPr>
            <w:tcW w:w="1130" w:type="dxa"/>
          </w:tcPr>
          <w:p>
            <w:pPr>
              <w:pStyle w:val="Compact"/>
              <w:spacing w:before="0" w:after="0" w:lineRule="exact" w:line="220"/>
              <w:jc w:val="left"/>
            </w:pPr>
            <w:r>
              <w:rPr>
                <w:sz w:val="18"/>
              </w:rPr>
              <w:t xml:space="preserve">-0.621</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(0.086)</w:t>
            </w:r>
          </w:p>
        </w:tc>
        <w:tc>
          <w:tcPr>
            <w:tcW w:w="1035" w:type="dxa"/>
          </w:tcPr>
          <w:p>
            <w:pPr>
              <w:pStyle w:val="Compact"/>
              <w:spacing w:before="0" w:after="0" w:lineRule="exact" w:line="220"/>
              <w:jc w:val="left"/>
            </w:pPr>
            <w:r>
              <w:rPr>
                <w:sz w:val="18"/>
              </w:rPr>
              <w:t xml:space="preserve">(0.073)</w:t>
            </w:r>
          </w:p>
        </w:tc>
        <w:tc>
          <w:tcPr>
            <w:tcW w:w="1035" w:type="dxa"/>
          </w:tcPr>
          <w:p>
            <w:pPr>
              <w:pStyle w:val="Compact"/>
              <w:spacing w:before="0" w:after="0" w:lineRule="exact" w:line="220"/>
              <w:jc w:val="left"/>
            </w:pPr>
            <w:r>
              <w:rPr>
                <w:sz w:val="18"/>
              </w:rPr>
              <w:t xml:space="preserve">(0.060)</w:t>
            </w:r>
          </w:p>
        </w:tc>
        <w:tc>
          <w:tcPr>
            <w:tcW w:w="1130" w:type="dxa"/>
          </w:tcPr>
          <w:p>
            <w:pPr>
              <w:pStyle w:val="Compact"/>
              <w:spacing w:before="0" w:after="0" w:lineRule="exact" w:line="220"/>
              <w:jc w:val="left"/>
            </w:pPr>
            <w:r>
              <w:rPr>
                <w:sz w:val="18"/>
              </w:rPr>
              <w:t xml:space="preserve">(0.897)</w:t>
            </w:r>
          </w:p>
        </w:tc>
        <w:tc>
          <w:tcPr>
            <w:tcW w:w="1130" w:type="dxa"/>
          </w:tcPr>
          <w:p>
            <w:pPr>
              <w:pStyle w:val="Compact"/>
              <w:spacing w:before="0" w:after="0" w:lineRule="exact" w:line="220"/>
              <w:jc w:val="left"/>
            </w:pPr>
            <w:r>
              <w:rPr>
                <w:sz w:val="18"/>
              </w:rPr>
              <w:t xml:space="preserve">(0.676)</w:t>
            </w:r>
          </w:p>
        </w:tc>
        <w:tc>
          <w:tcPr>
            <w:tcW w:w="1130" w:type="dxa"/>
          </w:tcPr>
          <w:p>
            <w:pPr>
              <w:pStyle w:val="Compact"/>
              <w:spacing w:before="0" w:after="0" w:lineRule="exact" w:line="220"/>
              <w:jc w:val="left"/>
            </w:pPr>
            <w:r>
              <w:rPr>
                <w:sz w:val="18"/>
              </w:rPr>
              <w:t xml:space="preserve">(0.662)</w:t>
            </w:r>
          </w:p>
        </w:tc>
      </w:tr>
      <w:tr>
        <w:trPr>
          <w:cantSplit/>
        </w:trPr>
        <w:tc>
          <w:tcPr>
            <w:tcW w:w="2008" w:type="dxa"/>
          </w:tcPr>
          <w:p>
            <w:pPr>
              <w:pStyle w:val="Compact"/>
              <w:spacing w:before="0" w:after="0" w:lineRule="exact" w:line="220"/>
              <w:jc w:val="left"/>
            </w:pPr>
            <w:r>
              <w:rPr>
                <w:sz w:val="18"/>
              </w:rPr>
              <w:t xml:space="preserve">OnDemand</w:t>
            </w:r>
          </w:p>
        </w:tc>
        <w:tc>
          <w:tcPr>
            <w:tcW w:w="1035" w:type="dxa"/>
          </w:tcPr>
          <w:p>
            <w:pPr>
              <w:pStyle w:val="Compact"/>
              <w:spacing w:before="0" w:after="0" w:lineRule="exact" w:line="220"/>
              <w:jc w:val="left"/>
            </w:pPr>
            <w:r>
              <w:rPr>
                <w:sz w:val="18"/>
              </w:rPr>
              <w:t xml:space="preserve">-0.950∗∗∗</w:t>
            </w:r>
          </w:p>
        </w:tc>
        <w:tc>
          <w:tcPr>
            <w:tcW w:w="1035" w:type="dxa"/>
          </w:tcPr>
          <w:p>
            <w:pPr>
              <w:pStyle w:val="Compact"/>
              <w:spacing w:before="0" w:after="0" w:lineRule="exact" w:line="220"/>
              <w:jc w:val="left"/>
            </w:pPr>
            <w:r>
              <w:rPr>
                <w:sz w:val="18"/>
              </w:rPr>
              <w:t xml:space="preserve">-0.975∗∗∗</w:t>
            </w:r>
          </w:p>
        </w:tc>
        <w:tc>
          <w:tcPr>
            <w:tcW w:w="1035" w:type="dxa"/>
          </w:tcPr>
          <w:p>
            <w:pPr>
              <w:pStyle w:val="Compact"/>
              <w:spacing w:before="0" w:after="0" w:lineRule="exact" w:line="220"/>
              <w:jc w:val="left"/>
            </w:pPr>
            <w:r>
              <w:rPr>
                <w:sz w:val="18"/>
              </w:rPr>
              <w:t xml:space="preserve">-1.011∗∗∗</w:t>
            </w:r>
          </w:p>
        </w:tc>
        <w:tc>
          <w:tcPr>
            <w:tcW w:w="1130" w:type="dxa"/>
          </w:tcPr>
          <w:p>
            <w:pPr>
              <w:pStyle w:val="Compact"/>
              <w:spacing w:before="0" w:after="0" w:lineRule="exact" w:line="220"/>
              <w:jc w:val="left"/>
            </w:pPr>
            <w:r>
              <w:rPr>
                <w:sz w:val="18"/>
              </w:rPr>
              <w:t xml:space="preserve">-16.597∗∗∗</w:t>
            </w:r>
          </w:p>
        </w:tc>
        <w:tc>
          <w:tcPr>
            <w:tcW w:w="1130" w:type="dxa"/>
          </w:tcPr>
          <w:p>
            <w:pPr>
              <w:pStyle w:val="Compact"/>
              <w:spacing w:before="0" w:after="0" w:lineRule="exact" w:line="220"/>
              <w:jc w:val="left"/>
            </w:pPr>
            <w:r>
              <w:rPr>
                <w:sz w:val="18"/>
              </w:rPr>
              <w:t xml:space="preserve">-17.876∗∗∗</w:t>
            </w:r>
          </w:p>
        </w:tc>
        <w:tc>
          <w:tcPr>
            <w:tcW w:w="1130" w:type="dxa"/>
          </w:tcPr>
          <w:p>
            <w:pPr>
              <w:pStyle w:val="Compact"/>
              <w:spacing w:before="0" w:after="0" w:lineRule="exact" w:line="220"/>
              <w:jc w:val="left"/>
            </w:pPr>
            <w:r>
              <w:rPr>
                <w:sz w:val="18"/>
              </w:rPr>
              <w:t xml:space="preserve">-19.787∗∗∗</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(0.267)</w:t>
            </w:r>
          </w:p>
        </w:tc>
        <w:tc>
          <w:tcPr>
            <w:tcW w:w="1035" w:type="dxa"/>
          </w:tcPr>
          <w:p>
            <w:pPr>
              <w:pStyle w:val="Compact"/>
              <w:spacing w:before="0" w:after="0" w:lineRule="exact" w:line="220"/>
              <w:jc w:val="left"/>
            </w:pPr>
            <w:r>
              <w:rPr>
                <w:sz w:val="18"/>
              </w:rPr>
              <w:t xml:space="preserve">(0.305)</w:t>
            </w:r>
          </w:p>
        </w:tc>
        <w:tc>
          <w:tcPr>
            <w:tcW w:w="1035" w:type="dxa"/>
          </w:tcPr>
          <w:p>
            <w:pPr>
              <w:pStyle w:val="Compact"/>
              <w:spacing w:before="0" w:after="0" w:lineRule="exact" w:line="220"/>
              <w:jc w:val="left"/>
            </w:pPr>
            <w:r>
              <w:rPr>
                <w:sz w:val="18"/>
              </w:rPr>
              <w:t xml:space="preserve">(0.273)</w:t>
            </w:r>
          </w:p>
        </w:tc>
        <w:tc>
          <w:tcPr>
            <w:tcW w:w="1130" w:type="dxa"/>
          </w:tcPr>
          <w:p>
            <w:pPr>
              <w:pStyle w:val="Compact"/>
              <w:spacing w:before="0" w:after="0" w:lineRule="exact" w:line="220"/>
              <w:jc w:val="left"/>
            </w:pPr>
            <w:r>
              <w:rPr>
                <w:sz w:val="18"/>
              </w:rPr>
              <w:t xml:space="preserve">(3.837)</w:t>
            </w:r>
          </w:p>
        </w:tc>
        <w:tc>
          <w:tcPr>
            <w:tcW w:w="1130" w:type="dxa"/>
          </w:tcPr>
          <w:p>
            <w:pPr>
              <w:pStyle w:val="Compact"/>
              <w:spacing w:before="0" w:after="0" w:lineRule="exact" w:line="220"/>
              <w:jc w:val="left"/>
            </w:pPr>
            <w:r>
              <w:rPr>
                <w:sz w:val="18"/>
              </w:rPr>
              <w:t xml:space="preserve">(3.640)</w:t>
            </w:r>
          </w:p>
        </w:tc>
        <w:tc>
          <w:tcPr>
            <w:tcW w:w="1130" w:type="dxa"/>
          </w:tcPr>
          <w:p>
            <w:pPr>
              <w:pStyle w:val="Compact"/>
              <w:spacing w:before="0" w:after="0" w:lineRule="exact" w:line="220"/>
              <w:jc w:val="left"/>
            </w:pPr>
            <w:r>
              <w:rPr>
                <w:sz w:val="18"/>
              </w:rPr>
              <w:t xml:space="preserve">(3.251)</w:t>
            </w:r>
          </w:p>
        </w:tc>
      </w:tr>
      <w:tr>
        <w:trPr>
          <w:cantSplit/>
        </w:trPr>
        <w:tc>
          <w:tcPr>
            <w:tcW w:w="2008" w:type="dxa"/>
          </w:tcPr>
          <w:p>
            <w:pPr>
              <w:pStyle w:val="Compact"/>
              <w:spacing w:before="0" w:after="0" w:lineRule="exact" w:line="220"/>
              <w:jc w:val="left"/>
            </w:pPr>
            <w:r>
              <w:rPr>
                <w:sz w:val="18"/>
              </w:rPr>
              <w:t xml:space="preserve">Travel</w:t>
            </w:r>
          </w:p>
        </w:tc>
        <w:tc>
          <w:tcPr>
            <w:tcW w:w="1035" w:type="dxa"/>
          </w:tcPr>
          <w:p>
            <w:pPr>
              <w:pStyle w:val="Compact"/>
              <w:spacing w:before="0" w:after="0" w:lineRule="exact" w:line="220"/>
              <w:jc w:val="left"/>
            </w:pPr>
            <w:r>
              <w:rPr>
                <w:sz w:val="18"/>
              </w:rPr>
              <w:t xml:space="preserve">-0.053</w:t>
            </w:r>
          </w:p>
        </w:tc>
        <w:tc>
          <w:tcPr>
            <w:tcW w:w="1035" w:type="dxa"/>
          </w:tcPr>
          <w:p>
            <w:pPr>
              <w:pStyle w:val="Compact"/>
              <w:spacing w:before="0" w:after="0" w:lineRule="exact" w:line="220"/>
              <w:jc w:val="left"/>
            </w:pPr>
            <w:r>
              <w:rPr>
                <w:sz w:val="18"/>
              </w:rPr>
              <w:t xml:space="preserve">-0.261</w:t>
            </w:r>
          </w:p>
        </w:tc>
        <w:tc>
          <w:tcPr>
            <w:tcW w:w="1035" w:type="dxa"/>
          </w:tcPr>
          <w:p>
            <w:pPr>
              <w:pStyle w:val="Compact"/>
              <w:spacing w:before="0" w:after="0" w:lineRule="exact" w:line="220"/>
              <w:jc w:val="left"/>
            </w:pPr>
            <w:r>
              <w:rPr>
                <w:sz w:val="18"/>
              </w:rPr>
              <w:t xml:space="preserve">-0.266</w:t>
            </w:r>
          </w:p>
        </w:tc>
        <w:tc>
          <w:tcPr>
            <w:tcW w:w="1130" w:type="dxa"/>
          </w:tcPr>
          <w:p>
            <w:pPr>
              <w:pStyle w:val="Compact"/>
              <w:spacing w:before="0" w:after="0" w:lineRule="exact" w:line="220"/>
              <w:jc w:val="left"/>
            </w:pPr>
            <w:r>
              <w:rPr>
                <w:sz w:val="18"/>
              </w:rPr>
              <w:t xml:space="preserve">-7.313∗</w:t>
            </w:r>
          </w:p>
        </w:tc>
        <w:tc>
          <w:tcPr>
            <w:tcW w:w="1130" w:type="dxa"/>
          </w:tcPr>
          <w:p>
            <w:pPr>
              <w:pStyle w:val="Compact"/>
              <w:spacing w:before="0" w:after="0" w:lineRule="exact" w:line="220"/>
              <w:jc w:val="left"/>
            </w:pPr>
            <w:r>
              <w:rPr>
                <w:sz w:val="18"/>
              </w:rPr>
              <w:t xml:space="preserve">-8.346∗∗</w:t>
            </w:r>
          </w:p>
        </w:tc>
        <w:tc>
          <w:tcPr>
            <w:tcW w:w="1130" w:type="dxa"/>
          </w:tcPr>
          <w:p>
            <w:pPr>
              <w:pStyle w:val="Compact"/>
              <w:spacing w:before="0" w:after="0" w:lineRule="exact" w:line="220"/>
              <w:jc w:val="left"/>
            </w:pPr>
            <w:r>
              <w:rPr>
                <w:sz w:val="18"/>
              </w:rPr>
              <w:t xml:space="preserve">-9.250∗∗</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(0.346)</w:t>
            </w:r>
          </w:p>
        </w:tc>
        <w:tc>
          <w:tcPr>
            <w:tcW w:w="1035" w:type="dxa"/>
          </w:tcPr>
          <w:p>
            <w:pPr>
              <w:pStyle w:val="Compact"/>
              <w:spacing w:before="0" w:after="0" w:lineRule="exact" w:line="220"/>
              <w:jc w:val="left"/>
            </w:pPr>
            <w:r>
              <w:rPr>
                <w:sz w:val="18"/>
              </w:rPr>
              <w:t xml:space="preserve">(0.397)</w:t>
            </w:r>
          </w:p>
        </w:tc>
        <w:tc>
          <w:tcPr>
            <w:tcW w:w="1035" w:type="dxa"/>
          </w:tcPr>
          <w:p>
            <w:pPr>
              <w:pStyle w:val="Compact"/>
              <w:spacing w:before="0" w:after="0" w:lineRule="exact" w:line="220"/>
              <w:jc w:val="left"/>
            </w:pPr>
            <w:r>
              <w:rPr>
                <w:sz w:val="18"/>
              </w:rPr>
              <w:t xml:space="preserve">(0.317)</w:t>
            </w:r>
          </w:p>
        </w:tc>
        <w:tc>
          <w:tcPr>
            <w:tcW w:w="1130" w:type="dxa"/>
          </w:tcPr>
          <w:p>
            <w:pPr>
              <w:pStyle w:val="Compact"/>
              <w:spacing w:before="0" w:after="0" w:lineRule="exact" w:line="220"/>
              <w:jc w:val="left"/>
            </w:pPr>
            <w:r>
              <w:rPr>
                <w:sz w:val="18"/>
              </w:rPr>
              <w:t xml:space="preserve">(3.795)</w:t>
            </w:r>
          </w:p>
        </w:tc>
        <w:tc>
          <w:tcPr>
            <w:tcW w:w="1130" w:type="dxa"/>
          </w:tcPr>
          <w:p>
            <w:pPr>
              <w:pStyle w:val="Compact"/>
              <w:spacing w:before="0" w:after="0" w:lineRule="exact" w:line="220"/>
              <w:jc w:val="left"/>
            </w:pPr>
            <w:r>
              <w:rPr>
                <w:sz w:val="18"/>
              </w:rPr>
              <w:t xml:space="preserve">(3.937)</w:t>
            </w:r>
          </w:p>
        </w:tc>
        <w:tc>
          <w:tcPr>
            <w:tcW w:w="1130" w:type="dxa"/>
          </w:tcPr>
          <w:p>
            <w:pPr>
              <w:pStyle w:val="Compact"/>
              <w:spacing w:before="0" w:after="0" w:lineRule="exact" w:line="220"/>
              <w:jc w:val="left"/>
            </w:pPr>
            <w:r>
              <w:rPr>
                <w:sz w:val="18"/>
              </w:rPr>
              <w:t xml:space="preserve">(3.429)</w:t>
            </w:r>
          </w:p>
        </w:tc>
      </w:tr>
      <w:tr>
        <w:trPr>
          <w:cantSplit/>
        </w:trPr>
        <w:tc>
          <w:tcPr>
            <w:tcW w:w="2008" w:type="dxa"/>
          </w:tcPr>
          <w:p>
            <w:pPr>
              <w:pStyle w:val="Compact"/>
              <w:spacing w:before="0" w:after="0" w:lineRule="exact" w:line="220"/>
              <w:jc w:val="left"/>
            </w:pPr>
            <w:r>
              <w:rPr>
                <w:sz w:val="18"/>
              </w:rPr>
              <w:t xml:space="preserve">Freelance</w:t>
            </w:r>
          </w:p>
        </w:tc>
        <w:tc>
          <w:tcPr>
            <w:tcW w:w="1035" w:type="dxa"/>
          </w:tcPr>
          <w:p>
            <w:pPr>
              <w:pStyle w:val="Compact"/>
              <w:spacing w:before="0" w:after="0" w:lineRule="exact" w:line="220"/>
              <w:jc w:val="left"/>
            </w:pPr>
            <w:r>
              <w:rPr>
                <w:sz w:val="18"/>
              </w:rPr>
              <w:t xml:space="preserve">-0.822</w:t>
            </w:r>
          </w:p>
        </w:tc>
        <w:tc>
          <w:tcPr>
            <w:tcW w:w="1035" w:type="dxa"/>
          </w:tcPr>
          <w:p>
            <w:pPr>
              <w:pStyle w:val="Compact"/>
              <w:spacing w:before="0" w:after="0" w:lineRule="exact" w:line="220"/>
              <w:jc w:val="left"/>
            </w:pPr>
            <w:r>
              <w:rPr>
                <w:sz w:val="18"/>
              </w:rPr>
              <w:t xml:space="preserve">-0.878</w:t>
            </w:r>
          </w:p>
        </w:tc>
        <w:tc>
          <w:tcPr>
            <w:tcW w:w="1035" w:type="dxa"/>
          </w:tcPr>
          <w:p>
            <w:pPr>
              <w:pStyle w:val="Compact"/>
              <w:spacing w:before="0" w:after="0" w:lineRule="exact" w:line="220"/>
              <w:jc w:val="left"/>
            </w:pPr>
            <w:r>
              <w:rPr>
                <w:sz w:val="18"/>
              </w:rPr>
              <w:t xml:space="preserve">-0.741</w:t>
            </w:r>
          </w:p>
        </w:tc>
        <w:tc>
          <w:tcPr>
            <w:tcW w:w="1130" w:type="dxa"/>
          </w:tcPr>
          <w:p>
            <w:pPr>
              <w:pStyle w:val="Compact"/>
              <w:spacing w:before="0" w:after="0" w:lineRule="exact" w:line="220"/>
              <w:jc w:val="left"/>
            </w:pPr>
            <w:r>
              <w:rPr>
                <w:sz w:val="18"/>
              </w:rPr>
              <w:t xml:space="preserve">-11.946∗∗∗</w:t>
            </w:r>
          </w:p>
        </w:tc>
        <w:tc>
          <w:tcPr>
            <w:tcW w:w="1130" w:type="dxa"/>
          </w:tcPr>
          <w:p>
            <w:pPr>
              <w:pStyle w:val="Compact"/>
              <w:spacing w:before="0" w:after="0" w:lineRule="exact" w:line="220"/>
              <w:jc w:val="left"/>
            </w:pPr>
            <w:r>
              <w:rPr>
                <w:sz w:val="18"/>
              </w:rPr>
              <w:t xml:space="preserve">-14.088∗∗∗</w:t>
            </w:r>
          </w:p>
        </w:tc>
        <w:tc>
          <w:tcPr>
            <w:tcW w:w="1130" w:type="dxa"/>
          </w:tcPr>
          <w:p>
            <w:pPr>
              <w:pStyle w:val="Compact"/>
              <w:spacing w:before="0" w:after="0" w:lineRule="exact" w:line="220"/>
              <w:jc w:val="left"/>
            </w:pPr>
            <w:r>
              <w:rPr>
                <w:sz w:val="18"/>
              </w:rPr>
              <w:t xml:space="preserve">-13.658∗∗∗</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(0.540)</w:t>
            </w:r>
          </w:p>
        </w:tc>
        <w:tc>
          <w:tcPr>
            <w:tcW w:w="1035" w:type="dxa"/>
          </w:tcPr>
          <w:p>
            <w:pPr>
              <w:pStyle w:val="Compact"/>
              <w:spacing w:before="0" w:after="0" w:lineRule="exact" w:line="220"/>
              <w:jc w:val="left"/>
            </w:pPr>
            <w:r>
              <w:rPr>
                <w:sz w:val="18"/>
              </w:rPr>
              <w:t xml:space="preserve">(0.576)</w:t>
            </w:r>
          </w:p>
        </w:tc>
        <w:tc>
          <w:tcPr>
            <w:tcW w:w="1035" w:type="dxa"/>
          </w:tcPr>
          <w:p>
            <w:pPr>
              <w:pStyle w:val="Compact"/>
              <w:spacing w:before="0" w:after="0" w:lineRule="exact" w:line="220"/>
              <w:jc w:val="left"/>
            </w:pPr>
            <w:r>
              <w:rPr>
                <w:sz w:val="18"/>
              </w:rPr>
              <w:t xml:space="preserve">(0.580)</w:t>
            </w:r>
          </w:p>
        </w:tc>
        <w:tc>
          <w:tcPr>
            <w:tcW w:w="1130" w:type="dxa"/>
          </w:tcPr>
          <w:p>
            <w:pPr>
              <w:pStyle w:val="Compact"/>
              <w:spacing w:before="0" w:after="0" w:lineRule="exact" w:line="220"/>
              <w:jc w:val="left"/>
            </w:pPr>
            <w:r>
              <w:rPr>
                <w:sz w:val="18"/>
              </w:rPr>
              <w:t xml:space="preserve">(3.706)</w:t>
            </w:r>
          </w:p>
        </w:tc>
        <w:tc>
          <w:tcPr>
            <w:tcW w:w="1130" w:type="dxa"/>
          </w:tcPr>
          <w:p>
            <w:pPr>
              <w:pStyle w:val="Compact"/>
              <w:spacing w:before="0" w:after="0" w:lineRule="exact" w:line="220"/>
              <w:jc w:val="left"/>
            </w:pPr>
            <w:r>
              <w:rPr>
                <w:sz w:val="18"/>
              </w:rPr>
              <w:t xml:space="preserve">(3.599)</w:t>
            </w:r>
          </w:p>
        </w:tc>
        <w:tc>
          <w:tcPr>
            <w:tcW w:w="1130" w:type="dxa"/>
          </w:tcPr>
          <w:p>
            <w:pPr>
              <w:pStyle w:val="Compact"/>
              <w:spacing w:before="0" w:after="0" w:lineRule="exact" w:line="220"/>
              <w:jc w:val="left"/>
            </w:pPr>
            <w:r>
              <w:rPr>
                <w:sz w:val="18"/>
              </w:rPr>
              <w:t xml:space="preserve">(3.581)</w:t>
            </w:r>
          </w:p>
        </w:tc>
      </w:tr>
      <w:tr>
        <w:trPr>
          <w:cantSplit/>
        </w:trPr>
        <w:tc>
          <w:tcPr>
            <w:tcW w:w="2008" w:type="dxa"/>
          </w:tcPr>
          <w:p>
            <w:pPr>
              <w:pStyle w:val="Compact"/>
              <w:spacing w:before="0" w:after="0" w:lineRule="exact" w:line="220"/>
              <w:jc w:val="left"/>
            </w:pPr>
            <w:r>
              <w:rPr>
                <w:sz w:val="18"/>
              </w:rPr>
              <w:t xml:space="preserve">Resale</w:t>
            </w:r>
          </w:p>
        </w:tc>
        <w:tc>
          <w:tcPr>
            <w:tcW w:w="1035" w:type="dxa"/>
          </w:tcPr>
          <w:p>
            <w:pPr>
              <w:pStyle w:val="Compact"/>
              <w:spacing w:before="0" w:after="0" w:lineRule="exact" w:line="220"/>
              <w:jc w:val="left"/>
            </w:pPr>
            <w:r>
              <w:rPr>
                <w:sz w:val="18"/>
              </w:rPr>
              <w:t xml:space="preserve">-0.444</w:t>
            </w:r>
          </w:p>
        </w:tc>
        <w:tc>
          <w:tcPr>
            <w:tcW w:w="1035" w:type="dxa"/>
          </w:tcPr>
          <w:p>
            <w:pPr>
              <w:pStyle w:val="Compact"/>
              <w:spacing w:before="0" w:after="0" w:lineRule="exact" w:line="220"/>
              <w:jc w:val="left"/>
            </w:pPr>
            <w:r>
              <w:rPr>
                <w:sz w:val="18"/>
              </w:rPr>
              <w:t xml:space="preserve">-0.527</w:t>
            </w:r>
          </w:p>
        </w:tc>
        <w:tc>
          <w:tcPr>
            <w:tcW w:w="1035" w:type="dxa"/>
          </w:tcPr>
          <w:p>
            <w:pPr>
              <w:pStyle w:val="Compact"/>
              <w:spacing w:before="0" w:after="0" w:lineRule="exact" w:line="220"/>
              <w:jc w:val="left"/>
            </w:pPr>
            <w:r>
              <w:rPr>
                <w:sz w:val="18"/>
              </w:rPr>
              <w:t xml:space="preserve">-0.477</w:t>
            </w:r>
          </w:p>
        </w:tc>
        <w:tc>
          <w:tcPr>
            <w:tcW w:w="1130" w:type="dxa"/>
          </w:tcPr>
          <w:p>
            <w:pPr>
              <w:pStyle w:val="Compact"/>
              <w:spacing w:before="0" w:after="0" w:lineRule="exact" w:line="220"/>
              <w:jc w:val="left"/>
            </w:pPr>
            <w:r>
              <w:rPr>
                <w:sz w:val="18"/>
              </w:rPr>
              <w:t xml:space="preserve">-8.393∗</w:t>
            </w:r>
          </w:p>
        </w:tc>
        <w:tc>
          <w:tcPr>
            <w:tcW w:w="1130" w:type="dxa"/>
          </w:tcPr>
          <w:p>
            <w:pPr>
              <w:pStyle w:val="Compact"/>
              <w:spacing w:before="0" w:after="0" w:lineRule="exact" w:line="220"/>
              <w:jc w:val="left"/>
            </w:pPr>
            <w:r>
              <w:rPr>
                <w:sz w:val="18"/>
              </w:rPr>
              <w:t xml:space="preserve">-10.223∗∗</w:t>
            </w:r>
          </w:p>
        </w:tc>
        <w:tc>
          <w:tcPr>
            <w:tcW w:w="1130" w:type="dxa"/>
          </w:tcPr>
          <w:p>
            <w:pPr>
              <w:pStyle w:val="Compact"/>
              <w:spacing w:before="0" w:after="0" w:lineRule="exact" w:line="220"/>
              <w:jc w:val="left"/>
            </w:pPr>
            <w:r>
              <w:rPr>
                <w:sz w:val="18"/>
              </w:rPr>
              <w:t xml:space="preserve">-10.912∗∗</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(0.367)</w:t>
            </w:r>
          </w:p>
        </w:tc>
        <w:tc>
          <w:tcPr>
            <w:tcW w:w="1035" w:type="dxa"/>
          </w:tcPr>
          <w:p>
            <w:pPr>
              <w:pStyle w:val="Compact"/>
              <w:spacing w:before="0" w:after="0" w:lineRule="exact" w:line="220"/>
              <w:jc w:val="left"/>
            </w:pPr>
            <w:r>
              <w:rPr>
                <w:sz w:val="18"/>
              </w:rPr>
              <w:t xml:space="preserve">(0.402)</w:t>
            </w:r>
          </w:p>
        </w:tc>
        <w:tc>
          <w:tcPr>
            <w:tcW w:w="1035" w:type="dxa"/>
          </w:tcPr>
          <w:p>
            <w:pPr>
              <w:pStyle w:val="Compact"/>
              <w:spacing w:before="0" w:after="0" w:lineRule="exact" w:line="220"/>
              <w:jc w:val="left"/>
            </w:pPr>
            <w:r>
              <w:rPr>
                <w:sz w:val="18"/>
              </w:rPr>
              <w:t xml:space="preserve">(0.484)</w:t>
            </w:r>
          </w:p>
        </w:tc>
        <w:tc>
          <w:tcPr>
            <w:tcW w:w="1130" w:type="dxa"/>
          </w:tcPr>
          <w:p>
            <w:pPr>
              <w:pStyle w:val="Compact"/>
              <w:spacing w:before="0" w:after="0" w:lineRule="exact" w:line="220"/>
              <w:jc w:val="left"/>
            </w:pPr>
            <w:r>
              <w:rPr>
                <w:sz w:val="18"/>
              </w:rPr>
              <w:t xml:space="preserve">(4.385)</w:t>
            </w:r>
          </w:p>
        </w:tc>
        <w:tc>
          <w:tcPr>
            <w:tcW w:w="1130" w:type="dxa"/>
          </w:tcPr>
          <w:p>
            <w:pPr>
              <w:pStyle w:val="Compact"/>
              <w:spacing w:before="0" w:after="0" w:lineRule="exact" w:line="220"/>
              <w:jc w:val="left"/>
            </w:pPr>
            <w:r>
              <w:rPr>
                <w:sz w:val="18"/>
              </w:rPr>
              <w:t xml:space="preserve">(4.491)</w:t>
            </w:r>
          </w:p>
        </w:tc>
        <w:tc>
          <w:tcPr>
            <w:tcW w:w="1130" w:type="dxa"/>
          </w:tcPr>
          <w:p>
            <w:pPr>
              <w:pStyle w:val="Compact"/>
              <w:spacing w:before="0" w:after="0" w:lineRule="exact" w:line="220"/>
              <w:jc w:val="left"/>
            </w:pPr>
            <w:r>
              <w:rPr>
                <w:sz w:val="18"/>
              </w:rPr>
              <w:t xml:space="preserve">(4.700)</w:t>
            </w:r>
          </w:p>
        </w:tc>
      </w:tr>
      <w:tr>
        <w:trPr>
          <w:cantSplit/>
        </w:trPr>
        <w:tc>
          <w:tcPr>
            <w:tcW w:w="2008" w:type="dxa"/>
          </w:tcPr>
          <w:p>
            <w:pPr>
              <w:pStyle w:val="Compact"/>
              <w:spacing w:before="0" w:after="0" w:lineRule="exact" w:line="220"/>
              <w:jc w:val="left"/>
            </w:pPr>
            <w:r>
              <w:rPr>
                <w:sz w:val="18"/>
              </w:rPr>
              <w:t xml:space="preserve">GDPGrowth</w:t>
            </w: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0.106∗</w:t>
            </w:r>
          </w:p>
        </w:tc>
        <w:tc>
          <w:tcPr>
            <w:tcW w:w="1035" w:type="dxa"/>
          </w:tcPr>
          <w:p>
            <w:pPr>
              <w:pStyle w:val="Compact"/>
              <w:spacing w:before="0" w:after="0" w:lineRule="exact" w:line="220"/>
              <w:jc w:val="left"/>
            </w:pPr>
            <w:r>
              <w:rPr>
                <w:sz w:val="18"/>
              </w:rPr>
              <w:t xml:space="preserve">0.148∗∗</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1.301∗∗</w:t>
            </w:r>
          </w:p>
        </w:tc>
        <w:tc>
          <w:tcPr>
            <w:tcW w:w="1130" w:type="dxa"/>
          </w:tcPr>
          <w:p>
            <w:pPr>
              <w:pStyle w:val="Compact"/>
              <w:spacing w:before="0" w:after="0" w:lineRule="exact" w:line="220"/>
              <w:jc w:val="left"/>
            </w:pPr>
            <w:r>
              <w:rPr>
                <w:sz w:val="18"/>
              </w:rPr>
              <w:t xml:space="preserve">1.479∗∗</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(0.057)</w:t>
            </w:r>
          </w:p>
        </w:tc>
        <w:tc>
          <w:tcPr>
            <w:tcW w:w="1035" w:type="dxa"/>
          </w:tcPr>
          <w:p>
            <w:pPr>
              <w:pStyle w:val="Compact"/>
              <w:spacing w:before="0" w:after="0" w:lineRule="exact" w:line="220"/>
              <w:jc w:val="left"/>
            </w:pPr>
            <w:r>
              <w:rPr>
                <w:sz w:val="18"/>
              </w:rPr>
              <w:t xml:space="preserve">(0.067)</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(0.573)</w:t>
            </w:r>
          </w:p>
        </w:tc>
        <w:tc>
          <w:tcPr>
            <w:tcW w:w="1130" w:type="dxa"/>
          </w:tcPr>
          <w:p>
            <w:pPr>
              <w:pStyle w:val="Compact"/>
              <w:spacing w:before="0" w:after="0" w:lineRule="exact" w:line="220"/>
              <w:jc w:val="left"/>
            </w:pPr>
            <w:r>
              <w:rPr>
                <w:sz w:val="18"/>
              </w:rPr>
              <w:t xml:space="preserve">(0.552)</w:t>
            </w:r>
          </w:p>
        </w:tc>
      </w:tr>
      <w:tr>
        <w:trPr>
          <w:cantSplit/>
        </w:trPr>
        <w:tc>
          <w:tcPr>
            <w:tcW w:w="2008" w:type="dxa"/>
          </w:tcPr>
          <w:p>
            <w:pPr>
              <w:pStyle w:val="Compact"/>
              <w:spacing w:before="0" w:after="0" w:lineRule="exact" w:line="220"/>
              <w:jc w:val="left"/>
            </w:pPr>
            <w:r>
              <w:rPr>
                <w:sz w:val="18"/>
              </w:rPr>
              <w:t xml:space="preserve">Inflation</w:t>
            </w: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-0.001</w:t>
            </w:r>
          </w:p>
        </w:tc>
        <w:tc>
          <w:tcPr>
            <w:tcW w:w="1035" w:type="dxa"/>
          </w:tcPr>
          <w:p>
            <w:pPr>
              <w:pStyle w:val="Compact"/>
              <w:spacing w:before="0" w:after="0" w:lineRule="exact" w:line="220"/>
              <w:jc w:val="left"/>
            </w:pPr>
            <w:r>
              <w:rPr>
                <w:sz w:val="18"/>
              </w:rPr>
              <w:t xml:space="preserve">0.001</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-0.018</w:t>
            </w:r>
          </w:p>
        </w:tc>
        <w:tc>
          <w:tcPr>
            <w:tcW w:w="1130" w:type="dxa"/>
          </w:tcPr>
          <w:p>
            <w:pPr>
              <w:pStyle w:val="Compact"/>
              <w:spacing w:before="0" w:after="0" w:lineRule="exact" w:line="220"/>
              <w:jc w:val="left"/>
            </w:pPr>
            <w:r>
              <w:rPr>
                <w:sz w:val="18"/>
              </w:rPr>
              <w:t xml:space="preserve">-0.006</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(0.003)</w:t>
            </w:r>
          </w:p>
        </w:tc>
        <w:tc>
          <w:tcPr>
            <w:tcW w:w="1035" w:type="dxa"/>
          </w:tcPr>
          <w:p>
            <w:pPr>
              <w:pStyle w:val="Compact"/>
              <w:spacing w:before="0" w:after="0" w:lineRule="exact" w:line="220"/>
              <w:jc w:val="left"/>
            </w:pPr>
            <w:r>
              <w:rPr>
                <w:sz w:val="18"/>
              </w:rPr>
              <w:t xml:space="preserve">(0.003)</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(0.024)</w:t>
            </w:r>
          </w:p>
        </w:tc>
        <w:tc>
          <w:tcPr>
            <w:tcW w:w="1130" w:type="dxa"/>
          </w:tcPr>
          <w:p>
            <w:pPr>
              <w:pStyle w:val="Compact"/>
              <w:spacing w:before="0" w:after="0" w:lineRule="exact" w:line="220"/>
              <w:jc w:val="left"/>
            </w:pPr>
            <w:r>
              <w:rPr>
                <w:sz w:val="18"/>
              </w:rPr>
              <w:t xml:space="preserve">(0.027)</w:t>
            </w:r>
          </w:p>
        </w:tc>
      </w:tr>
      <w:tr>
        <w:trPr>
          <w:cantSplit/>
        </w:trPr>
        <w:tc>
          <w:tcPr>
            <w:tcW w:w="2008" w:type="dxa"/>
          </w:tcPr>
          <w:p>
            <w:pPr>
              <w:pStyle w:val="Compact"/>
              <w:spacing w:before="0" w:after="0" w:lineRule="exact" w:line="220"/>
              <w:jc w:val="left"/>
            </w:pPr>
            <w:r>
              <w:rPr>
                <w:sz w:val="18"/>
              </w:rPr>
              <w:t xml:space="preserve">HouseholdGrowth</w:t>
            </w: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-0.053∗∗</w:t>
            </w:r>
          </w:p>
        </w:tc>
        <w:tc>
          <w:tcPr>
            <w:tcW w:w="1035" w:type="dxa"/>
          </w:tcPr>
          <w:p>
            <w:pPr>
              <w:pStyle w:val="Compact"/>
              <w:spacing w:before="0" w:after="0" w:lineRule="exact" w:line="220"/>
              <w:jc w:val="left"/>
            </w:pPr>
            <w:r>
              <w:rPr>
                <w:sz w:val="18"/>
              </w:rPr>
              <w:t xml:space="preserve">-0.014</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-0.785∗</w:t>
            </w:r>
          </w:p>
        </w:tc>
        <w:tc>
          <w:tcPr>
            <w:tcW w:w="1130" w:type="dxa"/>
          </w:tcPr>
          <w:p>
            <w:pPr>
              <w:pStyle w:val="Compact"/>
              <w:spacing w:before="0" w:after="0" w:lineRule="exact" w:line="220"/>
              <w:jc w:val="left"/>
            </w:pPr>
            <w:r>
              <w:rPr>
                <w:sz w:val="18"/>
              </w:rPr>
              <w:t xml:space="preserve">-0.687</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(0.025)</w:t>
            </w:r>
          </w:p>
        </w:tc>
        <w:tc>
          <w:tcPr>
            <w:tcW w:w="1035" w:type="dxa"/>
          </w:tcPr>
          <w:p>
            <w:pPr>
              <w:pStyle w:val="Compact"/>
              <w:spacing w:before="0" w:after="0" w:lineRule="exact" w:line="220"/>
              <w:jc w:val="left"/>
            </w:pPr>
            <w:r>
              <w:rPr>
                <w:sz w:val="18"/>
              </w:rPr>
              <w:t xml:space="preserve">(0.031)</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(0.452)</w:t>
            </w:r>
          </w:p>
        </w:tc>
        <w:tc>
          <w:tcPr>
            <w:tcW w:w="1130" w:type="dxa"/>
          </w:tcPr>
          <w:p>
            <w:pPr>
              <w:pStyle w:val="Compact"/>
              <w:spacing w:before="0" w:after="0" w:lineRule="exact" w:line="220"/>
              <w:jc w:val="left"/>
            </w:pPr>
            <w:r>
              <w:rPr>
                <w:sz w:val="18"/>
              </w:rPr>
              <w:t xml:space="preserve">(0.490)</w:t>
            </w:r>
          </w:p>
        </w:tc>
      </w:tr>
      <w:tr>
        <w:trPr>
          <w:cantSplit/>
        </w:trPr>
        <w:tc>
          <w:tcPr>
            <w:tcW w:w="2008" w:type="dxa"/>
          </w:tcPr>
          <w:p>
            <w:pPr>
              <w:pStyle w:val="Compact"/>
              <w:spacing w:before="0" w:after="0" w:lineRule="exact" w:line="220"/>
              <w:jc w:val="left"/>
            </w:pPr>
            <w:r>
              <w:rPr>
                <w:sz w:val="18"/>
              </w:rPr>
              <w:t xml:space="preserve">PolicyRate</w:t>
            </w: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0.008</w:t>
            </w:r>
          </w:p>
        </w:tc>
        <w:tc>
          <w:tcPr>
            <w:tcW w:w="1035" w:type="dxa"/>
          </w:tcPr>
          <w:p>
            <w:pPr>
              <w:pStyle w:val="Compact"/>
              <w:spacing w:before="0" w:after="0" w:lineRule="exact" w:line="220"/>
              <w:jc w:val="left"/>
            </w:pPr>
            <w:r>
              <w:rPr>
                <w:sz w:val="18"/>
              </w:rPr>
              <w:t xml:space="preserve">0.011</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-0.033</w:t>
            </w:r>
          </w:p>
        </w:tc>
        <w:tc>
          <w:tcPr>
            <w:tcW w:w="1130" w:type="dxa"/>
          </w:tcPr>
          <w:p>
            <w:pPr>
              <w:pStyle w:val="Compact"/>
              <w:spacing w:before="0" w:after="0" w:lineRule="exact" w:line="220"/>
              <w:jc w:val="left"/>
            </w:pPr>
            <w:r>
              <w:rPr>
                <w:sz w:val="18"/>
              </w:rPr>
              <w:t xml:space="preserve">-0.005</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(0.007)</w:t>
            </w:r>
          </w:p>
        </w:tc>
        <w:tc>
          <w:tcPr>
            <w:tcW w:w="1035" w:type="dxa"/>
          </w:tcPr>
          <w:p>
            <w:pPr>
              <w:pStyle w:val="Compact"/>
              <w:spacing w:before="0" w:after="0" w:lineRule="exact" w:line="220"/>
              <w:jc w:val="left"/>
            </w:pPr>
            <w:r>
              <w:rPr>
                <w:sz w:val="18"/>
              </w:rPr>
              <w:t xml:space="preserve">(0.007)</w:t>
            </w:r>
          </w:p>
        </w:tc>
        <w:tc>
          <w:tcPr>
            <w:tcW w:w="1130" w:type="dxa"/>
          </w:tcPr>
          <w:p>
            <w:pPr>
              <w:pStyle w:val="Compact"/>
              <w:spacing w:before="0" w:after="0" w:lineRule="exact" w:line="220"/>
              <w:jc w:val="left"/>
            </w:pPr>
          </w:p>
        </w:tc>
        <w:tc>
          <w:tcPr>
            <w:tcW w:w="1130" w:type="dxa"/>
          </w:tcPr>
          <w:p>
            <w:pPr>
              <w:pStyle w:val="Compact"/>
              <w:spacing w:before="0" w:after="0" w:lineRule="exact" w:line="220"/>
              <w:jc w:val="left"/>
            </w:pPr>
            <w:r>
              <w:rPr>
                <w:sz w:val="18"/>
              </w:rPr>
              <w:t xml:space="preserve">(0.082)</w:t>
            </w:r>
          </w:p>
        </w:tc>
        <w:tc>
          <w:tcPr>
            <w:tcW w:w="1130" w:type="dxa"/>
          </w:tcPr>
          <w:p>
            <w:pPr>
              <w:pStyle w:val="Compact"/>
              <w:spacing w:before="0" w:after="0" w:lineRule="exact" w:line="220"/>
              <w:jc w:val="left"/>
            </w:pPr>
            <w:r>
              <w:rPr>
                <w:sz w:val="18"/>
              </w:rPr>
              <w:t xml:space="preserve">(0.075)</w:t>
            </w:r>
          </w:p>
        </w:tc>
      </w:tr>
      <w:tr>
        <w:trPr>
          <w:cantSplit/>
        </w:trPr>
        <w:tc>
          <w:tcPr>
            <w:tcW w:w="2008" w:type="dxa"/>
          </w:tcPr>
          <w:p>
            <w:pPr>
              <w:pStyle w:val="Compact"/>
              <w:spacing w:before="0" w:after="0" w:lineRule="exact" w:line="220"/>
              <w:jc w:val="left"/>
            </w:pPr>
            <w:r>
              <w:rPr>
                <w:sz w:val="18"/>
              </w:rPr>
              <w:t xml:space="preserve">Constant</w:t>
            </w:r>
          </w:p>
        </w:tc>
        <w:tc>
          <w:tcPr>
            <w:tcW w:w="1035" w:type="dxa"/>
          </w:tcPr>
          <w:p>
            <w:pPr>
              <w:pStyle w:val="Compact"/>
              <w:spacing w:before="0" w:after="0" w:lineRule="exact" w:line="220"/>
              <w:jc w:val="left"/>
            </w:pPr>
            <w:r>
              <w:rPr>
                <w:sz w:val="18"/>
              </w:rPr>
              <w:t xml:space="preserve">2.148∗∗∗</w:t>
            </w:r>
          </w:p>
        </w:tc>
        <w:tc>
          <w:tcPr>
            <w:tcW w:w="1035" w:type="dxa"/>
          </w:tcPr>
          <w:p>
            <w:pPr>
              <w:pStyle w:val="Compact"/>
              <w:spacing w:before="0" w:after="0" w:lineRule="exact" w:line="220"/>
              <w:jc w:val="left"/>
            </w:pPr>
            <w:r>
              <w:rPr>
                <w:sz w:val="18"/>
              </w:rPr>
              <w:t xml:space="preserve">1.962∗∗∗</w:t>
            </w:r>
          </w:p>
        </w:tc>
        <w:tc>
          <w:tcPr>
            <w:tcW w:w="1035" w:type="dxa"/>
          </w:tcPr>
          <w:p>
            <w:pPr>
              <w:pStyle w:val="Compact"/>
              <w:spacing w:before="0" w:after="0" w:lineRule="exact" w:line="220"/>
              <w:jc w:val="left"/>
            </w:pPr>
            <w:r>
              <w:rPr>
                <w:sz w:val="18"/>
              </w:rPr>
              <w:t xml:space="preserve">2.108∗∗∗</w:t>
            </w:r>
          </w:p>
        </w:tc>
        <w:tc>
          <w:tcPr>
            <w:tcW w:w="1130" w:type="dxa"/>
          </w:tcPr>
          <w:p>
            <w:pPr>
              <w:pStyle w:val="Compact"/>
              <w:spacing w:before="0" w:after="0" w:lineRule="exact" w:line="220"/>
              <w:jc w:val="left"/>
            </w:pPr>
            <w:r>
              <w:rPr>
                <w:sz w:val="18"/>
              </w:rPr>
              <w:t xml:space="preserve">18.840∗∗</w:t>
            </w:r>
          </w:p>
        </w:tc>
        <w:tc>
          <w:tcPr>
            <w:tcW w:w="1130" w:type="dxa"/>
          </w:tcPr>
          <w:p>
            <w:pPr>
              <w:pStyle w:val="Compact"/>
              <w:spacing w:before="0" w:after="0" w:lineRule="exact" w:line="220"/>
              <w:jc w:val="left"/>
            </w:pPr>
            <w:r>
              <w:rPr>
                <w:sz w:val="18"/>
              </w:rPr>
              <w:t xml:space="preserve">21.744∗∗∗</w:t>
            </w:r>
          </w:p>
        </w:tc>
        <w:tc>
          <w:tcPr>
            <w:tcW w:w="1130" w:type="dxa"/>
          </w:tcPr>
          <w:p>
            <w:pPr>
              <w:pStyle w:val="Compact"/>
              <w:spacing w:before="0" w:after="0" w:lineRule="exact" w:line="220"/>
              <w:jc w:val="left"/>
            </w:pPr>
            <w:r>
              <w:rPr>
                <w:sz w:val="18"/>
              </w:rPr>
              <w:t xml:space="preserve">27.343∗∗∗</w:t>
            </w:r>
          </w:p>
        </w:tc>
      </w:tr>
      <w:tr>
        <w:trPr>
          <w:cantSplit/>
        </w:trPr>
        <w:tc>
          <w:tcPr>
            <w:tcW w:w="2008" w:type="dxa"/>
          </w:tcPr>
          <w:p>
            <w:pPr>
              <w:pStyle w:val="Compact"/>
              <w:spacing w:before="0" w:after="0" w:lineRule="exact" w:line="220"/>
              <w:jc w:val="left"/>
            </w:pPr>
          </w:p>
        </w:tc>
        <w:tc>
          <w:tcPr>
            <w:tcW w:w="1035" w:type="dxa"/>
          </w:tcPr>
          <w:p>
            <w:pPr>
              <w:pStyle w:val="Compact"/>
              <w:spacing w:before="0" w:after="0" w:lineRule="exact" w:line="220"/>
              <w:jc w:val="left"/>
            </w:pPr>
            <w:r>
              <w:rPr>
                <w:sz w:val="18"/>
              </w:rPr>
              <w:t xml:space="preserve">(0.490)</w:t>
            </w:r>
          </w:p>
        </w:tc>
        <w:tc>
          <w:tcPr>
            <w:tcW w:w="1035" w:type="dxa"/>
          </w:tcPr>
          <w:p>
            <w:pPr>
              <w:pStyle w:val="Compact"/>
              <w:spacing w:before="0" w:after="0" w:lineRule="exact" w:line="220"/>
              <w:jc w:val="left"/>
            </w:pPr>
            <w:r>
              <w:rPr>
                <w:sz w:val="18"/>
              </w:rPr>
              <w:t xml:space="preserve">(0.572)</w:t>
            </w:r>
          </w:p>
        </w:tc>
        <w:tc>
          <w:tcPr>
            <w:tcW w:w="1035" w:type="dxa"/>
          </w:tcPr>
          <w:p>
            <w:pPr>
              <w:pStyle w:val="Compact"/>
              <w:spacing w:before="0" w:after="0" w:lineRule="exact" w:line="220"/>
              <w:jc w:val="left"/>
            </w:pPr>
            <w:r>
              <w:rPr>
                <w:sz w:val="18"/>
              </w:rPr>
              <w:t xml:space="preserve">(0.575)</w:t>
            </w:r>
          </w:p>
        </w:tc>
        <w:tc>
          <w:tcPr>
            <w:tcW w:w="1130" w:type="dxa"/>
          </w:tcPr>
          <w:p>
            <w:pPr>
              <w:pStyle w:val="Compact"/>
              <w:spacing w:before="0" w:after="0" w:lineRule="exact" w:line="220"/>
              <w:jc w:val="left"/>
            </w:pPr>
            <w:r>
              <w:rPr>
                <w:sz w:val="18"/>
              </w:rPr>
              <w:t xml:space="preserve">(7.237)</w:t>
            </w:r>
          </w:p>
        </w:tc>
        <w:tc>
          <w:tcPr>
            <w:tcW w:w="1130" w:type="dxa"/>
          </w:tcPr>
          <w:p>
            <w:pPr>
              <w:pStyle w:val="Compact"/>
              <w:spacing w:before="0" w:after="0" w:lineRule="exact" w:line="220"/>
              <w:jc w:val="left"/>
            </w:pPr>
            <w:r>
              <w:rPr>
                <w:sz w:val="18"/>
              </w:rPr>
              <w:t xml:space="preserve">(6.165)</w:t>
            </w:r>
          </w:p>
        </w:tc>
        <w:tc>
          <w:tcPr>
            <w:tcW w:w="1130" w:type="dxa"/>
          </w:tcPr>
          <w:p>
            <w:pPr>
              <w:pStyle w:val="Compact"/>
              <w:spacing w:before="0" w:after="0" w:lineRule="exact" w:line="220"/>
              <w:jc w:val="left"/>
            </w:pPr>
            <w:r>
              <w:rPr>
                <w:sz w:val="18"/>
              </w:rPr>
              <w:t xml:space="preserve">(7.166)</w:t>
            </w:r>
          </w:p>
        </w:tc>
      </w:tr>
      <w:tr>
        <w:trPr>
          <w:cantSplit/>
        </w:trPr>
        <w:tc>
          <w:tcPr>
            <w:tcW w:w="2008" w:type="dxa"/>
          </w:tcPr>
          <w:p>
            <w:pPr>
              <w:pStyle w:val="Compact"/>
              <w:spacing w:before="0" w:after="0" w:lineRule="exact" w:line="220"/>
              <w:jc w:val="left"/>
            </w:pPr>
            <w:r>
              <w:rPr>
                <w:sz w:val="18"/>
              </w:rPr>
              <w:t xml:space="preserve">Observations</w:t>
            </w:r>
          </w:p>
        </w:tc>
        <w:tc>
          <w:tcPr>
            <w:tcW w:w="1035" w:type="dxa"/>
          </w:tcPr>
          <w:p>
            <w:pPr>
              <w:pStyle w:val="Compact"/>
              <w:spacing w:before="0" w:after="0" w:lineRule="exact" w:line="220"/>
              <w:jc w:val="left"/>
            </w:pPr>
            <w:r>
              <w:rPr>
                <w:sz w:val="18"/>
              </w:rPr>
              <w:t xml:space="preserve">202</w:t>
            </w:r>
          </w:p>
        </w:tc>
        <w:tc>
          <w:tcPr>
            <w:tcW w:w="1035" w:type="dxa"/>
          </w:tcPr>
          <w:p>
            <w:pPr>
              <w:pStyle w:val="Compact"/>
              <w:spacing w:before="0" w:after="0" w:lineRule="exact" w:line="220"/>
              <w:jc w:val="left"/>
            </w:pPr>
            <w:r>
              <w:rPr>
                <w:sz w:val="18"/>
              </w:rPr>
              <w:t xml:space="preserve">178</w:t>
            </w:r>
          </w:p>
        </w:tc>
        <w:tc>
          <w:tcPr>
            <w:tcW w:w="1035" w:type="dxa"/>
          </w:tcPr>
          <w:p>
            <w:pPr>
              <w:pStyle w:val="Compact"/>
              <w:spacing w:before="0" w:after="0" w:lineRule="exact" w:line="220"/>
              <w:jc w:val="left"/>
            </w:pPr>
            <w:r>
              <w:rPr>
                <w:sz w:val="18"/>
              </w:rPr>
              <w:t xml:space="preserve">178</w:t>
            </w:r>
          </w:p>
        </w:tc>
        <w:tc>
          <w:tcPr>
            <w:tcW w:w="1130" w:type="dxa"/>
          </w:tcPr>
          <w:p>
            <w:pPr>
              <w:pStyle w:val="Compact"/>
              <w:spacing w:before="0" w:after="0" w:lineRule="exact" w:line="220"/>
              <w:jc w:val="left"/>
            </w:pPr>
            <w:r>
              <w:rPr>
                <w:sz w:val="18"/>
              </w:rPr>
              <w:t xml:space="preserve">202</w:t>
            </w:r>
          </w:p>
        </w:tc>
        <w:tc>
          <w:tcPr>
            <w:tcW w:w="1130" w:type="dxa"/>
          </w:tcPr>
          <w:p>
            <w:pPr>
              <w:pStyle w:val="Compact"/>
              <w:spacing w:before="0" w:after="0" w:lineRule="exact" w:line="220"/>
              <w:jc w:val="left"/>
            </w:pPr>
            <w:r>
              <w:rPr>
                <w:sz w:val="18"/>
              </w:rPr>
              <w:t xml:space="preserve">178</w:t>
            </w:r>
          </w:p>
        </w:tc>
        <w:tc>
          <w:tcPr>
            <w:tcW w:w="1130" w:type="dxa"/>
          </w:tcPr>
          <w:p>
            <w:pPr>
              <w:pStyle w:val="Compact"/>
              <w:spacing w:before="0" w:after="0" w:lineRule="exact" w:line="220"/>
              <w:jc w:val="left"/>
            </w:pPr>
            <w:r>
              <w:rPr>
                <w:sz w:val="18"/>
              </w:rPr>
              <w:t xml:space="preserve">178</w:t>
            </w:r>
          </w:p>
        </w:tc>
      </w:tr>
      <w:tr>
        <w:trPr>
          <w:cantSplit/>
        </w:trPr>
        <w:tc>
          <w:tcPr>
            <w:tcW w:w="2008" w:type="dxa"/>
          </w:tcPr>
          <w:p>
            <w:pPr>
              <w:pStyle w:val="Compact"/>
              <w:spacing w:before="0" w:after="0" w:lineRule="exact" w:line="220"/>
              <w:jc w:val="left"/>
            </w:pPr>
            <w:r>
              <w:rPr>
                <w:sz w:val="18"/>
              </w:rPr>
              <w:t xml:space="preserve">Platforms (clusters)</w:t>
            </w:r>
          </w:p>
        </w:tc>
        <w:tc>
          <w:tcPr>
            <w:tcW w:w="1035" w:type="dxa"/>
          </w:tcPr>
          <w:p>
            <w:pPr>
              <w:pStyle w:val="Compact"/>
              <w:spacing w:before="0" w:after="0" w:lineRule="exact" w:line="220"/>
              <w:jc w:val="left"/>
            </w:pPr>
            <w:r>
              <w:rPr>
                <w:sz w:val="18"/>
              </w:rPr>
              <w:t xml:space="preserve">32</w:t>
            </w:r>
          </w:p>
        </w:tc>
        <w:tc>
          <w:tcPr>
            <w:tcW w:w="1035" w:type="dxa"/>
          </w:tcPr>
          <w:p>
            <w:pPr>
              <w:pStyle w:val="Compact"/>
              <w:spacing w:before="0" w:after="0" w:lineRule="exact" w:line="220"/>
              <w:jc w:val="left"/>
            </w:pPr>
            <w:r>
              <w:rPr>
                <w:sz w:val="18"/>
              </w:rPr>
              <w:t xml:space="preserve">30</w:t>
            </w:r>
          </w:p>
        </w:tc>
        <w:tc>
          <w:tcPr>
            <w:tcW w:w="1035" w:type="dxa"/>
          </w:tcPr>
          <w:p>
            <w:pPr>
              <w:pStyle w:val="Compact"/>
              <w:spacing w:before="0" w:after="0" w:lineRule="exact" w:line="220"/>
              <w:jc w:val="left"/>
            </w:pPr>
            <w:r>
              <w:rPr>
                <w:sz w:val="18"/>
              </w:rPr>
              <w:t xml:space="preserve">30</w:t>
            </w:r>
          </w:p>
        </w:tc>
        <w:tc>
          <w:tcPr>
            <w:tcW w:w="1130" w:type="dxa"/>
          </w:tcPr>
          <w:p>
            <w:pPr>
              <w:pStyle w:val="Compact"/>
              <w:spacing w:before="0" w:after="0" w:lineRule="exact" w:line="220"/>
              <w:jc w:val="left"/>
            </w:pPr>
            <w:r>
              <w:rPr>
                <w:sz w:val="18"/>
              </w:rPr>
              <w:t xml:space="preserve">32</w:t>
            </w:r>
          </w:p>
        </w:tc>
        <w:tc>
          <w:tcPr>
            <w:tcW w:w="1130" w:type="dxa"/>
          </w:tcPr>
          <w:p>
            <w:pPr>
              <w:pStyle w:val="Compact"/>
              <w:spacing w:before="0" w:after="0" w:lineRule="exact" w:line="220"/>
              <w:jc w:val="left"/>
            </w:pPr>
            <w:r>
              <w:rPr>
                <w:sz w:val="18"/>
              </w:rPr>
              <w:t xml:space="preserve">30</w:t>
            </w:r>
          </w:p>
        </w:tc>
        <w:tc>
          <w:tcPr>
            <w:tcW w:w="1130" w:type="dxa"/>
          </w:tcPr>
          <w:p>
            <w:pPr>
              <w:pStyle w:val="Compact"/>
              <w:spacing w:before="0" w:after="0" w:lineRule="exact" w:line="220"/>
              <w:jc w:val="left"/>
            </w:pPr>
            <w:r>
              <w:rPr>
                <w:sz w:val="18"/>
              </w:rPr>
              <w:t xml:space="preserve">30</w:t>
            </w:r>
          </w:p>
        </w:tc>
      </w:tr>
      <w:tr>
        <w:trPr>
          <w:cantSplit/>
        </w:trPr>
        <w:tc>
          <w:tcPr>
            <w:tcW w:w="2008" w:type="dxa"/>
          </w:tcPr>
          <w:p>
            <w:pPr>
              <w:pStyle w:val="Compact"/>
              <w:spacing w:before="0" w:after="0" w:lineRule="exact" w:line="220"/>
              <w:jc w:val="left"/>
            </w:pPr>
            <w:r>
              <w:rPr>
                <w:iCs/>
                <w:i/>
                <w:sz w:val="18"/>
              </w:rPr>
              <w:t xml:space="preserve">R</w:t>
            </w:r>
            <w:r>
              <w:rPr>
                <w:sz w:val="18"/>
                <w:vertAlign w:val="superscript"/>
              </w:rPr>
              <w:t xml:space="preserve">2</w:t>
            </w:r>
          </w:p>
        </w:tc>
        <w:tc>
          <w:tcPr>
            <w:tcW w:w="1035" w:type="dxa"/>
          </w:tcPr>
          <w:p>
            <w:pPr>
              <w:pStyle w:val="Compact"/>
              <w:spacing w:before="0" w:after="0" w:lineRule="exact" w:line="220"/>
              <w:jc w:val="left"/>
            </w:pPr>
            <w:r>
              <w:rPr>
                <w:sz w:val="18"/>
              </w:rPr>
              <w:t xml:space="preserve">0.808</w:t>
            </w:r>
          </w:p>
        </w:tc>
        <w:tc>
          <w:tcPr>
            <w:tcW w:w="1035" w:type="dxa"/>
          </w:tcPr>
          <w:p>
            <w:pPr>
              <w:pStyle w:val="Compact"/>
              <w:spacing w:before="0" w:after="0" w:lineRule="exact" w:line="220"/>
              <w:jc w:val="left"/>
            </w:pPr>
            <w:r>
              <w:rPr>
                <w:sz w:val="18"/>
              </w:rPr>
              <w:t xml:space="preserve">0.842</w:t>
            </w:r>
          </w:p>
        </w:tc>
        <w:tc>
          <w:tcPr>
            <w:tcW w:w="1035" w:type="dxa"/>
          </w:tcPr>
          <w:p>
            <w:pPr>
              <w:pStyle w:val="Compact"/>
              <w:spacing w:before="0" w:after="0" w:lineRule="exact" w:line="220"/>
              <w:jc w:val="left"/>
            </w:pPr>
            <w:r>
              <w:rPr>
                <w:sz w:val="18"/>
              </w:rPr>
              <w:t xml:space="preserve">0.867</w:t>
            </w:r>
          </w:p>
        </w:tc>
        <w:tc>
          <w:tcPr>
            <w:tcW w:w="1130" w:type="dxa"/>
          </w:tcPr>
          <w:p>
            <w:pPr>
              <w:pStyle w:val="Compact"/>
              <w:spacing w:before="0" w:after="0" w:lineRule="exact" w:line="220"/>
              <w:jc w:val="left"/>
            </w:pPr>
            <w:r>
              <w:rPr>
                <w:sz w:val="18"/>
              </w:rPr>
              <w:t xml:space="preserve">0.438</w:t>
            </w:r>
          </w:p>
        </w:tc>
        <w:tc>
          <w:tcPr>
            <w:tcW w:w="1130" w:type="dxa"/>
          </w:tcPr>
          <w:p>
            <w:pPr>
              <w:pStyle w:val="Compact"/>
              <w:spacing w:before="0" w:after="0" w:lineRule="exact" w:line="220"/>
              <w:jc w:val="left"/>
            </w:pPr>
            <w:r>
              <w:rPr>
                <w:sz w:val="18"/>
              </w:rPr>
              <w:t xml:space="preserve">0.515</w:t>
            </w:r>
          </w:p>
        </w:tc>
        <w:tc>
          <w:tcPr>
            <w:tcW w:w="1130" w:type="dxa"/>
          </w:tcPr>
          <w:p>
            <w:pPr>
              <w:pStyle w:val="Compact"/>
              <w:spacing w:before="0" w:after="0" w:lineRule="exact" w:line="220"/>
              <w:jc w:val="left"/>
            </w:pPr>
            <w:r>
              <w:rPr>
                <w:sz w:val="18"/>
              </w:rPr>
              <w:t xml:space="preserve">0.571</w:t>
            </w:r>
          </w:p>
        </w:tc>
      </w:tr>
      <w:tr>
        <w:trPr>
          <w:cantSplit/>
        </w:trPr>
        <w:tc>
          <w:tcPr>
            <w:tcW w:w="2008" w:type="dxa"/>
          </w:tcPr>
          <w:p>
            <w:pPr>
              <w:pStyle w:val="Compact"/>
              <w:keepNext/>
              <w:spacing w:before="0" w:after="0" w:lineRule="exact" w:line="220"/>
              <w:jc w:val="left"/>
            </w:pPr>
            <w:r>
              <w:rPr>
                <w:sz w:val="18"/>
              </w:rPr>
              <w:t xml:space="preserve">Year dummies</w:t>
            </w:r>
          </w:p>
        </w:tc>
        <w:tc>
          <w:tcPr>
            <w:tcW w:w="1035" w:type="dxa"/>
          </w:tcPr>
          <w:p>
            <w:pPr>
              <w:pStyle w:val="Compact"/>
              <w:keepNext/>
              <w:spacing w:before="0" w:after="0" w:lineRule="exact" w:line="220"/>
              <w:jc w:val="left"/>
            </w:pPr>
            <w:r>
              <w:rPr>
                <w:sz w:val="18"/>
              </w:rPr>
              <w:t xml:space="preserve">No</w:t>
            </w:r>
          </w:p>
        </w:tc>
        <w:tc>
          <w:tcPr>
            <w:tcW w:w="1035" w:type="dxa"/>
          </w:tcPr>
          <w:p>
            <w:pPr>
              <w:pStyle w:val="Compact"/>
              <w:keepNext/>
              <w:spacing w:before="0" w:after="0" w:lineRule="exact" w:line="220"/>
              <w:jc w:val="left"/>
            </w:pPr>
            <w:r>
              <w:rPr>
                <w:sz w:val="18"/>
              </w:rPr>
              <w:t xml:space="preserve">No</w:t>
            </w:r>
          </w:p>
        </w:tc>
        <w:tc>
          <w:tcPr>
            <w:tcW w:w="1035" w:type="dxa"/>
          </w:tcPr>
          <w:p>
            <w:pPr>
              <w:pStyle w:val="Compact"/>
              <w:keepNext/>
              <w:spacing w:before="0" w:after="0" w:lineRule="exact" w:line="220"/>
              <w:jc w:val="left"/>
            </w:pPr>
            <w:r>
              <w:rPr>
                <w:sz w:val="18"/>
              </w:rPr>
              <w:t xml:space="preserve">Yes</w:t>
            </w:r>
          </w:p>
        </w:tc>
        <w:tc>
          <w:tcPr>
            <w:tcW w:w="1130" w:type="dxa"/>
          </w:tcPr>
          <w:p>
            <w:pPr>
              <w:pStyle w:val="Compact"/>
              <w:keepNext/>
              <w:spacing w:before="0" w:after="0" w:lineRule="exact" w:line="220"/>
              <w:jc w:val="left"/>
            </w:pPr>
            <w:r>
              <w:rPr>
                <w:sz w:val="18"/>
              </w:rPr>
              <w:t xml:space="preserve">No</w:t>
            </w:r>
          </w:p>
        </w:tc>
        <w:tc>
          <w:tcPr>
            <w:tcW w:w="1130" w:type="dxa"/>
          </w:tcPr>
          <w:p>
            <w:pPr>
              <w:pStyle w:val="Compact"/>
              <w:keepNext/>
              <w:spacing w:before="0" w:after="0" w:lineRule="exact" w:line="220"/>
              <w:jc w:val="left"/>
            </w:pPr>
            <w:r>
              <w:rPr>
                <w:sz w:val="18"/>
              </w:rPr>
              <w:t xml:space="preserve">No</w:t>
            </w:r>
          </w:p>
        </w:tc>
        <w:tc>
          <w:tcPr>
            <w:tcW w:w="1130" w:type="dxa"/>
          </w:tcPr>
          <w:p>
            <w:pPr>
              <w:pStyle w:val="Compact"/>
              <w:keepNext/>
              <w:spacing w:before="0" w:after="0" w:lineRule="exact" w:line="220"/>
              <w:jc w:val="left"/>
            </w:pPr>
            <w:r>
              <w:rPr>
                <w:sz w:val="18"/>
              </w:rPr>
              <w:t xml:space="preserve">Yes</w:t>
            </w:r>
          </w:p>
        </w:tc>
      </w:tr>
      <w:tr>
        <w:trPr>
          <w:cantSplit/>
        </w:trPr>
        <w:tc>
          <w:tcPr>
            <w:tcW w:w="2008" w:type="dxa"/>
          </w:tcPr>
          <w:p>
            <w:pPr>
              <w:pStyle w:val="Compact"/>
              <w:spacing w:before="0" w:after="0" w:lineRule="exact" w:line="220"/>
              <w:jc w:val="left"/>
            </w:pPr>
            <w:r>
              <w:rPr>
                <w:sz w:val="18"/>
              </w:rPr>
              <w:t xml:space="preserve">Wild-bootstrap</w:t>
            </w:r>
            <w:r>
              <w:rPr>
                <w:sz w:val="18"/>
              </w:rPr>
              <w:t xml:space="preserve"> </w:t>
            </w:r>
            <w:r>
              <w:rPr>
                <w:iCs/>
                <w:i/>
                <w:sz w:val="18"/>
              </w:rPr>
              <w:t xml:space="preserve">p</w:t>
            </w:r>
            <w:r>
              <w:rPr>
                <w:sz w:val="18"/>
              </w:rPr>
              <w:t xml:space="preserve">, IndonesiaRegion</w:t>
            </w:r>
          </w:p>
        </w:tc>
        <w:tc>
          <w:tcPr>
            <w:tcW w:w="1035" w:type="dxa"/>
          </w:tcPr>
          <w:p>
            <w:pPr>
              <w:pStyle w:val="Compact"/>
              <w:spacing w:before="0" w:after="0" w:lineRule="exact" w:line="220"/>
              <w:jc w:val="left"/>
            </w:pPr>
            <w:r>
              <w:rPr>
                <w:sz w:val="18"/>
              </w:rPr>
              <w:t xml:space="preserve">0.848</w:t>
            </w:r>
          </w:p>
        </w:tc>
        <w:tc>
          <w:tcPr>
            <w:tcW w:w="1035" w:type="dxa"/>
          </w:tcPr>
          <w:p>
            <w:pPr>
              <w:pStyle w:val="Compact"/>
              <w:spacing w:before="0" w:after="0" w:lineRule="exact" w:line="220"/>
              <w:jc w:val="left"/>
            </w:pPr>
            <w:r>
              <w:rPr>
                <w:sz w:val="18"/>
              </w:rPr>
              <w:t xml:space="preserve">0.475</w:t>
            </w:r>
          </w:p>
        </w:tc>
        <w:tc>
          <w:tcPr>
            <w:tcW w:w="1035" w:type="dxa"/>
          </w:tcPr>
          <w:p>
            <w:pPr>
              <w:pStyle w:val="Compact"/>
              <w:spacing w:before="0" w:after="0" w:lineRule="exact" w:line="220"/>
              <w:jc w:val="left"/>
            </w:pPr>
            <w:r>
              <w:rPr>
                <w:sz w:val="18"/>
              </w:rPr>
              <w:t xml:space="preserve">0.866</w:t>
            </w:r>
          </w:p>
        </w:tc>
        <w:tc>
          <w:tcPr>
            <w:tcW w:w="1130" w:type="dxa"/>
          </w:tcPr>
          <w:p>
            <w:pPr>
              <w:pStyle w:val="Compact"/>
              <w:spacing w:before="0" w:after="0" w:lineRule="exact" w:line="220"/>
              <w:jc w:val="left"/>
            </w:pPr>
            <w:r>
              <w:rPr>
                <w:sz w:val="18"/>
              </w:rPr>
              <w:t xml:space="preserve">0.031</w:t>
            </w:r>
          </w:p>
        </w:tc>
        <w:tc>
          <w:tcPr>
            <w:tcW w:w="1130" w:type="dxa"/>
          </w:tcPr>
          <w:p>
            <w:pPr>
              <w:pStyle w:val="Compact"/>
              <w:spacing w:before="0" w:after="0" w:lineRule="exact" w:line="220"/>
              <w:jc w:val="left"/>
            </w:pPr>
            <w:r>
              <w:rPr>
                <w:sz w:val="18"/>
              </w:rPr>
              <w:t xml:space="preserve">0.039</w:t>
            </w:r>
          </w:p>
        </w:tc>
        <w:tc>
          <w:tcPr>
            <w:tcW w:w="1130" w:type="dxa"/>
          </w:tcPr>
          <w:p>
            <w:pPr>
              <w:pStyle w:val="Compact"/>
              <w:spacing w:before="0" w:after="0" w:lineRule="exact" w:line="220"/>
              <w:jc w:val="left"/>
            </w:pPr>
            <w:r>
              <w:rPr>
                <w:sz w:val="18"/>
              </w:rPr>
              <w:t xml:space="preserve">0.005</w:t>
            </w:r>
          </w:p>
        </w:tc>
      </w:tr>
    </w:tbl>
    <w:p>
      <w:pPr>
        <w:pStyle w:val="TableNote"/>
      </w:pPr>
      <w:r>
        <w:rPr>
          <w:iCs/>
          <w:i/>
        </w:rPr>
        <w:t xml:space="preserve">Note:</w:t>
      </w:r>
      <w:r>
        <w:t xml:space="preserve"> </w:t>
      </w:r>
      <w:r>
        <w:t xml:space="preserve">The take rate and its parts are not regressors, because the ecosystem ratio is one divided by the take rate, minus one. Source: company filings; SEC filings; World Bank; Bank for International Settlements; author’s calculations. Exploratory.</w:t>
      </w:r>
    </w:p>
    <w:p>
      <w:pPr>
        <w:pStyle w:val="BodyText"/>
      </w:pPr>
      <w:r>
        <w:t xml:space="preserve">The wedge scales with the size of the platform. A 1 percent rise in total assets goes with a rise of about 0.9 percent in the wedge, and the regressors of column (1) explain 81 percent of its variation. Once size is held fixed, Indonesian and regional platforms do not carry a different wedge. The coefficient on IndonesiaRegion is −0.07 in column (1) and stays between −0.30 and 0.08 in the others, never close to significance. On-demand platforms carry about 60 percent less wedge for their assets than marketplaces do.</w:t>
      </w:r>
    </w:p>
    <w:p>
      <w:pPr>
        <w:pStyle w:val="BodyText"/>
      </w:pPr>
      <w:r>
        <w:t xml:space="preserve">The ecosystem ratio is different. The Indonesian and regional platforms have a ratio 13 to 17 points above foreign platforms of the same type, size and age, in markets with the same growth, inflation and interest rates (columns 4 to 6). The foreign mean is about 9. The wild-bootstrap p-values, which allow for the small number of clusters, are between 0.005 and 0.04. Size and age explain little of the ratio. Type explains a good deal: on-demand platforms have ratios 17 to 20 points below marketplaces, which means that they keep a much larger share of each sale, and travel, freelance and resale platforms are 7 to 14 points below. A home market that grows faster has a higher ratio, by about 1.3 to 1.5 points for each point of GDP growth, an exploratory pattern that the thesis does not read as causal.</w:t>
      </w:r>
    </w:p>
    <w:p>
      <w:pPr>
        <w:pStyle w:val="BodyText"/>
      </w:pPr>
      <w:r>
        <w:t xml:space="preserve">The result for the Indonesian and regional platforms survives the checks of Appendix C. The coefficient stays between 15 and 18 when each of the five platforms is dropped in turn, and it is 21 without Alibaba, Pinduoduo, Rakuten and Shopify. It is 28.5 when the ratio is not capped (p = 0.008), 17 when a dummy for emerging home markets is added, whose own coefficient is close to zero (0.4, p = 0.94), and 17 without the six platforms whose main market is ambiguous. So the thin take rates of Indonesian and regional platforms are not a general emerging-market pattern. Total assets are those of the whole company, which is larger than the platform business at GoTo, Rakuten and Sea, so size is measured with error, and the result rests on five platforms.</w:t>
      </w:r>
    </w:p>
    <w:p>
      <w:pPr>
        <w:pStyle w:val="BodyText"/>
      </w:pPr>
      <w:r>
        <w:t xml:space="preserve">The regression does not say how a platform moved its take rate. Company reports do, for the seven windows traced in Appendix B, where the growth of revenue is split into more commerce, higher fees and lower incentives. Higher fees and lower incentives together outweighed more commerce in every window. Lower incentives were the larger of the two in four windows and higher fees in two. In the seventh, Grab from 2021 to 2024, the two were nearly equal. The windows of one platform overlap, so they are not seven independent cases.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higher fees account for more of the rise in the take rate. The two views differ only on which lever led (Figure 3).</w:t>
      </w:r>
    </w:p>
    <w:p>
      <w:pPr>
        <w:pStyle w:val="BodyText"/>
        <w:keepNext/>
        <w:spacing w:before="200" w:after="0" w:line="240" w:lineRule="auto"/>
        <w:jc w:val="center"/>
      </w:pPr>
      <w:r>
        <w:drawing>
          <wp:inline>
            <wp:extent cx="5400000" cy="1826209"/>
            <wp:effectExtent b="0" l="0" r="0" t="0"/>
            <wp:docPr descr="" title="" id="57" name="Picture"/>
            <a:graphic>
              <a:graphicData uri="http://schemas.openxmlformats.org/drawingml/2006/picture">
                <pic:pic>
                  <pic:nvPicPr>
                    <pic:cNvPr descr="figures_yzu/fig5_2_tokopedia_two_views.png" id="58" name="Picture"/>
                    <pic:cNvPicPr>
                      <a:picLocks noChangeArrowheads="1" noChangeAspect="1"/>
                    </pic:cNvPicPr>
                  </pic:nvPicPr>
                  <pic:blipFill>
                    <a:blip r:embed="rId56"/>
                    <a:stretch>
                      <a:fillRect/>
                    </a:stretch>
                  </pic:blipFill>
                  <pic:spPr bwMode="auto">
                    <a:xfrm>
                      <a:off x="0" y="0"/>
                      <a:ext cx="5400000" cy="1826209"/>
                    </a:xfrm>
                    <a:prstGeom prst="rect">
                      <a:avLst/>
                    </a:prstGeom>
                    <a:noFill/>
                    <a:ln w="9525">
                      <a:noFill/>
                      <a:headEnd/>
                      <a:tailEnd/>
                    </a:ln>
                  </pic:spPr>
                </pic:pic>
              </a:graphicData>
            </a:graphic>
          </wp:inline>
        </w:drawing>
      </w:r>
    </w:p>
    <w:p>
      <w:pPr>
        <w:pStyle w:val="FigureCaption"/>
        <w:keepNext/>
      </w:pPr>
      <w:r>
        <w:rPr>
          <w:b/>
        </w:rPr>
        <w:t>Figure 3.</w:t>
      </w:r>
      <w:r>
        <w:rPr>
          <w:b w:val="0"/>
        </w:rPr>
        <w:t xml:space="preserve"> Tokopedia, 2022 to 2023: two ways to split the rise in revenue.</w:t>
      </w:r>
    </w:p>
    <w:p>
      <w:pPr>
        <w:pStyle w:val="TableNote"/>
      </w:pP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p>
      <w:pPr>
        <w:pStyle w:val="BodyText"/>
      </w:pPr>
      <w:r>
        <w:t xml:space="preserve">The ecosystem ratio matters for three groups. For investors, a high ratio means that small changes in fees or discounts produce large swings in revenue growth. At the typical Indonesian and regional ratio of 35, the platform keeps about 2.8 percent of each sale, and a rise of 1 point in the take rate lifts revenue by about 36 percent at constant volume. At the typical foreign ratio of 5.5, the same rise lifts it by 6.5 percent. So a revenue multiple means something different in the two groups, because each unit of revenue stands for 36 units of transaction value in one and 6.5 in the other. Growth that comes from the take rate cannot go on without end, and Section 5.4 shows that markets priced transaction value.</w:t>
      </w:r>
    </w:p>
    <w:p>
      <w:pPr>
        <w:pStyle w:val="BodyText"/>
      </w:pPr>
      <w:r>
        <w:t xml:space="preserve">For sellers and drivers, a high ratio means that most of each sale goes to them and not to the platform. A rising take rate means that the platform keeps more of each sale. The take rate rose in 87 percent of the Indonesian and regional pairs, against 65 percent abroad, and at Tokopedia part of the rise came from smaller discounts, which are paid to buyers. Whether that shows market power is a question the thesis cannot answer, because it holds no data on what sellers and drivers paid or could have chosen instead. The pattern is also consistent with platforms that listed in 2021 and 2022 moving from growth to earnings, since their largest moves came one or two years after listing.</w:t>
      </w:r>
    </w:p>
    <w:p>
      <w:pPr>
        <w:pStyle w:val="BodyText"/>
      </w:pPr>
      <w:r>
        <w:t xml:space="preserve">For policy, the wedge is the base that revenue-based rules do not reach. A rule that acts on platform revenue acts on about 3 percent of the commerce at a typical Indonesian or regional platform. A cap on commissions acts on the fee rate, and a limit on discounts acts on the incentive rate, the two parts of the take rate in equation (5). Chapter 6 sets each rule against the part it reaches.</w:t>
      </w:r>
    </w:p>
    <w:bookmarkEnd w:id="59"/>
    <w:bookmarkStart w:id="60"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w:t>
      </w:r>
      <w:r>
        <w:rPr>
          <w:vertAlign w:val="subscript"/>
        </w:rPr>
        <w:t xml:space="preserve">V</w:t>
      </w:r>
      <w:r>
        <w:t xml:space="preserve"> </w:t>
      </w:r>
      <w:r>
        <w:t xml:space="preserve">in equation (9),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w:t>
      </w:r>
      <w:r>
        <w:rPr>
          <w:vertAlign w:val="subscript"/>
        </w:rPr>
        <w:t xml:space="preserve">m</w:t>
      </w:r>
      <w:r>
        <w:t xml:space="preserve">),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w:t>
      </w:r>
    </w:p>
    <w:p>
      <w:pPr>
        <w:pStyle w:val="BodyText"/>
      </w:pPr>
      <w:r>
        <w:t xml:space="preserve">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p>
    <w:bookmarkEnd w:id="60"/>
    <w:bookmarkStart w:id="64"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4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4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keepNext/>
        <w:spacing w:before="200" w:after="0" w:line="240" w:lineRule="auto"/>
        <w:jc w:val="center"/>
      </w:pPr>
      <w:r>
        <w:drawing>
          <wp:inline>
            <wp:extent cx="5400000" cy="2891497"/>
            <wp:effectExtent b="0" l="0" r="0" t="0"/>
            <wp:docPr descr="" title="" id="62" name="Picture"/>
            <a:graphic>
              <a:graphicData uri="http://schemas.openxmlformats.org/drawingml/2006/picture">
                <pic:pic>
                  <pic:nvPicPr>
                    <pic:cNvPr descr="figures_yzu/fig5_3_growth_2023.png" id="63" name="Picture"/>
                    <pic:cNvPicPr>
                      <a:picLocks noChangeArrowheads="1" noChangeAspect="1"/>
                    </pic:cNvPicPr>
                  </pic:nvPicPr>
                  <pic:blipFill>
                    <a:blip r:embed="rId61"/>
                    <a:stretch>
                      <a:fillRect/>
                    </a:stretch>
                  </pic:blipFill>
                  <pic:spPr bwMode="auto">
                    <a:xfrm>
                      <a:off x="0" y="0"/>
                      <a:ext cx="5400000" cy="2891497"/>
                    </a:xfrm>
                    <a:prstGeom prst="rect">
                      <a:avLst/>
                    </a:prstGeom>
                    <a:noFill/>
                    <a:ln w="9525">
                      <a:noFill/>
                      <a:headEnd/>
                      <a:tailEnd/>
                    </a:ln>
                  </pic:spPr>
                </pic:pic>
              </a:graphicData>
            </a:graphic>
          </wp:inline>
        </w:drawing>
      </w:r>
    </w:p>
    <w:p>
      <w:pPr>
        <w:pStyle w:val="FigureCaption"/>
        <w:keepNext/>
      </w:pPr>
      <w:r>
        <w:rPr>
          <w:b/>
        </w:rPr>
        <w:t>Figure 4.</w:t>
      </w:r>
      <w:r>
        <w:rPr>
          <w:b w:val="0"/>
        </w:rPr>
        <w:t xml:space="preserve"> Growth in 2023 (percent).</w:t>
      </w:r>
    </w:p>
    <w:p>
      <w:pPr>
        <w:pStyle w:val="TableNote"/>
      </w:pP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E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w:t>
      </w:r>
    </w:p>
    <w:p>
      <w:pPr>
        <w:pStyle w:val="BodyText"/>
      </w:pPr>
      <w:r>
        <w:t xml:space="preserve">The published count of online sellers nonetheless rose by 27 percent in 2023. A rise of that size, in a year without a boom in sales, needs explaining.</w:t>
      </w:r>
    </w:p>
    <w:bookmarkEnd w:id="64"/>
    <w:bookmarkStart w:id="65"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The number of businesses grew by 27 percent and sales per business by 10 percent, so more businesses account for most of the growth.</w:t>
      </w:r>
    </w:p>
    <w:p>
      <w:pPr>
        <w:pStyle w:val="BodyText"/>
      </w:pPr>
      <w:r>
        <w:t xml:space="preserve">H2 holds again from 2023 to 2024. Value grew by 17 percent, the number of businesses by 15 percent and sales per business by 1.5 percent, or by 12 and 4.7 percent on BPS’s other count for 2023. The split of equation (8)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5"/>
    <w:bookmarkStart w:id="66"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TableCaption"/>
        <w:keepNext/>
      </w:pPr>
      <w:r>
        <w:rPr>
          <w:b/>
        </w:rPr>
        <w:t>Table 5.</w:t>
      </w:r>
      <w:r>
        <w:rPr>
          <w:b w:val="0"/>
        </w:rPr>
        <w:t xml:space="preserve"> The 2023 rise in the count of online sellers (thousands)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4187"/>
        <w:gridCol w:w="1570"/>
        <w:gridCol w:w="2747"/>
      </w:tblGrid>
      <w:tr>
        <w:trPr>
          <w:tblHeader w:val="true"/>
          <w:cantSplit/>
          <w:tblHeader/>
        </w:trPr>
        <w:tc>
          <w:tcPr>
            <w:tcW w:w="4187" w:type="dxa"/>
            <w:tcBorders>
              <w:bottom w:val="single" w:sz="5" w:space="0" w:color="000000"/>
            </w:tcBorders>
          </w:tcPr>
          <w:p>
            <w:pPr>
              <w:pStyle w:val="Compact"/>
              <w:keepNext/>
              <w:spacing w:before="0" w:after="0" w:lineRule="exact" w:line="220"/>
              <w:jc w:val="left"/>
            </w:pPr>
            <w:r>
              <w:rPr>
                <w:b/>
                <w:sz w:val="18"/>
              </w:rPr>
              <w:t xml:space="preserve">Part of the rise</w:t>
            </w:r>
          </w:p>
        </w:tc>
        <w:tc>
          <w:tcPr>
            <w:tcW w:w="1570" w:type="dxa"/>
            <w:tcBorders>
              <w:bottom w:val="single" w:sz="5" w:space="0" w:color="000000"/>
            </w:tcBorders>
          </w:tcPr>
          <w:p>
            <w:pPr>
              <w:pStyle w:val="Compact"/>
              <w:keepNext/>
              <w:spacing w:before="0" w:after="0" w:lineRule="exact" w:line="220"/>
              <w:jc w:val="left"/>
            </w:pPr>
            <w:r>
              <w:rPr>
                <w:b/>
                <w:sz w:val="18"/>
              </w:rPr>
              <w:t xml:space="preserve">If no seller stopped</w:t>
            </w:r>
          </w:p>
        </w:tc>
        <w:tc>
          <w:tcPr>
            <w:tcW w:w="2747" w:type="dxa"/>
            <w:tcBorders>
              <w:bottom w:val="single" w:sz="5" w:space="0" w:color="000000"/>
            </w:tcBorders>
          </w:tcPr>
          <w:p>
            <w:pPr>
              <w:pStyle w:val="Compact"/>
              <w:keepNext/>
              <w:spacing w:before="0" w:after="0" w:lineRule="exact" w:line="220"/>
              <w:jc w:val="left"/>
            </w:pPr>
            <w:r>
              <w:rPr>
                <w:b/>
                <w:sz w:val="18"/>
              </w:rPr>
              <w:t xml:space="preserve">If sellers stopped at 5 percent a year</w:t>
            </w:r>
          </w:p>
        </w:tc>
      </w:tr>
      <w:tr>
        <w:trPr>
          <w:cantSplit/>
        </w:trPr>
        <w:tc>
          <w:tcPr>
            <w:tcW w:w="4187" w:type="dxa"/>
          </w:tcPr>
          <w:p>
            <w:pPr>
              <w:pStyle w:val="Compact"/>
              <w:keepNext/>
              <w:spacing w:before="0" w:after="0" w:lineRule="exact" w:line="220"/>
              <w:jc w:val="left"/>
            </w:pPr>
            <w:r>
              <w:rPr>
                <w:sz w:val="18"/>
              </w:rPr>
              <w:t xml:space="preserve">Rise between the weighted totals of the two files</w:t>
            </w:r>
          </w:p>
        </w:tc>
        <w:tc>
          <w:tcPr>
            <w:tcW w:w="1570" w:type="dxa"/>
          </w:tcPr>
          <w:p>
            <w:pPr>
              <w:pStyle w:val="Compact"/>
              <w:keepNext/>
              <w:spacing w:before="0" w:after="0" w:lineRule="exact" w:line="220"/>
              <w:jc w:val="left"/>
            </w:pPr>
            <w:r>
              <w:rPr>
                <w:sz w:val="18"/>
              </w:rPr>
              <w:t xml:space="preserve">819 (100%)</w:t>
            </w:r>
          </w:p>
        </w:tc>
        <w:tc>
          <w:tcPr>
            <w:tcW w:w="2747" w:type="dxa"/>
          </w:tcPr>
          <w:p>
            <w:pPr>
              <w:pStyle w:val="Compact"/>
              <w:keepNext/>
              <w:spacing w:before="0" w:after="0" w:lineRule="exact" w:line="220"/>
              <w:jc w:val="left"/>
            </w:pPr>
            <w:r>
              <w:rPr>
                <w:sz w:val="18"/>
              </w:rPr>
              <w:t xml:space="preserve">819 (100%)</w:t>
            </w:r>
          </w:p>
        </w:tc>
      </w:tr>
      <w:tr>
        <w:trPr>
          <w:cantSplit/>
        </w:trPr>
        <w:tc>
          <w:tcPr>
            <w:tcW w:w="4187" w:type="dxa"/>
          </w:tcPr>
          <w:p>
            <w:pPr>
              <w:pStyle w:val="Compact"/>
              <w:keepNext/>
              <w:spacing w:before="0" w:after="0" w:lineRule="exact" w:line="220"/>
              <w:jc w:val="left"/>
            </w:pPr>
            <w:r>
              <w:rPr>
                <w:sz w:val="18"/>
              </w:rPr>
              <w:t xml:space="preserve">Net entry: sellers who began in 2023, less those who stopped</w:t>
            </w:r>
          </w:p>
        </w:tc>
        <w:tc>
          <w:tcPr>
            <w:tcW w:w="1570" w:type="dxa"/>
          </w:tcPr>
          <w:p>
            <w:pPr>
              <w:pStyle w:val="Compact"/>
              <w:keepNext/>
              <w:spacing w:before="0" w:after="0" w:lineRule="exact" w:line="220"/>
              <w:jc w:val="left"/>
            </w:pPr>
            <w:r>
              <w:rPr>
                <w:sz w:val="18"/>
              </w:rPr>
              <w:t xml:space="preserve">513 (63%)</w:t>
            </w:r>
          </w:p>
        </w:tc>
        <w:tc>
          <w:tcPr>
            <w:tcW w:w="2747" w:type="dxa"/>
          </w:tcPr>
          <w:p>
            <w:pPr>
              <w:pStyle w:val="Compact"/>
              <w:keepNext/>
              <w:spacing w:before="0" w:after="0" w:lineRule="exact" w:line="220"/>
              <w:jc w:val="left"/>
            </w:pPr>
            <w:r>
              <w:rPr>
                <w:sz w:val="18"/>
              </w:rPr>
              <w:t xml:space="preserve">361 (44%)</w:t>
            </w:r>
          </w:p>
        </w:tc>
      </w:tr>
      <w:tr>
        <w:trPr>
          <w:cantSplit/>
        </w:trPr>
        <w:tc>
          <w:tcPr>
            <w:tcW w:w="4187" w:type="dxa"/>
          </w:tcPr>
          <w:p>
            <w:pPr>
              <w:pStyle w:val="Compact"/>
              <w:spacing w:before="0" w:after="0" w:lineRule="exact" w:line="220"/>
              <w:jc w:val="left"/>
            </w:pPr>
            <w:r>
              <w:rPr>
                <w:sz w:val="18"/>
              </w:rPr>
              <w:t xml:space="preserve">Earlier sellers newly counted above the whole 2022 count</w:t>
            </w:r>
          </w:p>
        </w:tc>
        <w:tc>
          <w:tcPr>
            <w:tcW w:w="1570" w:type="dxa"/>
          </w:tcPr>
          <w:p>
            <w:pPr>
              <w:pStyle w:val="Compact"/>
              <w:spacing w:before="0" w:after="0" w:lineRule="exact" w:line="220"/>
              <w:jc w:val="left"/>
            </w:pPr>
            <w:r>
              <w:rPr>
                <w:sz w:val="18"/>
              </w:rPr>
              <w:t xml:space="preserve">306 (37%)</w:t>
            </w:r>
          </w:p>
        </w:tc>
        <w:tc>
          <w:tcPr>
            <w:tcW w:w="2747" w:type="dxa"/>
          </w:tcPr>
          <w:p>
            <w:pPr>
              <w:pStyle w:val="Compact"/>
              <w:spacing w:before="0" w:after="0" w:lineRule="exact" w:line="220"/>
              <w:jc w:val="left"/>
            </w:pPr>
            <w:r>
              <w:rPr>
                <w:sz w:val="18"/>
              </w:rPr>
              <w:t xml:space="preserve">458 (56%)</w:t>
            </w:r>
          </w:p>
        </w:tc>
      </w:tr>
    </w:tbl>
    <w:p>
      <w:pPr>
        <w:pStyle w:val="TableNote"/>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sat in chat and social selling. Among sellers who began by 2022, those using only chat or social media rose by 13 percent, and marketplace users by 0.3 percent. Across the 34 provinces, growth in the count had almost no link to the share of new sellers (a rank correlation of 0.10, on a scale from −1 to 1). It had only a weak link to growth in the sample (0.35).</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figure rose by 41 percent in rupiah, from about US$53 billion to about US$72 billion at each year’s exchange rate. The thesis asks how much of that rise the sellers’ own answers can account for, by giving each kind of seller its typical size in the 2022 file.</w:t>
      </w:r>
    </w:p>
    <w:p>
      <w:pPr>
        <w:pStyle w:val="BodyText"/>
      </w:pPr>
      <w:r>
        <w:t xml:space="preserve">New sellers, sized like those that began in 2022, account for 25 to 30 percent of the rise.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pPr>
      <w:r>
        <w:t xml:space="preserve">H2 holds on the published series, but it sits right on its threshold once the extra count is read as coverage, an exploratory follow-up. H2’s split treats every seller in the count as having entered. Suppose instead that the sellers not explained by entry were reached by wider coverage, and that their sales came with them. With both taken out of the 2023 figures, the number of businesses grows by 17 percent if no seller stopped, against 14 to 15 percent for sales per business, so H2 holds narrowly. If sellers stopped at 5 percent a year, the number of businesses grows by 12 percent and sales per business by about 16 to 17 percent, so H2 fails by a few points. H2 requires the first growth rate to be the larger. Taking out the sellers but keeping their sales gives 17 against 20 percent, and 12 against 25 percent, but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helps decide between the two.</w:t>
      </w:r>
    </w:p>
    <w:bookmarkEnd w:id="66"/>
    <w:bookmarkStart w:id="70"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A group’s extra count is its 2023 count less its 2022 count grown at the group’s own yearly rate from 2020 to 2022 (Section 4.7). The extra sellers total about 450 thousand, close to the 458 thousand in Table 5. Figure 5 compares each group’s share of the extra count with its share of the 2022 count.</w:t>
      </w:r>
    </w:p>
    <w:p>
      <w:pPr>
        <w:pStyle w:val="BodyText"/>
        <w:keepNext/>
        <w:spacing w:before="200" w:after="0" w:line="240" w:lineRule="auto"/>
        <w:jc w:val="center"/>
      </w:pPr>
      <w:r>
        <w:drawing>
          <wp:inline>
            <wp:extent cx="5400000" cy="2130577"/>
            <wp:effectExtent b="0" l="0" r="0" t="0"/>
            <wp:docPr descr="" title="" id="68" name="Picture"/>
            <a:graphic>
              <a:graphicData uri="http://schemas.openxmlformats.org/drawingml/2006/picture">
                <pic:pic>
                  <pic:nvPicPr>
                    <pic:cNvPr descr="figures_yzu/fig5_4_extra_sellers.png" id="69" name="Picture"/>
                    <pic:cNvPicPr>
                      <a:picLocks noChangeArrowheads="1" noChangeAspect="1"/>
                    </pic:cNvPicPr>
                  </pic:nvPicPr>
                  <pic:blipFill>
                    <a:blip r:embed="rId67"/>
                    <a:stretch>
                      <a:fillRect/>
                    </a:stretch>
                  </pic:blipFill>
                  <pic:spPr bwMode="auto">
                    <a:xfrm>
                      <a:off x="0" y="0"/>
                      <a:ext cx="5400000" cy="2130577"/>
                    </a:xfrm>
                    <a:prstGeom prst="rect">
                      <a:avLst/>
                    </a:prstGeom>
                    <a:noFill/>
                    <a:ln w="9525">
                      <a:noFill/>
                      <a:headEnd/>
                      <a:tailEnd/>
                    </a:ln>
                  </pic:spPr>
                </pic:pic>
              </a:graphicData>
            </a:graphic>
          </wp:inline>
        </w:drawing>
      </w:r>
    </w:p>
    <w:p>
      <w:pPr>
        <w:pStyle w:val="FigureCaption"/>
        <w:keepNext/>
      </w:pPr>
      <w:r>
        <w:rPr>
          <w:b/>
        </w:rPr>
        <w:t>Figure 5.</w:t>
      </w:r>
      <w:r>
        <w:rPr>
          <w:b w:val="0"/>
        </w:rPr>
        <w:t xml:space="preserve"> Who the extra sellers were.</w:t>
      </w:r>
    </w:p>
    <w:p>
      <w:pPr>
        <w:pStyle w:val="TableNote"/>
      </w:pP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helps test whether the extra sellers were returning after a pause.</w:t>
      </w:r>
    </w:p>
    <w:p>
      <w:pPr>
        <w:pStyle w:val="BodyText"/>
      </w:pPr>
      <w:r>
        <w:t xml:space="preserve">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argues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p>
    <w:bookmarkEnd w:id="70"/>
    <w:bookmarkStart w:id="74"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6 shows the share of all sellers who keep them falling. The fall from 2020 to 2022 came while the survey appears to have counted the same kinds of seller. The fall in 2023 may partly reflect the chat-only sellers added to the count.</w:t>
      </w:r>
    </w:p>
    <w:p>
      <w:pPr>
        <w:pStyle w:val="BodyText"/>
        <w:keepNext/>
        <w:spacing w:before="200" w:after="0" w:line="240" w:lineRule="auto"/>
        <w:jc w:val="center"/>
      </w:pPr>
      <w:r>
        <w:drawing>
          <wp:inline>
            <wp:extent cx="5400000" cy="2480043"/>
            <wp:effectExtent b="0" l="0" r="0" t="0"/>
            <wp:docPr descr="" title="" id="72" name="Picture"/>
            <a:graphic>
              <a:graphicData uri="http://schemas.openxmlformats.org/drawingml/2006/picture">
                <pic:pic>
                  <pic:nvPicPr>
                    <pic:cNvPr descr="figures_yzu/fig5_5_marketplace_and_records.png" id="73" name="Picture"/>
                    <pic:cNvPicPr>
                      <a:picLocks noChangeArrowheads="1" noChangeAspect="1"/>
                    </pic:cNvPicPr>
                  </pic:nvPicPr>
                  <pic:blipFill>
                    <a:blip r:embed="rId71"/>
                    <a:stretch>
                      <a:fillRect/>
                    </a:stretch>
                  </pic:blipFill>
                  <pic:spPr bwMode="auto">
                    <a:xfrm>
                      <a:off x="0" y="0"/>
                      <a:ext cx="5400000" cy="2480043"/>
                    </a:xfrm>
                    <a:prstGeom prst="rect">
                      <a:avLst/>
                    </a:prstGeom>
                    <a:noFill/>
                    <a:ln w="9525">
                      <a:noFill/>
                      <a:headEnd/>
                      <a:tailEnd/>
                    </a:ln>
                  </pic:spPr>
                </pic:pic>
              </a:graphicData>
            </a:graphic>
          </wp:inline>
        </w:drawing>
      </w:r>
    </w:p>
    <w:p>
      <w:pPr>
        <w:pStyle w:val="FigureCaption"/>
        <w:keepNext/>
      </w:pPr>
      <w:r>
        <w:rPr>
          <w:b/>
        </w:rPr>
        <w:t>Figure 6.</w:t>
      </w:r>
      <w:r>
        <w:rPr>
          <w:b w:val="0"/>
        </w:rPr>
        <w:t xml:space="preserve"> Marketplace use and financial statements, 2020 to 2024.</w:t>
      </w:r>
    </w:p>
    <w:p>
      <w:pPr>
        <w:pStyle w:val="TableNote"/>
      </w:pP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w:t>
      </w:r>
    </w:p>
    <w:p>
      <w:pPr>
        <w:pStyle w:val="BodyText"/>
      </w:pPr>
      <w:r>
        <w:t xml:space="preserve">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is the starting point for the third question of Section 2.4, because a rule built on platform records reaches only the marketplace part. Chapter 6 measures that reach. The same split also shows where the national figures disagree, which is the next section.</w:t>
      </w:r>
    </w:p>
    <w:bookmarkEnd w:id="74"/>
    <w:bookmarkStart w:id="75"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Chapter 1 introduced,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Appendix A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payments through the Quick Response Code Indonesian Standard (QRIS)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w:t>
      </w:r>
    </w:p>
    <w:p>
      <w:pPr>
        <w:pStyle w:val="BodyText"/>
      </w:pPr>
      <w:r>
        <w:t xml:space="preserve">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p>
    <w:bookmarkEnd w:id="75"/>
    <w:bookmarkEnd w:id="76"/>
    <w:bookmarkStart w:id="83" w:name="Xe0441c9582f81187c78ef6427e0713534e3618d"/>
    <w:p>
      <w:pPr>
        <w:pStyle w:val="Heading1"/>
      </w:pPr>
      <w:r>
        <w:t xml:space="preserve">Chapter 6 Discussion and Policy Implications</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7"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 lists each rule with the part it acts on and the section of Chapter 5 that measures that part.</w:t>
      </w:r>
    </w:p>
    <w:p>
      <w:pPr>
        <w:pStyle w:val="TableCaption"/>
        <w:keepNext/>
      </w:pPr>
      <w:r>
        <w:rPr>
          <w:b/>
        </w:rPr>
        <w:t>Table 6.</w:t>
      </w:r>
      <w:r>
        <w:rPr>
          <w:b w:val="0"/>
        </w:rPr>
        <w:t xml:space="preserve"> Indonesia’s recent rules and what each acts on</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683"/>
        <w:gridCol w:w="2280"/>
        <w:gridCol w:w="1320"/>
        <w:gridCol w:w="940"/>
        <w:gridCol w:w="2280"/>
      </w:tblGrid>
      <w:tr>
        <w:trPr>
          <w:tblHeader w:val="true"/>
          <w:cantSplit/>
          <w:tblHeader/>
        </w:trPr>
        <w:tc>
          <w:tcPr>
            <w:tcW w:w="1683" w:type="dxa"/>
            <w:tcBorders>
              <w:bottom w:val="single" w:sz="5" w:space="0" w:color="000000"/>
            </w:tcBorders>
          </w:tcPr>
          <w:p>
            <w:pPr>
              <w:pStyle w:val="Compact"/>
              <w:keepNext/>
              <w:spacing w:before="0" w:after="0" w:lineRule="exact" w:line="220"/>
              <w:jc w:val="left"/>
            </w:pPr>
            <w:r>
              <w:rPr>
                <w:b/>
                <w:sz w:val="18"/>
              </w:rPr>
              <w:t xml:space="preserve">Rule</w:t>
            </w:r>
          </w:p>
        </w:tc>
        <w:tc>
          <w:tcPr>
            <w:tcW w:w="2280" w:type="dxa"/>
            <w:tcBorders>
              <w:bottom w:val="single" w:sz="5" w:space="0" w:color="000000"/>
            </w:tcBorders>
          </w:tcPr>
          <w:p>
            <w:pPr>
              <w:pStyle w:val="Compact"/>
              <w:keepNext/>
              <w:spacing w:before="0" w:after="0" w:lineRule="exact" w:line="220"/>
              <w:jc w:val="left"/>
            </w:pPr>
            <w:r>
              <w:rPr>
                <w:b/>
                <w:sz w:val="18"/>
              </w:rPr>
              <w:t xml:space="preserve">What it does</w:t>
            </w:r>
          </w:p>
        </w:tc>
        <w:tc>
          <w:tcPr>
            <w:tcW w:w="1320" w:type="dxa"/>
            <w:tcBorders>
              <w:bottom w:val="single" w:sz="5" w:space="0" w:color="000000"/>
            </w:tcBorders>
          </w:tcPr>
          <w:p>
            <w:pPr>
              <w:pStyle w:val="Compact"/>
              <w:keepNext/>
              <w:spacing w:before="0" w:after="0" w:lineRule="exact" w:line="220"/>
              <w:jc w:val="left"/>
            </w:pPr>
            <w:r>
              <w:rPr>
                <w:b/>
                <w:sz w:val="18"/>
              </w:rPr>
              <w:t xml:space="preserve">What it acts on</w:t>
            </w:r>
          </w:p>
        </w:tc>
        <w:tc>
          <w:tcPr>
            <w:tcW w:w="940" w:type="dxa"/>
            <w:tcBorders>
              <w:bottom w:val="single" w:sz="5" w:space="0" w:color="000000"/>
            </w:tcBorders>
          </w:tcPr>
          <w:p>
            <w:pPr>
              <w:pStyle w:val="Compact"/>
              <w:keepNext/>
              <w:spacing w:before="0" w:after="0" w:lineRule="exact" w:line="220"/>
              <w:jc w:val="left"/>
            </w:pPr>
            <w:r>
              <w:rPr>
                <w:b/>
                <w:sz w:val="18"/>
              </w:rPr>
              <w:t xml:space="preserve">Measured in</w:t>
            </w:r>
          </w:p>
        </w:tc>
        <w:tc>
          <w:tcPr>
            <w:tcW w:w="2280" w:type="dxa"/>
            <w:tcBorders>
              <w:bottom w:val="single" w:sz="5" w:space="0" w:color="000000"/>
            </w:tcBorders>
          </w:tcPr>
          <w:p>
            <w:pPr>
              <w:pStyle w:val="Compact"/>
              <w:keepNext/>
              <w:spacing w:before="0" w:after="0" w:lineRule="exact" w:line="220"/>
              <w:jc w:val="left"/>
            </w:pPr>
            <w:r>
              <w:rPr>
                <w:b/>
                <w:sz w:val="18"/>
              </w:rPr>
              <w:t xml:space="preserve">Status of the text</w:t>
            </w:r>
          </w:p>
        </w:tc>
      </w:tr>
      <w:tr>
        <w:trPr>
          <w:cantSplit/>
        </w:trPr>
        <w:tc>
          <w:tcPr>
            <w:tcW w:w="1683" w:type="dxa"/>
          </w:tcPr>
          <w:p>
            <w:pPr>
              <w:pStyle w:val="Compact"/>
              <w:keepNext/>
              <w:spacing w:before="0" w:after="0" w:lineRule="exact" w:line="220"/>
              <w:jc w:val="left"/>
            </w:pPr>
            <w:r>
              <w:rPr>
                <w:sz w:val="18"/>
              </w:rPr>
              <w:t xml:space="preserve">Commission cap (Transport Minister Decree KP-PHB 532/2026; Presidential Regulation 27/2026)</w:t>
            </w:r>
          </w:p>
        </w:tc>
        <w:tc>
          <w:tcPr>
            <w:tcW w:w="2280" w:type="dxa"/>
          </w:tcPr>
          <w:p>
            <w:pPr>
              <w:pStyle w:val="Compact"/>
              <w:keepNext/>
              <w:spacing w:before="0" w:after="0" w:lineRule="exact" w:line="220"/>
              <w:jc w:val="left"/>
            </w:pPr>
            <w:r>
              <w:rPr>
                <w:sz w:val="18"/>
              </w:rPr>
              <w:t xml:space="preserve">Caps the commission on two-wheel passenger trips at 8 percent from 1 July 2026</w:t>
            </w:r>
          </w:p>
        </w:tc>
        <w:tc>
          <w:tcPr>
            <w:tcW w:w="1320" w:type="dxa"/>
          </w:tcPr>
          <w:p>
            <w:pPr>
              <w:pStyle w:val="Compact"/>
              <w:keepNext/>
              <w:spacing w:before="0" w:after="0" w:lineRule="exact" w:line="220"/>
              <w:jc w:val="left"/>
            </w:pPr>
            <w:r>
              <w:rPr>
                <w:sz w:val="18"/>
              </w:rPr>
              <w:t xml:space="preserve">The fee rate, for one service</w:t>
            </w:r>
          </w:p>
        </w:tc>
        <w:tc>
          <w:tcPr>
            <w:tcW w:w="940" w:type="dxa"/>
          </w:tcPr>
          <w:p>
            <w:pPr>
              <w:pStyle w:val="Compact"/>
              <w:keepNext/>
              <w:spacing w:before="0" w:after="0" w:lineRule="exact" w:line="220"/>
              <w:jc w:val="left"/>
            </w:pPr>
            <w:r>
              <w:rPr>
                <w:sz w:val="18"/>
              </w:rPr>
              <w:t xml:space="preserve">5.3</w:t>
            </w:r>
          </w:p>
        </w:tc>
        <w:tc>
          <w:tcPr>
            <w:tcW w:w="2280" w:type="dxa"/>
          </w:tcPr>
          <w:p>
            <w:pPr>
              <w:pStyle w:val="Compact"/>
              <w:keepNext/>
              <w:spacing w:before="0" w:after="0" w:lineRule="exact" w:line="220"/>
              <w:jc w:val="left"/>
            </w:pPr>
            <w:r>
              <w:rPr>
                <w:sz w:val="18"/>
              </w:rPr>
              <w:t xml:space="preserve">Decree in force from July 2026; presidential regulation released 8 October 2026; neither text public when this thesis was written</w:t>
            </w:r>
          </w:p>
        </w:tc>
      </w:tr>
      <w:tr>
        <w:trPr>
          <w:cantSplit/>
        </w:trPr>
        <w:tc>
          <w:tcPr>
            <w:tcW w:w="1683" w:type="dxa"/>
          </w:tcPr>
          <w:p>
            <w:pPr>
              <w:pStyle w:val="Compact"/>
              <w:keepNext/>
              <w:spacing w:before="0" w:after="0" w:lineRule="exact" w:line="220"/>
              <w:jc w:val="left"/>
            </w:pPr>
            <w:r>
              <w:rPr>
                <w:sz w:val="18"/>
              </w:rPr>
              <w:t xml:space="preserve">Discount rule (Trade Minister Regulation 19/2026, Art. 18)</w:t>
            </w:r>
          </w:p>
        </w:tc>
        <w:tc>
          <w:tcPr>
            <w:tcW w:w="2280" w:type="dxa"/>
          </w:tcPr>
          <w:p>
            <w:pPr>
              <w:pStyle w:val="Compact"/>
              <w:keepNext/>
              <w:spacing w:before="0" w:after="0" w:lineRule="exact" w:line="220"/>
              <w:jc w:val="left"/>
            </w:pPr>
            <w:r>
              <w:rPr>
                <w:sz w:val="18"/>
              </w:rPr>
              <w:t xml:space="preserve">Requires every online trade operator, including ride-hailing apps that sell goods, to prevent repeated price subsidies that hurt local products and endless below-cost discounts</w:t>
            </w:r>
          </w:p>
        </w:tc>
        <w:tc>
          <w:tcPr>
            <w:tcW w:w="1320" w:type="dxa"/>
          </w:tcPr>
          <w:p>
            <w:pPr>
              <w:pStyle w:val="Compact"/>
              <w:keepNext/>
              <w:spacing w:before="0" w:after="0" w:lineRule="exact" w:line="220"/>
              <w:jc w:val="left"/>
            </w:pPr>
            <w:r>
              <w:rPr>
                <w:sz w:val="18"/>
              </w:rPr>
              <w:t xml:space="preserve">The incentive rate</w:t>
            </w:r>
          </w:p>
        </w:tc>
        <w:tc>
          <w:tcPr>
            <w:tcW w:w="940" w:type="dxa"/>
          </w:tcPr>
          <w:p>
            <w:pPr>
              <w:pStyle w:val="Compact"/>
              <w:keepNext/>
              <w:spacing w:before="0" w:after="0" w:lineRule="exact" w:line="220"/>
              <w:jc w:val="left"/>
            </w:pPr>
            <w:r>
              <w:rPr>
                <w:sz w:val="18"/>
              </w:rPr>
              <w:t xml:space="preserve">5.3</w:t>
            </w:r>
          </w:p>
        </w:tc>
        <w:tc>
          <w:tcPr>
            <w:tcW w:w="2280" w:type="dxa"/>
          </w:tcPr>
          <w:p>
            <w:pPr>
              <w:pStyle w:val="Compact"/>
              <w:keepNext/>
              <w:spacing w:before="0" w:after="0" w:lineRule="exact" w:line="220"/>
              <w:jc w:val="left"/>
            </w:pPr>
            <w:r>
              <w:rPr>
                <w:sz w:val="18"/>
              </w:rPr>
              <w:t xml:space="preserve">Primary text read</w:t>
            </w:r>
          </w:p>
        </w:tc>
      </w:tr>
      <w:tr>
        <w:trPr>
          <w:cantSplit/>
        </w:trPr>
        <w:tc>
          <w:tcPr>
            <w:tcW w:w="1683" w:type="dxa"/>
          </w:tcPr>
          <w:p>
            <w:pPr>
              <w:pStyle w:val="Compact"/>
              <w:keepNext/>
              <w:spacing w:before="0" w:after="0" w:lineRule="exact" w:line="220"/>
              <w:jc w:val="left"/>
            </w:pPr>
            <w:r>
              <w:rPr>
                <w:sz w:val="18"/>
              </w:rPr>
              <w:t xml:space="preserve">Marketplace tax (Finance Minister Regulation 37/2025)</w:t>
            </w:r>
          </w:p>
        </w:tc>
        <w:tc>
          <w:tcPr>
            <w:tcW w:w="2280" w:type="dxa"/>
          </w:tcPr>
          <w:p>
            <w:pPr>
              <w:pStyle w:val="Compact"/>
              <w:keepNext/>
              <w:spacing w:before="0" w:after="0" w:lineRule="exact" w:line="220"/>
              <w:jc w:val="left"/>
            </w:pPr>
            <w:r>
              <w:rPr>
                <w:sz w:val="18"/>
              </w:rPr>
              <w:t xml:space="preserve">Designated marketplaces collect 0.5 percent of domestic sellers’ gross sales; individuals with sales up to Rp500 million a year are exempt; every seller gives a tax number or national identity number</w:t>
            </w:r>
          </w:p>
        </w:tc>
        <w:tc>
          <w:tcPr>
            <w:tcW w:w="1320" w:type="dxa"/>
          </w:tcPr>
          <w:p>
            <w:pPr>
              <w:pStyle w:val="Compact"/>
              <w:keepNext/>
              <w:spacing w:before="0" w:after="0" w:lineRule="exact" w:line="220"/>
              <w:jc w:val="left"/>
            </w:pPr>
            <w:r>
              <w:rPr>
                <w:sz w:val="18"/>
              </w:rPr>
              <w:t xml:space="preserve">Sellers’ sales inside marketplaces</w:t>
            </w:r>
          </w:p>
        </w:tc>
        <w:tc>
          <w:tcPr>
            <w:tcW w:w="940" w:type="dxa"/>
          </w:tcPr>
          <w:p>
            <w:pPr>
              <w:pStyle w:val="Compact"/>
              <w:keepNext/>
              <w:spacing w:before="0" w:after="0" w:lineRule="exact" w:line="220"/>
              <w:jc w:val="left"/>
            </w:pPr>
            <w:r>
              <w:rPr>
                <w:sz w:val="18"/>
              </w:rPr>
              <w:t xml:space="preserve">5.9</w:t>
            </w:r>
          </w:p>
        </w:tc>
        <w:tc>
          <w:tcPr>
            <w:tcW w:w="2280" w:type="dxa"/>
          </w:tcPr>
          <w:p>
            <w:pPr>
              <w:pStyle w:val="Compact"/>
              <w:keepNext/>
              <w:spacing w:before="0" w:after="0" w:lineRule="exact" w:line="220"/>
              <w:jc w:val="left"/>
            </w:pPr>
            <w:r>
              <w:rPr>
                <w:sz w:val="18"/>
              </w:rPr>
              <w:t xml:space="preserve">Primary text read; collected by Shopee, Tokopedia, Lazada and Blibli since 1 October 2026</w:t>
            </w:r>
          </w:p>
        </w:tc>
      </w:tr>
      <w:tr>
        <w:trPr>
          <w:cantSplit/>
        </w:trPr>
        <w:tc>
          <w:tcPr>
            <w:tcW w:w="1683" w:type="dxa"/>
          </w:tcPr>
          <w:p>
            <w:pPr>
              <w:pStyle w:val="Compact"/>
              <w:keepNext/>
              <w:spacing w:before="0" w:after="0" w:lineRule="exact" w:line="220"/>
              <w:jc w:val="left"/>
            </w:pPr>
            <w:r>
              <w:rPr>
                <w:sz w:val="18"/>
              </w:rPr>
              <w:t xml:space="preserve">Small-business final tax (Government Regulation 20/2026)</w:t>
            </w:r>
          </w:p>
        </w:tc>
        <w:tc>
          <w:tcPr>
            <w:tcW w:w="2280" w:type="dxa"/>
          </w:tcPr>
          <w:p>
            <w:pPr>
              <w:pStyle w:val="Compact"/>
              <w:keepNext/>
              <w:spacing w:before="0" w:after="0" w:lineRule="exact" w:line="220"/>
              <w:jc w:val="left"/>
            </w:pPr>
            <w:r>
              <w:rPr>
                <w:sz w:val="18"/>
              </w:rPr>
              <w:t xml:space="preserve">Keeps a 0.5 percent final tax on turnover up to Rp4.8 billion a year; excludes content creators</w:t>
            </w:r>
          </w:p>
        </w:tc>
        <w:tc>
          <w:tcPr>
            <w:tcW w:w="1320" w:type="dxa"/>
          </w:tcPr>
          <w:p>
            <w:pPr>
              <w:pStyle w:val="Compact"/>
              <w:keepNext/>
              <w:spacing w:before="0" w:after="0" w:lineRule="exact" w:line="220"/>
              <w:jc w:val="left"/>
            </w:pPr>
            <w:r>
              <w:rPr>
                <w:sz w:val="18"/>
              </w:rPr>
              <w:t xml:space="preserve">Small sellers in every channel</w:t>
            </w:r>
          </w:p>
        </w:tc>
        <w:tc>
          <w:tcPr>
            <w:tcW w:w="940" w:type="dxa"/>
          </w:tcPr>
          <w:p>
            <w:pPr>
              <w:pStyle w:val="Compact"/>
              <w:keepNext/>
              <w:spacing w:before="0" w:after="0" w:lineRule="exact" w:line="220"/>
              <w:jc w:val="left"/>
            </w:pPr>
            <w:r>
              <w:rPr>
                <w:sz w:val="18"/>
              </w:rPr>
              <w:t xml:space="preserve">Not measured</w:t>
            </w:r>
          </w:p>
        </w:tc>
        <w:tc>
          <w:tcPr>
            <w:tcW w:w="2280" w:type="dxa"/>
          </w:tcPr>
          <w:p>
            <w:pPr>
              <w:pStyle w:val="Compact"/>
              <w:keepNext/>
              <w:spacing w:before="0" w:after="0" w:lineRule="exact" w:line="220"/>
              <w:jc w:val="left"/>
            </w:pPr>
            <w:r>
              <w:rPr>
                <w:sz w:val="18"/>
              </w:rPr>
              <w:t xml:space="preserve">Primary text read</w:t>
            </w:r>
          </w:p>
        </w:tc>
      </w:tr>
      <w:tr>
        <w:trPr>
          <w:cantSplit/>
        </w:trPr>
        <w:tc>
          <w:tcPr>
            <w:tcW w:w="1683" w:type="dxa"/>
          </w:tcPr>
          <w:p>
            <w:pPr>
              <w:pStyle w:val="Compact"/>
              <w:keepNext/>
              <w:spacing w:before="0" w:after="0" w:lineRule="exact" w:line="220"/>
              <w:jc w:val="left"/>
            </w:pPr>
            <w:r>
              <w:rPr>
                <w:sz w:val="18"/>
              </w:rPr>
              <w:t xml:space="preserve">Platform data to BPS (BPS Regulation 4/2023)</w:t>
            </w:r>
          </w:p>
        </w:tc>
        <w:tc>
          <w:tcPr>
            <w:tcW w:w="2280" w:type="dxa"/>
          </w:tcPr>
          <w:p>
            <w:pPr>
              <w:pStyle w:val="Compact"/>
              <w:keepNext/>
              <w:spacing w:before="0" w:after="0" w:lineRule="exact" w:line="220"/>
              <w:jc w:val="left"/>
            </w:pPr>
            <w:r>
              <w:rPr>
                <w:sz w:val="18"/>
              </w:rPr>
              <w:t xml:space="preserve">E-commerce operators must send BPS their revenue, transactions and numbers of sellers and buyers, with sanctions</w:t>
            </w:r>
          </w:p>
        </w:tc>
        <w:tc>
          <w:tcPr>
            <w:tcW w:w="1320" w:type="dxa"/>
          </w:tcPr>
          <w:p>
            <w:pPr>
              <w:pStyle w:val="Compact"/>
              <w:keepNext/>
              <w:spacing w:before="0" w:after="0" w:lineRule="exact" w:line="220"/>
              <w:jc w:val="left"/>
            </w:pPr>
            <w:r>
              <w:rPr>
                <w:sz w:val="18"/>
              </w:rPr>
              <w:t xml:space="preserve">BPS’s coverage</w:t>
            </w:r>
          </w:p>
        </w:tc>
        <w:tc>
          <w:tcPr>
            <w:tcW w:w="940" w:type="dxa"/>
          </w:tcPr>
          <w:p>
            <w:pPr>
              <w:pStyle w:val="Compact"/>
              <w:keepNext/>
              <w:spacing w:before="0" w:after="0" w:lineRule="exact" w:line="220"/>
              <w:jc w:val="left"/>
            </w:pPr>
            <w:r>
              <w:rPr>
                <w:sz w:val="18"/>
              </w:rPr>
              <w:t xml:space="preserve">5.10</w:t>
            </w:r>
          </w:p>
        </w:tc>
        <w:tc>
          <w:tcPr>
            <w:tcW w:w="2280" w:type="dxa"/>
          </w:tcPr>
          <w:p>
            <w:pPr>
              <w:pStyle w:val="Compact"/>
              <w:keepNext/>
              <w:spacing w:before="0" w:after="0" w:lineRule="exact" w:line="220"/>
              <w:jc w:val="left"/>
            </w:pPr>
            <w:r>
              <w:rPr>
                <w:sz w:val="18"/>
              </w:rPr>
              <w:t xml:space="preserve">Primary text read</w:t>
            </w:r>
          </w:p>
        </w:tc>
      </w:tr>
      <w:tr>
        <w:trPr>
          <w:cantSplit/>
        </w:trPr>
        <w:tc>
          <w:tcPr>
            <w:tcW w:w="1683" w:type="dxa"/>
          </w:tcPr>
          <w:p>
            <w:pPr>
              <w:pStyle w:val="Compact"/>
              <w:keepNext/>
              <w:spacing w:before="0" w:after="0" w:lineRule="exact" w:line="220"/>
              <w:jc w:val="left"/>
            </w:pPr>
            <w:r>
              <w:rPr>
                <w:sz w:val="18"/>
              </w:rPr>
              <w:t xml:space="preserve">Economic census 2026</w:t>
            </w:r>
          </w:p>
        </w:tc>
        <w:tc>
          <w:tcPr>
            <w:tcW w:w="2280" w:type="dxa"/>
          </w:tcPr>
          <w:p>
            <w:pPr>
              <w:pStyle w:val="Compact"/>
              <w:keepNext/>
              <w:spacing w:before="0" w:after="0" w:lineRule="exact" w:line="220"/>
              <w:jc w:val="left"/>
            </w:pPr>
            <w:r>
              <w:rPr>
                <w:sz w:val="18"/>
              </w:rPr>
              <w:t xml:space="preserve">Door-to-door count of all businesses, including online selling, affiliates and influencers</w:t>
            </w:r>
          </w:p>
        </w:tc>
        <w:tc>
          <w:tcPr>
            <w:tcW w:w="1320" w:type="dxa"/>
          </w:tcPr>
          <w:p>
            <w:pPr>
              <w:pStyle w:val="Compact"/>
              <w:keepNext/>
              <w:spacing w:before="0" w:after="0" w:lineRule="exact" w:line="220"/>
              <w:jc w:val="left"/>
            </w:pPr>
            <w:r>
              <w:rPr>
                <w:sz w:val="18"/>
              </w:rPr>
              <w:t xml:space="preserve">BPS’s sampling frame</w:t>
            </w:r>
          </w:p>
        </w:tc>
        <w:tc>
          <w:tcPr>
            <w:tcW w:w="940" w:type="dxa"/>
          </w:tcPr>
          <w:p>
            <w:pPr>
              <w:pStyle w:val="Compact"/>
              <w:keepNext/>
              <w:spacing w:before="0" w:after="0" w:lineRule="exact" w:line="220"/>
              <w:jc w:val="left"/>
            </w:pPr>
            <w:r>
              <w:rPr>
                <w:sz w:val="18"/>
              </w:rPr>
              <w:t xml:space="preserve">5.7</w:t>
            </w:r>
          </w:p>
        </w:tc>
        <w:tc>
          <w:tcPr>
            <w:tcW w:w="2280" w:type="dxa"/>
          </w:tcPr>
          <w:p>
            <w:pPr>
              <w:pStyle w:val="Compact"/>
              <w:keepNext/>
              <w:spacing w:before="0" w:after="0" w:lineRule="exact" w:line="220"/>
              <w:jc w:val="left"/>
            </w:pPr>
            <w:r>
              <w:rPr>
                <w:sz w:val="18"/>
              </w:rPr>
              <w:t xml:space="preserve">News reports; results not yet released</w:t>
            </w:r>
          </w:p>
        </w:tc>
      </w:tr>
      <w:tr>
        <w:trPr>
          <w:cantSplit/>
        </w:trPr>
        <w:tc>
          <w:tcPr>
            <w:tcW w:w="1683" w:type="dxa"/>
          </w:tcPr>
          <w:p>
            <w:pPr>
              <w:pStyle w:val="Compact"/>
              <w:spacing w:before="0" w:after="0" w:lineRule="exact" w:line="220"/>
              <w:jc w:val="left"/>
            </w:pPr>
            <w:r>
              <w:rPr>
                <w:sz w:val="18"/>
              </w:rPr>
              <w:t xml:space="preserve">Ban on payments on social media (Trade Minister Regulation 31/2023, carried into Regulation 19/2026)</w:t>
            </w:r>
          </w:p>
        </w:tc>
        <w:tc>
          <w:tcPr>
            <w:tcW w:w="2280" w:type="dxa"/>
          </w:tcPr>
          <w:p>
            <w:pPr>
              <w:pStyle w:val="Compact"/>
              <w:spacing w:before="0" w:after="0" w:lineRule="exact" w:line="220"/>
              <w:jc w:val="left"/>
            </w:pPr>
            <w:r>
              <w:rPr>
                <w:sz w:val="18"/>
              </w:rPr>
              <w:t xml:space="preserve">Bars social media platforms from handling payments for sales</w:t>
            </w:r>
          </w:p>
        </w:tc>
        <w:tc>
          <w:tcPr>
            <w:tcW w:w="1320" w:type="dxa"/>
          </w:tcPr>
          <w:p>
            <w:pPr>
              <w:pStyle w:val="Compact"/>
              <w:spacing w:before="0" w:after="0" w:lineRule="exact" w:line="220"/>
              <w:jc w:val="left"/>
            </w:pPr>
            <w:r>
              <w:rPr>
                <w:sz w:val="18"/>
              </w:rPr>
              <w:t xml:space="preserve">Where online sales are paid</w:t>
            </w:r>
          </w:p>
        </w:tc>
        <w:tc>
          <w:tcPr>
            <w:tcW w:w="940" w:type="dxa"/>
          </w:tcPr>
          <w:p>
            <w:pPr>
              <w:pStyle w:val="Compact"/>
              <w:spacing w:before="0" w:after="0" w:lineRule="exact" w:line="220"/>
              <w:jc w:val="left"/>
            </w:pPr>
            <w:r>
              <w:rPr>
                <w:sz w:val="18"/>
              </w:rPr>
              <w:t xml:space="preserve">5.9</w:t>
            </w:r>
          </w:p>
        </w:tc>
        <w:tc>
          <w:tcPr>
            <w:tcW w:w="2280" w:type="dxa"/>
          </w:tcPr>
          <w:p>
            <w:pPr>
              <w:pStyle w:val="Compact"/>
              <w:spacing w:before="0" w:after="0" w:lineRule="exact" w:line="220"/>
              <w:jc w:val="left"/>
            </w:pPr>
            <w:r>
              <w:rPr>
                <w:sz w:val="18"/>
              </w:rPr>
              <w:t xml:space="preserve">Primary text read</w:t>
            </w:r>
          </w:p>
        </w:tc>
      </w:tr>
    </w:tbl>
    <w:p>
      <w:pPr>
        <w:pStyle w:val="TableNote"/>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(5)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1, from the take rate outward.</w:t>
      </w:r>
    </w:p>
    <w:bookmarkEnd w:id="77"/>
    <w:bookmarkStart w:id="78"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Drivers asked for the cap,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Appendix B.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8"/>
    <w:bookmarkStart w:id="79"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identity number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matters more for the record it creates than for the revenue it raises. Whether sellers move away from the four marketplaces now that collection has started will be known only from later data.</w:t>
      </w:r>
    </w:p>
    <w:bookmarkEnd w:id="79"/>
    <w:bookmarkStart w:id="80" w:name="what-the-statistics-rules-can-change"/>
    <w:p>
      <w:pPr>
        <w:pStyle w:val="Heading2"/>
      </w:pPr>
      <w:r>
        <w:t xml:space="preserve">6.4 What the statistics rules can change</w:t>
      </w:r>
    </w:p>
    <w:p>
      <w:pPr>
        <w:pStyle w:val="FirstParagraph"/>
      </w:pPr>
      <w:r>
        <w:t xml:space="preserve">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0"/>
    <w:bookmarkStart w:id="81"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7 lists them with the date each is scored.</w:t>
      </w:r>
    </w:p>
    <w:p>
      <w:pPr>
        <w:pStyle w:val="TableCaption"/>
        <w:keepNext/>
      </w:pPr>
      <w:r>
        <w:rPr>
          <w:b/>
        </w:rPr>
        <w:t>Table 7.</w:t>
      </w:r>
      <w:r>
        <w:rPr>
          <w:b w:val="0"/>
        </w:rPr>
        <w:t xml:space="preserve"> Registered predictions on the 2026 rules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225"/>
        <w:gridCol w:w="3688"/>
        <w:gridCol w:w="2271"/>
        <w:gridCol w:w="1320"/>
      </w:tblGrid>
      <w:tr>
        <w:trPr>
          <w:tblHeader w:val="true"/>
          <w:cantSplit/>
          <w:tblHeader/>
        </w:trPr>
        <w:tc>
          <w:tcPr>
            <w:tcW w:w="1225" w:type="dxa"/>
            <w:tcBorders>
              <w:bottom w:val="single" w:sz="5" w:space="0" w:color="000000"/>
            </w:tcBorders>
          </w:tcPr>
          <w:p>
            <w:pPr>
              <w:pStyle w:val="Compact"/>
              <w:keepNext/>
              <w:spacing w:before="0" w:after="0" w:lineRule="exact" w:line="220"/>
              <w:jc w:val="left"/>
            </w:pPr>
            <w:r>
              <w:rPr>
                <w:b/>
                <w:sz w:val="18"/>
              </w:rPr>
              <w:t xml:space="preserve">Prediction</w:t>
            </w:r>
          </w:p>
        </w:tc>
        <w:tc>
          <w:tcPr>
            <w:tcW w:w="3688" w:type="dxa"/>
            <w:tcBorders>
              <w:bottom w:val="single" w:sz="5" w:space="0" w:color="000000"/>
            </w:tcBorders>
          </w:tcPr>
          <w:p>
            <w:pPr>
              <w:pStyle w:val="Compact"/>
              <w:keepNext/>
              <w:spacing w:before="0" w:after="0" w:lineRule="exact" w:line="220"/>
              <w:jc w:val="left"/>
            </w:pPr>
            <w:r>
              <w:rPr>
                <w:b/>
                <w:sz w:val="18"/>
              </w:rPr>
              <w:t xml:space="preserve">What it expects</w:t>
            </w:r>
          </w:p>
        </w:tc>
        <w:tc>
          <w:tcPr>
            <w:tcW w:w="2271" w:type="dxa"/>
            <w:tcBorders>
              <w:bottom w:val="single" w:sz="5" w:space="0" w:color="000000"/>
            </w:tcBorders>
          </w:tcPr>
          <w:p>
            <w:pPr>
              <w:pStyle w:val="Compact"/>
              <w:keepNext/>
              <w:spacing w:before="0" w:after="0" w:lineRule="exact" w:line="220"/>
              <w:jc w:val="left"/>
            </w:pPr>
            <w:r>
              <w:rPr>
                <w:b/>
                <w:sz w:val="18"/>
              </w:rPr>
              <w:t xml:space="preserve">Bears on</w:t>
            </w:r>
          </w:p>
        </w:tc>
        <w:tc>
          <w:tcPr>
            <w:tcW w:w="1320" w:type="dxa"/>
            <w:tcBorders>
              <w:bottom w:val="single" w:sz="5" w:space="0" w:color="000000"/>
            </w:tcBorders>
          </w:tcPr>
          <w:p>
            <w:pPr>
              <w:pStyle w:val="Compact"/>
              <w:keepNext/>
              <w:spacing w:before="0" w:after="0" w:lineRule="exact" w:line="220"/>
              <w:jc w:val="left"/>
            </w:pPr>
            <w:r>
              <w:rPr>
                <w:b/>
                <w:sz w:val="18"/>
              </w:rPr>
              <w:t xml:space="preserve">Scored</w:t>
            </w:r>
          </w:p>
        </w:tc>
      </w:tr>
      <w:tr>
        <w:trPr>
          <w:cantSplit/>
        </w:trPr>
        <w:tc>
          <w:tcPr>
            <w:tcW w:w="1225" w:type="dxa"/>
          </w:tcPr>
          <w:p>
            <w:pPr>
              <w:pStyle w:val="Compact"/>
              <w:keepNext/>
              <w:spacing w:before="0" w:after="0" w:lineRule="exact" w:line="220"/>
              <w:jc w:val="left"/>
            </w:pPr>
            <w:r>
              <w:rPr>
                <w:sz w:val="18"/>
              </w:rPr>
              <w:t xml:space="preserve">P1</w:t>
            </w:r>
          </w:p>
        </w:tc>
        <w:tc>
          <w:tcPr>
            <w:tcW w:w="3688" w:type="dxa"/>
          </w:tcPr>
          <w:p>
            <w:pPr>
              <w:pStyle w:val="Compact"/>
              <w:keepNext/>
              <w:spacing w:before="0" w:after="0" w:lineRule="exact" w:line="220"/>
              <w:jc w:val="left"/>
            </w:pPr>
            <w:r>
              <w:rPr>
                <w:sz w:val="18"/>
              </w:rPr>
              <w:t xml:space="preserve">GoTo’s on-demand take rate falls by 0.3 to 2.5 points from the second quarter of 2026</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P3</w:t>
            </w:r>
          </w:p>
        </w:tc>
        <w:tc>
          <w:tcPr>
            <w:tcW w:w="3688" w:type="dxa"/>
          </w:tcPr>
          <w:p>
            <w:pPr>
              <w:pStyle w:val="Compact"/>
              <w:keepNext/>
              <w:spacing w:before="0" w:after="0" w:lineRule="exact" w:line="220"/>
              <w:jc w:val="left"/>
            </w:pPr>
            <w:r>
              <w:rPr>
                <w:sz w:val="18"/>
              </w:rPr>
              <w:t xml:space="preserve">GoTo’s on-demand transaction value grows by 0 to 12 percent on a year earlier</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P5</w:t>
            </w:r>
          </w:p>
        </w:tc>
        <w:tc>
          <w:tcPr>
            <w:tcW w:w="3688" w:type="dxa"/>
          </w:tcPr>
          <w:p>
            <w:pPr>
              <w:pStyle w:val="Compact"/>
              <w:keepNext/>
              <w:spacing w:before="0" w:after="0" w:lineRule="exact" w:line="220"/>
              <w:jc w:val="left"/>
            </w:pPr>
            <w:r>
              <w:rPr>
                <w:sz w:val="18"/>
              </w:rPr>
              <w:t xml:space="preserve">GoTo’s on-demand transaction value grows by at least 5 percent; the prediction fails only below 2 percent</w:t>
            </w:r>
          </w:p>
        </w:tc>
        <w:tc>
          <w:tcPr>
            <w:tcW w:w="2271" w:type="dxa"/>
          </w:tcPr>
          <w:p>
            <w:pPr>
              <w:pStyle w:val="Compact"/>
              <w:keepNext/>
              <w:spacing w:before="0" w:after="0" w:lineRule="exact" w:line="220"/>
              <w:jc w:val="left"/>
            </w:pPr>
            <w:r>
              <w:rPr>
                <w:sz w:val="18"/>
              </w:rPr>
              <w:t xml:space="preserve">Commission cap, with spending on growth</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R1</w:t>
            </w:r>
          </w:p>
        </w:tc>
        <w:tc>
          <w:tcPr>
            <w:tcW w:w="3688" w:type="dxa"/>
          </w:tcPr>
          <w:p>
            <w:pPr>
              <w:pStyle w:val="Compact"/>
              <w:keepNext/>
              <w:spacing w:before="0" w:after="0" w:lineRule="exact" w:line="220"/>
              <w:jc w:val="left"/>
            </w:pPr>
            <w:r>
              <w:rPr>
                <w:sz w:val="18"/>
              </w:rPr>
              <w:t xml:space="preserve">GoTo’s on-demand revenue growth less transaction value growth lies between −0.5 and +12.5 points; it follows from P1 and P3</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R2</w:t>
            </w:r>
          </w:p>
        </w:tc>
        <w:tc>
          <w:tcPr>
            <w:tcW w:w="3688" w:type="dxa"/>
          </w:tcPr>
          <w:p>
            <w:pPr>
              <w:pStyle w:val="Compact"/>
              <w:keepNext/>
              <w:spacing w:before="0" w:after="0" w:lineRule="exact" w:line="220"/>
              <w:jc w:val="left"/>
            </w:pPr>
            <w:r>
              <w:rPr>
                <w:sz w:val="18"/>
              </w:rPr>
              <w:t xml:space="preserve">GoTo’s on-demand transaction value grows more slowly than household spending</w:t>
            </w:r>
          </w:p>
        </w:tc>
        <w:tc>
          <w:tcPr>
            <w:tcW w:w="2271" w:type="dxa"/>
          </w:tcPr>
          <w:p>
            <w:pPr>
              <w:pStyle w:val="Compact"/>
              <w:keepNext/>
              <w:spacing w:before="0" w:after="0" w:lineRule="exact" w:line="220"/>
              <w:jc w:val="left"/>
            </w:pPr>
            <w:r>
              <w:rPr>
                <w:sz w:val="18"/>
              </w:rPr>
              <w:t xml:space="preserve">Buying through platforms</w:t>
            </w:r>
          </w:p>
        </w:tc>
        <w:tc>
          <w:tcPr>
            <w:tcW w:w="1320" w:type="dxa"/>
          </w:tcPr>
          <w:p>
            <w:pPr>
              <w:pStyle w:val="Compact"/>
              <w:keepNext/>
              <w:spacing w:before="0" w:after="0" w:lineRule="exact" w:line="220"/>
              <w:jc w:val="left"/>
            </w:pPr>
            <w:r>
              <w:rPr>
                <w:sz w:val="18"/>
              </w:rPr>
              <w:t xml:space="preserve">Early November 2026</w:t>
            </w:r>
          </w:p>
        </w:tc>
      </w:tr>
      <w:tr>
        <w:trPr>
          <w:cantSplit/>
        </w:trPr>
        <w:tc>
          <w:tcPr>
            <w:tcW w:w="1225" w:type="dxa"/>
          </w:tcPr>
          <w:p>
            <w:pPr>
              <w:pStyle w:val="Compact"/>
              <w:keepNext/>
              <w:spacing w:before="0" w:after="0" w:lineRule="exact" w:line="220"/>
              <w:jc w:val="left"/>
            </w:pPr>
            <w:r>
              <w:rPr>
                <w:sz w:val="18"/>
              </w:rPr>
              <w:t xml:space="preserve">P2</w:t>
            </w:r>
          </w:p>
        </w:tc>
        <w:tc>
          <w:tcPr>
            <w:tcW w:w="3688" w:type="dxa"/>
          </w:tcPr>
          <w:p>
            <w:pPr>
              <w:pStyle w:val="Compact"/>
              <w:keepNext/>
              <w:spacing w:before="0" w:after="0" w:lineRule="exact" w:line="220"/>
              <w:jc w:val="left"/>
            </w:pPr>
            <w:r>
              <w:rPr>
                <w:sz w:val="18"/>
              </w:rPr>
              <w:t xml:space="preserve">Grab’s on-demand take rate stays within −0.6 to +0.4 points of the second quarter</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Mid-November 2026</w:t>
            </w:r>
          </w:p>
        </w:tc>
      </w:tr>
      <w:tr>
        <w:trPr>
          <w:cantSplit/>
        </w:trPr>
        <w:tc>
          <w:tcPr>
            <w:tcW w:w="1225" w:type="dxa"/>
          </w:tcPr>
          <w:p>
            <w:pPr>
              <w:pStyle w:val="Compact"/>
              <w:keepNext/>
              <w:spacing w:before="0" w:after="0" w:lineRule="exact" w:line="220"/>
              <w:jc w:val="left"/>
            </w:pPr>
            <w:r>
              <w:rPr>
                <w:sz w:val="18"/>
              </w:rPr>
              <w:t xml:space="preserve">P4</w:t>
            </w:r>
          </w:p>
        </w:tc>
        <w:tc>
          <w:tcPr>
            <w:tcW w:w="3688" w:type="dxa"/>
          </w:tcPr>
          <w:p>
            <w:pPr>
              <w:pStyle w:val="Compact"/>
              <w:keepNext/>
              <w:spacing w:before="0" w:after="0" w:lineRule="exact" w:line="220"/>
              <w:jc w:val="left"/>
            </w:pPr>
            <w:r>
              <w:rPr>
                <w:sz w:val="18"/>
              </w:rPr>
              <w:t xml:space="preserve">Grab’s change in the rides take rate, less its change in the deliveries take rate, is at most +0.3 points</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Mid-November 2026</w:t>
            </w:r>
          </w:p>
        </w:tc>
      </w:tr>
      <w:tr>
        <w:trPr>
          <w:cantSplit/>
        </w:trPr>
        <w:tc>
          <w:tcPr>
            <w:tcW w:w="1225" w:type="dxa"/>
          </w:tcPr>
          <w:p>
            <w:pPr>
              <w:pStyle w:val="Compact"/>
              <w:keepNext/>
              <w:spacing w:before="0" w:after="0" w:lineRule="exact" w:line="220"/>
              <w:jc w:val="left"/>
            </w:pPr>
            <w:r>
              <w:rPr>
                <w:sz w:val="18"/>
              </w:rPr>
              <w:t xml:space="preserve">R3</w:t>
            </w:r>
          </w:p>
        </w:tc>
        <w:tc>
          <w:tcPr>
            <w:tcW w:w="3688" w:type="dxa"/>
          </w:tcPr>
          <w:p>
            <w:pPr>
              <w:pStyle w:val="Compact"/>
              <w:keepNext/>
              <w:spacing w:before="0" w:after="0" w:lineRule="exact" w:line="220"/>
              <w:jc w:val="left"/>
            </w:pPr>
            <w:r>
              <w:rPr>
                <w:sz w:val="18"/>
              </w:rPr>
              <w:t xml:space="preserve">Shopee’s revenue growth less its transaction value growth is at least +10 points</w:t>
            </w:r>
          </w:p>
        </w:tc>
        <w:tc>
          <w:tcPr>
            <w:tcW w:w="2271" w:type="dxa"/>
          </w:tcPr>
          <w:p>
            <w:pPr>
              <w:pStyle w:val="Compact"/>
              <w:keepNext/>
              <w:spacing w:before="0" w:after="0" w:lineRule="exact" w:line="220"/>
              <w:jc w:val="left"/>
            </w:pPr>
            <w:r>
              <w:rPr>
                <w:sz w:val="18"/>
              </w:rPr>
              <w:t xml:space="preserve">Marketplace fees</w:t>
            </w:r>
          </w:p>
        </w:tc>
        <w:tc>
          <w:tcPr>
            <w:tcW w:w="1320" w:type="dxa"/>
          </w:tcPr>
          <w:p>
            <w:pPr>
              <w:pStyle w:val="Compact"/>
              <w:keepNext/>
              <w:spacing w:before="0" w:after="0" w:lineRule="exact" w:line="220"/>
              <w:jc w:val="left"/>
            </w:pPr>
            <w:r>
              <w:rPr>
                <w:sz w:val="18"/>
              </w:rPr>
              <w:t xml:space="preserve">Mid-November 2026</w:t>
            </w:r>
          </w:p>
        </w:tc>
      </w:tr>
      <w:tr>
        <w:trPr>
          <w:cantSplit/>
        </w:trPr>
        <w:tc>
          <w:tcPr>
            <w:tcW w:w="1225" w:type="dxa"/>
          </w:tcPr>
          <w:p>
            <w:pPr>
              <w:pStyle w:val="Compact"/>
              <w:spacing w:before="0" w:after="0" w:lineRule="exact" w:line="220"/>
              <w:jc w:val="left"/>
            </w:pPr>
            <w:r>
              <w:rPr>
                <w:sz w:val="18"/>
              </w:rPr>
              <w:t xml:space="preserve">Marketplace share</w:t>
            </w:r>
          </w:p>
        </w:tc>
        <w:tc>
          <w:tcPr>
            <w:tcW w:w="3688" w:type="dxa"/>
          </w:tcPr>
          <w:p>
            <w:pPr>
              <w:pStyle w:val="Compact"/>
              <w:spacing w:before="0" w:after="0" w:lineRule="exact" w:line="220"/>
              <w:jc w:val="left"/>
            </w:pPr>
            <w:r>
              <w:rPr>
                <w:sz w:val="18"/>
              </w:rPr>
              <w:t xml:space="preserve">BPS’s next marketplace share of online sales value is at most 15.79 percent</w:t>
            </w:r>
          </w:p>
        </w:tc>
        <w:tc>
          <w:tcPr>
            <w:tcW w:w="2271" w:type="dxa"/>
          </w:tcPr>
          <w:p>
            <w:pPr>
              <w:pStyle w:val="Compact"/>
              <w:spacing w:before="0" w:after="0" w:lineRule="exact" w:line="220"/>
              <w:jc w:val="left"/>
            </w:pPr>
            <w:r>
              <w:rPr>
                <w:sz w:val="18"/>
              </w:rPr>
              <w:t xml:space="preserve">Reach of marketplace rules</w:t>
            </w:r>
          </w:p>
        </w:tc>
        <w:tc>
          <w:tcPr>
            <w:tcW w:w="1320" w:type="dxa"/>
          </w:tcPr>
          <w:p>
            <w:pPr>
              <w:pStyle w:val="Compact"/>
              <w:spacing w:before="0" w:after="0" w:lineRule="exact" w:line="220"/>
              <w:jc w:val="left"/>
            </w:pPr>
            <w:r>
              <w:rPr>
                <w:sz w:val="18"/>
              </w:rPr>
              <w:t xml:space="preserve">Next BPS release</w:t>
            </w:r>
          </w:p>
        </w:tc>
      </w:tr>
    </w:tbl>
    <w:p>
      <w:pPr>
        <w:pStyle w:val="TableNote"/>
      </w:pPr>
      <w:r>
        <w:rPr>
          <w:iCs/>
          <w:i/>
        </w:rPr>
        <w:t xml:space="preserve">Note:</w:t>
      </w:r>
      <w:r>
        <w:t xml:space="preserve"> </w:t>
      </w:r>
      <w:r>
        <w:t xml:space="preserve">Ranges as registered; registration dates are in Appendix D.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bookmarkEnd w:id="81"/>
    <w:bookmarkStart w:id="82"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(5),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2"/>
    <w:bookmarkEnd w:id="83"/>
    <w:bookmarkStart w:id="89"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pPr>
      <w:r>
        <w:t xml:space="preserve">This chapter answers the research question at both links of Figure 1. It then says what the answer adds for those who use the figures, reports the predictions that failed, states the limits of the evidence and sets out the next steps.</w:t>
      </w:r>
    </w:p>
    <w:bookmarkStart w:id="84"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above all from 2022 to 2024. Abroad, revenue growth matched transaction value growth one for one, with a slope of 0.99, so revenue was a workable stand-in. In Indonesia and the region the slope was 0.40, and revenue grew by about 44 percent a year whatever transaction value did, so H1 is rejected there. The Indonesian and regional platforms changed their take rates about 3.6 times as much as platforms abroad. They also keep a much thinner share of each sale: their ecosystem ratio is 13 to 17 points above that of comparable foreign platforms, after the type, size and age of the platform and the conditions of its home market are held fixed. So price changes of a similar size in points moved their revenue far more. In the windows traced, pricing moved revenue more than commerce did. Market value, for its part, moved with transaction value, and the data do not show that markets valued growth from pricing any less.</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near its threshold: the number of businesses then grows by 12 to 17 percent and sales per business by 14 to 17 percent, so H2 holds narrowly in one reading and fails by a few points in the other.</w:t>
      </w:r>
    </w:p>
    <w:p>
      <w:pPr>
        <w:pStyle w:val="BodyText"/>
      </w:pPr>
      <w:r>
        <w:t xml:space="preserve">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disagree outside the marketplaces, among the chat and social sellers that only BPS reaches. The figure a reader picks decides whether 2023 looks like a stall or a boom.</w:t>
      </w:r>
    </w:p>
    <w:bookmarkEnd w:id="84"/>
    <w:bookmarkStart w:id="85"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growth in transaction value and a change in the take rate with two public figures (equation (4)). At the Indonesian and regional platforms, revenue growth moved little with transaction value, while abroad it moved one for one. The thinner the take rate, the more a small change in fees or incentives moves revenue growth. At the typical Indonesian and regional ecosystem ratio of 35, a rise of 1 point in the take rate lifts revenue by about 36 percent at constant volume, against 6.5 percent at the typical foreign ratio of 5.5. A revenue multiple then stands for 36 units of transaction value per unit of revenue in one group and 6.5 in the other. Across 28 listed platforms, market value moved with transaction value, as a registered prediction stated. A 1 percent rise in transaction value went with about 0.6 percent more market value.</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5"/>
    <w:bookmarkStart w:id="86"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D lists every registered test with its outcome. The predictions on the 2026 rules are listed in Section 6.5, with the date on which each is scored.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6"/>
    <w:bookmarkStart w:id="87"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disagree where they cover different sellers. The splits of Appendix B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w:t>
      </w:r>
    </w:p>
    <w:p>
      <w:pPr>
        <w:pStyle w:val="BodyText"/>
      </w:pPr>
      <w:r>
        <w:t xml:space="preserve">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C).</w:t>
      </w:r>
    </w:p>
    <w:p>
      <w:pPr>
        <w:pStyle w:val="BodyText"/>
      </w:pPr>
      <w:r>
        <w:t xml:space="preserve">The new regressions are exploratory and rest on few platforms. The growth test for Indonesia and the region has 15 pairs from five platforms, and the Indonesia coefficients of Table 4 are identified by the same five. A wild cluster bootstrap allows for the small number of clusters but cannot remove the limit. Total assets are those of the whole company, so size is overstated at GoTo, Rakuten and Sea. The home market of each platform is assigned by the author, and the policy rate is missing for Kazakhstan and Nigeria. The regressions describe how the wedge and the ecosystem ratio differ across platforms and do not show what causes the difference.</w:t>
      </w:r>
    </w:p>
    <w:p>
      <w:pPr>
        <w:pStyle w:val="BodyText"/>
      </w:pPr>
      <w:r>
        <w:t xml:space="preserve">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w:t>
      </w:r>
    </w:p>
    <w:p>
      <w:pPr>
        <w:pStyle w:val="BodyText"/>
      </w:pPr>
      <w:r>
        <w:t xml:space="preserve">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C).</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7"/>
    <w:bookmarkStart w:id="88" w:name="further-research"/>
    <w:p>
      <w:pPr>
        <w:pStyle w:val="Heading2"/>
      </w:pPr>
      <w:r>
        <w:t xml:space="preserve">7.5 Further research</w:t>
      </w:r>
    </w:p>
    <w:p>
      <w:pPr>
        <w:pStyle w:val="FirstParagraph"/>
      </w:pPr>
      <w:r>
        <w:t xml:space="preserve">Five extensions follow from the limits above. The first is to reconcile the levels of BPS’s and the platforms’ figures. It needs common definitions of what counts as a sale, including shipping, digital goods, travel and offline sales. The platform data that BPS now collects could supply the platform side, if BPS publishes them.</w:t>
      </w:r>
    </w:p>
    <w:p>
      <w:pPr>
        <w:pStyle w:val="BodyText"/>
      </w:pPr>
      <w:r>
        <w:t xml:space="preserve">The 2026 economic census gives a second. When BPS adopts a frame from it, the entry test can be repeated on the first survey that uses the new frame. A business identifier that links survey rounds would settle the question of returning sellers.</w:t>
      </w:r>
    </w:p>
    <w:p>
      <w:pPr>
        <w:pStyle w:val="BodyText"/>
      </w:pPr>
      <w:r>
        <w:t xml:space="preserve">A third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also grow, and the channel count can go abroad. Lazada and TikTok Shop can join the test of H1 once they report Indonesian figures. Any country whose statistics office asks sellers which channels they use can measure how much online selling its platform rules reach.</w:t>
      </w:r>
    </w:p>
    <w:p>
      <w:pPr>
        <w:pStyle w:val="BodyText"/>
      </w:pPr>
      <w:r>
        <w:t xml:space="preserve">The thesis started from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 A reader who asks which of those happened can still use all three.</w:t>
      </w:r>
    </w:p>
    <w:bookmarkEnd w:id="88"/>
    <w:bookmarkEnd w:id="89"/>
    <w:bookmarkStart w:id="105"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2" w:name="appendix-a.-definition-of-variables"/>
    <w:p>
      <w:pPr>
        <w:pStyle w:val="Heading2"/>
      </w:pPr>
      <w:r>
        <w:t xml:space="preserve">Appendix A. Definition of variables</w:t>
      </w:r>
    </w:p>
    <w:bookmarkStart w:id="90" w:name="a.1-variables"/>
    <w:p>
      <w:pPr>
        <w:pStyle w:val="Heading3"/>
      </w:pPr>
      <w:r>
        <w:t xml:space="preserve">A.1 Variables</w:t>
      </w:r>
    </w:p>
    <w:p>
      <w:pPr>
        <w:pStyle w:val="FirstParagraph"/>
      </w:pPr>
      <w:r>
        <w:t xml:space="preserve">Every variable and symbol used in the empirical analyses is listed with its definition and data source. The subscripts i and t mark the platform and the year. Amounts in the text are in US dollars, at the World Bank’s average rate for the year (World Bank 2026). Growth is the simple percentage change, g(X), defined in Panel A.</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2242"/>
        <w:gridCol w:w="3131"/>
        <w:gridCol w:w="3131"/>
      </w:tblGrid>
      <w:tr>
        <w:trPr>
          <w:tblHeader w:val="true"/>
          <w:cantSplit/>
          <w:tblHeader/>
        </w:trPr>
        <w:tc>
          <w:tcPr>
            <w:tcW w:w="2242" w:type="dxa"/>
            <w:tcBorders>
              <w:bottom w:val="single" w:sz="5" w:space="0" w:color="000000"/>
            </w:tcBorders>
          </w:tcPr>
          <w:p>
            <w:pPr>
              <w:pStyle w:val="Compact"/>
              <w:keepNext/>
              <w:spacing w:before="0" w:after="0" w:lineRule="exact" w:line="220"/>
              <w:jc w:val="left"/>
            </w:pPr>
            <w:r>
              <w:rPr>
                <w:b/>
                <w:sz w:val="18"/>
              </w:rPr>
              <w:t xml:space="preserve">Variable</w:t>
            </w:r>
          </w:p>
        </w:tc>
        <w:tc>
          <w:tcPr>
            <w:tcW w:w="3131" w:type="dxa"/>
            <w:tcBorders>
              <w:bottom w:val="single" w:sz="5" w:space="0" w:color="000000"/>
            </w:tcBorders>
          </w:tcPr>
          <w:p>
            <w:pPr>
              <w:pStyle w:val="Compact"/>
              <w:keepNext/>
              <w:spacing w:before="0" w:after="0" w:lineRule="exact" w:line="220"/>
              <w:jc w:val="left"/>
            </w:pPr>
            <w:r>
              <w:rPr>
                <w:b/>
                <w:sz w:val="18"/>
              </w:rPr>
              <w:t xml:space="preserve">Definition</w:t>
            </w:r>
          </w:p>
        </w:tc>
        <w:tc>
          <w:tcPr>
            <w:tcW w:w="3131" w:type="dxa"/>
            <w:tcBorders>
              <w:bottom w:val="single" w:sz="5" w:space="0" w:color="000000"/>
            </w:tcBorders>
          </w:tcPr>
          <w:p>
            <w:pPr>
              <w:pStyle w:val="Compact"/>
              <w:keepNext/>
              <w:spacing w:before="0" w:after="0" w:lineRule="exact" w:line="220"/>
              <w:jc w:val="left"/>
            </w:pPr>
            <w:r>
              <w:rPr>
                <w:b/>
                <w:sz w:val="18"/>
              </w:rPr>
              <w:t xml:space="preserve">Source</w:t>
            </w:r>
          </w:p>
        </w:tc>
      </w:tr>
      <w:tr>
        <w:trPr>
          <w:cantSplit/>
        </w:trPr>
        <w:tc>
          <w:tcPr>
            <w:tcW w:w="8504" w:type="dxa"/>
            <w:gridSpan w:val="3"/>
          </w:tcPr>
          <w:p>
            <w:pPr>
              <w:pStyle w:val="Compact"/>
              <w:keepNext/>
              <w:spacing w:before="0" w:after="0" w:lineRule="exact" w:line="220"/>
              <w:jc w:val="left"/>
            </w:pPr>
            <w:r>
              <w:rPr>
                <w:iCs/>
                <w:i/>
                <w:sz w:val="18"/>
              </w:rPr>
              <w:t xml:space="preserve">Panel A: Platform measures</w:t>
            </w:r>
          </w:p>
        </w:tc>
      </w:tr>
      <w:tr>
        <w:trPr>
          <w:cantSplit/>
        </w:trPr>
        <w:tc>
          <w:tcPr>
            <w:tcW w:w="2242" w:type="dxa"/>
          </w:tcPr>
          <w:p>
            <w:pPr>
              <w:pStyle w:val="Compact"/>
              <w:keepNext/>
              <w:spacing w:before="0" w:after="0" w:lineRule="exact" w:line="220"/>
              <w:jc w:val="left"/>
            </w:pPr>
            <w:r>
              <w:rPr>
                <w:sz w:val="18"/>
              </w:rPr>
              <w:t xml:space="preserve">V</w:t>
            </w:r>
            <w:r>
              <w:rPr>
                <w:sz w:val="18"/>
                <w:vertAlign w:val="subscript"/>
              </w:rPr>
              <w:t xml:space="preserve">it</w:t>
            </w:r>
          </w:p>
        </w:tc>
        <w:tc>
          <w:tcPr>
            <w:tcW w:w="3131" w:type="dxa"/>
          </w:tcPr>
          <w:p>
            <w:pPr>
              <w:pStyle w:val="Compact"/>
              <w:keepNext/>
              <w:spacing w:before="0" w:after="0" w:lineRule="exact" w:line="220"/>
              <w:jc w:val="left"/>
            </w:pPr>
            <w:r>
              <w:rPr>
                <w:sz w:val="18"/>
              </w:rPr>
              <w:t xml:space="preserve">Transaction value: everything bought through platform i in year t, in the company’s own currency. Companies also call it gross merchandise value (GMV), gross transaction value (GTV) or total payment volume (TPV).</w:t>
            </w:r>
          </w:p>
        </w:tc>
        <w:tc>
          <w:tcPr>
            <w:tcW w:w="3131" w:type="dxa"/>
          </w:tcPr>
          <w:p>
            <w:pPr>
              <w:pStyle w:val="Compact"/>
              <w:keepNext/>
              <w:spacing w:before="0" w:after="0" w:lineRule="exact" w:line="220"/>
              <w:jc w:val="left"/>
            </w:pPr>
            <w:r>
              <w:rPr>
                <w:sz w:val="18"/>
              </w:rPr>
              <w:t xml:space="preserve">Company annual reports, annual filings (Form 20-F) and investor releases; Appendix B lists each series</w:t>
            </w:r>
          </w:p>
        </w:tc>
      </w:tr>
      <w:tr>
        <w:trPr>
          <w:cantSplit/>
        </w:trPr>
        <w:tc>
          <w:tcPr>
            <w:tcW w:w="2242" w:type="dxa"/>
          </w:tcPr>
          <w:p>
            <w:pPr>
              <w:pStyle w:val="Compact"/>
              <w:spacing w:before="0" w:after="0" w:lineRule="exact" w:line="220"/>
              <w:jc w:val="left"/>
            </w:pPr>
            <w:r>
              <w:rPr>
                <w:sz w:val="18"/>
              </w:rPr>
              <w:t xml:space="preserve">R</w:t>
            </w:r>
            <w:r>
              <w:rPr>
                <w:sz w:val="18"/>
                <w:vertAlign w:val="subscript"/>
              </w:rPr>
              <w:t xml:space="preserve">it</w:t>
            </w:r>
          </w:p>
        </w:tc>
        <w:tc>
          <w:tcPr>
            <w:tcW w:w="3131" w:type="dxa"/>
          </w:tcPr>
          <w:p>
            <w:pPr>
              <w:pStyle w:val="Compact"/>
              <w:spacing w:before="0" w:after="0" w:lineRule="exact" w:line="220"/>
              <w:jc w:val="left"/>
            </w:pPr>
            <w:r>
              <w:rPr>
                <w:sz w:val="18"/>
              </w:rPr>
              <w:t xml:space="preserve">Revenue: what the platform recognizes as its own income in its accounts, for the same business and period as V</w:t>
            </w:r>
            <w:r>
              <w:rPr>
                <w:sz w:val="18"/>
                <w:vertAlign w:val="subscript"/>
              </w:rPr>
              <w:t xml:space="preserve">it</w:t>
            </w:r>
            <w:r>
              <w:rPr>
                <w:sz w:val="18"/>
              </w:rPr>
              <w:t xml:space="preserve">.</w:t>
            </w:r>
          </w:p>
        </w:tc>
        <w:tc>
          <w:tcPr>
            <w:tcW w:w="3131" w:type="dxa"/>
          </w:tcPr>
          <w:p>
            <w:pPr>
              <w:pStyle w:val="Compact"/>
              <w:spacing w:before="0" w:after="0" w:lineRule="exact" w:line="220"/>
              <w:jc w:val="left"/>
            </w:pPr>
            <w:r>
              <w:rPr>
                <w:sz w:val="18"/>
              </w:rPr>
              <w:t xml:space="preserve">Same as V</w:t>
            </w:r>
            <w:r>
              <w:rPr>
                <w:sz w:val="18"/>
                <w:vertAlign w:val="subscript"/>
              </w:rPr>
              <w:t xml:space="preserve">it</w:t>
            </w:r>
          </w:p>
        </w:tc>
      </w:tr>
      <w:tr>
        <w:trPr>
          <w:cantSplit/>
        </w:trPr>
        <w:tc>
          <w:tcPr>
            <w:tcW w:w="2242" w:type="dxa"/>
          </w:tcPr>
          <w:p>
            <w:pPr>
              <w:pStyle w:val="Compact"/>
              <w:spacing w:before="0" w:after="0" w:lineRule="exact" w:line="220"/>
              <w:jc w:val="left"/>
            </w:pPr>
            <w:r>
              <w:rPr>
                <w:sz w:val="18"/>
              </w:rPr>
              <w:t xml:space="preserve">m</w:t>
            </w:r>
            <w:r>
              <w:rPr>
                <w:sz w:val="18"/>
                <w:vertAlign w:val="subscript"/>
              </w:rPr>
              <w:t xml:space="preserve">it</w:t>
            </w:r>
          </w:p>
        </w:tc>
        <w:tc>
          <w:tcPr>
            <w:tcW w:w="3131" w:type="dxa"/>
          </w:tcPr>
          <w:p>
            <w:pPr>
              <w:pStyle w:val="Compact"/>
              <w:spacing w:before="0" w:after="0" w:lineRule="exact" w:line="220"/>
              <w:jc w:val="left"/>
            </w:pPr>
            <w:r>
              <w:rPr>
                <w:sz w:val="18"/>
              </w:rPr>
              <w:t xml:space="preserve">Take rate: R</w:t>
            </w:r>
            <w:r>
              <w:rPr>
                <w:sz w:val="18"/>
                <w:vertAlign w:val="subscript"/>
              </w:rPr>
              <w:t xml:space="preserve">it</w:t>
            </w:r>
            <w:r>
              <w:rPr>
                <w:sz w:val="18"/>
              </w:rPr>
              <w:t xml:space="preserve"> </w:t>
            </w:r>
            <w:r>
              <w:rPr>
                <w:sz w:val="18"/>
              </w:rPr>
              <w:t xml:space="preserve">divided by V</w:t>
            </w:r>
            <w:r>
              <w:rPr>
                <w:sz w:val="18"/>
                <w:vertAlign w:val="subscript"/>
              </w:rPr>
              <w:t xml:space="preserve">it</w:t>
            </w:r>
            <w:r>
              <w:rPr>
                <w:sz w:val="18"/>
              </w:rPr>
              <w:t xml:space="preserve">, the share of each sale that the platform keeps.</w:t>
            </w:r>
          </w:p>
        </w:tc>
        <w:tc>
          <w:tcPr>
            <w:tcW w:w="3131" w:type="dxa"/>
          </w:tcPr>
          <w:p>
            <w:pPr>
              <w:pStyle w:val="Compact"/>
              <w:spacing w:before="0" w:after="0" w:lineRule="exact" w:line="220"/>
              <w:jc w:val="left"/>
            </w:pPr>
            <w:r>
              <w:rPr>
                <w:sz w:val="18"/>
              </w:rPr>
              <w:t xml:space="preserve">Author’s calculation</w:t>
            </w:r>
          </w:p>
        </w:tc>
      </w:tr>
      <w:tr>
        <w:trPr>
          <w:cantSplit/>
        </w:trPr>
        <w:tc>
          <w:tcPr>
            <w:tcW w:w="2242" w:type="dxa"/>
          </w:tcPr>
          <w:p>
            <w:pPr>
              <w:pStyle w:val="Compact"/>
              <w:spacing w:before="0" w:after="0" w:lineRule="exact" w:line="220"/>
              <w:jc w:val="left"/>
            </w:pPr>
            <w:r>
              <w:rPr>
                <w:sz w:val="18"/>
              </w:rPr>
              <w:t xml:space="preserve">f</w:t>
            </w:r>
            <w:r>
              <w:rPr>
                <w:sz w:val="18"/>
                <w:vertAlign w:val="subscript"/>
              </w:rPr>
              <w:t xml:space="preserve">it</w:t>
            </w:r>
          </w:p>
        </w:tc>
        <w:tc>
          <w:tcPr>
            <w:tcW w:w="3131" w:type="dxa"/>
          </w:tcPr>
          <w:p>
            <w:pPr>
              <w:pStyle w:val="Compact"/>
              <w:spacing w:before="0" w:after="0" w:lineRule="exact" w:line="220"/>
              <w:jc w:val="left"/>
            </w:pPr>
            <w:r>
              <w:rPr>
                <w:sz w:val="18"/>
              </w:rPr>
              <w:t xml:space="preserve">Fee rate: the platform’s revenue before customer incentives, divided by V</w:t>
            </w:r>
            <w:r>
              <w:rPr>
                <w:sz w:val="18"/>
                <w:vertAlign w:val="subscript"/>
              </w:rPr>
              <w:t xml:space="preserve">it</w:t>
            </w:r>
            <w:r>
              <w:rPr>
                <w:sz w:val="18"/>
              </w:rPr>
              <w:t xml:space="preserve">.</w:t>
            </w:r>
          </w:p>
        </w:tc>
        <w:tc>
          <w:tcPr>
            <w:tcW w:w="3131" w:type="dxa"/>
          </w:tcPr>
          <w:p>
            <w:pPr>
              <w:pStyle w:val="Compact"/>
              <w:spacing w:before="0" w:after="0" w:lineRule="exact" w:line="220"/>
              <w:jc w:val="left"/>
            </w:pPr>
            <w:r>
              <w:rPr>
                <w:sz w:val="18"/>
              </w:rPr>
              <w:t xml:space="preserve">Company reports; author’s calculation</w:t>
            </w:r>
          </w:p>
        </w:tc>
      </w:tr>
      <w:tr>
        <w:trPr>
          <w:cantSplit/>
        </w:trPr>
        <w:tc>
          <w:tcPr>
            <w:tcW w:w="2242" w:type="dxa"/>
          </w:tcPr>
          <w:p>
            <w:pPr>
              <w:pStyle w:val="Compact"/>
              <w:spacing w:before="0" w:after="0" w:lineRule="exact" w:line="220"/>
              <w:jc w:val="left"/>
            </w:pPr>
            <w:r>
              <w:rPr>
                <w:sz w:val="18"/>
              </w:rPr>
              <w:t xml:space="preserve">s</w:t>
            </w:r>
            <w:r>
              <w:rPr>
                <w:sz w:val="18"/>
                <w:vertAlign w:val="subscript"/>
              </w:rPr>
              <w:t xml:space="preserve">it</w:t>
            </w:r>
          </w:p>
        </w:tc>
        <w:tc>
          <w:tcPr>
            <w:tcW w:w="3131" w:type="dxa"/>
          </w:tcPr>
          <w:p>
            <w:pPr>
              <w:pStyle w:val="Compact"/>
              <w:spacing w:before="0" w:after="0" w:lineRule="exact" w:line="220"/>
              <w:jc w:val="left"/>
            </w:pPr>
            <w:r>
              <w:rPr>
                <w:sz w:val="18"/>
              </w:rPr>
              <w:t xml:space="preserve">Incentive rate: customer incentives divided by V</w:t>
            </w:r>
            <w:r>
              <w:rPr>
                <w:sz w:val="18"/>
                <w:vertAlign w:val="subscript"/>
              </w:rPr>
              <w:t xml:space="preserve">it</w:t>
            </w:r>
            <w:r>
              <w:rPr>
                <w:sz w:val="18"/>
              </w:rPr>
              <w:t xml:space="preserve">. Customer incentives are the discounts, vouchers and other promotions that a platform pays for, which accounting rules normally deduct from revenue.</w:t>
            </w:r>
          </w:p>
        </w:tc>
        <w:tc>
          <w:tcPr>
            <w:tcW w:w="3131" w:type="dxa"/>
          </w:tcPr>
          <w:p>
            <w:pPr>
              <w:pStyle w:val="Compact"/>
              <w:spacing w:before="0" w:after="0" w:lineRule="exact" w:line="220"/>
              <w:jc w:val="left"/>
            </w:pPr>
            <w:r>
              <w:rPr>
                <w:sz w:val="18"/>
              </w:rPr>
              <w:t xml:space="preserve">Company reports; author’s calculation. Blibli’s incentives are a proxy (Appendix B)</w:t>
            </w:r>
          </w:p>
        </w:tc>
      </w:tr>
      <w:tr>
        <w:trPr>
          <w:cantSplit/>
        </w:trPr>
        <w:tc>
          <w:tcPr>
            <w:tcW w:w="2242" w:type="dxa"/>
          </w:tcPr>
          <w:p>
            <w:pPr>
              <w:pStyle w:val="Compact"/>
              <w:spacing w:before="0" w:after="0" w:lineRule="exact" w:line="220"/>
              <w:jc w:val="left"/>
            </w:pPr>
            <w:r>
              <w:rPr>
                <w:sz w:val="18"/>
              </w:rPr>
              <w:t xml:space="preserve">W</w:t>
            </w:r>
            <w:r>
              <w:rPr>
                <w:sz w:val="18"/>
                <w:vertAlign w:val="subscript"/>
              </w:rPr>
              <w:t xml:space="preserve">it</w:t>
            </w:r>
          </w:p>
        </w:tc>
        <w:tc>
          <w:tcPr>
            <w:tcW w:w="3131" w:type="dxa"/>
          </w:tcPr>
          <w:p>
            <w:pPr>
              <w:pStyle w:val="Compact"/>
              <w:spacing w:before="0" w:after="0" w:lineRule="exact" w:line="220"/>
              <w:jc w:val="left"/>
            </w:pPr>
            <w:r>
              <w:rPr>
                <w:sz w:val="18"/>
              </w:rPr>
              <w:t xml:space="preserve">Invisible wedge: V</w:t>
            </w:r>
            <w:r>
              <w:rPr>
                <w:sz w:val="18"/>
                <w:vertAlign w:val="subscript"/>
              </w:rPr>
              <w:t xml:space="preserve">it</w:t>
            </w:r>
            <w:r>
              <w:rPr>
                <w:sz w:val="18"/>
              </w:rPr>
              <w:t xml:space="preserve"> </w:t>
            </w:r>
            <w:r>
              <w:rPr>
                <w:sz w:val="18"/>
              </w:rPr>
              <w:t xml:space="preserve">minus R</w:t>
            </w:r>
            <w:r>
              <w:rPr>
                <w:sz w:val="18"/>
                <w:vertAlign w:val="subscript"/>
              </w:rPr>
              <w:t xml:space="preserve">it</w:t>
            </w:r>
            <w:r>
              <w:rPr>
                <w:sz w:val="18"/>
              </w:rPr>
              <w:t xml:space="preserve">, the part of transaction value that lies outside revenue, in currency.</w:t>
            </w:r>
          </w:p>
        </w:tc>
        <w:tc>
          <w:tcPr>
            <w:tcW w:w="3131" w:type="dxa"/>
          </w:tcPr>
          <w:p>
            <w:pPr>
              <w:pStyle w:val="Compact"/>
              <w:spacing w:before="0" w:after="0" w:lineRule="exact" w:line="220"/>
              <w:jc w:val="left"/>
            </w:pPr>
            <w:r>
              <w:rPr>
                <w:sz w:val="18"/>
              </w:rPr>
              <w:t xml:space="preserve">Author’s calculation</w:t>
            </w:r>
          </w:p>
        </w:tc>
      </w:tr>
      <w:tr>
        <w:trPr>
          <w:cantSplit/>
        </w:trPr>
        <w:tc>
          <w:tcPr>
            <w:tcW w:w="2242" w:type="dxa"/>
          </w:tcPr>
          <w:p>
            <w:pPr>
              <w:pStyle w:val="Compact"/>
              <w:spacing w:before="0" w:after="0" w:lineRule="exact" w:line="220"/>
              <w:jc w:val="left"/>
            </w:pPr>
            <w:r>
              <w:rPr>
                <w:sz w:val="18"/>
              </w:rPr>
              <w:t xml:space="preserve">E</w:t>
            </w:r>
            <w:r>
              <w:rPr>
                <w:sz w:val="18"/>
                <w:vertAlign w:val="subscript"/>
              </w:rPr>
              <w:t xml:space="preserve">it</w:t>
            </w:r>
          </w:p>
        </w:tc>
        <w:tc>
          <w:tcPr>
            <w:tcW w:w="3131" w:type="dxa"/>
          </w:tcPr>
          <w:p>
            <w:pPr>
              <w:pStyle w:val="Compact"/>
              <w:spacing w:before="0" w:after="0" w:lineRule="exact" w:line="220"/>
              <w:jc w:val="left"/>
            </w:pPr>
            <w:r>
              <w:rPr>
                <w:sz w:val="18"/>
              </w:rPr>
              <w:t xml:space="preserve">Ecosystem ratio: W</w:t>
            </w:r>
            <w:r>
              <w:rPr>
                <w:sz w:val="18"/>
                <w:vertAlign w:val="subscript"/>
              </w:rPr>
              <w:t xml:space="preserve">it</w:t>
            </w:r>
            <w:r>
              <w:rPr>
                <w:sz w:val="18"/>
              </w:rPr>
              <w:t xml:space="preserve"> </w:t>
            </w:r>
            <w:r>
              <w:rPr>
                <w:sz w:val="18"/>
              </w:rPr>
              <w:t xml:space="preserve">divided by R</w:t>
            </w:r>
            <w:r>
              <w:rPr>
                <w:sz w:val="18"/>
                <w:vertAlign w:val="subscript"/>
              </w:rPr>
              <w:t xml:space="preserve">it</w:t>
            </w:r>
            <w:r>
              <w:rPr>
                <w:sz w:val="18"/>
              </w:rPr>
              <w:t xml:space="preserve">, equal to one divided by m</w:t>
            </w:r>
            <w:r>
              <w:rPr>
                <w:sz w:val="18"/>
                <w:vertAlign w:val="subscript"/>
              </w:rPr>
              <w:t xml:space="preserve">it</w:t>
            </w:r>
            <w:r>
              <w:rPr>
                <w:sz w:val="18"/>
              </w:rPr>
              <w:t xml:space="preserve">, minus one. The author’s own measure.</w:t>
            </w:r>
          </w:p>
        </w:tc>
        <w:tc>
          <w:tcPr>
            <w:tcW w:w="3131" w:type="dxa"/>
          </w:tcPr>
          <w:p>
            <w:pPr>
              <w:pStyle w:val="Compact"/>
              <w:spacing w:before="0" w:after="0" w:lineRule="exact" w:line="220"/>
              <w:jc w:val="left"/>
            </w:pPr>
            <w:r>
              <w:rPr>
                <w:sz w:val="18"/>
              </w:rPr>
              <w:t xml:space="preserve">Author’s calculation</w:t>
            </w:r>
          </w:p>
        </w:tc>
      </w:tr>
      <w:tr>
        <w:trPr>
          <w:cantSplit/>
        </w:trPr>
        <w:tc>
          <w:tcPr>
            <w:tcW w:w="2242" w:type="dxa"/>
          </w:tcPr>
          <w:p>
            <w:pPr>
              <w:pStyle w:val="Compact"/>
              <w:spacing w:before="0" w:after="0" w:lineRule="exact" w:line="220"/>
              <w:jc w:val="left"/>
            </w:pPr>
            <w:r>
              <w:rPr>
                <w:sz w:val="18"/>
              </w:rPr>
              <w:t xml:space="preserve">g(X</w:t>
            </w:r>
            <w:r>
              <w:rPr>
                <w:sz w:val="18"/>
                <w:vertAlign w:val="subscript"/>
              </w:rPr>
              <w:t xml:space="preserve">t</w:t>
            </w:r>
            <w:r>
              <w:rPr>
                <w:sz w:val="18"/>
              </w:rPr>
              <w:t xml:space="preserve">)</w:t>
            </w:r>
          </w:p>
        </w:tc>
        <w:tc>
          <w:tcPr>
            <w:tcW w:w="3131" w:type="dxa"/>
          </w:tcPr>
          <w:p>
            <w:pPr>
              <w:pStyle w:val="Compact"/>
              <w:spacing w:before="0" w:after="0" w:lineRule="exact" w:line="220"/>
              <w:jc w:val="left"/>
            </w:pPr>
            <w:r>
              <w:rPr>
                <w:sz w:val="18"/>
              </w:rPr>
              <w:t xml:space="preserve">Growth of X from one year to the next as a share of the first year: (X</w:t>
            </w:r>
            <w:r>
              <w:rPr>
                <w:sz w:val="18"/>
                <w:vertAlign w:val="subscript"/>
              </w:rPr>
              <w:t xml:space="preserve">t</w:t>
            </w:r>
            <w:r>
              <w:rPr>
                <w:sz w:val="18"/>
              </w:rPr>
              <w:t xml:space="preserve"> </w:t>
            </w:r>
            <w:r>
              <w:rPr>
                <w:sz w:val="18"/>
              </w:rPr>
              <w:t xml:space="preserve">− X</w:t>
            </w:r>
            <w:r>
              <w:rPr>
                <w:sz w:val="18"/>
                <w:vertAlign w:val="subscript"/>
              </w:rPr>
              <w:t xml:space="preserve">t−1</w:t>
            </w:r>
            <w:r>
              <w:rPr>
                <w:sz w:val="18"/>
              </w:rPr>
              <w:t xml:space="preserve">) divided by X</w:t>
            </w:r>
            <w:r>
              <w:rPr>
                <w:sz w:val="18"/>
                <w:vertAlign w:val="subscript"/>
              </w:rPr>
              <w:t xml:space="preserve">t−1</w:t>
            </w:r>
            <w:r>
              <w:rPr>
                <w:sz w:val="18"/>
              </w:rPr>
              <w:t xml:space="preserve">. A value of 0.09 means 9 percent.</w:t>
            </w:r>
          </w:p>
        </w:tc>
        <w:tc>
          <w:tcPr>
            <w:tcW w:w="3131" w:type="dxa"/>
          </w:tcPr>
          <w:p>
            <w:pPr>
              <w:pStyle w:val="Compact"/>
              <w:spacing w:before="0" w:after="0" w:lineRule="exact" w:line="220"/>
              <w:jc w:val="left"/>
            </w:pPr>
            <w:r>
              <w:rPr>
                <w:sz w:val="18"/>
              </w:rPr>
              <w:t xml:space="preserve">Author’s calculation</w:t>
            </w:r>
          </w:p>
        </w:tc>
      </w:tr>
      <w:tr>
        <w:trPr>
          <w:cantSplit/>
        </w:trPr>
        <w:tc>
          <w:tcPr>
            <w:tcW w:w="2242" w:type="dxa"/>
          </w:tcPr>
          <w:p>
            <w:pPr>
              <w:pStyle w:val="Compact"/>
              <w:spacing w:before="0" w:after="0" w:lineRule="exact" w:line="220"/>
              <w:jc w:val="left"/>
            </w:pPr>
            <w:r>
              <w:rPr>
                <w:sz w:val="18"/>
              </w:rPr>
              <w:t xml:space="preserve">D</w:t>
            </w:r>
            <w:r>
              <w:rPr>
                <w:sz w:val="18"/>
                <w:vertAlign w:val="subscript"/>
              </w:rPr>
              <w:t xml:space="preserve">it</w:t>
            </w:r>
          </w:p>
        </w:tc>
        <w:tc>
          <w:tcPr>
            <w:tcW w:w="3131" w:type="dxa"/>
          </w:tcPr>
          <w:p>
            <w:pPr>
              <w:pStyle w:val="Compact"/>
              <w:spacing w:before="0" w:after="0" w:lineRule="exact" w:line="220"/>
              <w:jc w:val="left"/>
            </w:pPr>
            <w:r>
              <w:rPr>
                <w:sz w:val="18"/>
              </w:rPr>
              <w:t xml:space="preserve">Growth divergence: g(R</w:t>
            </w:r>
            <w:r>
              <w:rPr>
                <w:sz w:val="18"/>
                <w:vertAlign w:val="subscript"/>
              </w:rPr>
              <w:t xml:space="preserve">it</w:t>
            </w:r>
            <w:r>
              <w:rPr>
                <w:sz w:val="18"/>
              </w:rPr>
              <w:t xml:space="preserve">) minus g(V</w:t>
            </w:r>
            <w:r>
              <w:rPr>
                <w:sz w:val="18"/>
                <w:vertAlign w:val="subscript"/>
              </w:rPr>
              <w:t xml:space="preserve">it</w:t>
            </w:r>
            <w:r>
              <w:rPr>
                <w:sz w:val="18"/>
              </w:rPr>
              <w:t xml:space="preserve">). A value of 0.62 means 62 percentage points.</w:t>
            </w:r>
          </w:p>
        </w:tc>
        <w:tc>
          <w:tcPr>
            <w:tcW w:w="3131" w:type="dxa"/>
          </w:tcPr>
          <w:p>
            <w:pPr>
              <w:pStyle w:val="Compact"/>
              <w:spacing w:before="0" w:after="0" w:lineRule="exact" w:line="220"/>
              <w:jc w:val="left"/>
            </w:pPr>
            <w:r>
              <w:rPr>
                <w:sz w:val="18"/>
              </w:rPr>
              <w:t xml:space="preserve">Author’s calculation</w:t>
            </w:r>
          </w:p>
        </w:tc>
      </w:tr>
      <w:tr>
        <w:trPr>
          <w:cantSplit/>
        </w:trPr>
        <w:tc>
          <w:tcPr>
            <w:tcW w:w="2242" w:type="dxa"/>
          </w:tcPr>
          <w:p>
            <w:pPr>
              <w:pStyle w:val="Compact"/>
              <w:spacing w:before="0" w:after="0" w:lineRule="exact" w:line="220"/>
              <w:jc w:val="left"/>
            </w:pPr>
            <w:r>
              <w:rPr>
                <w:sz w:val="18"/>
              </w:rPr>
              <w:t xml:space="preserve">Δln X</w:t>
            </w:r>
            <w:r>
              <w:rPr>
                <w:sz w:val="18"/>
                <w:vertAlign w:val="subscript"/>
              </w:rPr>
              <w:t xml:space="preserve">t</w:t>
            </w:r>
          </w:p>
        </w:tc>
        <w:tc>
          <w:tcPr>
            <w:tcW w:w="3131" w:type="dxa"/>
          </w:tcPr>
          <w:p>
            <w:pPr>
              <w:pStyle w:val="Compact"/>
              <w:spacing w:before="0" w:after="0" w:lineRule="exact" w:line="220"/>
              <w:jc w:val="left"/>
            </w:pPr>
            <w:r>
              <w:rPr>
                <w:sz w:val="18"/>
              </w:rPr>
              <w:t xml:space="preserve">Change in the natural logarithm of X from one year to the next. Used only where a registered test defined it so (equation (9)); everywhere else the change is g(X).</w:t>
            </w:r>
          </w:p>
        </w:tc>
        <w:tc>
          <w:tcPr>
            <w:tcW w:w="3131" w:type="dxa"/>
          </w:tcPr>
          <w:p>
            <w:pPr>
              <w:pStyle w:val="Compact"/>
              <w:spacing w:before="0" w:after="0" w:lineRule="exact" w:line="220"/>
              <w:jc w:val="left"/>
            </w:pPr>
            <w:r>
              <w:rPr>
                <w:sz w:val="18"/>
              </w:rPr>
              <w:t xml:space="preserve">Author’s calculation</w:t>
            </w:r>
          </w:p>
        </w:tc>
      </w:tr>
      <w:tr>
        <w:trPr>
          <w:cantSplit/>
        </w:trPr>
        <w:tc>
          <w:tcPr>
            <w:tcW w:w="8504" w:type="dxa"/>
            <w:gridSpan w:val="3"/>
          </w:tcPr>
          <w:p>
            <w:pPr>
              <w:pStyle w:val="Compact"/>
              <w:keepNext/>
              <w:spacing w:before="0" w:after="0" w:lineRule="exact" w:line="220"/>
              <w:jc w:val="left"/>
            </w:pPr>
            <w:r>
              <w:rPr>
                <w:iCs/>
                <w:i/>
                <w:sz w:val="18"/>
              </w:rPr>
              <w:t xml:space="preserve">Panel B: National and survey measures</w:t>
            </w:r>
          </w:p>
        </w:tc>
      </w:tr>
      <w:tr>
        <w:trPr>
          <w:cantSplit/>
        </w:trPr>
        <w:tc>
          <w:tcPr>
            <w:tcW w:w="2242" w:type="dxa"/>
          </w:tcPr>
          <w:p>
            <w:pPr>
              <w:pStyle w:val="Compact"/>
              <w:spacing w:before="0" w:after="0" w:lineRule="exact" w:line="220"/>
              <w:jc w:val="left"/>
            </w:pPr>
            <w:r>
              <w:rPr>
                <w:sz w:val="18"/>
              </w:rPr>
              <w:t xml:space="preserve">N</w:t>
            </w:r>
            <w:r>
              <w:rPr>
                <w:sz w:val="18"/>
                <w:vertAlign w:val="subscript"/>
              </w:rPr>
              <w:t xml:space="preserve">t</w:t>
            </w:r>
          </w:p>
        </w:tc>
        <w:tc>
          <w:tcPr>
            <w:tcW w:w="3131" w:type="dxa"/>
          </w:tcPr>
          <w:p>
            <w:pPr>
              <w:pStyle w:val="Compact"/>
              <w:spacing w:before="0" w:after="0" w:lineRule="exact" w:line="220"/>
              <w:jc w:val="left"/>
            </w:pPr>
            <w:r>
              <w:rPr>
                <w:sz w:val="18"/>
              </w:rPr>
              <w:t xml:space="preserve">Count of online sellers: BPS’s estimate of the number of businesses selling online in year t.</w:t>
            </w:r>
          </w:p>
        </w:tc>
        <w:tc>
          <w:tcPr>
            <w:tcW w:w="3131" w:type="dxa"/>
          </w:tcPr>
          <w:p>
            <w:pPr>
              <w:pStyle w:val="Compact"/>
              <w:spacing w:before="0" w:after="0" w:lineRule="exact" w:line="220"/>
              <w:jc w:val="left"/>
            </w:pPr>
            <w:r>
              <w:rPr>
                <w:sz w:val="18"/>
              </w:rPr>
              <w:t xml:space="preserve">BPS-Statistics Indonesia (2025a, 2025b); BPS e-commerce survey files for 2020, 2022 and 2023 (licensed)</w:t>
            </w:r>
          </w:p>
        </w:tc>
      </w:tr>
      <w:tr>
        <w:trPr>
          <w:cantSplit/>
        </w:trPr>
        <w:tc>
          <w:tcPr>
            <w:tcW w:w="2242" w:type="dxa"/>
          </w:tcPr>
          <w:p>
            <w:pPr>
              <w:pStyle w:val="Compact"/>
              <w:spacing w:before="0" w:after="0" w:lineRule="exact" w:line="220"/>
              <w:jc w:val="left"/>
            </w:pPr>
            <w:r>
              <w:rPr>
                <w:sz w:val="18"/>
              </w:rPr>
              <w:t xml:space="preserve">Y</w:t>
            </w:r>
            <w:r>
              <w:rPr>
                <w:sz w:val="18"/>
                <w:vertAlign w:val="subscript"/>
              </w:rPr>
              <w:t xml:space="preserve">t</w:t>
            </w:r>
          </w:p>
        </w:tc>
        <w:tc>
          <w:tcPr>
            <w:tcW w:w="3131" w:type="dxa"/>
          </w:tcPr>
          <w:p>
            <w:pPr>
              <w:pStyle w:val="Compact"/>
              <w:spacing w:before="0" w:after="0" w:lineRule="exact" w:line="220"/>
              <w:jc w:val="left"/>
            </w:pPr>
            <w:r>
              <w:rPr>
                <w:sz w:val="18"/>
              </w:rPr>
              <w:t xml:space="preserve">Total online sales value: BPS’s published value of online sales in year t.</w:t>
            </w:r>
          </w:p>
        </w:tc>
        <w:tc>
          <w:tcPr>
            <w:tcW w:w="3131" w:type="dxa"/>
          </w:tcPr>
          <w:p>
            <w:pPr>
              <w:pStyle w:val="Compact"/>
              <w:spacing w:before="0" w:after="0" w:lineRule="exact" w:line="220"/>
              <w:jc w:val="left"/>
            </w:pPr>
            <w:r>
              <w:rPr>
                <w:sz w:val="18"/>
              </w:rPr>
              <w:t xml:space="preserve">BPS-Statistics Indonesia (2025a, 2025b)</w:t>
            </w:r>
          </w:p>
        </w:tc>
      </w:tr>
      <w:tr>
        <w:trPr>
          <w:cantSplit/>
        </w:trPr>
        <w:tc>
          <w:tcPr>
            <w:tcW w:w="2242" w:type="dxa"/>
          </w:tcPr>
          <w:p>
            <w:pPr>
              <w:pStyle w:val="Compact"/>
              <w:spacing w:before="0" w:after="0" w:lineRule="exact" w:line="220"/>
              <w:jc w:val="left"/>
            </w:pPr>
            <w:r>
              <w:rPr>
                <w:sz w:val="18"/>
              </w:rPr>
              <w:t xml:space="preserve">Y</w:t>
            </w:r>
            <w:r>
              <w:rPr>
                <w:sz w:val="18"/>
                <w:vertAlign w:val="subscript"/>
              </w:rPr>
              <w:t xml:space="preserve">t</w:t>
            </w:r>
            <w:r>
              <w:rPr>
                <w:sz w:val="18"/>
              </w:rPr>
              <w:t xml:space="preserve"> </w:t>
            </w:r>
            <w:r>
              <w:rPr>
                <w:sz w:val="18"/>
              </w:rPr>
              <w:t xml:space="preserve">/ N</w:t>
            </w:r>
            <w:r>
              <w:rPr>
                <w:sz w:val="18"/>
                <w:vertAlign w:val="subscript"/>
              </w:rPr>
              <w:t xml:space="preserve">t</w:t>
            </w:r>
          </w:p>
        </w:tc>
        <w:tc>
          <w:tcPr>
            <w:tcW w:w="3131" w:type="dxa"/>
          </w:tcPr>
          <w:p>
            <w:pPr>
              <w:pStyle w:val="Compact"/>
              <w:spacing w:before="0" w:after="0" w:lineRule="exact" w:line="220"/>
              <w:jc w:val="left"/>
            </w:pPr>
            <w:r>
              <w:rPr>
                <w:sz w:val="18"/>
              </w:rPr>
              <w:t xml:space="preserve">Sales per business: Y</w:t>
            </w:r>
            <w:r>
              <w:rPr>
                <w:sz w:val="18"/>
                <w:vertAlign w:val="subscript"/>
              </w:rPr>
              <w:t xml:space="preserve">t</w:t>
            </w:r>
            <w:r>
              <w:rPr>
                <w:sz w:val="18"/>
              </w:rPr>
              <w:t xml:space="preserve"> </w:t>
            </w:r>
            <w:r>
              <w:rPr>
                <w:sz w:val="18"/>
              </w:rPr>
              <w:t xml:space="preserve">divided by N</w:t>
            </w:r>
            <w:r>
              <w:rPr>
                <w:sz w:val="18"/>
                <w:vertAlign w:val="subscript"/>
              </w:rPr>
              <w:t xml:space="preserve">t</w:t>
            </w:r>
            <w:r>
              <w:rPr>
                <w:sz w:val="18"/>
              </w:rPr>
              <w:t xml:space="preserve">.</w:t>
            </w:r>
          </w:p>
        </w:tc>
        <w:tc>
          <w:tcPr>
            <w:tcW w:w="3131" w:type="dxa"/>
          </w:tcPr>
          <w:p>
            <w:pPr>
              <w:pStyle w:val="Compact"/>
              <w:spacing w:before="0" w:after="0" w:lineRule="exact" w:line="220"/>
              <w:jc w:val="left"/>
            </w:pPr>
            <w:r>
              <w:rPr>
                <w:sz w:val="18"/>
              </w:rPr>
              <w:t xml:space="preserve">Author’s calculation</w:t>
            </w:r>
          </w:p>
        </w:tc>
      </w:tr>
      <w:tr>
        <w:trPr>
          <w:cantSplit/>
        </w:trPr>
        <w:tc>
          <w:tcPr>
            <w:tcW w:w="2242" w:type="dxa"/>
          </w:tcPr>
          <w:p>
            <w:pPr>
              <w:pStyle w:val="Compact"/>
              <w:spacing w:before="0" w:after="0" w:lineRule="exact" w:line="220"/>
              <w:jc w:val="left"/>
            </w:pPr>
            <w:r>
              <w:rPr>
                <w:sz w:val="18"/>
              </w:rPr>
              <w:t xml:space="preserve">First-time entry</w:t>
            </w:r>
          </w:p>
        </w:tc>
        <w:tc>
          <w:tcPr>
            <w:tcW w:w="3131" w:type="dxa"/>
          </w:tcPr>
          <w:p>
            <w:pPr>
              <w:pStyle w:val="Compact"/>
              <w:spacing w:before="0" w:after="0" w:lineRule="exact" w:line="220"/>
              <w:jc w:val="left"/>
            </w:pPr>
            <w:r>
              <w:rPr>
                <w:sz w:val="18"/>
              </w:rPr>
              <w:t xml:space="preserve">A seller that reports beginning to sell online in the year being measured. The entry test uses the share of such sellers among the sellers of 2023.</w:t>
            </w:r>
          </w:p>
        </w:tc>
        <w:tc>
          <w:tcPr>
            <w:tcW w:w="3131" w:type="dxa"/>
          </w:tcPr>
          <w:p>
            <w:pPr>
              <w:pStyle w:val="Compact"/>
              <w:spacing w:before="0" w:after="0" w:lineRule="exact" w:line="220"/>
              <w:jc w:val="left"/>
            </w:pPr>
            <w:r>
              <w:rPr>
                <w:sz w:val="18"/>
              </w:rPr>
              <w:t xml:space="preserve">BPS e-commerce survey file for 2023 (licensed)</w:t>
            </w:r>
          </w:p>
        </w:tc>
      </w:tr>
      <w:tr>
        <w:trPr>
          <w:cantSplit/>
        </w:trPr>
        <w:tc>
          <w:tcPr>
            <w:tcW w:w="8504" w:type="dxa"/>
            <w:gridSpan w:val="3"/>
          </w:tcPr>
          <w:p>
            <w:pPr>
              <w:pStyle w:val="Compact"/>
              <w:keepNext/>
              <w:spacing w:before="0" w:after="0" w:lineRule="exact" w:line="220"/>
              <w:jc w:val="left"/>
            </w:pPr>
            <w:r>
              <w:rPr>
                <w:iCs/>
                <w:i/>
                <w:sz w:val="18"/>
              </w:rPr>
              <w:t xml:space="preserve">Panel C: Market variables</w:t>
            </w:r>
          </w:p>
        </w:tc>
      </w:tr>
      <w:tr>
        <w:trPr>
          <w:cantSplit/>
        </w:trPr>
        <w:tc>
          <w:tcPr>
            <w:tcW w:w="2242" w:type="dxa"/>
          </w:tcPr>
          <w:p>
            <w:pPr>
              <w:pStyle w:val="Compact"/>
              <w:spacing w:before="0" w:after="0" w:lineRule="exact" w:line="220"/>
              <w:jc w:val="left"/>
            </w:pPr>
            <w:r>
              <w:rPr>
                <w:sz w:val="18"/>
              </w:rPr>
              <w:t xml:space="preserve">MV</w:t>
            </w:r>
            <w:r>
              <w:rPr>
                <w:sz w:val="18"/>
                <w:vertAlign w:val="subscript"/>
              </w:rPr>
              <w:t xml:space="preserve">it</w:t>
            </w:r>
          </w:p>
        </w:tc>
        <w:tc>
          <w:tcPr>
            <w:tcW w:w="3131" w:type="dxa"/>
          </w:tcPr>
          <w:p>
            <w:pPr>
              <w:pStyle w:val="Compact"/>
              <w:spacing w:before="0" w:after="0" w:lineRule="exact" w:line="220"/>
              <w:jc w:val="left"/>
            </w:pPr>
            <w:r>
              <w:rPr>
                <w:sz w:val="18"/>
              </w:rPr>
              <w:t xml:space="preserve">Market value: the year-end market value of listed platform i.</w:t>
            </w:r>
          </w:p>
        </w:tc>
        <w:tc>
          <w:tcPr>
            <w:tcW w:w="3131" w:type="dxa"/>
          </w:tcPr>
          <w:p>
            <w:pPr>
              <w:pStyle w:val="Compact"/>
              <w:spacing w:before="0" w:after="0" w:lineRule="exact" w:line="220"/>
              <w:jc w:val="left"/>
            </w:pPr>
            <w:r>
              <w:rPr>
                <w:sz w:val="18"/>
              </w:rPr>
              <w:t xml:space="preserve">London Stock Exchange Group (LSEG) data (licensed)</w:t>
            </w:r>
          </w:p>
        </w:tc>
      </w:tr>
      <w:tr>
        <w:trPr>
          <w:cantSplit/>
        </w:trPr>
        <w:tc>
          <w:tcPr>
            <w:tcW w:w="2242" w:type="dxa"/>
          </w:tcPr>
          <w:p>
            <w:pPr>
              <w:pStyle w:val="Compact"/>
              <w:spacing w:before="0" w:after="0" w:lineRule="exact" w:line="220"/>
              <w:jc w:val="left"/>
            </w:pPr>
            <w:r>
              <w:rPr>
                <w:sz w:val="18"/>
              </w:rPr>
              <w:t xml:space="preserve">β</w:t>
            </w:r>
            <w:r>
              <w:rPr>
                <w:sz w:val="18"/>
                <w:vertAlign w:val="subscript"/>
              </w:rPr>
              <w:t xml:space="preserve">V</w:t>
            </w:r>
            <w:r>
              <w:rPr>
                <w:sz w:val="18"/>
              </w:rPr>
              <w:t xml:space="preserve">, β</w:t>
            </w:r>
            <w:r>
              <w:rPr>
                <w:sz w:val="18"/>
                <w:vertAlign w:val="subscript"/>
              </w:rPr>
              <w:t xml:space="preserve">m</w:t>
            </w:r>
          </w:p>
        </w:tc>
        <w:tc>
          <w:tcPr>
            <w:tcW w:w="3131" w:type="dxa"/>
          </w:tcPr>
          <w:p>
            <w:pPr>
              <w:pStyle w:val="Compact"/>
              <w:spacing w:before="0" w:after="0" w:lineRule="exact" w:line="220"/>
              <w:jc w:val="left"/>
            </w:pPr>
            <w:r>
              <w:rPr>
                <w:sz w:val="18"/>
              </w:rPr>
              <w:t xml:space="preserve">Coefficients in equation (8): how the change in market value moves with the change in transaction value and with the change in the take rate.</w:t>
            </w:r>
          </w:p>
        </w:tc>
        <w:tc>
          <w:tcPr>
            <w:tcW w:w="3131" w:type="dxa"/>
          </w:tcPr>
          <w:p>
            <w:pPr>
              <w:pStyle w:val="Compact"/>
              <w:spacing w:before="0" w:after="0" w:lineRule="exact" w:line="220"/>
              <w:jc w:val="left"/>
            </w:pPr>
            <w:r>
              <w:rPr>
                <w:sz w:val="18"/>
              </w:rPr>
              <w:t xml:space="preserve">Author’s estimate</w:t>
            </w:r>
          </w:p>
        </w:tc>
      </w:tr>
      <w:tr>
        <w:trPr>
          <w:cantSplit/>
        </w:trPr>
        <w:tc>
          <w:tcPr>
            <w:tcW w:w="8504" w:type="dxa"/>
            <w:gridSpan w:val="3"/>
          </w:tcPr>
          <w:p>
            <w:pPr>
              <w:pStyle w:val="Compact"/>
              <w:keepNext/>
              <w:spacing w:before="0" w:after="0" w:lineRule="exact" w:line="220"/>
              <w:jc w:val="left"/>
            </w:pPr>
            <w:r>
              <w:rPr>
                <w:iCs/>
                <w:i/>
                <w:sz w:val="18"/>
              </w:rPr>
              <w:t xml:space="preserve">Panel D: Labels</w:t>
            </w:r>
          </w:p>
        </w:tc>
      </w:tr>
      <w:tr>
        <w:trPr>
          <w:cantSplit/>
        </w:trPr>
        <w:tc>
          <w:tcPr>
            <w:tcW w:w="2242" w:type="dxa"/>
          </w:tcPr>
          <w:p>
            <w:pPr>
              <w:pStyle w:val="Compact"/>
              <w:spacing w:before="0" w:after="0" w:lineRule="exact" w:line="220"/>
              <w:jc w:val="left"/>
            </w:pPr>
            <w:r>
              <w:rPr>
                <w:sz w:val="18"/>
              </w:rPr>
              <w:t xml:space="preserve">H1, H2</w:t>
            </w:r>
          </w:p>
        </w:tc>
        <w:tc>
          <w:tcPr>
            <w:tcW w:w="3131" w:type="dxa"/>
          </w:tcPr>
          <w:p>
            <w:pPr>
              <w:pStyle w:val="Compact"/>
              <w:spacing w:before="0" w:after="0" w:lineRule="exact" w:line="220"/>
              <w:jc w:val="left"/>
            </w:pPr>
            <w:r>
              <w:rPr>
                <w:sz w:val="18"/>
              </w:rPr>
              <w:t xml:space="preserve">The two hypotheses of Section 3.4.</w:t>
            </w:r>
          </w:p>
        </w:tc>
        <w:tc>
          <w:tcPr>
            <w:tcW w:w="3131" w:type="dxa"/>
          </w:tcPr>
          <w:p>
            <w:pPr>
              <w:pStyle w:val="Compact"/>
              <w:spacing w:before="0" w:after="0" w:lineRule="exact" w:line="220"/>
              <w:jc w:val="left"/>
            </w:pPr>
            <w:r>
              <w:rPr>
                <w:sz w:val="18"/>
              </w:rPr>
              <w:t xml:space="preserve">Author’s definition</w:t>
            </w:r>
          </w:p>
        </w:tc>
      </w:tr>
      <w:tr>
        <w:trPr>
          <w:cantSplit/>
        </w:trPr>
        <w:tc>
          <w:tcPr>
            <w:tcW w:w="8504" w:type="dxa"/>
            <w:gridSpan w:val="3"/>
          </w:tcPr>
          <w:p>
            <w:pPr>
              <w:pStyle w:val="Compact"/>
              <w:keepNext/>
              <w:spacing w:before="0" w:after="0" w:lineRule="exact" w:line="220"/>
              <w:jc w:val="left"/>
            </w:pPr>
            <w:r>
              <w:rPr>
                <w:iCs/>
                <w:i/>
                <w:sz w:val="18"/>
              </w:rPr>
              <w:t xml:space="preserve">Panel E: Variables of the regressions (Chapter 5)</w:t>
            </w:r>
          </w:p>
        </w:tc>
      </w:tr>
      <w:tr>
        <w:trPr>
          <w:cantSplit/>
        </w:trPr>
        <w:tc>
          <w:tcPr>
            <w:tcW w:w="2242" w:type="dxa"/>
          </w:tcPr>
          <w:p>
            <w:pPr>
              <w:pStyle w:val="Compact"/>
              <w:spacing w:before="0" w:after="0" w:lineRule="exact" w:line="220"/>
              <w:jc w:val="left"/>
            </w:pPr>
            <w:r>
              <w:rPr>
                <w:sz w:val="18"/>
              </w:rPr>
              <w:t xml:space="preserve">Wedge in US dollars, and its natural logarithm</w:t>
            </w:r>
          </w:p>
        </w:tc>
        <w:tc>
          <w:tcPr>
            <w:tcW w:w="3131" w:type="dxa"/>
          </w:tcPr>
          <w:p>
            <w:pPr>
              <w:pStyle w:val="Compact"/>
              <w:spacing w:before="0" w:after="0" w:lineRule="exact" w:line="220"/>
              <w:jc w:val="left"/>
            </w:pPr>
            <w:r>
              <w:rPr>
                <w:sz w:val="18"/>
              </w:rPr>
              <w:t xml:space="preserve">The invisible wedge W</w:t>
            </w:r>
            <w:r>
              <w:rPr>
                <w:sz w:val="18"/>
                <w:vertAlign w:val="subscript"/>
              </w:rPr>
              <w:t xml:space="preserve">it</w:t>
            </w:r>
            <w:r>
              <w:rPr>
                <w:sz w:val="18"/>
              </w:rPr>
              <w:t xml:space="preserve"> </w:t>
            </w:r>
            <w:r>
              <w:rPr>
                <w:sz w:val="18"/>
              </w:rPr>
              <w:t xml:space="preserve">converted to US dollars at the period-average official exchange rate of the reporting currency, in US$ million. The regressions use its natural logarithm.</w:t>
            </w:r>
          </w:p>
        </w:tc>
        <w:tc>
          <w:tcPr>
            <w:tcW w:w="3131" w:type="dxa"/>
          </w:tcPr>
          <w:p>
            <w:pPr>
              <w:pStyle w:val="Compact"/>
              <w:spacing w:before="0" w:after="0" w:lineRule="exact" w:line="220"/>
              <w:jc w:val="left"/>
            </w:pPr>
            <w:r>
              <w:rPr>
                <w:sz w:val="18"/>
              </w:rPr>
              <w:t xml:space="preserve">Company reports; World Bank (2026); author’s calculation</w:t>
            </w:r>
          </w:p>
        </w:tc>
      </w:tr>
      <w:tr>
        <w:trPr>
          <w:cantSplit/>
        </w:trPr>
        <w:tc>
          <w:tcPr>
            <w:tcW w:w="2242" w:type="dxa"/>
          </w:tcPr>
          <w:p>
            <w:pPr>
              <w:pStyle w:val="Compact"/>
              <w:spacing w:before="0" w:after="0" w:lineRule="exact" w:line="220"/>
              <w:jc w:val="left"/>
            </w:pPr>
            <w:r>
              <w:rPr>
                <w:sz w:val="18"/>
              </w:rPr>
              <w:t xml:space="preserve">Ecosystem ratio, capped</w:t>
            </w:r>
          </w:p>
        </w:tc>
        <w:tc>
          <w:tcPr>
            <w:tcW w:w="3131" w:type="dxa"/>
          </w:tcPr>
          <w:p>
            <w:pPr>
              <w:pStyle w:val="Compact"/>
              <w:spacing w:before="0" w:after="0" w:lineRule="exact" w:line="220"/>
              <w:jc w:val="left"/>
            </w:pPr>
            <w:r>
              <w:rPr>
                <w:sz w:val="18"/>
              </w:rPr>
              <w:t xml:space="preserve">E</w:t>
            </w:r>
            <w:r>
              <w:rPr>
                <w:sz w:val="18"/>
                <w:vertAlign w:val="subscript"/>
              </w:rPr>
              <w:t xml:space="preserve">it</w:t>
            </w:r>
            <w:r>
              <w:rPr>
                <w:sz w:val="18"/>
              </w:rPr>
              <w:t xml:space="preserve">, set to its 5th percentile below that value and to its 95th percentile above that value, across all platform-years.</w:t>
            </w:r>
          </w:p>
        </w:tc>
        <w:tc>
          <w:tcPr>
            <w:tcW w:w="3131" w:type="dxa"/>
          </w:tcPr>
          <w:p>
            <w:pPr>
              <w:pStyle w:val="Compact"/>
              <w:spacing w:before="0" w:after="0" w:lineRule="exact" w:line="220"/>
              <w:jc w:val="left"/>
            </w:pPr>
            <w:r>
              <w:rPr>
                <w:sz w:val="18"/>
              </w:rPr>
              <w:t xml:space="preserve">Author’s calculation</w:t>
            </w:r>
          </w:p>
        </w:tc>
      </w:tr>
      <w:tr>
        <w:trPr>
          <w:cantSplit/>
        </w:trPr>
        <w:tc>
          <w:tcPr>
            <w:tcW w:w="2242" w:type="dxa"/>
          </w:tcPr>
          <w:p>
            <w:pPr>
              <w:pStyle w:val="Compact"/>
              <w:spacing w:before="0" w:after="0" w:lineRule="exact" w:line="220"/>
              <w:jc w:val="left"/>
            </w:pPr>
            <w:r>
              <w:rPr>
                <w:sz w:val="18"/>
              </w:rPr>
              <w:t xml:space="preserve">g(R</w:t>
            </w:r>
            <w:r>
              <w:rPr>
                <w:sz w:val="18"/>
                <w:vertAlign w:val="subscript"/>
              </w:rPr>
              <w:t xml:space="preserve">it</w:t>
            </w:r>
            <w:r>
              <w:rPr>
                <w:sz w:val="18"/>
              </w:rPr>
              <w:t xml:space="preserve">), g(V</w:t>
            </w:r>
            <w:r>
              <w:rPr>
                <w:sz w:val="18"/>
                <w:vertAlign w:val="subscript"/>
              </w:rPr>
              <w:t xml:space="preserve">it</w:t>
            </w:r>
            <w:r>
              <w:rPr>
                <w:sz w:val="18"/>
              </w:rPr>
              <w:t xml:space="preserve">), capped</w:t>
            </w:r>
          </w:p>
        </w:tc>
        <w:tc>
          <w:tcPr>
            <w:tcW w:w="3131" w:type="dxa"/>
          </w:tcPr>
          <w:p>
            <w:pPr>
              <w:pStyle w:val="Compact"/>
              <w:spacing w:before="0" w:after="0" w:lineRule="exact" w:line="220"/>
              <w:jc w:val="left"/>
            </w:pPr>
            <w:r>
              <w:rPr>
                <w:sz w:val="18"/>
              </w:rPr>
              <w:t xml:space="preserve">Growth of revenue and of transaction value as defined in Panel A, for consecutive years of one platform only, set to the 5th and 95th percentiles across all platforms.</w:t>
            </w:r>
          </w:p>
        </w:tc>
        <w:tc>
          <w:tcPr>
            <w:tcW w:w="3131" w:type="dxa"/>
          </w:tcPr>
          <w:p>
            <w:pPr>
              <w:pStyle w:val="Compact"/>
              <w:spacing w:before="0" w:after="0" w:lineRule="exact" w:line="220"/>
              <w:jc w:val="left"/>
            </w:pPr>
            <w:r>
              <w:rPr>
                <w:sz w:val="18"/>
              </w:rPr>
              <w:t xml:space="preserve">Company reports; author’s calculation</w:t>
            </w:r>
          </w:p>
        </w:tc>
      </w:tr>
      <w:tr>
        <w:trPr>
          <w:cantSplit/>
        </w:trPr>
        <w:tc>
          <w:tcPr>
            <w:tcW w:w="2242" w:type="dxa"/>
          </w:tcPr>
          <w:p>
            <w:pPr>
              <w:pStyle w:val="Compact"/>
              <w:spacing w:before="0" w:after="0" w:lineRule="exact" w:line="220"/>
              <w:jc w:val="left"/>
            </w:pPr>
            <w:r>
              <w:rPr>
                <w:sz w:val="18"/>
              </w:rPr>
              <w:t xml:space="preserve">IndonesiaRegion</w:t>
            </w:r>
          </w:p>
        </w:tc>
        <w:tc>
          <w:tcPr>
            <w:tcW w:w="3131" w:type="dxa"/>
          </w:tcPr>
          <w:p>
            <w:pPr>
              <w:pStyle w:val="Compact"/>
              <w:spacing w:before="0" w:after="0" w:lineRule="exact" w:line="220"/>
              <w:jc w:val="left"/>
            </w:pPr>
            <w:r>
              <w:rPr>
                <w:sz w:val="18"/>
              </w:rPr>
              <w:t xml:space="preserve">A dummy variable that equals one for Tokopedia, Blibli, Bukalapak and the on-demand businesses of Grab and GoTo, and zero for the 27 foreign platforms.</w:t>
            </w:r>
          </w:p>
        </w:tc>
        <w:tc>
          <w:tcPr>
            <w:tcW w:w="3131" w:type="dxa"/>
          </w:tcPr>
          <w:p>
            <w:pPr>
              <w:pStyle w:val="Compact"/>
              <w:spacing w:before="0" w:after="0" w:lineRule="exact" w:line="220"/>
              <w:jc w:val="left"/>
            </w:pPr>
            <w:r>
              <w:rPr>
                <w:sz w:val="18"/>
              </w:rPr>
              <w:t xml:space="preserve">Author’s classification (Appendix B)</w:t>
            </w:r>
          </w:p>
        </w:tc>
      </w:tr>
      <w:tr>
        <w:trPr>
          <w:cantSplit/>
        </w:trPr>
        <w:tc>
          <w:tcPr>
            <w:tcW w:w="2242" w:type="dxa"/>
          </w:tcPr>
          <w:p>
            <w:pPr>
              <w:pStyle w:val="Compact"/>
              <w:spacing w:before="0" w:after="0" w:lineRule="exact" w:line="220"/>
              <w:jc w:val="left"/>
            </w:pPr>
            <w:r>
              <w:rPr>
                <w:sz w:val="18"/>
              </w:rPr>
              <w:t xml:space="preserve">ln(1+YearsListed)</w:t>
            </w:r>
          </w:p>
        </w:tc>
        <w:tc>
          <w:tcPr>
            <w:tcW w:w="3131" w:type="dxa"/>
          </w:tcPr>
          <w:p>
            <w:pPr>
              <w:pStyle w:val="Compact"/>
              <w:spacing w:before="0" w:after="0" w:lineRule="exact" w:line="220"/>
              <w:jc w:val="left"/>
            </w:pPr>
            <w:r>
              <w:rPr>
                <w:sz w:val="18"/>
              </w:rPr>
              <w:t xml:space="preserve">Natural logarithm of one plus the number of years since the platform listed on a stock exchange; zero before listing.</w:t>
            </w:r>
          </w:p>
        </w:tc>
        <w:tc>
          <w:tcPr>
            <w:tcW w:w="3131" w:type="dxa"/>
          </w:tcPr>
          <w:p>
            <w:pPr>
              <w:pStyle w:val="Compact"/>
              <w:spacing w:before="0" w:after="0" w:lineRule="exact" w:line="220"/>
              <w:jc w:val="left"/>
            </w:pPr>
            <w:r>
              <w:rPr>
                <w:sz w:val="18"/>
              </w:rPr>
              <w:t xml:space="preserve">Listing years from public record; author’s calculation</w:t>
            </w:r>
          </w:p>
        </w:tc>
      </w:tr>
      <w:tr>
        <w:trPr>
          <w:cantSplit/>
        </w:trPr>
        <w:tc>
          <w:tcPr>
            <w:tcW w:w="2242" w:type="dxa"/>
          </w:tcPr>
          <w:p>
            <w:pPr>
              <w:pStyle w:val="Compact"/>
              <w:spacing w:before="0" w:after="0" w:lineRule="exact" w:line="220"/>
              <w:jc w:val="left"/>
            </w:pPr>
            <w:r>
              <w:rPr>
                <w:sz w:val="18"/>
              </w:rPr>
              <w:t xml:space="preserve">ln(Assets)</w:t>
            </w:r>
          </w:p>
        </w:tc>
        <w:tc>
          <w:tcPr>
            <w:tcW w:w="3131" w:type="dxa"/>
          </w:tcPr>
          <w:p>
            <w:pPr>
              <w:pStyle w:val="Compact"/>
              <w:spacing w:before="0" w:after="0" w:lineRule="exact" w:line="220"/>
              <w:jc w:val="left"/>
            </w:pPr>
            <w:r>
              <w:rPr>
                <w:sz w:val="18"/>
              </w:rPr>
              <w:t xml:space="preserve">Natural logarithm of the company’s total assets in US dollars, converted at the period-average official exchange rate of the reporting currency.</w:t>
            </w:r>
          </w:p>
        </w:tc>
        <w:tc>
          <w:tcPr>
            <w:tcW w:w="3131" w:type="dxa"/>
          </w:tcPr>
          <w:p>
            <w:pPr>
              <w:pStyle w:val="Compact"/>
              <w:spacing w:before="0" w:after="0" w:lineRule="exact" w:line="220"/>
              <w:jc w:val="left"/>
            </w:pPr>
            <w:r>
              <w:rPr>
                <w:sz w:val="18"/>
              </w:rPr>
              <w:t xml:space="preserve">SEC filings (U.S. Securities and Exchange Commission 2026) for 26 platforms; published financial statements for Tokopedia and GoTo, Blibli, Bukalapak, Rakuten and Zalando</w:t>
            </w:r>
          </w:p>
        </w:tc>
      </w:tr>
      <w:tr>
        <w:trPr>
          <w:cantSplit/>
        </w:trPr>
        <w:tc>
          <w:tcPr>
            <w:tcW w:w="2242" w:type="dxa"/>
          </w:tcPr>
          <w:p>
            <w:pPr>
              <w:pStyle w:val="Compact"/>
              <w:spacing w:before="0" w:after="0" w:lineRule="exact" w:line="220"/>
              <w:jc w:val="left"/>
            </w:pPr>
            <w:r>
              <w:rPr>
                <w:sz w:val="18"/>
              </w:rPr>
              <w:t xml:space="preserve">OnDemand, Travel, Freelance, Resale</w:t>
            </w:r>
          </w:p>
        </w:tc>
        <w:tc>
          <w:tcPr>
            <w:tcW w:w="3131" w:type="dxa"/>
          </w:tcPr>
          <w:p>
            <w:pPr>
              <w:pStyle w:val="Compact"/>
              <w:spacing w:before="0" w:after="0" w:lineRule="exact" w:line="220"/>
              <w:jc w:val="left"/>
            </w:pPr>
            <w:r>
              <w:rPr>
                <w:sz w:val="18"/>
              </w:rPr>
              <w:t xml:space="preserve">Dummy variables that equal one if the platform is of that type and zero otherwise. The base category is marketplace.</w:t>
            </w:r>
          </w:p>
        </w:tc>
        <w:tc>
          <w:tcPr>
            <w:tcW w:w="3131" w:type="dxa"/>
          </w:tcPr>
          <w:p>
            <w:pPr>
              <w:pStyle w:val="Compact"/>
              <w:spacing w:before="0" w:after="0" w:lineRule="exact" w:line="220"/>
              <w:jc w:val="left"/>
            </w:pPr>
            <w:r>
              <w:rPr>
                <w:sz w:val="18"/>
              </w:rPr>
              <w:t xml:space="preserve">Author’s classification (Appendix B)</w:t>
            </w:r>
          </w:p>
        </w:tc>
      </w:tr>
      <w:tr>
        <w:trPr>
          <w:cantSplit/>
        </w:trPr>
        <w:tc>
          <w:tcPr>
            <w:tcW w:w="2242" w:type="dxa"/>
          </w:tcPr>
          <w:p>
            <w:pPr>
              <w:pStyle w:val="Compact"/>
              <w:spacing w:before="0" w:after="0" w:lineRule="exact" w:line="220"/>
              <w:jc w:val="left"/>
            </w:pPr>
            <w:r>
              <w:rPr>
                <w:sz w:val="18"/>
              </w:rPr>
              <w:t xml:space="preserve">EmergingMarket</w:t>
            </w:r>
          </w:p>
        </w:tc>
        <w:tc>
          <w:tcPr>
            <w:tcW w:w="3131" w:type="dxa"/>
          </w:tcPr>
          <w:p>
            <w:pPr>
              <w:pStyle w:val="Compact"/>
              <w:spacing w:before="0" w:after="0" w:lineRule="exact" w:line="220"/>
              <w:jc w:val="left"/>
            </w:pPr>
            <w:r>
              <w:rPr>
                <w:sz w:val="18"/>
              </w:rPr>
              <w:t xml:space="preserve">A dummy variable that equals one if the platform’s main market is Argentina, Brazil, China, India, Indonesia, Kazakhstan, Nigeria, Russia or Turkey, and zero otherwise.</w:t>
            </w:r>
          </w:p>
        </w:tc>
        <w:tc>
          <w:tcPr>
            <w:tcW w:w="3131" w:type="dxa"/>
          </w:tcPr>
          <w:p>
            <w:pPr>
              <w:pStyle w:val="Compact"/>
              <w:spacing w:before="0" w:after="0" w:lineRule="exact" w:line="220"/>
              <w:jc w:val="left"/>
            </w:pPr>
            <w:r>
              <w:rPr>
                <w:sz w:val="18"/>
              </w:rPr>
              <w:t xml:space="preserve">Author’s classification (Appendix B)</w:t>
            </w:r>
          </w:p>
        </w:tc>
      </w:tr>
      <w:tr>
        <w:trPr>
          <w:cantSplit/>
        </w:trPr>
        <w:tc>
          <w:tcPr>
            <w:tcW w:w="2242" w:type="dxa"/>
          </w:tcPr>
          <w:p>
            <w:pPr>
              <w:pStyle w:val="Compact"/>
              <w:spacing w:before="0" w:after="0" w:lineRule="exact" w:line="220"/>
              <w:jc w:val="left"/>
            </w:pPr>
            <w:r>
              <w:rPr>
                <w:sz w:val="18"/>
              </w:rPr>
              <w:t xml:space="preserve">GDPGrowth</w:t>
            </w:r>
          </w:p>
        </w:tc>
        <w:tc>
          <w:tcPr>
            <w:tcW w:w="3131" w:type="dxa"/>
          </w:tcPr>
          <w:p>
            <w:pPr>
              <w:pStyle w:val="Compact"/>
              <w:spacing w:before="0" w:after="0" w:lineRule="exact" w:line="220"/>
              <w:jc w:val="left"/>
            </w:pPr>
            <w:r>
              <w:rPr>
                <w:sz w:val="18"/>
              </w:rPr>
              <w:t xml:space="preserve">Growth of real gross domestic product of the platform’s main market in year t, in percent.</w:t>
            </w:r>
          </w:p>
        </w:tc>
        <w:tc>
          <w:tcPr>
            <w:tcW w:w="3131" w:type="dxa"/>
          </w:tcPr>
          <w:p>
            <w:pPr>
              <w:pStyle w:val="Compact"/>
              <w:spacing w:before="0" w:after="0" w:lineRule="exact" w:line="220"/>
              <w:jc w:val="left"/>
            </w:pPr>
            <w:r>
              <w:rPr>
                <w:sz w:val="18"/>
              </w:rPr>
              <w:t xml:space="preserve">World Bank (2026)</w:t>
            </w:r>
          </w:p>
        </w:tc>
      </w:tr>
      <w:tr>
        <w:trPr>
          <w:cantSplit/>
        </w:trPr>
        <w:tc>
          <w:tcPr>
            <w:tcW w:w="2242" w:type="dxa"/>
          </w:tcPr>
          <w:p>
            <w:pPr>
              <w:pStyle w:val="Compact"/>
              <w:spacing w:before="0" w:after="0" w:lineRule="exact" w:line="220"/>
              <w:jc w:val="left"/>
            </w:pPr>
            <w:r>
              <w:rPr>
                <w:sz w:val="18"/>
              </w:rPr>
              <w:t xml:space="preserve">Inflation</w:t>
            </w:r>
          </w:p>
        </w:tc>
        <w:tc>
          <w:tcPr>
            <w:tcW w:w="3131" w:type="dxa"/>
          </w:tcPr>
          <w:p>
            <w:pPr>
              <w:pStyle w:val="Compact"/>
              <w:spacing w:before="0" w:after="0" w:lineRule="exact" w:line="220"/>
              <w:jc w:val="left"/>
            </w:pPr>
            <w:r>
              <w:rPr>
                <w:sz w:val="18"/>
              </w:rPr>
              <w:t xml:space="preserve">Growth of consumer prices of the platform’s main market in year t, in percent.</w:t>
            </w:r>
          </w:p>
        </w:tc>
        <w:tc>
          <w:tcPr>
            <w:tcW w:w="3131" w:type="dxa"/>
          </w:tcPr>
          <w:p>
            <w:pPr>
              <w:pStyle w:val="Compact"/>
              <w:spacing w:before="0" w:after="0" w:lineRule="exact" w:line="220"/>
              <w:jc w:val="left"/>
            </w:pPr>
            <w:r>
              <w:rPr>
                <w:sz w:val="18"/>
              </w:rPr>
              <w:t xml:space="preserve">World Bank (2026)</w:t>
            </w:r>
          </w:p>
        </w:tc>
      </w:tr>
      <w:tr>
        <w:trPr>
          <w:cantSplit/>
        </w:trPr>
        <w:tc>
          <w:tcPr>
            <w:tcW w:w="2242" w:type="dxa"/>
          </w:tcPr>
          <w:p>
            <w:pPr>
              <w:pStyle w:val="Compact"/>
              <w:keepNext/>
              <w:spacing w:before="0" w:after="0" w:lineRule="exact" w:line="220"/>
              <w:jc w:val="left"/>
            </w:pPr>
            <w:r>
              <w:rPr>
                <w:sz w:val="18"/>
              </w:rPr>
              <w:t xml:space="preserve">HouseholdGrowth</w:t>
            </w:r>
          </w:p>
        </w:tc>
        <w:tc>
          <w:tcPr>
            <w:tcW w:w="3131" w:type="dxa"/>
          </w:tcPr>
          <w:p>
            <w:pPr>
              <w:pStyle w:val="Compact"/>
              <w:keepNext/>
              <w:spacing w:before="0" w:after="0" w:lineRule="exact" w:line="220"/>
              <w:jc w:val="left"/>
            </w:pPr>
            <w:r>
              <w:rPr>
                <w:sz w:val="18"/>
              </w:rPr>
              <w:t xml:space="preserve">Growth of real household final consumption expenditure of the platform’s main market in year t, in percent.</w:t>
            </w:r>
          </w:p>
        </w:tc>
        <w:tc>
          <w:tcPr>
            <w:tcW w:w="3131" w:type="dxa"/>
          </w:tcPr>
          <w:p>
            <w:pPr>
              <w:pStyle w:val="Compact"/>
              <w:keepNext/>
              <w:spacing w:before="0" w:after="0" w:lineRule="exact" w:line="220"/>
              <w:jc w:val="left"/>
            </w:pPr>
            <w:r>
              <w:rPr>
                <w:sz w:val="18"/>
              </w:rPr>
              <w:t xml:space="preserve">World Bank (2026)</w:t>
            </w:r>
          </w:p>
        </w:tc>
      </w:tr>
      <w:tr>
        <w:trPr>
          <w:cantSplit/>
        </w:trPr>
        <w:tc>
          <w:tcPr>
            <w:tcW w:w="2242" w:type="dxa"/>
          </w:tcPr>
          <w:p>
            <w:pPr>
              <w:pStyle w:val="Compact"/>
              <w:spacing w:before="0" w:after="0" w:lineRule="exact" w:line="220"/>
              <w:jc w:val="left"/>
            </w:pPr>
            <w:r>
              <w:rPr>
                <w:sz w:val="18"/>
              </w:rPr>
              <w:t xml:space="preserve">PolicyRate</w:t>
            </w:r>
          </w:p>
        </w:tc>
        <w:tc>
          <w:tcPr>
            <w:tcW w:w="3131" w:type="dxa"/>
          </w:tcPr>
          <w:p>
            <w:pPr>
              <w:pStyle w:val="Compact"/>
              <w:spacing w:before="0" w:after="0" w:lineRule="exact" w:line="220"/>
              <w:jc w:val="left"/>
            </w:pPr>
            <w:r>
              <w:rPr>
                <w:sz w:val="18"/>
              </w:rPr>
              <w:t xml:space="preserve">The central bank’s policy rate in the platform’s main market, mean of the monthly values in year t, in percent. The euro-area rate is used for Germany.</w:t>
            </w:r>
          </w:p>
        </w:tc>
        <w:tc>
          <w:tcPr>
            <w:tcW w:w="3131" w:type="dxa"/>
          </w:tcPr>
          <w:p>
            <w:pPr>
              <w:pStyle w:val="Compact"/>
              <w:spacing w:before="0" w:after="0" w:lineRule="exact" w:line="220"/>
              <w:jc w:val="left"/>
            </w:pPr>
            <w:r>
              <w:rPr>
                <w:sz w:val="18"/>
              </w:rPr>
              <w:t xml:space="preserve">Bank for International Settlements (2026)</w:t>
            </w:r>
          </w:p>
        </w:tc>
      </w:tr>
    </w:tbl>
    <w:bookmarkEnd w:id="90"/>
    <w:bookmarkStart w:id="91" w:name="a.2-sources-compared-in-objective-3"/>
    <w:p>
      <w:pPr>
        <w:pStyle w:val="Heading3"/>
      </w:pPr>
      <w:r>
        <w:t xml:space="preserve">A.2 Sources compared in Objective 3</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879"/>
        <w:gridCol w:w="3477"/>
        <w:gridCol w:w="3148"/>
      </w:tblGrid>
      <w:tr>
        <w:trPr>
          <w:tblHeader w:val="true"/>
          <w:cantSplit/>
          <w:tblHeader/>
        </w:trPr>
        <w:tc>
          <w:tcPr>
            <w:tcW w:w="1879" w:type="dxa"/>
            <w:tcBorders>
              <w:bottom w:val="single" w:sz="5" w:space="0" w:color="000000"/>
            </w:tcBorders>
          </w:tcPr>
          <w:p>
            <w:pPr>
              <w:pStyle w:val="Compact"/>
              <w:keepNext/>
              <w:spacing w:before="0" w:after="0" w:lineRule="exact" w:line="220"/>
              <w:jc w:val="left"/>
            </w:pPr>
            <w:r>
              <w:rPr>
                <w:b/>
                <w:sz w:val="18"/>
              </w:rPr>
              <w:t xml:space="preserve">Source</w:t>
            </w:r>
          </w:p>
        </w:tc>
        <w:tc>
          <w:tcPr>
            <w:tcW w:w="3477" w:type="dxa"/>
            <w:tcBorders>
              <w:bottom w:val="single" w:sz="5" w:space="0" w:color="000000"/>
            </w:tcBorders>
          </w:tcPr>
          <w:p>
            <w:pPr>
              <w:pStyle w:val="Compact"/>
              <w:keepNext/>
              <w:spacing w:before="0" w:after="0" w:lineRule="exact" w:line="220"/>
              <w:jc w:val="left"/>
            </w:pPr>
            <w:r>
              <w:rPr>
                <w:b/>
                <w:sz w:val="18"/>
              </w:rPr>
              <w:t xml:space="preserve">What it covers</w:t>
            </w:r>
          </w:p>
        </w:tc>
        <w:tc>
          <w:tcPr>
            <w:tcW w:w="3148" w:type="dxa"/>
            <w:tcBorders>
              <w:bottom w:val="single" w:sz="5" w:space="0" w:color="000000"/>
            </w:tcBorders>
          </w:tcPr>
          <w:p>
            <w:pPr>
              <w:pStyle w:val="Compact"/>
              <w:keepNext/>
              <w:spacing w:before="0" w:after="0" w:lineRule="exact" w:line="220"/>
              <w:jc w:val="left"/>
            </w:pPr>
            <w:r>
              <w:rPr>
                <w:b/>
                <w:sz w:val="18"/>
              </w:rPr>
              <w:t xml:space="preserve">How it counts</w:t>
            </w:r>
          </w:p>
        </w:tc>
      </w:tr>
      <w:tr>
        <w:trPr>
          <w:cantSplit/>
        </w:trPr>
        <w:tc>
          <w:tcPr>
            <w:tcW w:w="1879" w:type="dxa"/>
          </w:tcPr>
          <w:p>
            <w:pPr>
              <w:pStyle w:val="Compact"/>
              <w:keepNext/>
              <w:spacing w:before="0" w:after="0" w:lineRule="exact" w:line="220"/>
              <w:jc w:val="left"/>
            </w:pPr>
            <w:r>
              <w:rPr>
                <w:sz w:val="18"/>
              </w:rPr>
              <w:t xml:space="preserve">Platform reports</w:t>
            </w:r>
          </w:p>
        </w:tc>
        <w:tc>
          <w:tcPr>
            <w:tcW w:w="3477" w:type="dxa"/>
          </w:tcPr>
          <w:p>
            <w:pPr>
              <w:pStyle w:val="Compact"/>
              <w:keepNext/>
              <w:spacing w:before="0" w:after="0" w:lineRule="exact" w:line="220"/>
              <w:jc w:val="left"/>
            </w:pPr>
            <w:r>
              <w:rPr>
                <w:sz w:val="18"/>
              </w:rPr>
              <w:t xml:space="preserve">Everything bought through one platform</w:t>
            </w:r>
          </w:p>
        </w:tc>
        <w:tc>
          <w:tcPr>
            <w:tcW w:w="3148" w:type="dxa"/>
          </w:tcPr>
          <w:p>
            <w:pPr>
              <w:pStyle w:val="Compact"/>
              <w:keepNext/>
              <w:spacing w:before="0" w:after="0" w:lineRule="exact" w:line="220"/>
              <w:jc w:val="left"/>
            </w:pPr>
            <w:r>
              <w:rPr>
                <w:sz w:val="18"/>
              </w:rPr>
              <w:t xml:space="preserve">The platform’s own records</w:t>
            </w:r>
          </w:p>
        </w:tc>
      </w:tr>
      <w:tr>
        <w:trPr>
          <w:cantSplit/>
        </w:trPr>
        <w:tc>
          <w:tcPr>
            <w:tcW w:w="1879" w:type="dxa"/>
          </w:tcPr>
          <w:p>
            <w:pPr>
              <w:pStyle w:val="Compact"/>
              <w:keepNext/>
              <w:spacing w:before="0" w:after="0" w:lineRule="exact" w:line="220"/>
              <w:jc w:val="left"/>
            </w:pPr>
            <w:r>
              <w:rPr>
                <w:sz w:val="18"/>
              </w:rPr>
              <w:t xml:space="preserve">BPS online-seller survey</w:t>
            </w:r>
          </w:p>
        </w:tc>
        <w:tc>
          <w:tcPr>
            <w:tcW w:w="3477" w:type="dxa"/>
          </w:tcPr>
          <w:p>
            <w:pPr>
              <w:pStyle w:val="Compact"/>
              <w:keepNext/>
              <w:spacing w:before="0" w:after="0" w:lineRule="exact" w:line="220"/>
              <w:jc w:val="left"/>
            </w:pPr>
            <w:r>
              <w:rPr>
                <w:sz w:val="18"/>
              </w:rPr>
              <w:t xml:space="preserve">Every business that sold online, including chat and social media</w:t>
            </w:r>
          </w:p>
        </w:tc>
        <w:tc>
          <w:tcPr>
            <w:tcW w:w="3148" w:type="dxa"/>
          </w:tcPr>
          <w:p>
            <w:pPr>
              <w:pStyle w:val="Compact"/>
              <w:keepNext/>
              <w:spacing w:before="0" w:after="0" w:lineRule="exact" w:line="220"/>
              <w:jc w:val="left"/>
            </w:pPr>
            <w:r>
              <w:rPr>
                <w:sz w:val="18"/>
              </w:rPr>
              <w:t xml:space="preserve">Listing in sampled areas, scaled up by survey weights</w:t>
            </w:r>
          </w:p>
        </w:tc>
      </w:tr>
      <w:tr>
        <w:trPr>
          <w:cantSplit/>
        </w:trPr>
        <w:tc>
          <w:tcPr>
            <w:tcW w:w="1879" w:type="dxa"/>
          </w:tcPr>
          <w:p>
            <w:pPr>
              <w:pStyle w:val="Compact"/>
              <w:keepNext/>
              <w:spacing w:before="0" w:after="0" w:lineRule="exact" w:line="220"/>
              <w:jc w:val="left"/>
            </w:pPr>
            <w:r>
              <w:rPr>
                <w:sz w:val="18"/>
              </w:rPr>
              <w:t xml:space="preserve">Bank Indonesia e-commerce statistics</w:t>
            </w:r>
          </w:p>
        </w:tc>
        <w:tc>
          <w:tcPr>
            <w:tcW w:w="3477" w:type="dxa"/>
          </w:tcPr>
          <w:p>
            <w:pPr>
              <w:pStyle w:val="Compact"/>
              <w:keepNext/>
              <w:spacing w:before="0" w:after="0" w:lineRule="exact" w:line="220"/>
              <w:jc w:val="left"/>
            </w:pPr>
            <w:r>
              <w:rPr>
                <w:sz w:val="18"/>
              </w:rPr>
              <w:t xml:space="preserve">Transactions of large e-commerce firms (Bank Indonesia 2025)</w:t>
            </w:r>
          </w:p>
        </w:tc>
        <w:tc>
          <w:tcPr>
            <w:tcW w:w="3148" w:type="dxa"/>
          </w:tcPr>
          <w:p>
            <w:pPr>
              <w:pStyle w:val="Compact"/>
              <w:keepNext/>
              <w:spacing w:before="0" w:after="0" w:lineRule="exact" w:line="220"/>
              <w:jc w:val="left"/>
            </w:pPr>
            <w:r>
              <w:rPr>
                <w:sz w:val="18"/>
              </w:rPr>
              <w:t xml:space="preserve">Data sent to the central bank; the method is not public</w:t>
            </w:r>
          </w:p>
        </w:tc>
      </w:tr>
      <w:tr>
        <w:trPr>
          <w:cantSplit/>
        </w:trPr>
        <w:tc>
          <w:tcPr>
            <w:tcW w:w="1879" w:type="dxa"/>
          </w:tcPr>
          <w:p>
            <w:pPr>
              <w:pStyle w:val="Compact"/>
              <w:keepNext/>
              <w:spacing w:before="0" w:after="0" w:lineRule="exact" w:line="220"/>
              <w:jc w:val="left"/>
            </w:pPr>
            <w:r>
              <w:rPr>
                <w:sz w:val="18"/>
              </w:rPr>
              <w:t xml:space="preserve">Industry estimates</w:t>
            </w:r>
          </w:p>
        </w:tc>
        <w:tc>
          <w:tcPr>
            <w:tcW w:w="3477" w:type="dxa"/>
          </w:tcPr>
          <w:p>
            <w:pPr>
              <w:pStyle w:val="Compact"/>
              <w:keepNext/>
              <w:spacing w:before="0" w:after="0" w:lineRule="exact" w:line="220"/>
              <w:jc w:val="left"/>
            </w:pPr>
            <w:r>
              <w:rPr>
                <w:sz w:val="18"/>
              </w:rPr>
              <w:t xml:space="preserve">Shopping marketplaces in Indonesia or Southeast Asia, from the research firm Momentum Works (2024), as quoted by Setyowati (2024), and the e-Conomy report (Google, Temasek and Bain 2024)</w:t>
            </w:r>
          </w:p>
        </w:tc>
        <w:tc>
          <w:tcPr>
            <w:tcW w:w="3148" w:type="dxa"/>
          </w:tcPr>
          <w:p>
            <w:pPr>
              <w:pStyle w:val="Compact"/>
              <w:keepNext/>
              <w:spacing w:before="0" w:after="0" w:lineRule="exact" w:line="220"/>
              <w:jc w:val="left"/>
            </w:pPr>
            <w:r>
              <w:rPr>
                <w:sz w:val="18"/>
              </w:rPr>
              <w:t xml:space="preserve">Outside estimates</w:t>
            </w:r>
          </w:p>
        </w:tc>
      </w:tr>
      <w:tr>
        <w:trPr>
          <w:cantSplit/>
        </w:trPr>
        <w:tc>
          <w:tcPr>
            <w:tcW w:w="1879" w:type="dxa"/>
          </w:tcPr>
          <w:p>
            <w:pPr>
              <w:pStyle w:val="Compact"/>
              <w:keepNext/>
              <w:spacing w:before="0" w:after="0" w:lineRule="exact" w:line="220"/>
              <w:jc w:val="left"/>
            </w:pPr>
            <w:r>
              <w:rPr>
                <w:sz w:val="18"/>
              </w:rPr>
              <w:t xml:space="preserve">Household spending</w:t>
            </w:r>
          </w:p>
        </w:tc>
        <w:tc>
          <w:tcPr>
            <w:tcW w:w="3477" w:type="dxa"/>
          </w:tcPr>
          <w:p>
            <w:pPr>
              <w:pStyle w:val="Compact"/>
              <w:keepNext/>
              <w:spacing w:before="0" w:after="0" w:lineRule="exact" w:line="220"/>
              <w:jc w:val="left"/>
            </w:pPr>
            <w:r>
              <w:rPr>
                <w:sz w:val="18"/>
              </w:rPr>
              <w:t xml:space="preserve">All household purchases</w:t>
            </w:r>
          </w:p>
        </w:tc>
        <w:tc>
          <w:tcPr>
            <w:tcW w:w="3148" w:type="dxa"/>
          </w:tcPr>
          <w:p>
            <w:pPr>
              <w:pStyle w:val="Compact"/>
              <w:keepNext/>
              <w:spacing w:before="0" w:after="0" w:lineRule="exact" w:line="220"/>
              <w:jc w:val="left"/>
            </w:pPr>
            <w:r>
              <w:rPr>
                <w:sz w:val="18"/>
              </w:rPr>
              <w:t xml:space="preserve">BPS national accounts</w:t>
            </w:r>
          </w:p>
        </w:tc>
      </w:tr>
      <w:tr>
        <w:trPr>
          <w:cantSplit/>
        </w:trPr>
        <w:tc>
          <w:tcPr>
            <w:tcW w:w="1879" w:type="dxa"/>
          </w:tcPr>
          <w:p>
            <w:pPr>
              <w:pStyle w:val="Compact"/>
              <w:keepNext/>
              <w:spacing w:before="0" w:after="0" w:lineRule="exact" w:line="220"/>
              <w:jc w:val="left"/>
            </w:pPr>
            <w:r>
              <w:rPr>
                <w:sz w:val="18"/>
              </w:rPr>
              <w:t xml:space="preserve">Payment figures</w:t>
            </w:r>
          </w:p>
        </w:tc>
        <w:tc>
          <w:tcPr>
            <w:tcW w:w="3477" w:type="dxa"/>
          </w:tcPr>
          <w:p>
            <w:pPr>
              <w:pStyle w:val="Compact"/>
              <w:keepNext/>
              <w:spacing w:before="0" w:after="0" w:lineRule="exact" w:line="220"/>
              <w:jc w:val="left"/>
            </w:pPr>
            <w:r>
              <w:rPr>
                <w:sz w:val="18"/>
              </w:rPr>
              <w:t xml:space="preserve">Payments made through systems such as QRIS, the national QR-code system</w:t>
            </w:r>
          </w:p>
        </w:tc>
        <w:tc>
          <w:tcPr>
            <w:tcW w:w="3148" w:type="dxa"/>
          </w:tcPr>
          <w:p>
            <w:pPr>
              <w:pStyle w:val="Compact"/>
              <w:keepNext/>
              <w:spacing w:before="0" w:after="0" w:lineRule="exact" w:line="220"/>
              <w:jc w:val="left"/>
            </w:pPr>
            <w:r>
              <w:rPr>
                <w:sz w:val="18"/>
              </w:rPr>
              <w:t xml:space="preserve">Payment records, in person and online</w:t>
            </w:r>
          </w:p>
        </w:tc>
      </w:tr>
      <w:tr>
        <w:trPr>
          <w:cantSplit/>
        </w:trPr>
        <w:tc>
          <w:tcPr>
            <w:tcW w:w="1879" w:type="dxa"/>
          </w:tcPr>
          <w:p>
            <w:pPr>
              <w:pStyle w:val="Compact"/>
              <w:spacing w:before="0" w:after="0" w:lineRule="exact" w:line="220"/>
              <w:jc w:val="left"/>
            </w:pPr>
            <w:r>
              <w:rPr>
                <w:sz w:val="18"/>
              </w:rPr>
              <w:t xml:space="preserve">Adjacent figures</w:t>
            </w:r>
          </w:p>
        </w:tc>
        <w:tc>
          <w:tcPr>
            <w:tcW w:w="3477" w:type="dxa"/>
          </w:tcPr>
          <w:p>
            <w:pPr>
              <w:pStyle w:val="Compact"/>
              <w:spacing w:before="0" w:after="0" w:lineRule="exact" w:line="220"/>
              <w:jc w:val="left"/>
            </w:pPr>
            <w:r>
              <w:rPr>
                <w:sz w:val="18"/>
              </w:rPr>
              <w:t xml:space="preserve">Parcels shipped in Southeast Asia, the value-added tax collected on foreign digital services (Directorate General of Taxes 2025), and the number of merchants a company reports</w:t>
            </w:r>
          </w:p>
        </w:tc>
        <w:tc>
          <w:tcPr>
            <w:tcW w:w="3148" w:type="dxa"/>
          </w:tcPr>
          <w:p>
            <w:pPr>
              <w:pStyle w:val="Compact"/>
              <w:spacing w:before="0" w:after="0" w:lineRule="exact" w:line="220"/>
              <w:jc w:val="left"/>
            </w:pPr>
            <w:r>
              <w:rPr>
                <w:sz w:val="18"/>
              </w:rPr>
              <w:t xml:space="preserve">Used as context only, since none measures Indonesian e-commerce</w:t>
            </w:r>
          </w:p>
        </w:tc>
      </w:tr>
    </w:tbl>
    <w:bookmarkEnd w:id="91"/>
    <w:bookmarkEnd w:id="92"/>
    <w:bookmarkStart w:id="98" w:name="X79811c47d513cf7a901c7befb1cc5335d4073b3"/>
    <w:p>
      <w:pPr>
        <w:pStyle w:val="Heading2"/>
      </w:pPr>
      <w:r>
        <w:t xml:space="preserve">Appendix B. Platforms, windows and the wedge by year</w:t>
      </w:r>
    </w:p>
    <w:bookmarkStart w:id="93" w:name="b.1-the-foreign-group-27-platforms"/>
    <w:p>
      <w:pPr>
        <w:pStyle w:val="Heading3"/>
      </w:pPr>
      <w:r>
        <w:t xml:space="preserve">B.1 The foreign group (27 platforms)</w:t>
      </w:r>
    </w:p>
    <w:p>
      <w:pPr>
        <w:pStyle w:val="FirstParagraph"/>
        <w:jc w:val="left"/>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C).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620"/>
        <w:gridCol w:w="2025"/>
        <w:gridCol w:w="891"/>
        <w:gridCol w:w="3969"/>
      </w:tblGrid>
      <w:tr>
        <w:trPr>
          <w:tblHeader w:val="true"/>
          <w:cantSplit/>
          <w:tblHeader/>
        </w:trPr>
        <w:tc>
          <w:tcPr>
            <w:tcW w:w="1620" w:type="dxa"/>
            <w:tcBorders>
              <w:bottom w:val="single" w:sz="5" w:space="0" w:color="000000"/>
            </w:tcBorders>
          </w:tcPr>
          <w:p>
            <w:pPr>
              <w:pStyle w:val="Compact"/>
              <w:keepNext/>
              <w:spacing w:before="0" w:after="0" w:lineRule="exact" w:line="220"/>
              <w:jc w:val="left"/>
            </w:pPr>
            <w:r>
              <w:rPr>
                <w:b/>
                <w:sz w:val="18"/>
              </w:rPr>
              <w:t xml:space="preserve">Platform</w:t>
            </w:r>
          </w:p>
        </w:tc>
        <w:tc>
          <w:tcPr>
            <w:tcW w:w="2025" w:type="dxa"/>
            <w:tcBorders>
              <w:bottom w:val="single" w:sz="5" w:space="0" w:color="000000"/>
            </w:tcBorders>
          </w:tcPr>
          <w:p>
            <w:pPr>
              <w:pStyle w:val="Compact"/>
              <w:keepNext/>
              <w:spacing w:before="0" w:after="0" w:lineRule="exact" w:line="220"/>
              <w:jc w:val="left"/>
            </w:pPr>
            <w:r>
              <w:rPr>
                <w:b/>
                <w:sz w:val="18"/>
              </w:rPr>
              <w:t xml:space="preserve">Chosen first or added</w:t>
            </w:r>
          </w:p>
        </w:tc>
        <w:tc>
          <w:tcPr>
            <w:tcW w:w="891" w:type="dxa"/>
            <w:tcBorders>
              <w:bottom w:val="single" w:sz="5" w:space="0" w:color="000000"/>
            </w:tcBorders>
          </w:tcPr>
          <w:p>
            <w:pPr>
              <w:pStyle w:val="Compact"/>
              <w:keepNext/>
              <w:spacing w:before="0" w:after="0" w:lineRule="exact" w:line="220"/>
              <w:jc w:val="left"/>
            </w:pPr>
            <w:r>
              <w:rPr>
                <w:b/>
                <w:sz w:val="18"/>
              </w:rPr>
              <w:t xml:space="preserve">Pairs</w:t>
            </w:r>
          </w:p>
        </w:tc>
        <w:tc>
          <w:tcPr>
            <w:tcW w:w="3969" w:type="dxa"/>
            <w:tcBorders>
              <w:bottom w:val="single" w:sz="5" w:space="0" w:color="000000"/>
            </w:tcBorders>
          </w:tcPr>
          <w:p>
            <w:pPr>
              <w:pStyle w:val="Compact"/>
              <w:keepNext/>
              <w:spacing w:before="0" w:after="0" w:lineRule="exact" w:line="220"/>
              <w:jc w:val="left"/>
            </w:pPr>
            <w:r>
              <w:rPr>
                <w:b/>
                <w:sz w:val="18"/>
              </w:rPr>
              <w:t xml:space="preserve">Median size of yearly change in log take rate</w:t>
            </w:r>
          </w:p>
        </w:tc>
      </w:tr>
      <w:tr>
        <w:trPr>
          <w:cantSplit/>
        </w:trPr>
        <w:tc>
          <w:tcPr>
            <w:tcW w:w="1620" w:type="dxa"/>
          </w:tcPr>
          <w:p>
            <w:pPr>
              <w:pStyle w:val="Compact"/>
              <w:keepNext/>
              <w:spacing w:before="0" w:after="0" w:lineRule="exact" w:line="220"/>
              <w:jc w:val="left"/>
            </w:pPr>
            <w:r>
              <w:rPr>
                <w:sz w:val="18"/>
              </w:rPr>
              <w:t xml:space="preserve">ACV Auctions</w:t>
            </w:r>
          </w:p>
        </w:tc>
        <w:tc>
          <w:tcPr>
            <w:tcW w:w="2025" w:type="dxa"/>
          </w:tcPr>
          <w:p>
            <w:pPr>
              <w:pStyle w:val="Compact"/>
              <w:keepNext/>
              <w:spacing w:before="0" w:after="0" w:lineRule="exact" w:line="220"/>
              <w:jc w:val="left"/>
            </w:pPr>
            <w:r>
              <w:rPr>
                <w:sz w:val="18"/>
              </w:rPr>
              <w:t xml:space="preserve">Added</w:t>
            </w:r>
          </w:p>
        </w:tc>
        <w:tc>
          <w:tcPr>
            <w:tcW w:w="891" w:type="dxa"/>
          </w:tcPr>
          <w:p>
            <w:pPr>
              <w:pStyle w:val="Compact"/>
              <w:keepNext/>
              <w:spacing w:before="0" w:after="0" w:lineRule="exact" w:line="220"/>
              <w:jc w:val="left"/>
            </w:pPr>
            <w:r>
              <w:rPr>
                <w:sz w:val="18"/>
              </w:rPr>
              <w:t xml:space="preserve">5</w:t>
            </w:r>
          </w:p>
        </w:tc>
        <w:tc>
          <w:tcPr>
            <w:tcW w:w="3969" w:type="dxa"/>
          </w:tcPr>
          <w:p>
            <w:pPr>
              <w:pStyle w:val="Compact"/>
              <w:keepNext/>
              <w:spacing w:before="0" w:after="0" w:lineRule="exact" w:line="220"/>
              <w:jc w:val="left"/>
            </w:pPr>
            <w:r>
              <w:rPr>
                <w:sz w:val="18"/>
              </w:rPr>
              <w:t xml:space="preserve">0.15</w:t>
            </w:r>
          </w:p>
        </w:tc>
      </w:tr>
      <w:tr>
        <w:trPr>
          <w:cantSplit/>
        </w:trPr>
        <w:tc>
          <w:tcPr>
            <w:tcW w:w="1620" w:type="dxa"/>
          </w:tcPr>
          <w:p>
            <w:pPr>
              <w:pStyle w:val="Compact"/>
              <w:keepNext/>
              <w:spacing w:before="0" w:after="0" w:lineRule="exact" w:line="220"/>
              <w:jc w:val="left"/>
            </w:pPr>
            <w:r>
              <w:rPr>
                <w:sz w:val="18"/>
              </w:rPr>
              <w:t xml:space="preserve">Waitr</w:t>
            </w:r>
          </w:p>
        </w:tc>
        <w:tc>
          <w:tcPr>
            <w:tcW w:w="2025" w:type="dxa"/>
          </w:tcPr>
          <w:p>
            <w:pPr>
              <w:pStyle w:val="Compact"/>
              <w:keepNext/>
              <w:spacing w:before="0" w:after="0" w:lineRule="exact" w:line="220"/>
              <w:jc w:val="left"/>
            </w:pPr>
            <w:r>
              <w:rPr>
                <w:sz w:val="18"/>
              </w:rPr>
              <w:t xml:space="preserve">Added</w:t>
            </w:r>
          </w:p>
        </w:tc>
        <w:tc>
          <w:tcPr>
            <w:tcW w:w="891" w:type="dxa"/>
          </w:tcPr>
          <w:p>
            <w:pPr>
              <w:pStyle w:val="Compact"/>
              <w:keepNext/>
              <w:spacing w:before="0" w:after="0" w:lineRule="exact" w:line="220"/>
              <w:jc w:val="left"/>
            </w:pPr>
            <w:r>
              <w:rPr>
                <w:sz w:val="18"/>
              </w:rPr>
              <w:t xml:space="preserve">6</w:t>
            </w:r>
          </w:p>
        </w:tc>
        <w:tc>
          <w:tcPr>
            <w:tcW w:w="3969" w:type="dxa"/>
          </w:tcPr>
          <w:p>
            <w:pPr>
              <w:pStyle w:val="Compact"/>
              <w:keepNext/>
              <w:spacing w:before="0" w:after="0" w:lineRule="exact" w:line="220"/>
              <w:jc w:val="left"/>
            </w:pPr>
            <w:r>
              <w:rPr>
                <w:sz w:val="18"/>
              </w:rPr>
              <w:t xml:space="preserve">0.10</w:t>
            </w:r>
          </w:p>
        </w:tc>
      </w:tr>
      <w:tr>
        <w:trPr>
          <w:cantSplit/>
        </w:trPr>
        <w:tc>
          <w:tcPr>
            <w:tcW w:w="1620" w:type="dxa"/>
          </w:tcPr>
          <w:p>
            <w:pPr>
              <w:pStyle w:val="Compact"/>
              <w:spacing w:before="0" w:after="0" w:lineRule="exact" w:line="220"/>
              <w:jc w:val="left"/>
            </w:pPr>
            <w:r>
              <w:rPr>
                <w:sz w:val="18"/>
              </w:rPr>
              <w:t xml:space="preserve">Alibaba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7</w:t>
            </w:r>
          </w:p>
        </w:tc>
        <w:tc>
          <w:tcPr>
            <w:tcW w:w="3969" w:type="dxa"/>
          </w:tcPr>
          <w:p>
            <w:pPr>
              <w:pStyle w:val="Compact"/>
              <w:spacing w:before="0" w:after="0" w:lineRule="exact" w:line="220"/>
              <w:jc w:val="left"/>
            </w:pPr>
            <w:r>
              <w:rPr>
                <w:sz w:val="18"/>
              </w:rPr>
              <w:t xml:space="preserve">0.21</w:t>
            </w:r>
          </w:p>
        </w:tc>
      </w:tr>
      <w:tr>
        <w:trPr>
          <w:cantSplit/>
        </w:trPr>
        <w:tc>
          <w:tcPr>
            <w:tcW w:w="1620" w:type="dxa"/>
          </w:tcPr>
          <w:p>
            <w:pPr>
              <w:pStyle w:val="Compact"/>
              <w:spacing w:before="0" w:after="0" w:lineRule="exact" w:line="220"/>
              <w:jc w:val="left"/>
            </w:pPr>
            <w:r>
              <w:rPr>
                <w:sz w:val="18"/>
              </w:rPr>
              <w:t xml:space="preserve">Despegar</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9</w:t>
            </w:r>
          </w:p>
        </w:tc>
        <w:tc>
          <w:tcPr>
            <w:tcW w:w="3969" w:type="dxa"/>
          </w:tcPr>
          <w:p>
            <w:pPr>
              <w:pStyle w:val="Compact"/>
              <w:spacing w:before="0" w:after="0" w:lineRule="exact" w:line="220"/>
              <w:jc w:val="left"/>
            </w:pPr>
            <w:r>
              <w:rPr>
                <w:sz w:val="18"/>
              </w:rPr>
              <w:t xml:space="preserve">0.07</w:t>
            </w:r>
          </w:p>
        </w:tc>
      </w:tr>
      <w:tr>
        <w:trPr>
          <w:cantSplit/>
        </w:trPr>
        <w:tc>
          <w:tcPr>
            <w:tcW w:w="1620" w:type="dxa"/>
          </w:tcPr>
          <w:p>
            <w:pPr>
              <w:pStyle w:val="Compact"/>
              <w:spacing w:before="0" w:after="0" w:lineRule="exact" w:line="220"/>
              <w:jc w:val="left"/>
            </w:pPr>
            <w:r>
              <w:rPr>
                <w:sz w:val="18"/>
              </w:rPr>
              <w:t xml:space="preserve">1stDibs</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6</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Expedia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11</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Fiverr</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7</w:t>
            </w:r>
          </w:p>
        </w:tc>
        <w:tc>
          <w:tcPr>
            <w:tcW w:w="3969" w:type="dxa"/>
          </w:tcPr>
          <w:p>
            <w:pPr>
              <w:pStyle w:val="Compact"/>
              <w:spacing w:before="0" w:after="0" w:lineRule="exact" w:line="220"/>
              <w:jc w:val="left"/>
            </w:pPr>
            <w:r>
              <w:rPr>
                <w:sz w:val="18"/>
              </w:rPr>
              <w:t xml:space="preserve">0.05</w:t>
            </w:r>
          </w:p>
        </w:tc>
      </w:tr>
      <w:tr>
        <w:trPr>
          <w:cantSplit/>
        </w:trPr>
        <w:tc>
          <w:tcPr>
            <w:tcW w:w="1620" w:type="dxa"/>
          </w:tcPr>
          <w:p>
            <w:pPr>
              <w:pStyle w:val="Compact"/>
              <w:spacing w:before="0" w:after="0" w:lineRule="exact" w:line="220"/>
              <w:jc w:val="left"/>
            </w:pPr>
            <w:r>
              <w:rPr>
                <w:sz w:val="18"/>
              </w:rPr>
              <w:t xml:space="preserve">Grubhub</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6</w:t>
            </w:r>
          </w:p>
        </w:tc>
        <w:tc>
          <w:tcPr>
            <w:tcW w:w="3969" w:type="dxa"/>
          </w:tcPr>
          <w:p>
            <w:pPr>
              <w:pStyle w:val="Compact"/>
              <w:spacing w:before="0" w:after="0" w:lineRule="exact" w:line="220"/>
              <w:jc w:val="left"/>
            </w:pPr>
            <w:r>
              <w:rPr>
                <w:sz w:val="18"/>
              </w:rPr>
              <w:t xml:space="preserve">0.09</w:t>
            </w:r>
          </w:p>
        </w:tc>
      </w:tr>
      <w:tr>
        <w:trPr>
          <w:cantSplit/>
        </w:trPr>
        <w:tc>
          <w:tcPr>
            <w:tcW w:w="1620" w:type="dxa"/>
          </w:tcPr>
          <w:p>
            <w:pPr>
              <w:pStyle w:val="Compact"/>
              <w:spacing w:before="0" w:after="0" w:lineRule="exact" w:line="220"/>
              <w:jc w:val="left"/>
            </w:pPr>
            <w:r>
              <w:rPr>
                <w:sz w:val="18"/>
              </w:rPr>
              <w:t xml:space="preserve">Hepsiburada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5</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Kaspi.kz</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4</w:t>
            </w:r>
          </w:p>
        </w:tc>
        <w:tc>
          <w:tcPr>
            <w:tcW w:w="3969" w:type="dxa"/>
          </w:tcPr>
          <w:p>
            <w:pPr>
              <w:pStyle w:val="Compact"/>
              <w:spacing w:before="0" w:after="0" w:lineRule="exact" w:line="220"/>
              <w:jc w:val="left"/>
            </w:pPr>
            <w:r>
              <w:rPr>
                <w:sz w:val="18"/>
              </w:rPr>
              <w:t xml:space="preserve">0.08</w:t>
            </w:r>
          </w:p>
        </w:tc>
      </w:tr>
      <w:tr>
        <w:trPr>
          <w:cantSplit/>
        </w:trPr>
        <w:tc>
          <w:tcPr>
            <w:tcW w:w="1620" w:type="dxa"/>
          </w:tcPr>
          <w:p>
            <w:pPr>
              <w:pStyle w:val="Compact"/>
              <w:spacing w:before="0" w:after="0" w:lineRule="exact" w:line="220"/>
              <w:jc w:val="left"/>
            </w:pPr>
            <w:r>
              <w:rPr>
                <w:sz w:val="18"/>
              </w:rPr>
              <w:t xml:space="preserve">Mogu</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9</w:t>
            </w:r>
          </w:p>
        </w:tc>
        <w:tc>
          <w:tcPr>
            <w:tcW w:w="3969" w:type="dxa"/>
          </w:tcPr>
          <w:p>
            <w:pPr>
              <w:pStyle w:val="Compact"/>
              <w:spacing w:before="0" w:after="0" w:lineRule="exact" w:line="220"/>
              <w:jc w:val="left"/>
            </w:pPr>
            <w:r>
              <w:rPr>
                <w:sz w:val="18"/>
              </w:rPr>
              <w:t xml:space="preserve">0.21</w:t>
            </w:r>
          </w:p>
        </w:tc>
      </w:tr>
      <w:tr>
        <w:trPr>
          <w:cantSplit/>
        </w:trPr>
        <w:tc>
          <w:tcPr>
            <w:tcW w:w="1620" w:type="dxa"/>
          </w:tcPr>
          <w:p>
            <w:pPr>
              <w:pStyle w:val="Compact"/>
              <w:spacing w:before="0" w:after="0" w:lineRule="exact" w:line="220"/>
              <w:jc w:val="left"/>
            </w:pPr>
            <w:r>
              <w:rPr>
                <w:sz w:val="18"/>
              </w:rPr>
              <w:t xml:space="preserve">Ozon</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w:t>
            </w:r>
          </w:p>
        </w:tc>
        <w:tc>
          <w:tcPr>
            <w:tcW w:w="3969" w:type="dxa"/>
          </w:tcPr>
          <w:p>
            <w:pPr>
              <w:pStyle w:val="Compact"/>
              <w:spacing w:before="0" w:after="0" w:lineRule="exact" w:line="220"/>
              <w:jc w:val="left"/>
            </w:pPr>
            <w:r>
              <w:rPr>
                <w:sz w:val="18"/>
              </w:rPr>
              <w:t xml:space="preserve">0.18</w:t>
            </w:r>
          </w:p>
        </w:tc>
      </w:tr>
      <w:tr>
        <w:trPr>
          <w:cantSplit/>
        </w:trPr>
        <w:tc>
          <w:tcPr>
            <w:tcW w:w="1620" w:type="dxa"/>
          </w:tcPr>
          <w:p>
            <w:pPr>
              <w:pStyle w:val="Compact"/>
              <w:spacing w:before="0" w:after="0" w:lineRule="exact" w:line="220"/>
              <w:jc w:val="left"/>
            </w:pPr>
            <w:r>
              <w:rPr>
                <w:sz w:val="18"/>
              </w:rPr>
              <w:t xml:space="preserve">PDD Holdings</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4</w:t>
            </w:r>
          </w:p>
        </w:tc>
        <w:tc>
          <w:tcPr>
            <w:tcW w:w="3969" w:type="dxa"/>
          </w:tcPr>
          <w:p>
            <w:pPr>
              <w:pStyle w:val="Compact"/>
              <w:spacing w:before="0" w:after="0" w:lineRule="exact" w:line="220"/>
              <w:jc w:val="left"/>
            </w:pPr>
            <w:r>
              <w:rPr>
                <w:sz w:val="18"/>
              </w:rPr>
              <w:t xml:space="preserve">0.13</w:t>
            </w:r>
          </w:p>
        </w:tc>
      </w:tr>
      <w:tr>
        <w:trPr>
          <w:cantSplit/>
        </w:trPr>
        <w:tc>
          <w:tcPr>
            <w:tcW w:w="1620" w:type="dxa"/>
          </w:tcPr>
          <w:p>
            <w:pPr>
              <w:pStyle w:val="Compact"/>
              <w:spacing w:before="0" w:after="0" w:lineRule="exact" w:line="220"/>
              <w:jc w:val="left"/>
            </w:pPr>
            <w:r>
              <w:rPr>
                <w:sz w:val="18"/>
              </w:rPr>
              <w:t xml:space="preserve">RB Global</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11</w:t>
            </w:r>
          </w:p>
        </w:tc>
        <w:tc>
          <w:tcPr>
            <w:tcW w:w="3969" w:type="dxa"/>
          </w:tcPr>
          <w:p>
            <w:pPr>
              <w:pStyle w:val="Compact"/>
              <w:spacing w:before="0" w:after="0" w:lineRule="exact" w:line="220"/>
              <w:jc w:val="left"/>
            </w:pPr>
            <w:r>
              <w:rPr>
                <w:sz w:val="18"/>
              </w:rPr>
              <w:t xml:space="preserve">0.06</w:t>
            </w:r>
          </w:p>
        </w:tc>
      </w:tr>
      <w:tr>
        <w:trPr>
          <w:cantSplit/>
        </w:trPr>
        <w:tc>
          <w:tcPr>
            <w:tcW w:w="1620" w:type="dxa"/>
          </w:tcPr>
          <w:p>
            <w:pPr>
              <w:pStyle w:val="Compact"/>
              <w:spacing w:before="0" w:after="0" w:lineRule="exact" w:line="220"/>
              <w:jc w:val="left"/>
            </w:pPr>
            <w:r>
              <w:rPr>
                <w:sz w:val="18"/>
              </w:rPr>
              <w:t xml:space="preserve">The RealReal</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8</w:t>
            </w:r>
          </w:p>
        </w:tc>
        <w:tc>
          <w:tcPr>
            <w:tcW w:w="3969" w:type="dxa"/>
          </w:tcPr>
          <w:p>
            <w:pPr>
              <w:pStyle w:val="Compact"/>
              <w:spacing w:before="0" w:after="0" w:lineRule="exact" w:line="220"/>
              <w:jc w:val="left"/>
            </w:pPr>
            <w:r>
              <w:rPr>
                <w:sz w:val="18"/>
              </w:rPr>
              <w:t xml:space="preserve">0.04</w:t>
            </w:r>
          </w:p>
        </w:tc>
      </w:tr>
      <w:tr>
        <w:trPr>
          <w:cantSplit/>
        </w:trPr>
        <w:tc>
          <w:tcPr>
            <w:tcW w:w="1620" w:type="dxa"/>
          </w:tcPr>
          <w:p>
            <w:pPr>
              <w:pStyle w:val="Compact"/>
              <w:spacing w:before="0" w:after="0" w:lineRule="exact" w:line="220"/>
              <w:jc w:val="left"/>
            </w:pPr>
            <w:r>
              <w:rPr>
                <w:sz w:val="18"/>
              </w:rPr>
              <w:t xml:space="preserve">Vivid Seats</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6</w:t>
            </w:r>
          </w:p>
        </w:tc>
        <w:tc>
          <w:tcPr>
            <w:tcW w:w="3969" w:type="dxa"/>
          </w:tcPr>
          <w:p>
            <w:pPr>
              <w:pStyle w:val="Compact"/>
              <w:spacing w:before="0" w:after="0" w:lineRule="exact" w:line="220"/>
              <w:jc w:val="left"/>
            </w:pPr>
            <w:r>
              <w:rPr>
                <w:sz w:val="18"/>
              </w:rPr>
              <w:t xml:space="preserve">0.07</w:t>
            </w:r>
          </w:p>
        </w:tc>
      </w:tr>
      <w:tr>
        <w:trPr>
          <w:cantSplit/>
        </w:trPr>
        <w:tc>
          <w:tcPr>
            <w:tcW w:w="1620" w:type="dxa"/>
          </w:tcPr>
          <w:p>
            <w:pPr>
              <w:pStyle w:val="Compact"/>
              <w:spacing w:before="0" w:after="0" w:lineRule="exact" w:line="220"/>
              <w:jc w:val="left"/>
            </w:pPr>
            <w:r>
              <w:rPr>
                <w:sz w:val="18"/>
              </w:rPr>
              <w:t xml:space="preserve">Upwork</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8</w:t>
            </w:r>
          </w:p>
        </w:tc>
        <w:tc>
          <w:tcPr>
            <w:tcW w:w="3969" w:type="dxa"/>
          </w:tcPr>
          <w:p>
            <w:pPr>
              <w:pStyle w:val="Compact"/>
              <w:spacing w:before="0" w:after="0" w:lineRule="exact" w:line="220"/>
              <w:jc w:val="left"/>
            </w:pPr>
            <w:r>
              <w:rPr>
                <w:sz w:val="18"/>
              </w:rPr>
              <w:t xml:space="preserve">0.04</w:t>
            </w:r>
          </w:p>
        </w:tc>
      </w:tr>
      <w:tr>
        <w:trPr>
          <w:cantSplit/>
        </w:trPr>
        <w:tc>
          <w:tcPr>
            <w:tcW w:w="1620" w:type="dxa"/>
          </w:tcPr>
          <w:p>
            <w:pPr>
              <w:pStyle w:val="Compact"/>
              <w:spacing w:before="0" w:after="0" w:lineRule="exact" w:line="220"/>
              <w:jc w:val="left"/>
            </w:pPr>
            <w:r>
              <w:rPr>
                <w:sz w:val="18"/>
              </w:rPr>
              <w:t xml:space="preserve">Vacasa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5</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Yatra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11</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Etsy</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3</w:t>
            </w:r>
          </w:p>
        </w:tc>
        <w:tc>
          <w:tcPr>
            <w:tcW w:w="3969" w:type="dxa"/>
          </w:tcPr>
          <w:p>
            <w:pPr>
              <w:pStyle w:val="Compact"/>
              <w:spacing w:before="0" w:after="0" w:lineRule="exact" w:line="220"/>
              <w:jc w:val="left"/>
            </w:pPr>
            <w:r>
              <w:rPr>
                <w:sz w:val="18"/>
              </w:rPr>
              <w:t xml:space="preserve">0.07</w:t>
            </w:r>
          </w:p>
        </w:tc>
      </w:tr>
      <w:tr>
        <w:trPr>
          <w:cantSplit/>
        </w:trPr>
        <w:tc>
          <w:tcPr>
            <w:tcW w:w="1620" w:type="dxa"/>
          </w:tcPr>
          <w:p>
            <w:pPr>
              <w:pStyle w:val="Compact"/>
              <w:spacing w:before="0" w:after="0" w:lineRule="exact" w:line="220"/>
              <w:jc w:val="left"/>
            </w:pPr>
            <w:r>
              <w:rPr>
                <w:sz w:val="18"/>
              </w:rPr>
              <w:t xml:space="preserve">Jumia</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3</w:t>
            </w:r>
          </w:p>
        </w:tc>
        <w:tc>
          <w:tcPr>
            <w:tcW w:w="3969" w:type="dxa"/>
          </w:tcPr>
          <w:p>
            <w:pPr>
              <w:pStyle w:val="Compact"/>
              <w:spacing w:before="0" w:after="0" w:lineRule="exact" w:line="220"/>
              <w:jc w:val="left"/>
            </w:pPr>
            <w:r>
              <w:rPr>
                <w:sz w:val="18"/>
              </w:rPr>
              <w:t xml:space="preserve">0.16</w:t>
            </w:r>
          </w:p>
        </w:tc>
      </w:tr>
      <w:tr>
        <w:trPr>
          <w:cantSplit/>
        </w:trPr>
        <w:tc>
          <w:tcPr>
            <w:tcW w:w="1620" w:type="dxa"/>
          </w:tcPr>
          <w:p>
            <w:pPr>
              <w:pStyle w:val="Compact"/>
              <w:spacing w:before="0" w:after="0" w:lineRule="exact" w:line="220"/>
              <w:jc w:val="left"/>
            </w:pPr>
            <w:r>
              <w:rPr>
                <w:sz w:val="18"/>
              </w:rPr>
              <w:t xml:space="preserve">Mercado Libre</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2</w:t>
            </w:r>
          </w:p>
        </w:tc>
        <w:tc>
          <w:tcPr>
            <w:tcW w:w="3969" w:type="dxa"/>
          </w:tcPr>
          <w:p>
            <w:pPr>
              <w:pStyle w:val="Compact"/>
              <w:spacing w:before="0" w:after="0" w:lineRule="exact" w:line="220"/>
              <w:jc w:val="left"/>
            </w:pPr>
            <w:r>
              <w:rPr>
                <w:sz w:val="18"/>
              </w:rPr>
              <w:t xml:space="preserve">0.06</w:t>
            </w:r>
          </w:p>
        </w:tc>
      </w:tr>
      <w:tr>
        <w:trPr>
          <w:cantSplit/>
        </w:trPr>
        <w:tc>
          <w:tcPr>
            <w:tcW w:w="1620" w:type="dxa"/>
          </w:tcPr>
          <w:p>
            <w:pPr>
              <w:pStyle w:val="Compact"/>
              <w:spacing w:before="0" w:after="0" w:lineRule="exact" w:line="220"/>
              <w:jc w:val="left"/>
            </w:pPr>
            <w:r>
              <w:rPr>
                <w:sz w:val="18"/>
              </w:rPr>
              <w:t xml:space="preserve">Rakuten</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1</w:t>
            </w:r>
          </w:p>
        </w:tc>
        <w:tc>
          <w:tcPr>
            <w:tcW w:w="3969" w:type="dxa"/>
          </w:tcPr>
          <w:p>
            <w:pPr>
              <w:pStyle w:val="Compact"/>
              <w:spacing w:before="0" w:after="0" w:lineRule="exact" w:line="220"/>
              <w:jc w:val="left"/>
            </w:pPr>
            <w:r>
              <w:rPr>
                <w:sz w:val="18"/>
              </w:rPr>
              <w:t xml:space="preserve">0.02</w:t>
            </w:r>
          </w:p>
        </w:tc>
      </w:tr>
      <w:tr>
        <w:trPr>
          <w:cantSplit/>
        </w:trPr>
        <w:tc>
          <w:tcPr>
            <w:tcW w:w="1620" w:type="dxa"/>
          </w:tcPr>
          <w:p>
            <w:pPr>
              <w:pStyle w:val="Compact"/>
              <w:spacing w:before="0" w:after="0" w:lineRule="exact" w:line="220"/>
              <w:jc w:val="left"/>
            </w:pPr>
            <w:r>
              <w:rPr>
                <w:sz w:val="18"/>
              </w:rPr>
              <w:t xml:space="preserve">Sea / Shopee</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7</w:t>
            </w:r>
          </w:p>
        </w:tc>
        <w:tc>
          <w:tcPr>
            <w:tcW w:w="3969" w:type="dxa"/>
          </w:tcPr>
          <w:p>
            <w:pPr>
              <w:pStyle w:val="Compact"/>
              <w:spacing w:before="0" w:after="0" w:lineRule="exact" w:line="220"/>
              <w:jc w:val="left"/>
            </w:pPr>
            <w:r>
              <w:rPr>
                <w:sz w:val="18"/>
              </w:rPr>
              <w:t xml:space="preserve">0.25</w:t>
            </w:r>
          </w:p>
        </w:tc>
      </w:tr>
      <w:tr>
        <w:trPr>
          <w:cantSplit/>
        </w:trPr>
        <w:tc>
          <w:tcPr>
            <w:tcW w:w="1620" w:type="dxa"/>
          </w:tcPr>
          <w:p>
            <w:pPr>
              <w:pStyle w:val="Compact"/>
              <w:spacing w:before="0" w:after="0" w:lineRule="exact" w:line="220"/>
              <w:jc w:val="left"/>
            </w:pPr>
            <w:r>
              <w:rPr>
                <w:sz w:val="18"/>
              </w:rPr>
              <w:t xml:space="preserve">Shopify</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5</w:t>
            </w:r>
          </w:p>
        </w:tc>
        <w:tc>
          <w:tcPr>
            <w:tcW w:w="3969" w:type="dxa"/>
          </w:tcPr>
          <w:p>
            <w:pPr>
              <w:pStyle w:val="Compact"/>
              <w:spacing w:before="0" w:after="0" w:lineRule="exact" w:line="220"/>
              <w:jc w:val="left"/>
            </w:pPr>
            <w:r>
              <w:rPr>
                <w:sz w:val="18"/>
              </w:rPr>
              <w:t xml:space="preserve">0.05</w:t>
            </w:r>
          </w:p>
        </w:tc>
      </w:tr>
      <w:tr>
        <w:trPr>
          <w:cantSplit/>
        </w:trPr>
        <w:tc>
          <w:tcPr>
            <w:tcW w:w="1620" w:type="dxa"/>
          </w:tcPr>
          <w:p>
            <w:pPr>
              <w:pStyle w:val="Compact"/>
              <w:keepNext/>
              <w:spacing w:before="0" w:after="0" w:lineRule="exact" w:line="220"/>
              <w:jc w:val="left"/>
            </w:pPr>
            <w:r>
              <w:rPr>
                <w:sz w:val="18"/>
              </w:rPr>
              <w:t xml:space="preserve">Zalando</w:t>
            </w:r>
          </w:p>
        </w:tc>
        <w:tc>
          <w:tcPr>
            <w:tcW w:w="2025" w:type="dxa"/>
          </w:tcPr>
          <w:p>
            <w:pPr>
              <w:pStyle w:val="Compact"/>
              <w:keepNext/>
              <w:spacing w:before="0" w:after="0" w:lineRule="exact" w:line="220"/>
              <w:jc w:val="left"/>
            </w:pPr>
            <w:r>
              <w:rPr>
                <w:sz w:val="18"/>
              </w:rPr>
              <w:t xml:space="preserve">Chosen first</w:t>
            </w:r>
          </w:p>
        </w:tc>
        <w:tc>
          <w:tcPr>
            <w:tcW w:w="891" w:type="dxa"/>
          </w:tcPr>
          <w:p>
            <w:pPr>
              <w:pStyle w:val="Compact"/>
              <w:keepNext/>
              <w:spacing w:before="0" w:after="0" w:lineRule="exact" w:line="220"/>
              <w:jc w:val="left"/>
            </w:pPr>
            <w:r>
              <w:rPr>
                <w:sz w:val="18"/>
              </w:rPr>
              <w:t xml:space="preserve">4</w:t>
            </w:r>
          </w:p>
        </w:tc>
        <w:tc>
          <w:tcPr>
            <w:tcW w:w="3969" w:type="dxa"/>
          </w:tcPr>
          <w:p>
            <w:pPr>
              <w:pStyle w:val="Compact"/>
              <w:keepNext/>
              <w:spacing w:before="0" w:after="0" w:lineRule="exact" w:line="220"/>
              <w:jc w:val="left"/>
            </w:pPr>
            <w:r>
              <w:rPr>
                <w:sz w:val="18"/>
              </w:rPr>
              <w:t xml:space="preserve">0.02</w:t>
            </w:r>
          </w:p>
        </w:tc>
      </w:tr>
      <w:tr>
        <w:trPr>
          <w:cantSplit/>
        </w:trPr>
        <w:tc>
          <w:tcPr>
            <w:tcW w:w="1620" w:type="dxa"/>
          </w:tcPr>
          <w:p>
            <w:pPr>
              <w:pStyle w:val="Compact"/>
              <w:spacing w:before="0" w:after="0" w:lineRule="exact" w:line="220"/>
              <w:jc w:val="left"/>
            </w:pPr>
            <w:r>
              <w:rPr>
                <w:sz w:val="18"/>
              </w:rPr>
              <w:t xml:space="preserve">eBay</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4</w:t>
            </w:r>
          </w:p>
        </w:tc>
        <w:tc>
          <w:tcPr>
            <w:tcW w:w="3969" w:type="dxa"/>
          </w:tcPr>
          <w:p>
            <w:pPr>
              <w:pStyle w:val="Compact"/>
              <w:spacing w:before="0" w:after="0" w:lineRule="exact" w:line="220"/>
              <w:jc w:val="left"/>
            </w:pPr>
            <w:r>
              <w:rPr>
                <w:sz w:val="18"/>
              </w:rPr>
              <w:t xml:space="preserve">0.03</w:t>
            </w:r>
          </w:p>
        </w:tc>
      </w:tr>
    </w:tbl>
    <w:p>
      <w:pPr>
        <w:pStyle w:val="BodyText"/>
        <w:spacing w:before="160"/>
      </w:pPr>
      <w:r>
        <w:t xml:space="preserve">Left out after examination: Dingdong, JD.com, Jumei, Liquidity Services, Newegg and Vipshop, because their own goods are most of revenue in every year; and four platforms that disclose no transaction value (Nebius Group, formerly Yandex; Trip.com; Tuniu; and Uxin).</w:t>
      </w:r>
    </w:p>
    <w:bookmarkEnd w:id="93"/>
    <w:bookmarkStart w:id="94" w:name="b.2-the-indonesian-and-regional-group"/>
    <w:p>
      <w:pPr>
        <w:pStyle w:val="Heading3"/>
      </w:pPr>
      <w:r>
        <w:t xml:space="preserve">B.2 The Indonesian and regional group</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035"/>
        <w:gridCol w:w="2591"/>
        <w:gridCol w:w="1035"/>
        <w:gridCol w:w="750"/>
        <w:gridCol w:w="3092"/>
      </w:tblGrid>
      <w:tr>
        <w:trPr>
          <w:tblHeader w:val="true"/>
          <w:cantSplit/>
          <w:tblHeader/>
        </w:trPr>
        <w:tc>
          <w:tcPr>
            <w:tcW w:w="1035" w:type="dxa"/>
            <w:tcBorders>
              <w:bottom w:val="single" w:sz="5" w:space="0" w:color="000000"/>
            </w:tcBorders>
          </w:tcPr>
          <w:p>
            <w:pPr>
              <w:pStyle w:val="Compact"/>
              <w:keepNext/>
              <w:spacing w:before="0" w:after="0" w:lineRule="exact" w:line="220"/>
              <w:jc w:val="left"/>
            </w:pPr>
            <w:r>
              <w:rPr>
                <w:b/>
                <w:sz w:val="18"/>
              </w:rPr>
              <w:t xml:space="preserve">Platform series</w:t>
            </w:r>
          </w:p>
        </w:tc>
        <w:tc>
          <w:tcPr>
            <w:tcW w:w="2591" w:type="dxa"/>
            <w:tcBorders>
              <w:bottom w:val="single" w:sz="5" w:space="0" w:color="000000"/>
            </w:tcBorders>
          </w:tcPr>
          <w:p>
            <w:pPr>
              <w:pStyle w:val="Compact"/>
              <w:keepNext/>
              <w:spacing w:before="0" w:after="0" w:lineRule="exact" w:line="220"/>
              <w:jc w:val="left"/>
            </w:pPr>
            <w:r>
              <w:rPr>
                <w:b/>
                <w:sz w:val="18"/>
              </w:rPr>
              <w:t xml:space="preserve">What it covers</w:t>
            </w:r>
          </w:p>
        </w:tc>
        <w:tc>
          <w:tcPr>
            <w:tcW w:w="1035" w:type="dxa"/>
            <w:tcBorders>
              <w:bottom w:val="single" w:sz="5" w:space="0" w:color="000000"/>
            </w:tcBorders>
          </w:tcPr>
          <w:p>
            <w:pPr>
              <w:pStyle w:val="Compact"/>
              <w:keepNext/>
              <w:spacing w:before="0" w:after="0" w:lineRule="exact" w:line="220"/>
              <w:jc w:val="left"/>
            </w:pPr>
            <w:r>
              <w:rPr>
                <w:b/>
                <w:sz w:val="18"/>
              </w:rPr>
              <w:t xml:space="preserve">Years</w:t>
            </w:r>
          </w:p>
        </w:tc>
        <w:tc>
          <w:tcPr>
            <w:tcW w:w="750" w:type="dxa"/>
            <w:tcBorders>
              <w:bottom w:val="single" w:sz="5" w:space="0" w:color="000000"/>
            </w:tcBorders>
          </w:tcPr>
          <w:p>
            <w:pPr>
              <w:pStyle w:val="Compact"/>
              <w:keepNext/>
              <w:spacing w:before="0" w:after="0" w:lineRule="exact" w:line="220"/>
              <w:jc w:val="left"/>
            </w:pPr>
            <w:r>
              <w:rPr>
                <w:b/>
                <w:sz w:val="18"/>
              </w:rPr>
              <w:t xml:space="preserve">Yearly pairs</w:t>
            </w:r>
          </w:p>
        </w:tc>
        <w:tc>
          <w:tcPr>
            <w:tcW w:w="3092" w:type="dxa"/>
            <w:tcBorders>
              <w:bottom w:val="single" w:sz="5" w:space="0" w:color="000000"/>
            </w:tcBorders>
          </w:tcPr>
          <w:p>
            <w:pPr>
              <w:pStyle w:val="Compact"/>
              <w:keepNext/>
              <w:spacing w:before="0" w:after="0" w:lineRule="exact" w:line="220"/>
              <w:jc w:val="left"/>
            </w:pPr>
            <w:r>
              <w:rPr>
                <w:b/>
                <w:sz w:val="18"/>
              </w:rPr>
              <w:t xml:space="preserve">How it is labelled</w:t>
            </w:r>
          </w:p>
        </w:tc>
      </w:tr>
      <w:tr>
        <w:trPr>
          <w:cantSplit/>
        </w:trPr>
        <w:tc>
          <w:tcPr>
            <w:tcW w:w="1035" w:type="dxa"/>
          </w:tcPr>
          <w:p>
            <w:pPr>
              <w:pStyle w:val="Compact"/>
              <w:keepNext/>
              <w:spacing w:before="0" w:after="0" w:lineRule="exact" w:line="220"/>
              <w:jc w:val="left"/>
            </w:pPr>
            <w:r>
              <w:rPr>
                <w:sz w:val="18"/>
              </w:rPr>
              <w:t xml:space="preserve">Tokopedia</w:t>
            </w:r>
          </w:p>
        </w:tc>
        <w:tc>
          <w:tcPr>
            <w:tcW w:w="2591" w:type="dxa"/>
          </w:tcPr>
          <w:p>
            <w:pPr>
              <w:pStyle w:val="Compact"/>
              <w:keepNext/>
              <w:spacing w:before="0" w:after="0" w:lineRule="exact" w:line="220"/>
              <w:jc w:val="left"/>
            </w:pPr>
            <w:r>
              <w:rPr>
                <w:sz w:val="18"/>
              </w:rPr>
              <w:t xml:space="preserve">The e-commerce segment of GoTo, an Indonesian marketplace</w:t>
            </w:r>
          </w:p>
        </w:tc>
        <w:tc>
          <w:tcPr>
            <w:tcW w:w="1035" w:type="dxa"/>
          </w:tcPr>
          <w:p>
            <w:pPr>
              <w:pStyle w:val="Compact"/>
              <w:keepNext/>
              <w:spacing w:before="0" w:after="0" w:lineRule="exact" w:line="220"/>
              <w:jc w:val="left"/>
            </w:pPr>
            <w:r>
              <w:rPr>
                <w:sz w:val="18"/>
              </w:rPr>
              <w:t xml:space="preserve">2022–2023</w:t>
            </w:r>
          </w:p>
        </w:tc>
        <w:tc>
          <w:tcPr>
            <w:tcW w:w="750" w:type="dxa"/>
          </w:tcPr>
          <w:p>
            <w:pPr>
              <w:pStyle w:val="Compact"/>
              <w:keepNext/>
              <w:spacing w:before="0" w:after="0" w:lineRule="exact" w:line="220"/>
              <w:jc w:val="left"/>
            </w:pPr>
            <w:r>
              <w:rPr>
                <w:sz w:val="18"/>
              </w:rPr>
              <w:t xml:space="preserve">1</w:t>
            </w:r>
          </w:p>
        </w:tc>
        <w:tc>
          <w:tcPr>
            <w:tcW w:w="3092" w:type="dxa"/>
          </w:tcPr>
          <w:p>
            <w:pPr>
              <w:pStyle w:val="Compact"/>
              <w:keepNext/>
              <w:spacing w:before="0" w:after="0" w:lineRule="exact" w:line="220"/>
              <w:jc w:val="left"/>
            </w:pPr>
            <w:r>
              <w:rPr>
                <w:sz w:val="18"/>
              </w:rPr>
              <w:t xml:space="preserve">Direct segment disclosure</w:t>
            </w:r>
          </w:p>
        </w:tc>
      </w:tr>
      <w:tr>
        <w:trPr>
          <w:cantSplit/>
        </w:trPr>
        <w:tc>
          <w:tcPr>
            <w:tcW w:w="1035" w:type="dxa"/>
          </w:tcPr>
          <w:p>
            <w:pPr>
              <w:pStyle w:val="Compact"/>
              <w:keepNext/>
              <w:spacing w:before="0" w:after="0" w:lineRule="exact" w:line="220"/>
              <w:jc w:val="left"/>
            </w:pPr>
            <w:r>
              <w:rPr>
                <w:sz w:val="18"/>
              </w:rPr>
              <w:t xml:space="preserve">Blibli</w:t>
            </w:r>
          </w:p>
        </w:tc>
        <w:tc>
          <w:tcPr>
            <w:tcW w:w="2591" w:type="dxa"/>
          </w:tcPr>
          <w:p>
            <w:pPr>
              <w:pStyle w:val="Compact"/>
              <w:keepNext/>
              <w:spacing w:before="0" w:after="0" w:lineRule="exact" w:line="220"/>
              <w:jc w:val="left"/>
            </w:pPr>
            <w:r>
              <w:rPr>
                <w:sz w:val="18"/>
              </w:rPr>
              <w:t xml:space="preserve">Blibli’s third-party retail segment, which includes online travel</w:t>
            </w:r>
          </w:p>
        </w:tc>
        <w:tc>
          <w:tcPr>
            <w:tcW w:w="1035" w:type="dxa"/>
          </w:tcPr>
          <w:p>
            <w:pPr>
              <w:pStyle w:val="Compact"/>
              <w:keepNext/>
              <w:spacing w:before="0" w:after="0" w:lineRule="exact" w:line="220"/>
              <w:jc w:val="left"/>
            </w:pPr>
            <w:r>
              <w:rPr>
                <w:sz w:val="18"/>
              </w:rPr>
              <w:t xml:space="preserve">2021–2025</w:t>
            </w:r>
          </w:p>
        </w:tc>
        <w:tc>
          <w:tcPr>
            <w:tcW w:w="750" w:type="dxa"/>
          </w:tcPr>
          <w:p>
            <w:pPr>
              <w:pStyle w:val="Compact"/>
              <w:keepNext/>
              <w:spacing w:before="0" w:after="0" w:lineRule="exact" w:line="220"/>
              <w:jc w:val="left"/>
            </w:pPr>
            <w:r>
              <w:rPr>
                <w:sz w:val="18"/>
              </w:rPr>
              <w:t xml:space="preserve">4</w:t>
            </w:r>
          </w:p>
        </w:tc>
        <w:tc>
          <w:tcPr>
            <w:tcW w:w="3092" w:type="dxa"/>
          </w:tcPr>
          <w:p>
            <w:pPr>
              <w:pStyle w:val="Compact"/>
              <w:keepNext/>
              <w:spacing w:before="0" w:after="0" w:lineRule="exact" w:line="220"/>
              <w:jc w:val="left"/>
            </w:pPr>
            <w:r>
              <w:rPr>
                <w:sz w:val="18"/>
              </w:rPr>
              <w:t xml:space="preserve">Direct segment disclosure</w:t>
            </w:r>
          </w:p>
        </w:tc>
      </w:tr>
      <w:tr>
        <w:trPr>
          <w:cantSplit/>
        </w:trPr>
        <w:tc>
          <w:tcPr>
            <w:tcW w:w="1035" w:type="dxa"/>
          </w:tcPr>
          <w:p>
            <w:pPr>
              <w:pStyle w:val="Compact"/>
              <w:keepNext/>
              <w:spacing w:before="0" w:after="0" w:lineRule="exact" w:line="220"/>
              <w:jc w:val="left"/>
            </w:pPr>
            <w:r>
              <w:rPr>
                <w:sz w:val="18"/>
              </w:rPr>
              <w:t xml:space="preserve">Bukalapak</w:t>
            </w:r>
          </w:p>
        </w:tc>
        <w:tc>
          <w:tcPr>
            <w:tcW w:w="2591" w:type="dxa"/>
          </w:tcPr>
          <w:p>
            <w:pPr>
              <w:pStyle w:val="Compact"/>
              <w:keepNext/>
              <w:spacing w:before="0" w:after="0" w:lineRule="exact" w:line="220"/>
              <w:jc w:val="left"/>
            </w:pPr>
            <w:r>
              <w:rPr>
                <w:sz w:val="18"/>
              </w:rPr>
              <w:t xml:space="preserve">The whole Bukalapak group, mainly in Indonesia, including Mitra, its online-to-offline business</w:t>
            </w:r>
          </w:p>
        </w:tc>
        <w:tc>
          <w:tcPr>
            <w:tcW w:w="1035" w:type="dxa"/>
          </w:tcPr>
          <w:p>
            <w:pPr>
              <w:pStyle w:val="Compact"/>
              <w:keepNext/>
              <w:spacing w:before="0" w:after="0" w:lineRule="exact" w:line="220"/>
              <w:jc w:val="left"/>
            </w:pPr>
            <w:r>
              <w:rPr>
                <w:sz w:val="18"/>
              </w:rPr>
              <w:t xml:space="preserve">2020–2023</w:t>
            </w:r>
          </w:p>
        </w:tc>
        <w:tc>
          <w:tcPr>
            <w:tcW w:w="750" w:type="dxa"/>
          </w:tcPr>
          <w:p>
            <w:pPr>
              <w:pStyle w:val="Compact"/>
              <w:keepNext/>
              <w:spacing w:before="0" w:after="0" w:lineRule="exact" w:line="220"/>
              <w:jc w:val="left"/>
            </w:pPr>
            <w:r>
              <w:rPr>
                <w:sz w:val="18"/>
              </w:rPr>
              <w:t xml:space="preserve">3</w:t>
            </w:r>
          </w:p>
        </w:tc>
        <w:tc>
          <w:tcPr>
            <w:tcW w:w="3092" w:type="dxa"/>
          </w:tcPr>
          <w:p>
            <w:pPr>
              <w:pStyle w:val="Compact"/>
              <w:keepNext/>
              <w:spacing w:before="0" w:after="0" w:lineRule="exact" w:line="220"/>
              <w:jc w:val="left"/>
            </w:pPr>
            <w:r>
              <w:rPr>
                <w:sz w:val="18"/>
              </w:rPr>
              <w:t xml:space="preserve">Direct company disclosure</w:t>
            </w:r>
          </w:p>
        </w:tc>
      </w:tr>
      <w:tr>
        <w:trPr>
          <w:cantSplit/>
        </w:trPr>
        <w:tc>
          <w:tcPr>
            <w:tcW w:w="1035" w:type="dxa"/>
          </w:tcPr>
          <w:p>
            <w:pPr>
              <w:pStyle w:val="Compact"/>
              <w:keepNext/>
              <w:spacing w:before="0" w:after="0" w:lineRule="exact" w:line="220"/>
              <w:jc w:val="left"/>
            </w:pPr>
            <w:r>
              <w:rPr>
                <w:sz w:val="18"/>
              </w:rPr>
              <w:t xml:space="preserve">Grab on-demand</w:t>
            </w:r>
          </w:p>
        </w:tc>
        <w:tc>
          <w:tcPr>
            <w:tcW w:w="2591" w:type="dxa"/>
          </w:tcPr>
          <w:p>
            <w:pPr>
              <w:pStyle w:val="Compact"/>
              <w:keepNext/>
              <w:spacing w:before="0" w:after="0" w:lineRule="exact" w:line="220"/>
              <w:jc w:val="left"/>
            </w:pPr>
            <w:r>
              <w:rPr>
                <w:sz w:val="18"/>
              </w:rPr>
              <w:t xml:space="preserve">Grab’s rides and deliveries across Southeast Asia, not Indonesia alone</w:t>
            </w:r>
          </w:p>
        </w:tc>
        <w:tc>
          <w:tcPr>
            <w:tcW w:w="1035" w:type="dxa"/>
          </w:tcPr>
          <w:p>
            <w:pPr>
              <w:pStyle w:val="Compact"/>
              <w:keepNext/>
              <w:spacing w:before="0" w:after="0" w:lineRule="exact" w:line="220"/>
              <w:jc w:val="left"/>
            </w:pPr>
            <w:r>
              <w:rPr>
                <w:sz w:val="18"/>
              </w:rPr>
              <w:t xml:space="preserve">2020–2024</w:t>
            </w:r>
          </w:p>
        </w:tc>
        <w:tc>
          <w:tcPr>
            <w:tcW w:w="750" w:type="dxa"/>
          </w:tcPr>
          <w:p>
            <w:pPr>
              <w:pStyle w:val="Compact"/>
              <w:keepNext/>
              <w:spacing w:before="0" w:after="0" w:lineRule="exact" w:line="220"/>
              <w:jc w:val="left"/>
            </w:pPr>
            <w:r>
              <w:rPr>
                <w:sz w:val="18"/>
              </w:rPr>
              <w:t xml:space="preserve">4</w:t>
            </w:r>
          </w:p>
        </w:tc>
        <w:tc>
          <w:tcPr>
            <w:tcW w:w="3092" w:type="dxa"/>
          </w:tcPr>
          <w:p>
            <w:pPr>
              <w:pStyle w:val="Compact"/>
              <w:keepNext/>
              <w:spacing w:before="0" w:after="0" w:lineRule="exact" w:line="220"/>
              <w:jc w:val="left"/>
            </w:pPr>
            <w:r>
              <w:rPr>
                <w:sz w:val="18"/>
              </w:rPr>
              <w:t xml:space="preserve">Direct segment disclosure</w:t>
            </w:r>
          </w:p>
        </w:tc>
      </w:tr>
      <w:tr>
        <w:trPr>
          <w:cantSplit/>
        </w:trPr>
        <w:tc>
          <w:tcPr>
            <w:tcW w:w="1035" w:type="dxa"/>
          </w:tcPr>
          <w:p>
            <w:pPr>
              <w:pStyle w:val="Compact"/>
              <w:spacing w:before="0" w:after="0" w:lineRule="exact" w:line="220"/>
              <w:jc w:val="left"/>
            </w:pPr>
            <w:r>
              <w:rPr>
                <w:sz w:val="18"/>
              </w:rPr>
              <w:t xml:space="preserve">GoTo on-demand</w:t>
            </w:r>
          </w:p>
        </w:tc>
        <w:tc>
          <w:tcPr>
            <w:tcW w:w="2591" w:type="dxa"/>
          </w:tcPr>
          <w:p>
            <w:pPr>
              <w:pStyle w:val="Compact"/>
              <w:spacing w:before="0" w:after="0" w:lineRule="exact" w:line="220"/>
              <w:jc w:val="left"/>
            </w:pPr>
            <w:r>
              <w:rPr>
                <w:sz w:val="18"/>
              </w:rPr>
              <w:t xml:space="preserve">GoTo’s rides and deliveries segment, in Indonesia and Vietnam to 2024</w:t>
            </w:r>
          </w:p>
        </w:tc>
        <w:tc>
          <w:tcPr>
            <w:tcW w:w="1035" w:type="dxa"/>
          </w:tcPr>
          <w:p>
            <w:pPr>
              <w:pStyle w:val="Compact"/>
              <w:spacing w:before="0" w:after="0" w:lineRule="exact" w:line="220"/>
              <w:jc w:val="left"/>
            </w:pPr>
            <w:r>
              <w:rPr>
                <w:sz w:val="18"/>
              </w:rPr>
              <w:t xml:space="preserve">2022–2025</w:t>
            </w:r>
          </w:p>
        </w:tc>
        <w:tc>
          <w:tcPr>
            <w:tcW w:w="750" w:type="dxa"/>
          </w:tcPr>
          <w:p>
            <w:pPr>
              <w:pStyle w:val="Compact"/>
              <w:spacing w:before="0" w:after="0" w:lineRule="exact" w:line="220"/>
              <w:jc w:val="left"/>
            </w:pPr>
            <w:r>
              <w:rPr>
                <w:sz w:val="18"/>
              </w:rPr>
              <w:t xml:space="preserve">3</w:t>
            </w:r>
          </w:p>
        </w:tc>
        <w:tc>
          <w:tcPr>
            <w:tcW w:w="3092" w:type="dxa"/>
          </w:tcPr>
          <w:p>
            <w:pPr>
              <w:pStyle w:val="Compact"/>
              <w:spacing w:before="0" w:after="0" w:lineRule="exact" w:line="220"/>
              <w:jc w:val="left"/>
            </w:pPr>
            <w:r>
              <w:rPr>
                <w:sz w:val="18"/>
              </w:rPr>
              <w:t xml:space="preserve">Direct segment disclosure; the 2022 transaction value is an estimate</w:t>
            </w:r>
          </w:p>
        </w:tc>
      </w:tr>
    </w:tbl>
    <w:p>
      <w:pPr>
        <w:spacing w:before="160"/>
      </w:pP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800"/>
        <w:gridCol w:w="682"/>
        <w:gridCol w:w="3041"/>
        <w:gridCol w:w="2979"/>
      </w:tblGrid>
      <w:tr>
        <w:trPr>
          <w:tblHeader w:val="true"/>
          <w:cantSplit/>
          <w:tblHeader/>
        </w:trPr>
        <w:tc>
          <w:tcPr>
            <w:tcW w:w="1800" w:type="dxa"/>
            <w:tcBorders>
              <w:bottom w:val="single" w:sz="5" w:space="0" w:color="000000"/>
            </w:tcBorders>
          </w:tcPr>
          <w:p>
            <w:pPr>
              <w:pStyle w:val="Compact"/>
              <w:keepNext/>
              <w:spacing w:before="0" w:after="0" w:lineRule="exact" w:line="220"/>
              <w:jc w:val="left"/>
            </w:pPr>
            <w:r>
              <w:rPr>
                <w:b/>
                <w:sz w:val="18"/>
              </w:rPr>
              <w:t xml:space="preserve">Platform</w:t>
            </w:r>
          </w:p>
        </w:tc>
        <w:tc>
          <w:tcPr>
            <w:tcW w:w="682" w:type="dxa"/>
            <w:tcBorders>
              <w:bottom w:val="single" w:sz="5" w:space="0" w:color="000000"/>
            </w:tcBorders>
          </w:tcPr>
          <w:p>
            <w:pPr>
              <w:pStyle w:val="Compact"/>
              <w:keepNext/>
              <w:spacing w:before="0" w:after="0" w:lineRule="exact" w:line="220"/>
              <w:jc w:val="left"/>
            </w:pPr>
            <w:r>
              <w:rPr>
                <w:b/>
                <w:sz w:val="18"/>
              </w:rPr>
              <w:t xml:space="preserve">Pairs</w:t>
            </w:r>
          </w:p>
        </w:tc>
        <w:tc>
          <w:tcPr>
            <w:tcW w:w="3041" w:type="dxa"/>
            <w:tcBorders>
              <w:bottom w:val="single" w:sz="5" w:space="0" w:color="000000"/>
            </w:tcBorders>
          </w:tcPr>
          <w:p>
            <w:pPr>
              <w:pStyle w:val="Compact"/>
              <w:keepNext/>
              <w:spacing w:before="0" w:after="0" w:lineRule="exact" w:line="220"/>
              <w:jc w:val="left"/>
            </w:pPr>
            <w:r>
              <w:rPr>
                <w:b/>
                <w:sz w:val="18"/>
              </w:rPr>
              <w:t xml:space="preserve">Median size of yearly change in log take rate</w:t>
            </w:r>
          </w:p>
        </w:tc>
        <w:tc>
          <w:tcPr>
            <w:tcW w:w="2979" w:type="dxa"/>
            <w:tcBorders>
              <w:bottom w:val="single" w:sz="5" w:space="0" w:color="000000"/>
            </w:tcBorders>
          </w:tcPr>
          <w:p>
            <w:pPr>
              <w:pStyle w:val="Compact"/>
              <w:keepNext/>
              <w:spacing w:before="0" w:after="0" w:lineRule="exact" w:line="220"/>
              <w:jc w:val="left"/>
            </w:pPr>
            <w:r>
              <w:rPr>
                <w:b/>
                <w:sz w:val="18"/>
              </w:rPr>
              <w:t xml:space="preserve">Share of pairs with a change of 0.10 or less</w:t>
            </w:r>
          </w:p>
        </w:tc>
      </w:tr>
      <w:tr>
        <w:trPr>
          <w:cantSplit/>
        </w:trPr>
        <w:tc>
          <w:tcPr>
            <w:tcW w:w="1800" w:type="dxa"/>
          </w:tcPr>
          <w:p>
            <w:pPr>
              <w:pStyle w:val="Compact"/>
              <w:keepNext/>
              <w:spacing w:before="0" w:after="0" w:lineRule="exact" w:line="220"/>
              <w:jc w:val="left"/>
            </w:pPr>
            <w:r>
              <w:rPr>
                <w:sz w:val="18"/>
              </w:rPr>
              <w:t xml:space="preserve">Blibli third-party retail</w:t>
            </w:r>
          </w:p>
        </w:tc>
        <w:tc>
          <w:tcPr>
            <w:tcW w:w="682" w:type="dxa"/>
          </w:tcPr>
          <w:p>
            <w:pPr>
              <w:pStyle w:val="Compact"/>
              <w:keepNext/>
              <w:spacing w:before="0" w:after="0" w:lineRule="exact" w:line="220"/>
              <w:jc w:val="left"/>
            </w:pPr>
            <w:r>
              <w:rPr>
                <w:sz w:val="18"/>
              </w:rPr>
              <w:t xml:space="preserve">4</w:t>
            </w:r>
          </w:p>
        </w:tc>
        <w:tc>
          <w:tcPr>
            <w:tcW w:w="3041" w:type="dxa"/>
          </w:tcPr>
          <w:p>
            <w:pPr>
              <w:pStyle w:val="Compact"/>
              <w:keepNext/>
              <w:spacing w:before="0" w:after="0" w:lineRule="exact" w:line="220"/>
              <w:jc w:val="left"/>
            </w:pPr>
            <w:r>
              <w:rPr>
                <w:sz w:val="18"/>
              </w:rPr>
              <w:t xml:space="preserve">0.25</w:t>
            </w:r>
          </w:p>
        </w:tc>
        <w:tc>
          <w:tcPr>
            <w:tcW w:w="2979" w:type="dxa"/>
          </w:tcPr>
          <w:p>
            <w:pPr>
              <w:pStyle w:val="Compact"/>
              <w:keepNext/>
              <w:spacing w:before="0" w:after="0" w:lineRule="exact" w:line="220"/>
              <w:jc w:val="left"/>
            </w:pPr>
            <w:r>
              <w:rPr>
                <w:sz w:val="18"/>
              </w:rPr>
              <w:t xml:space="preserve">0.00</w:t>
            </w:r>
          </w:p>
        </w:tc>
      </w:tr>
      <w:tr>
        <w:trPr>
          <w:cantSplit/>
        </w:trPr>
        <w:tc>
          <w:tcPr>
            <w:tcW w:w="1800" w:type="dxa"/>
          </w:tcPr>
          <w:p>
            <w:pPr>
              <w:pStyle w:val="Compact"/>
              <w:keepNext/>
              <w:spacing w:before="0" w:after="0" w:lineRule="exact" w:line="220"/>
              <w:jc w:val="left"/>
            </w:pPr>
            <w:r>
              <w:rPr>
                <w:sz w:val="18"/>
              </w:rPr>
              <w:t xml:space="preserve">Bukalapak Group</w:t>
            </w:r>
          </w:p>
        </w:tc>
        <w:tc>
          <w:tcPr>
            <w:tcW w:w="682" w:type="dxa"/>
          </w:tcPr>
          <w:p>
            <w:pPr>
              <w:pStyle w:val="Compact"/>
              <w:keepNext/>
              <w:spacing w:before="0" w:after="0" w:lineRule="exact" w:line="220"/>
              <w:jc w:val="left"/>
            </w:pPr>
            <w:r>
              <w:rPr>
                <w:sz w:val="18"/>
              </w:rPr>
              <w:t xml:space="preserve">3</w:t>
            </w:r>
          </w:p>
        </w:tc>
        <w:tc>
          <w:tcPr>
            <w:tcW w:w="3041" w:type="dxa"/>
          </w:tcPr>
          <w:p>
            <w:pPr>
              <w:pStyle w:val="Compact"/>
              <w:keepNext/>
              <w:spacing w:before="0" w:after="0" w:lineRule="exact" w:line="220"/>
              <w:jc w:val="left"/>
            </w:pPr>
            <w:r>
              <w:rPr>
                <w:sz w:val="18"/>
              </w:rPr>
              <w:t xml:space="preserve">0.14</w:t>
            </w:r>
          </w:p>
        </w:tc>
        <w:tc>
          <w:tcPr>
            <w:tcW w:w="2979" w:type="dxa"/>
          </w:tcPr>
          <w:p>
            <w:pPr>
              <w:pStyle w:val="Compact"/>
              <w:keepNext/>
              <w:spacing w:before="0" w:after="0" w:lineRule="exact" w:line="220"/>
              <w:jc w:val="left"/>
            </w:pPr>
            <w:r>
              <w:rPr>
                <w:sz w:val="18"/>
              </w:rPr>
              <w:t xml:space="preserve">0.33</w:t>
            </w:r>
          </w:p>
        </w:tc>
      </w:tr>
      <w:tr>
        <w:trPr>
          <w:cantSplit/>
        </w:trPr>
        <w:tc>
          <w:tcPr>
            <w:tcW w:w="1800" w:type="dxa"/>
          </w:tcPr>
          <w:p>
            <w:pPr>
              <w:pStyle w:val="Compact"/>
              <w:keepNext/>
              <w:spacing w:before="0" w:after="0" w:lineRule="exact" w:line="220"/>
              <w:jc w:val="left"/>
            </w:pPr>
            <w:r>
              <w:rPr>
                <w:sz w:val="18"/>
              </w:rPr>
              <w:t xml:space="preserve">GoTo on-demand</w:t>
            </w:r>
          </w:p>
        </w:tc>
        <w:tc>
          <w:tcPr>
            <w:tcW w:w="682" w:type="dxa"/>
          </w:tcPr>
          <w:p>
            <w:pPr>
              <w:pStyle w:val="Compact"/>
              <w:keepNext/>
              <w:spacing w:before="0" w:after="0" w:lineRule="exact" w:line="220"/>
              <w:jc w:val="left"/>
            </w:pPr>
            <w:r>
              <w:rPr>
                <w:sz w:val="18"/>
              </w:rPr>
              <w:t xml:space="preserve">3</w:t>
            </w:r>
          </w:p>
        </w:tc>
        <w:tc>
          <w:tcPr>
            <w:tcW w:w="3041" w:type="dxa"/>
          </w:tcPr>
          <w:p>
            <w:pPr>
              <w:pStyle w:val="Compact"/>
              <w:keepNext/>
              <w:spacing w:before="0" w:after="0" w:lineRule="exact" w:line="220"/>
              <w:jc w:val="left"/>
            </w:pPr>
            <w:r>
              <w:rPr>
                <w:sz w:val="18"/>
              </w:rPr>
              <w:t xml:space="preserve">0.09</w:t>
            </w:r>
          </w:p>
        </w:tc>
        <w:tc>
          <w:tcPr>
            <w:tcW w:w="2979" w:type="dxa"/>
          </w:tcPr>
          <w:p>
            <w:pPr>
              <w:pStyle w:val="Compact"/>
              <w:keepNext/>
              <w:spacing w:before="0" w:after="0" w:lineRule="exact" w:line="220"/>
              <w:jc w:val="left"/>
            </w:pPr>
            <w:r>
              <w:rPr>
                <w:sz w:val="18"/>
              </w:rPr>
              <w:t xml:space="preserve">0.67</w:t>
            </w:r>
          </w:p>
        </w:tc>
      </w:tr>
      <w:tr>
        <w:trPr>
          <w:cantSplit/>
        </w:trPr>
        <w:tc>
          <w:tcPr>
            <w:tcW w:w="1800" w:type="dxa"/>
          </w:tcPr>
          <w:p>
            <w:pPr>
              <w:pStyle w:val="Compact"/>
              <w:keepNext/>
              <w:spacing w:before="0" w:after="0" w:lineRule="exact" w:line="220"/>
              <w:jc w:val="left"/>
            </w:pPr>
            <w:r>
              <w:rPr>
                <w:sz w:val="18"/>
              </w:rPr>
              <w:t xml:space="preserve">Grab on-demand</w:t>
            </w:r>
          </w:p>
        </w:tc>
        <w:tc>
          <w:tcPr>
            <w:tcW w:w="682" w:type="dxa"/>
          </w:tcPr>
          <w:p>
            <w:pPr>
              <w:pStyle w:val="Compact"/>
              <w:keepNext/>
              <w:spacing w:before="0" w:after="0" w:lineRule="exact" w:line="220"/>
              <w:jc w:val="left"/>
            </w:pPr>
            <w:r>
              <w:rPr>
                <w:sz w:val="18"/>
              </w:rPr>
              <w:t xml:space="preserve">4</w:t>
            </w:r>
          </w:p>
        </w:tc>
        <w:tc>
          <w:tcPr>
            <w:tcW w:w="3041" w:type="dxa"/>
          </w:tcPr>
          <w:p>
            <w:pPr>
              <w:pStyle w:val="Compact"/>
              <w:keepNext/>
              <w:spacing w:before="0" w:after="0" w:lineRule="exact" w:line="220"/>
              <w:jc w:val="left"/>
            </w:pPr>
            <w:r>
              <w:rPr>
                <w:sz w:val="18"/>
              </w:rPr>
              <w:t xml:space="preserve">0.20</w:t>
            </w:r>
          </w:p>
        </w:tc>
        <w:tc>
          <w:tcPr>
            <w:tcW w:w="2979" w:type="dxa"/>
          </w:tcPr>
          <w:p>
            <w:pPr>
              <w:pStyle w:val="Compact"/>
              <w:keepNext/>
              <w:spacing w:before="0" w:after="0" w:lineRule="exact" w:line="220"/>
              <w:jc w:val="left"/>
            </w:pPr>
            <w:r>
              <w:rPr>
                <w:sz w:val="18"/>
              </w:rPr>
              <w:t xml:space="preserve">0.50</w:t>
            </w:r>
          </w:p>
        </w:tc>
      </w:tr>
      <w:tr>
        <w:trPr>
          <w:cantSplit/>
        </w:trPr>
        <w:tc>
          <w:tcPr>
            <w:tcW w:w="1800" w:type="dxa"/>
          </w:tcPr>
          <w:p>
            <w:pPr>
              <w:pStyle w:val="Compact"/>
              <w:spacing w:before="0" w:after="0" w:lineRule="exact" w:line="220"/>
              <w:jc w:val="left"/>
            </w:pPr>
            <w:r>
              <w:rPr>
                <w:sz w:val="18"/>
              </w:rPr>
              <w:t xml:space="preserve">Tokopedia</w:t>
            </w:r>
          </w:p>
        </w:tc>
        <w:tc>
          <w:tcPr>
            <w:tcW w:w="682" w:type="dxa"/>
          </w:tcPr>
          <w:p>
            <w:pPr>
              <w:pStyle w:val="Compact"/>
              <w:spacing w:before="0" w:after="0" w:lineRule="exact" w:line="220"/>
              <w:jc w:val="left"/>
            </w:pPr>
            <w:r>
              <w:rPr>
                <w:sz w:val="18"/>
              </w:rPr>
              <w:t xml:space="preserve">1</w:t>
            </w:r>
          </w:p>
        </w:tc>
        <w:tc>
          <w:tcPr>
            <w:tcW w:w="3041" w:type="dxa"/>
          </w:tcPr>
          <w:p>
            <w:pPr>
              <w:pStyle w:val="Compact"/>
              <w:spacing w:before="0" w:after="0" w:lineRule="exact" w:line="220"/>
              <w:jc w:val="left"/>
            </w:pPr>
            <w:r>
              <w:rPr>
                <w:sz w:val="18"/>
              </w:rPr>
              <w:t xml:space="preserve">0.52</w:t>
            </w:r>
          </w:p>
        </w:tc>
        <w:tc>
          <w:tcPr>
            <w:tcW w:w="2979" w:type="dxa"/>
          </w:tcPr>
          <w:p>
            <w:pPr>
              <w:pStyle w:val="Compact"/>
              <w:spacing w:before="0" w:after="0" w:lineRule="exact" w:line="220"/>
              <w:jc w:val="left"/>
            </w:pPr>
            <w:r>
              <w:rPr>
                <w:sz w:val="18"/>
              </w:rPr>
              <w:t xml:space="preserve">0.00</w:t>
            </w:r>
          </w:p>
        </w:tc>
      </w:tr>
    </w:tbl>
    <w:bookmarkEnd w:id="94"/>
    <w:bookmarkStart w:id="95" w:name="b.3-the-seven-windows-traced"/>
    <w:p>
      <w:pPr>
        <w:pStyle w:val="Heading3"/>
      </w:pPr>
      <w:r>
        <w:t xml:space="preserve">B.3 The seven windows traced</w:t>
      </w:r>
    </w:p>
    <w:p>
      <w:pPr>
        <w:pStyle w:val="FirstParagraph"/>
        <w:jc w:val="left"/>
      </w:pPr>
      <w:r>
        <w:t xml:space="preserve">Shares are of the log growth of revenue, because the split into more commerce, higher fees and lower incentives is exact only in logs.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082"/>
        <w:gridCol w:w="1084"/>
        <w:gridCol w:w="1518"/>
        <w:gridCol w:w="1041"/>
        <w:gridCol w:w="954"/>
        <w:gridCol w:w="940"/>
        <w:gridCol w:w="750"/>
        <w:gridCol w:w="1130"/>
      </w:tblGrid>
      <w:tr>
        <w:trPr>
          <w:tblHeader w:val="true"/>
          <w:cantSplit/>
          <w:tblHeader/>
        </w:trPr>
        <w:tc>
          <w:tcPr>
            <w:tcW w:w="1082" w:type="dxa"/>
            <w:tcBorders>
              <w:bottom w:val="single" w:sz="5" w:space="0" w:color="000000"/>
            </w:tcBorders>
          </w:tcPr>
          <w:p>
            <w:pPr>
              <w:pStyle w:val="Compact"/>
              <w:keepNext/>
              <w:spacing w:before="0" w:after="0" w:lineRule="exact" w:line="220"/>
              <w:jc w:val="left"/>
            </w:pPr>
            <w:r>
              <w:rPr>
                <w:b/>
                <w:sz w:val="18"/>
              </w:rPr>
              <w:t xml:space="preserve">Platform and window</w:t>
            </w:r>
          </w:p>
        </w:tc>
        <w:tc>
          <w:tcPr>
            <w:tcW w:w="1084" w:type="dxa"/>
            <w:tcBorders>
              <w:bottom w:val="single" w:sz="5" w:space="0" w:color="000000"/>
            </w:tcBorders>
          </w:tcPr>
          <w:p>
            <w:pPr>
              <w:pStyle w:val="Compact"/>
              <w:keepNext/>
              <w:spacing w:before="0" w:after="0" w:lineRule="exact" w:line="220"/>
              <w:jc w:val="left"/>
            </w:pPr>
            <w:r>
              <w:rPr>
                <w:b/>
                <w:sz w:val="18"/>
              </w:rPr>
              <w:t xml:space="preserve">Growth of revenue (%)</w:t>
            </w:r>
          </w:p>
        </w:tc>
        <w:tc>
          <w:tcPr>
            <w:tcW w:w="1518" w:type="dxa"/>
            <w:tcBorders>
              <w:bottom w:val="single" w:sz="5" w:space="0" w:color="000000"/>
            </w:tcBorders>
          </w:tcPr>
          <w:p>
            <w:pPr>
              <w:pStyle w:val="Compact"/>
              <w:keepNext/>
              <w:spacing w:before="0" w:after="0" w:lineRule="exact" w:line="220"/>
              <w:jc w:val="left"/>
            </w:pPr>
            <w:r>
              <w:rPr>
                <w:b/>
                <w:sz w:val="18"/>
              </w:rPr>
              <w:t xml:space="preserve">Growth of transaction value (%)</w:t>
            </w:r>
          </w:p>
        </w:tc>
        <w:tc>
          <w:tcPr>
            <w:tcW w:w="1041" w:type="dxa"/>
            <w:tcBorders>
              <w:bottom w:val="single" w:sz="5" w:space="0" w:color="000000"/>
            </w:tcBorders>
          </w:tcPr>
          <w:p>
            <w:pPr>
              <w:pStyle w:val="Compact"/>
              <w:keepNext/>
              <w:spacing w:before="0" w:after="0" w:lineRule="exact" w:line="220"/>
              <w:jc w:val="left"/>
            </w:pPr>
            <w:r>
              <w:rPr>
                <w:b/>
                <w:sz w:val="18"/>
              </w:rPr>
              <w:t xml:space="preserve">Take rate, start (%)</w:t>
            </w:r>
          </w:p>
        </w:tc>
        <w:tc>
          <w:tcPr>
            <w:tcW w:w="954" w:type="dxa"/>
            <w:tcBorders>
              <w:bottom w:val="single" w:sz="5" w:space="0" w:color="000000"/>
            </w:tcBorders>
          </w:tcPr>
          <w:p>
            <w:pPr>
              <w:pStyle w:val="Compact"/>
              <w:keepNext/>
              <w:spacing w:before="0" w:after="0" w:lineRule="exact" w:line="220"/>
              <w:jc w:val="left"/>
            </w:pPr>
            <w:r>
              <w:rPr>
                <w:b/>
                <w:sz w:val="18"/>
              </w:rPr>
              <w:t xml:space="preserve">Take rate, end (%)</w:t>
            </w:r>
          </w:p>
        </w:tc>
        <w:tc>
          <w:tcPr>
            <w:tcW w:w="940" w:type="dxa"/>
            <w:tcBorders>
              <w:bottom w:val="single" w:sz="5" w:space="0" w:color="000000"/>
            </w:tcBorders>
          </w:tcPr>
          <w:p>
            <w:pPr>
              <w:pStyle w:val="Compact"/>
              <w:keepNext/>
              <w:spacing w:before="0" w:after="0" w:lineRule="exact" w:line="220"/>
              <w:jc w:val="left"/>
            </w:pPr>
            <w:r>
              <w:rPr>
                <w:b/>
                <w:sz w:val="18"/>
              </w:rPr>
              <w:t xml:space="preserve">More commerce</w:t>
            </w:r>
          </w:p>
        </w:tc>
        <w:tc>
          <w:tcPr>
            <w:tcW w:w="750" w:type="dxa"/>
            <w:tcBorders>
              <w:bottom w:val="single" w:sz="5" w:space="0" w:color="000000"/>
            </w:tcBorders>
          </w:tcPr>
          <w:p>
            <w:pPr>
              <w:pStyle w:val="Compact"/>
              <w:keepNext/>
              <w:spacing w:before="0" w:after="0" w:lineRule="exact" w:line="220"/>
              <w:jc w:val="left"/>
            </w:pPr>
            <w:r>
              <w:rPr>
                <w:b/>
                <w:sz w:val="18"/>
              </w:rPr>
              <w:t xml:space="preserve">Higher fees</w:t>
            </w:r>
          </w:p>
        </w:tc>
        <w:tc>
          <w:tcPr>
            <w:tcW w:w="1130" w:type="dxa"/>
            <w:tcBorders>
              <w:bottom w:val="single" w:sz="5" w:space="0" w:color="000000"/>
            </w:tcBorders>
          </w:tcPr>
          <w:p>
            <w:pPr>
              <w:pStyle w:val="Compact"/>
              <w:keepNext/>
              <w:spacing w:before="0" w:after="0" w:lineRule="exact" w:line="220"/>
              <w:jc w:val="left"/>
            </w:pPr>
            <w:r>
              <w:rPr>
                <w:b/>
                <w:sz w:val="18"/>
              </w:rPr>
              <w:t xml:space="preserve">Lower incentives</w:t>
            </w:r>
          </w:p>
        </w:tc>
      </w:tr>
      <w:tr>
        <w:trPr>
          <w:cantSplit/>
        </w:trPr>
        <w:tc>
          <w:tcPr>
            <w:tcW w:w="1082" w:type="dxa"/>
          </w:tcPr>
          <w:p>
            <w:pPr>
              <w:pStyle w:val="Compact"/>
              <w:keepNext/>
              <w:spacing w:before="0" w:after="0" w:lineRule="exact" w:line="220"/>
              <w:jc w:val="left"/>
            </w:pPr>
            <w:r>
              <w:rPr>
                <w:sz w:val="18"/>
              </w:rPr>
              <w:t xml:space="preserve">Grab on-demand, 2021–24</w:t>
            </w:r>
          </w:p>
        </w:tc>
        <w:tc>
          <w:tcPr>
            <w:tcW w:w="1084" w:type="dxa"/>
          </w:tcPr>
          <w:p>
            <w:pPr>
              <w:pStyle w:val="Compact"/>
              <w:keepNext/>
              <w:spacing w:before="0" w:after="0" w:lineRule="exact" w:line="220"/>
              <w:jc w:val="left"/>
            </w:pPr>
            <w:r>
              <w:rPr>
                <w:sz w:val="18"/>
              </w:rPr>
              <w:t xml:space="preserve">320.5</w:t>
            </w:r>
          </w:p>
        </w:tc>
        <w:tc>
          <w:tcPr>
            <w:tcW w:w="1518" w:type="dxa"/>
          </w:tcPr>
          <w:p>
            <w:pPr>
              <w:pStyle w:val="Compact"/>
              <w:keepNext/>
              <w:spacing w:before="0" w:after="0" w:lineRule="exact" w:line="220"/>
              <w:jc w:val="left"/>
            </w:pPr>
            <w:r>
              <w:rPr>
                <w:sz w:val="18"/>
              </w:rPr>
              <w:t xml:space="preserve">62.3</w:t>
            </w:r>
          </w:p>
        </w:tc>
        <w:tc>
          <w:tcPr>
            <w:tcW w:w="1041" w:type="dxa"/>
          </w:tcPr>
          <w:p>
            <w:pPr>
              <w:pStyle w:val="Compact"/>
              <w:keepNext/>
              <w:spacing w:before="0" w:after="0" w:lineRule="exact" w:line="220"/>
              <w:jc w:val="left"/>
            </w:pPr>
            <w:r>
              <w:rPr>
                <w:sz w:val="18"/>
              </w:rPr>
              <w:t xml:space="preserve">5.34</w:t>
            </w:r>
          </w:p>
        </w:tc>
        <w:tc>
          <w:tcPr>
            <w:tcW w:w="954" w:type="dxa"/>
          </w:tcPr>
          <w:p>
            <w:pPr>
              <w:pStyle w:val="Compact"/>
              <w:keepNext/>
              <w:spacing w:before="0" w:after="0" w:lineRule="exact" w:line="220"/>
              <w:jc w:val="left"/>
            </w:pPr>
            <w:r>
              <w:rPr>
                <w:sz w:val="18"/>
              </w:rPr>
              <w:t xml:space="preserve">13.83</w:t>
            </w:r>
          </w:p>
        </w:tc>
        <w:tc>
          <w:tcPr>
            <w:tcW w:w="940" w:type="dxa"/>
          </w:tcPr>
          <w:p>
            <w:pPr>
              <w:pStyle w:val="Compact"/>
              <w:keepNext/>
              <w:spacing w:before="0" w:after="0" w:lineRule="exact" w:line="220"/>
              <w:jc w:val="left"/>
            </w:pPr>
            <w:r>
              <w:rPr>
                <w:sz w:val="18"/>
              </w:rPr>
              <w:t xml:space="preserve">33.7</w:t>
            </w:r>
          </w:p>
        </w:tc>
        <w:tc>
          <w:tcPr>
            <w:tcW w:w="750" w:type="dxa"/>
          </w:tcPr>
          <w:p>
            <w:pPr>
              <w:pStyle w:val="Compact"/>
              <w:keepNext/>
              <w:spacing w:before="0" w:after="0" w:lineRule="exact" w:line="220"/>
              <w:jc w:val="left"/>
            </w:pPr>
            <w:r>
              <w:rPr>
                <w:sz w:val="18"/>
              </w:rPr>
              <w:t xml:space="preserve">33.8</w:t>
            </w:r>
          </w:p>
        </w:tc>
        <w:tc>
          <w:tcPr>
            <w:tcW w:w="1130" w:type="dxa"/>
          </w:tcPr>
          <w:p>
            <w:pPr>
              <w:pStyle w:val="Compact"/>
              <w:keepNext/>
              <w:spacing w:before="0" w:after="0" w:lineRule="exact" w:line="220"/>
              <w:jc w:val="left"/>
            </w:pPr>
            <w:r>
              <w:rPr>
                <w:sz w:val="18"/>
              </w:rPr>
              <w:t xml:space="preserve">32.5</w:t>
            </w:r>
          </w:p>
        </w:tc>
      </w:tr>
      <w:tr>
        <w:trPr>
          <w:cantSplit/>
        </w:trPr>
        <w:tc>
          <w:tcPr>
            <w:tcW w:w="1082" w:type="dxa"/>
          </w:tcPr>
          <w:p>
            <w:pPr>
              <w:pStyle w:val="Compact"/>
              <w:keepNext/>
              <w:spacing w:before="0" w:after="0" w:lineRule="exact" w:line="220"/>
              <w:jc w:val="left"/>
            </w:pPr>
            <w:r>
              <w:rPr>
                <w:sz w:val="18"/>
              </w:rPr>
              <w:t xml:space="preserve">Grab on-demand, 2022–24</w:t>
            </w:r>
          </w:p>
        </w:tc>
        <w:tc>
          <w:tcPr>
            <w:tcW w:w="1084" w:type="dxa"/>
          </w:tcPr>
          <w:p>
            <w:pPr>
              <w:pStyle w:val="Compact"/>
              <w:keepNext/>
              <w:spacing w:before="0" w:after="0" w:lineRule="exact" w:line="220"/>
              <w:jc w:val="left"/>
            </w:pPr>
            <w:r>
              <w:rPr>
                <w:sz w:val="18"/>
              </w:rPr>
              <w:t xml:space="preserve">85.8</w:t>
            </w:r>
          </w:p>
        </w:tc>
        <w:tc>
          <w:tcPr>
            <w:tcW w:w="1518" w:type="dxa"/>
          </w:tcPr>
          <w:p>
            <w:pPr>
              <w:pStyle w:val="Compact"/>
              <w:keepNext/>
              <w:spacing w:before="0" w:after="0" w:lineRule="exact" w:line="220"/>
              <w:jc w:val="left"/>
            </w:pPr>
            <w:r>
              <w:rPr>
                <w:sz w:val="18"/>
              </w:rPr>
              <w:t xml:space="preserve">30.1</w:t>
            </w:r>
          </w:p>
        </w:tc>
        <w:tc>
          <w:tcPr>
            <w:tcW w:w="1041" w:type="dxa"/>
          </w:tcPr>
          <w:p>
            <w:pPr>
              <w:pStyle w:val="Compact"/>
              <w:keepNext/>
              <w:spacing w:before="0" w:after="0" w:lineRule="exact" w:line="220"/>
              <w:jc w:val="left"/>
            </w:pPr>
            <w:r>
              <w:rPr>
                <w:sz w:val="18"/>
              </w:rPr>
              <w:t xml:space="preserve">9.69</w:t>
            </w:r>
          </w:p>
        </w:tc>
        <w:tc>
          <w:tcPr>
            <w:tcW w:w="954" w:type="dxa"/>
          </w:tcPr>
          <w:p>
            <w:pPr>
              <w:pStyle w:val="Compact"/>
              <w:keepNext/>
              <w:spacing w:before="0" w:after="0" w:lineRule="exact" w:line="220"/>
              <w:jc w:val="left"/>
            </w:pPr>
            <w:r>
              <w:rPr>
                <w:sz w:val="18"/>
              </w:rPr>
              <w:t xml:space="preserve">13.83</w:t>
            </w:r>
          </w:p>
        </w:tc>
        <w:tc>
          <w:tcPr>
            <w:tcW w:w="940" w:type="dxa"/>
          </w:tcPr>
          <w:p>
            <w:pPr>
              <w:pStyle w:val="Compact"/>
              <w:keepNext/>
              <w:spacing w:before="0" w:after="0" w:lineRule="exact" w:line="220"/>
              <w:jc w:val="left"/>
            </w:pPr>
            <w:r>
              <w:rPr>
                <w:sz w:val="18"/>
              </w:rPr>
              <w:t xml:space="preserve">42.5</w:t>
            </w:r>
          </w:p>
        </w:tc>
        <w:tc>
          <w:tcPr>
            <w:tcW w:w="750" w:type="dxa"/>
          </w:tcPr>
          <w:p>
            <w:pPr>
              <w:pStyle w:val="Compact"/>
              <w:keepNext/>
              <w:spacing w:before="0" w:after="0" w:lineRule="exact" w:line="220"/>
              <w:jc w:val="left"/>
            </w:pPr>
            <w:r>
              <w:rPr>
                <w:sz w:val="18"/>
              </w:rPr>
              <w:t xml:space="preserve">10.6</w:t>
            </w:r>
          </w:p>
        </w:tc>
        <w:tc>
          <w:tcPr>
            <w:tcW w:w="1130" w:type="dxa"/>
          </w:tcPr>
          <w:p>
            <w:pPr>
              <w:pStyle w:val="Compact"/>
              <w:keepNext/>
              <w:spacing w:before="0" w:after="0" w:lineRule="exact" w:line="220"/>
              <w:jc w:val="left"/>
            </w:pPr>
            <w:r>
              <w:rPr>
                <w:sz w:val="18"/>
              </w:rPr>
              <w:t xml:space="preserve">46.9</w:t>
            </w:r>
          </w:p>
        </w:tc>
      </w:tr>
      <w:tr>
        <w:trPr>
          <w:cantSplit/>
        </w:trPr>
        <w:tc>
          <w:tcPr>
            <w:tcW w:w="1082" w:type="dxa"/>
          </w:tcPr>
          <w:p>
            <w:pPr>
              <w:pStyle w:val="Compact"/>
              <w:keepNext/>
              <w:spacing w:before="0" w:after="0" w:lineRule="exact" w:line="220"/>
              <w:jc w:val="left"/>
            </w:pPr>
            <w:r>
              <w:rPr>
                <w:sz w:val="18"/>
              </w:rPr>
              <w:t xml:space="preserve">GoTo on-demand, 2023–25</w:t>
            </w:r>
          </w:p>
        </w:tc>
        <w:tc>
          <w:tcPr>
            <w:tcW w:w="1084" w:type="dxa"/>
          </w:tcPr>
          <w:p>
            <w:pPr>
              <w:pStyle w:val="Compact"/>
              <w:keepNext/>
              <w:spacing w:before="0" w:after="0" w:lineRule="exact" w:line="220"/>
              <w:jc w:val="left"/>
            </w:pPr>
            <w:r>
              <w:rPr>
                <w:sz w:val="18"/>
              </w:rPr>
              <w:t xml:space="preserve">114.2</w:t>
            </w:r>
          </w:p>
        </w:tc>
        <w:tc>
          <w:tcPr>
            <w:tcW w:w="1518" w:type="dxa"/>
          </w:tcPr>
          <w:p>
            <w:pPr>
              <w:pStyle w:val="Compact"/>
              <w:keepNext/>
              <w:spacing w:before="0" w:after="0" w:lineRule="exact" w:line="220"/>
              <w:jc w:val="left"/>
            </w:pPr>
            <w:r>
              <w:rPr>
                <w:sz w:val="18"/>
              </w:rPr>
              <w:t xml:space="preserve">22.4</w:t>
            </w:r>
          </w:p>
        </w:tc>
        <w:tc>
          <w:tcPr>
            <w:tcW w:w="1041" w:type="dxa"/>
          </w:tcPr>
          <w:p>
            <w:pPr>
              <w:pStyle w:val="Compact"/>
              <w:keepNext/>
              <w:spacing w:before="0" w:after="0" w:lineRule="exact" w:line="220"/>
              <w:jc w:val="left"/>
            </w:pPr>
            <w:r>
              <w:rPr>
                <w:sz w:val="18"/>
              </w:rPr>
              <w:t xml:space="preserve">10.62</w:t>
            </w:r>
          </w:p>
        </w:tc>
        <w:tc>
          <w:tcPr>
            <w:tcW w:w="954" w:type="dxa"/>
          </w:tcPr>
          <w:p>
            <w:pPr>
              <w:pStyle w:val="Compact"/>
              <w:keepNext/>
              <w:spacing w:before="0" w:after="0" w:lineRule="exact" w:line="220"/>
              <w:jc w:val="left"/>
            </w:pPr>
            <w:r>
              <w:rPr>
                <w:sz w:val="18"/>
              </w:rPr>
              <w:t xml:space="preserve">18.58</w:t>
            </w:r>
          </w:p>
        </w:tc>
        <w:tc>
          <w:tcPr>
            <w:tcW w:w="940" w:type="dxa"/>
          </w:tcPr>
          <w:p>
            <w:pPr>
              <w:pStyle w:val="Compact"/>
              <w:keepNext/>
              <w:spacing w:before="0" w:after="0" w:lineRule="exact" w:line="220"/>
              <w:jc w:val="left"/>
            </w:pPr>
            <w:r>
              <w:rPr>
                <w:sz w:val="18"/>
              </w:rPr>
              <w:t xml:space="preserve">26.6</w:t>
            </w:r>
          </w:p>
        </w:tc>
        <w:tc>
          <w:tcPr>
            <w:tcW w:w="750" w:type="dxa"/>
          </w:tcPr>
          <w:p>
            <w:pPr>
              <w:pStyle w:val="Compact"/>
              <w:keepNext/>
              <w:spacing w:before="0" w:after="0" w:lineRule="exact" w:line="220"/>
              <w:jc w:val="left"/>
            </w:pPr>
            <w:r>
              <w:rPr>
                <w:sz w:val="18"/>
              </w:rPr>
              <w:t xml:space="preserve">6.1</w:t>
            </w:r>
          </w:p>
        </w:tc>
        <w:tc>
          <w:tcPr>
            <w:tcW w:w="1130" w:type="dxa"/>
          </w:tcPr>
          <w:p>
            <w:pPr>
              <w:pStyle w:val="Compact"/>
              <w:keepNext/>
              <w:spacing w:before="0" w:after="0" w:lineRule="exact" w:line="220"/>
              <w:jc w:val="left"/>
            </w:pPr>
            <w:r>
              <w:rPr>
                <w:sz w:val="18"/>
              </w:rPr>
              <w:t xml:space="preserve">67.3</w:t>
            </w:r>
          </w:p>
        </w:tc>
      </w:tr>
      <w:tr>
        <w:trPr>
          <w:cantSplit/>
        </w:trPr>
        <w:tc>
          <w:tcPr>
            <w:tcW w:w="1082" w:type="dxa"/>
          </w:tcPr>
          <w:p>
            <w:pPr>
              <w:pStyle w:val="Compact"/>
              <w:keepNext/>
              <w:spacing w:before="0" w:after="0" w:lineRule="exact" w:line="220"/>
              <w:jc w:val="left"/>
            </w:pPr>
            <w:r>
              <w:rPr>
                <w:sz w:val="18"/>
              </w:rPr>
              <w:t xml:space="preserve">GoTo on-demand, 2022–25</w:t>
            </w:r>
          </w:p>
        </w:tc>
        <w:tc>
          <w:tcPr>
            <w:tcW w:w="1084" w:type="dxa"/>
          </w:tcPr>
          <w:p>
            <w:pPr>
              <w:pStyle w:val="Compact"/>
              <w:keepNext/>
              <w:spacing w:before="0" w:after="0" w:lineRule="exact" w:line="220"/>
              <w:jc w:val="left"/>
            </w:pPr>
            <w:r>
              <w:rPr>
                <w:sz w:val="18"/>
              </w:rPr>
              <w:t xml:space="preserve">110.7</w:t>
            </w:r>
          </w:p>
        </w:tc>
        <w:tc>
          <w:tcPr>
            <w:tcW w:w="1518" w:type="dxa"/>
          </w:tcPr>
          <w:p>
            <w:pPr>
              <w:pStyle w:val="Compact"/>
              <w:keepNext/>
              <w:spacing w:before="0" w:after="0" w:lineRule="exact" w:line="220"/>
              <w:jc w:val="left"/>
            </w:pPr>
            <w:r>
              <w:rPr>
                <w:sz w:val="18"/>
              </w:rPr>
              <w:t xml:space="preserve">9.6</w:t>
            </w:r>
          </w:p>
        </w:tc>
        <w:tc>
          <w:tcPr>
            <w:tcW w:w="1041" w:type="dxa"/>
          </w:tcPr>
          <w:p>
            <w:pPr>
              <w:pStyle w:val="Compact"/>
              <w:keepNext/>
              <w:spacing w:before="0" w:after="0" w:lineRule="exact" w:line="220"/>
              <w:jc w:val="left"/>
            </w:pPr>
            <w:r>
              <w:rPr>
                <w:sz w:val="18"/>
              </w:rPr>
              <w:t xml:space="preserve">9.66</w:t>
            </w:r>
          </w:p>
        </w:tc>
        <w:tc>
          <w:tcPr>
            <w:tcW w:w="954" w:type="dxa"/>
          </w:tcPr>
          <w:p>
            <w:pPr>
              <w:pStyle w:val="Compact"/>
              <w:keepNext/>
              <w:spacing w:before="0" w:after="0" w:lineRule="exact" w:line="220"/>
              <w:jc w:val="left"/>
            </w:pPr>
            <w:r>
              <w:rPr>
                <w:sz w:val="18"/>
              </w:rPr>
              <w:t xml:space="preserve">18.58</w:t>
            </w:r>
          </w:p>
        </w:tc>
        <w:tc>
          <w:tcPr>
            <w:tcW w:w="940" w:type="dxa"/>
          </w:tcPr>
          <w:p>
            <w:pPr>
              <w:pStyle w:val="Compact"/>
              <w:keepNext/>
              <w:spacing w:before="0" w:after="0" w:lineRule="exact" w:line="220"/>
              <w:jc w:val="left"/>
            </w:pPr>
            <w:r>
              <w:rPr>
                <w:sz w:val="18"/>
              </w:rPr>
              <w:t xml:space="preserve">12.3</w:t>
            </w:r>
          </w:p>
        </w:tc>
        <w:tc>
          <w:tcPr>
            <w:tcW w:w="750" w:type="dxa"/>
          </w:tcPr>
          <w:p>
            <w:pPr>
              <w:pStyle w:val="Compact"/>
              <w:keepNext/>
              <w:spacing w:before="0" w:after="0" w:lineRule="exact" w:line="220"/>
              <w:jc w:val="left"/>
            </w:pPr>
            <w:r>
              <w:rPr>
                <w:sz w:val="18"/>
              </w:rPr>
              <w:t xml:space="preserve">36.1</w:t>
            </w:r>
          </w:p>
        </w:tc>
        <w:tc>
          <w:tcPr>
            <w:tcW w:w="1130" w:type="dxa"/>
          </w:tcPr>
          <w:p>
            <w:pPr>
              <w:pStyle w:val="Compact"/>
              <w:keepNext/>
              <w:spacing w:before="0" w:after="0" w:lineRule="exact" w:line="220"/>
              <w:jc w:val="left"/>
            </w:pPr>
            <w:r>
              <w:rPr>
                <w:sz w:val="18"/>
              </w:rPr>
              <w:t xml:space="preserve">51.7</w:t>
            </w:r>
          </w:p>
        </w:tc>
      </w:tr>
      <w:tr>
        <w:trPr>
          <w:cantSplit/>
        </w:trPr>
        <w:tc>
          <w:tcPr>
            <w:tcW w:w="1082" w:type="dxa"/>
          </w:tcPr>
          <w:p>
            <w:pPr>
              <w:pStyle w:val="Compact"/>
              <w:keepNext/>
              <w:spacing w:before="0" w:after="0" w:lineRule="exact" w:line="220"/>
              <w:jc w:val="left"/>
            </w:pPr>
            <w:r>
              <w:rPr>
                <w:sz w:val="18"/>
              </w:rPr>
              <w:t xml:space="preserve">Tokopedia, 2022–23</w:t>
            </w:r>
          </w:p>
        </w:tc>
        <w:tc>
          <w:tcPr>
            <w:tcW w:w="1084" w:type="dxa"/>
          </w:tcPr>
          <w:p>
            <w:pPr>
              <w:pStyle w:val="Compact"/>
              <w:keepNext/>
              <w:spacing w:before="0" w:after="0" w:lineRule="exact" w:line="220"/>
              <w:jc w:val="left"/>
            </w:pPr>
            <w:r>
              <w:rPr>
                <w:sz w:val="18"/>
              </w:rPr>
              <w:t xml:space="preserve">53.2</w:t>
            </w:r>
          </w:p>
        </w:tc>
        <w:tc>
          <w:tcPr>
            <w:tcW w:w="1518" w:type="dxa"/>
          </w:tcPr>
          <w:p>
            <w:pPr>
              <w:pStyle w:val="Compact"/>
              <w:keepNext/>
              <w:spacing w:before="0" w:after="0" w:lineRule="exact" w:line="220"/>
              <w:jc w:val="left"/>
            </w:pPr>
            <w:r>
              <w:rPr>
                <w:sz w:val="18"/>
              </w:rPr>
              <w:t xml:space="preserve">-8.9</w:t>
            </w:r>
          </w:p>
        </w:tc>
        <w:tc>
          <w:tcPr>
            <w:tcW w:w="1041" w:type="dxa"/>
          </w:tcPr>
          <w:p>
            <w:pPr>
              <w:pStyle w:val="Compact"/>
              <w:keepNext/>
              <w:spacing w:before="0" w:after="0" w:lineRule="exact" w:line="220"/>
              <w:jc w:val="left"/>
            </w:pPr>
            <w:r>
              <w:rPr>
                <w:sz w:val="18"/>
              </w:rPr>
              <w:t xml:space="preserve">1.48</w:t>
            </w:r>
          </w:p>
        </w:tc>
        <w:tc>
          <w:tcPr>
            <w:tcW w:w="954" w:type="dxa"/>
          </w:tcPr>
          <w:p>
            <w:pPr>
              <w:pStyle w:val="Compact"/>
              <w:keepNext/>
              <w:spacing w:before="0" w:after="0" w:lineRule="exact" w:line="220"/>
              <w:jc w:val="left"/>
            </w:pPr>
            <w:r>
              <w:rPr>
                <w:sz w:val="18"/>
              </w:rPr>
              <w:t xml:space="preserve">2.48</w:t>
            </w:r>
          </w:p>
        </w:tc>
        <w:tc>
          <w:tcPr>
            <w:tcW w:w="940" w:type="dxa"/>
          </w:tcPr>
          <w:p>
            <w:pPr>
              <w:pStyle w:val="Compact"/>
              <w:keepNext/>
              <w:spacing w:before="0" w:after="0" w:lineRule="exact" w:line="220"/>
              <w:jc w:val="left"/>
            </w:pPr>
            <w:r>
              <w:rPr>
                <w:sz w:val="18"/>
              </w:rPr>
              <w:t xml:space="preserve">-21.9</w:t>
            </w:r>
          </w:p>
        </w:tc>
        <w:tc>
          <w:tcPr>
            <w:tcW w:w="750" w:type="dxa"/>
          </w:tcPr>
          <w:p>
            <w:pPr>
              <w:pStyle w:val="Compact"/>
              <w:keepNext/>
              <w:spacing w:before="0" w:after="0" w:lineRule="exact" w:line="220"/>
              <w:jc w:val="left"/>
            </w:pPr>
            <w:r>
              <w:rPr>
                <w:sz w:val="18"/>
              </w:rPr>
              <w:t xml:space="preserve">76.5</w:t>
            </w:r>
          </w:p>
        </w:tc>
        <w:tc>
          <w:tcPr>
            <w:tcW w:w="1130" w:type="dxa"/>
          </w:tcPr>
          <w:p>
            <w:pPr>
              <w:pStyle w:val="Compact"/>
              <w:keepNext/>
              <w:spacing w:before="0" w:after="0" w:lineRule="exact" w:line="220"/>
              <w:jc w:val="left"/>
            </w:pPr>
            <w:r>
              <w:rPr>
                <w:sz w:val="18"/>
              </w:rPr>
              <w:t xml:space="preserve">45.4</w:t>
            </w:r>
          </w:p>
        </w:tc>
      </w:tr>
      <w:tr>
        <w:trPr>
          <w:cantSplit/>
        </w:trPr>
        <w:tc>
          <w:tcPr>
            <w:tcW w:w="1082" w:type="dxa"/>
          </w:tcPr>
          <w:p>
            <w:pPr>
              <w:pStyle w:val="Compact"/>
              <w:keepNext/>
              <w:spacing w:before="0" w:after="0" w:lineRule="exact" w:line="220"/>
              <w:jc w:val="left"/>
            </w:pPr>
            <w:r>
              <w:rPr>
                <w:sz w:val="18"/>
              </w:rPr>
              <w:t xml:space="preserve">Blibli third-party retail, 2022–25</w:t>
            </w:r>
          </w:p>
        </w:tc>
        <w:tc>
          <w:tcPr>
            <w:tcW w:w="1084" w:type="dxa"/>
          </w:tcPr>
          <w:p>
            <w:pPr>
              <w:pStyle w:val="Compact"/>
              <w:keepNext/>
              <w:spacing w:before="0" w:after="0" w:lineRule="exact" w:line="220"/>
              <w:jc w:val="left"/>
            </w:pPr>
            <w:r>
              <w:rPr>
                <w:sz w:val="18"/>
              </w:rPr>
              <w:t xml:space="preserve">679.4</w:t>
            </w:r>
          </w:p>
        </w:tc>
        <w:tc>
          <w:tcPr>
            <w:tcW w:w="1518" w:type="dxa"/>
          </w:tcPr>
          <w:p>
            <w:pPr>
              <w:pStyle w:val="Compact"/>
              <w:keepNext/>
              <w:spacing w:before="0" w:after="0" w:lineRule="exact" w:line="220"/>
              <w:jc w:val="left"/>
            </w:pPr>
            <w:r>
              <w:rPr>
                <w:sz w:val="18"/>
              </w:rPr>
              <w:t xml:space="preserve">43.6</w:t>
            </w:r>
          </w:p>
        </w:tc>
        <w:tc>
          <w:tcPr>
            <w:tcW w:w="1041" w:type="dxa"/>
          </w:tcPr>
          <w:p>
            <w:pPr>
              <w:pStyle w:val="Compact"/>
              <w:keepNext/>
              <w:spacing w:before="0" w:after="0" w:lineRule="exact" w:line="220"/>
              <w:jc w:val="left"/>
            </w:pPr>
            <w:r>
              <w:rPr>
                <w:sz w:val="18"/>
              </w:rPr>
              <w:t xml:space="preserve">0.54</w:t>
            </w:r>
          </w:p>
        </w:tc>
        <w:tc>
          <w:tcPr>
            <w:tcW w:w="954" w:type="dxa"/>
          </w:tcPr>
          <w:p>
            <w:pPr>
              <w:pStyle w:val="Compact"/>
              <w:keepNext/>
              <w:spacing w:before="0" w:after="0" w:lineRule="exact" w:line="220"/>
              <w:jc w:val="left"/>
            </w:pPr>
            <w:r>
              <w:rPr>
                <w:sz w:val="18"/>
              </w:rPr>
              <w:t xml:space="preserve">2.92</w:t>
            </w:r>
          </w:p>
        </w:tc>
        <w:tc>
          <w:tcPr>
            <w:tcW w:w="940" w:type="dxa"/>
          </w:tcPr>
          <w:p>
            <w:pPr>
              <w:pStyle w:val="Compact"/>
              <w:keepNext/>
              <w:spacing w:before="0" w:after="0" w:lineRule="exact" w:line="220"/>
              <w:jc w:val="left"/>
            </w:pPr>
            <w:r>
              <w:rPr>
                <w:sz w:val="18"/>
              </w:rPr>
              <w:t xml:space="preserve">17.6</w:t>
            </w:r>
          </w:p>
        </w:tc>
        <w:tc>
          <w:tcPr>
            <w:tcW w:w="750" w:type="dxa"/>
          </w:tcPr>
          <w:p>
            <w:pPr>
              <w:pStyle w:val="Compact"/>
              <w:keepNext/>
              <w:spacing w:before="0" w:after="0" w:lineRule="exact" w:line="220"/>
              <w:jc w:val="left"/>
            </w:pPr>
            <w:r>
              <w:rPr>
                <w:sz w:val="18"/>
              </w:rPr>
              <w:t xml:space="preserve">62.6</w:t>
            </w:r>
          </w:p>
        </w:tc>
        <w:tc>
          <w:tcPr>
            <w:tcW w:w="1130" w:type="dxa"/>
          </w:tcPr>
          <w:p>
            <w:pPr>
              <w:pStyle w:val="Compact"/>
              <w:keepNext/>
              <w:spacing w:before="0" w:after="0" w:lineRule="exact" w:line="220"/>
              <w:jc w:val="left"/>
            </w:pPr>
            <w:r>
              <w:rPr>
                <w:sz w:val="18"/>
              </w:rPr>
              <w:t xml:space="preserve">19.8</w:t>
            </w:r>
          </w:p>
        </w:tc>
      </w:tr>
      <w:tr>
        <w:trPr>
          <w:cantSplit/>
        </w:trPr>
        <w:tc>
          <w:tcPr>
            <w:tcW w:w="1082" w:type="dxa"/>
          </w:tcPr>
          <w:p>
            <w:pPr>
              <w:pStyle w:val="Compact"/>
              <w:spacing w:before="0" w:after="0" w:lineRule="exact" w:line="220"/>
              <w:jc w:val="left"/>
            </w:pPr>
            <w:r>
              <w:rPr>
                <w:sz w:val="18"/>
              </w:rPr>
              <w:t xml:space="preserve">Blibli third-party retail, 2022–23</w:t>
            </w:r>
          </w:p>
        </w:tc>
        <w:tc>
          <w:tcPr>
            <w:tcW w:w="1084" w:type="dxa"/>
          </w:tcPr>
          <w:p>
            <w:pPr>
              <w:pStyle w:val="Compact"/>
              <w:spacing w:before="0" w:after="0" w:lineRule="exact" w:line="220"/>
              <w:jc w:val="left"/>
            </w:pPr>
            <w:r>
              <w:rPr>
                <w:sz w:val="18"/>
              </w:rPr>
              <w:t xml:space="preserve">465.3</w:t>
            </w:r>
          </w:p>
        </w:tc>
        <w:tc>
          <w:tcPr>
            <w:tcW w:w="1518" w:type="dxa"/>
          </w:tcPr>
          <w:p>
            <w:pPr>
              <w:pStyle w:val="Compact"/>
              <w:spacing w:before="0" w:after="0" w:lineRule="exact" w:line="220"/>
              <w:jc w:val="left"/>
            </w:pPr>
            <w:r>
              <w:rPr>
                <w:sz w:val="18"/>
              </w:rPr>
              <w:t xml:space="preserve">34.7</w:t>
            </w:r>
          </w:p>
        </w:tc>
        <w:tc>
          <w:tcPr>
            <w:tcW w:w="1041" w:type="dxa"/>
          </w:tcPr>
          <w:p>
            <w:pPr>
              <w:pStyle w:val="Compact"/>
              <w:spacing w:before="0" w:after="0" w:lineRule="exact" w:line="220"/>
              <w:jc w:val="left"/>
            </w:pPr>
            <w:r>
              <w:rPr>
                <w:sz w:val="18"/>
              </w:rPr>
              <w:t xml:space="preserve">0.54</w:t>
            </w:r>
          </w:p>
        </w:tc>
        <w:tc>
          <w:tcPr>
            <w:tcW w:w="954" w:type="dxa"/>
          </w:tcPr>
          <w:p>
            <w:pPr>
              <w:pStyle w:val="Compact"/>
              <w:spacing w:before="0" w:after="0" w:lineRule="exact" w:line="220"/>
              <w:jc w:val="left"/>
            </w:pPr>
            <w:r>
              <w:rPr>
                <w:sz w:val="18"/>
              </w:rPr>
              <w:t xml:space="preserve">2.25</w:t>
            </w:r>
          </w:p>
        </w:tc>
        <w:tc>
          <w:tcPr>
            <w:tcW w:w="940" w:type="dxa"/>
          </w:tcPr>
          <w:p>
            <w:pPr>
              <w:pStyle w:val="Compact"/>
              <w:spacing w:before="0" w:after="0" w:lineRule="exact" w:line="220"/>
              <w:jc w:val="left"/>
            </w:pPr>
            <w:r>
              <w:rPr>
                <w:sz w:val="18"/>
              </w:rPr>
              <w:t xml:space="preserve">17.2</w:t>
            </w:r>
          </w:p>
        </w:tc>
        <w:tc>
          <w:tcPr>
            <w:tcW w:w="750" w:type="dxa"/>
          </w:tcPr>
          <w:p>
            <w:pPr>
              <w:pStyle w:val="Compact"/>
              <w:spacing w:before="0" w:after="0" w:lineRule="exact" w:line="220"/>
              <w:jc w:val="left"/>
            </w:pPr>
            <w:r>
              <w:rPr>
                <w:sz w:val="18"/>
              </w:rPr>
              <w:t xml:space="preserve">20.1</w:t>
            </w:r>
          </w:p>
        </w:tc>
        <w:tc>
          <w:tcPr>
            <w:tcW w:w="1130" w:type="dxa"/>
          </w:tcPr>
          <w:p>
            <w:pPr>
              <w:pStyle w:val="Compact"/>
              <w:spacing w:before="0" w:after="0" w:lineRule="exact" w:line="220"/>
              <w:jc w:val="left"/>
            </w:pPr>
            <w:r>
              <w:rPr>
                <w:sz w:val="18"/>
              </w:rPr>
              <w:t xml:space="preserve">62.7</w:t>
            </w:r>
          </w:p>
        </w:tc>
      </w:tr>
    </w:tbl>
    <w:p>
      <w:pPr>
        <w:pStyle w:val="BodyText"/>
        <w:spacing w:before="160"/>
        <w:jc w:val="lef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5"/>
    <w:bookmarkStart w:id="96" w:name="X75544a8ad0934688286d8f5d2201fe8649ec4f8"/>
    <w:p>
      <w:pPr>
        <w:pStyle w:val="Heading3"/>
      </w:pPr>
      <w:r>
        <w:t xml:space="preserve">B.4 Wedge and ecosystem ratio by platform-year, Indonesian series</w:t>
      </w:r>
    </w:p>
    <w:p>
      <w:pPr>
        <w:pStyle w:val="FirstParagraph"/>
        <w:jc w:val="left"/>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2 converts Tokopedia’s 2023 rupiah amounts to US dollars. Take rate and ecosystem ratio carry no currency. Each label names the source of the transaction value and of the revenue in that row. Source:</w:t>
      </w:r>
      <w:r>
        <w:t xml:space="preserve"> </w:t>
      </w:r>
      <w:r>
        <w:rPr>
          <w:rStyle w:val="VerbatimChar"/>
        </w:rPr>
        <w:t xml:space="preserve">tables/take_rate_levels.csv</w:t>
      </w:r>
      <w:r>
        <w:t xml:space="preserv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370"/>
        <w:gridCol w:w="560"/>
        <w:gridCol w:w="1225"/>
        <w:gridCol w:w="1035"/>
        <w:gridCol w:w="1225"/>
        <w:gridCol w:w="803"/>
        <w:gridCol w:w="1035"/>
        <w:gridCol w:w="1249"/>
      </w:tblGrid>
      <w:tr>
        <w:trPr>
          <w:tblHeader w:val="true"/>
          <w:cantSplit/>
          <w:tblHeader/>
        </w:trPr>
        <w:tc>
          <w:tcPr>
            <w:tcW w:w="1370" w:type="dxa"/>
            <w:tcBorders>
              <w:bottom w:val="single" w:sz="5" w:space="0" w:color="000000"/>
            </w:tcBorders>
          </w:tcPr>
          <w:p>
            <w:pPr>
              <w:pStyle w:val="Compact"/>
              <w:keepNext/>
              <w:spacing w:before="0" w:after="0" w:lineRule="exact" w:line="220"/>
              <w:jc w:val="left"/>
            </w:pPr>
            <w:r>
              <w:rPr>
                <w:b/>
                <w:sz w:val="18"/>
              </w:rPr>
              <w:t xml:space="preserve">Series</w:t>
            </w:r>
          </w:p>
        </w:tc>
        <w:tc>
          <w:tcPr>
            <w:tcW w:w="560" w:type="dxa"/>
            <w:tcBorders>
              <w:bottom w:val="single" w:sz="5" w:space="0" w:color="000000"/>
            </w:tcBorders>
          </w:tcPr>
          <w:p>
            <w:pPr>
              <w:pStyle w:val="Compact"/>
              <w:keepNext/>
              <w:spacing w:before="0" w:after="0" w:lineRule="exact" w:line="220"/>
              <w:jc w:val="left"/>
            </w:pPr>
            <w:r>
              <w:rPr>
                <w:b/>
                <w:sz w:val="18"/>
              </w:rPr>
              <w:t xml:space="preserve">Year</w:t>
            </w:r>
          </w:p>
        </w:tc>
        <w:tc>
          <w:tcPr>
            <w:tcW w:w="1225" w:type="dxa"/>
            <w:tcBorders>
              <w:bottom w:val="single" w:sz="5" w:space="0" w:color="000000"/>
            </w:tcBorders>
          </w:tcPr>
          <w:p>
            <w:pPr>
              <w:pStyle w:val="Compact"/>
              <w:keepNext/>
              <w:spacing w:before="0" w:after="0" w:lineRule="exact" w:line="220"/>
              <w:jc w:val="left"/>
            </w:pPr>
            <w:r>
              <w:rPr>
                <w:b/>
                <w:sz w:val="18"/>
              </w:rPr>
              <w:t xml:space="preserve">Transaction value</w:t>
            </w:r>
          </w:p>
        </w:tc>
        <w:tc>
          <w:tcPr>
            <w:tcW w:w="1035" w:type="dxa"/>
            <w:tcBorders>
              <w:bottom w:val="single" w:sz="5" w:space="0" w:color="000000"/>
            </w:tcBorders>
          </w:tcPr>
          <w:p>
            <w:pPr>
              <w:pStyle w:val="Compact"/>
              <w:keepNext/>
              <w:spacing w:before="0" w:after="0" w:lineRule="exact" w:line="220"/>
              <w:jc w:val="left"/>
            </w:pPr>
            <w:r>
              <w:rPr>
                <w:b/>
                <w:sz w:val="18"/>
              </w:rPr>
              <w:t xml:space="preserve">Revenue</w:t>
            </w:r>
          </w:p>
        </w:tc>
        <w:tc>
          <w:tcPr>
            <w:tcW w:w="1225" w:type="dxa"/>
            <w:tcBorders>
              <w:bottom w:val="single" w:sz="5" w:space="0" w:color="000000"/>
            </w:tcBorders>
          </w:tcPr>
          <w:p>
            <w:pPr>
              <w:pStyle w:val="Compact"/>
              <w:keepNext/>
              <w:spacing w:before="0" w:after="0" w:lineRule="exact" w:line="220"/>
              <w:jc w:val="left"/>
            </w:pPr>
            <w:r>
              <w:rPr>
                <w:b/>
                <w:sz w:val="18"/>
              </w:rPr>
              <w:t xml:space="preserve">Wedge</w:t>
            </w:r>
          </w:p>
        </w:tc>
        <w:tc>
          <w:tcPr>
            <w:tcW w:w="803" w:type="dxa"/>
            <w:tcBorders>
              <w:bottom w:val="single" w:sz="5" w:space="0" w:color="000000"/>
            </w:tcBorders>
          </w:tcPr>
          <w:p>
            <w:pPr>
              <w:pStyle w:val="Compact"/>
              <w:keepNext/>
              <w:spacing w:before="0" w:after="0" w:lineRule="exact" w:line="220"/>
              <w:jc w:val="left"/>
            </w:pPr>
            <w:r>
              <w:rPr>
                <w:b/>
                <w:sz w:val="18"/>
              </w:rPr>
              <w:t xml:space="preserve">Take rate (%)</w:t>
            </w:r>
          </w:p>
        </w:tc>
        <w:tc>
          <w:tcPr>
            <w:tcW w:w="1035" w:type="dxa"/>
            <w:tcBorders>
              <w:bottom w:val="single" w:sz="5" w:space="0" w:color="000000"/>
            </w:tcBorders>
          </w:tcPr>
          <w:p>
            <w:pPr>
              <w:pStyle w:val="Compact"/>
              <w:keepNext/>
              <w:spacing w:before="0" w:after="0" w:lineRule="exact" w:line="220"/>
              <w:jc w:val="left"/>
            </w:pPr>
            <w:r>
              <w:rPr>
                <w:b/>
                <w:sz w:val="18"/>
              </w:rPr>
              <w:t xml:space="preserve">Ecosystem ratio</w:t>
            </w:r>
          </w:p>
        </w:tc>
        <w:tc>
          <w:tcPr>
            <w:tcW w:w="1249" w:type="dxa"/>
            <w:tcBorders>
              <w:bottom w:val="single" w:sz="5" w:space="0" w:color="000000"/>
            </w:tcBorders>
          </w:tcPr>
          <w:p>
            <w:pPr>
              <w:pStyle w:val="Compact"/>
              <w:keepNext/>
              <w:spacing w:before="0" w:after="0" w:lineRule="exact" w:line="220"/>
              <w:jc w:val="left"/>
            </w:pPr>
            <w:r>
              <w:rPr>
                <w:b/>
                <w:sz w:val="18"/>
              </w:rPr>
              <w:t xml:space="preserve">Label</w:t>
            </w:r>
          </w:p>
        </w:tc>
      </w:tr>
      <w:tr>
        <w:trPr>
          <w:cantSplit/>
        </w:trPr>
        <w:tc>
          <w:tcPr>
            <w:tcW w:w="1370" w:type="dxa"/>
          </w:tcPr>
          <w:p>
            <w:pPr>
              <w:pStyle w:val="Compact"/>
              <w:keepNext/>
              <w:spacing w:before="0" w:after="0" w:lineRule="exact" w:line="220"/>
              <w:jc w:val="left"/>
            </w:pPr>
            <w:r>
              <w:rPr>
                <w:sz w:val="18"/>
              </w:rPr>
              <w:t xml:space="preserve">Grab</w:t>
            </w:r>
          </w:p>
        </w:tc>
        <w:tc>
          <w:tcPr>
            <w:tcW w:w="560" w:type="dxa"/>
          </w:tcPr>
          <w:p>
            <w:pPr>
              <w:pStyle w:val="Compact"/>
              <w:keepNext/>
              <w:spacing w:before="0" w:after="0" w:lineRule="exact" w:line="220"/>
              <w:jc w:val="left"/>
            </w:pPr>
            <w:r>
              <w:rPr>
                <w:sz w:val="18"/>
              </w:rPr>
              <w:t xml:space="preserve">2021</w:t>
            </w:r>
          </w:p>
        </w:tc>
        <w:tc>
          <w:tcPr>
            <w:tcW w:w="1225" w:type="dxa"/>
          </w:tcPr>
          <w:p>
            <w:pPr>
              <w:pStyle w:val="Compact"/>
              <w:keepNext/>
              <w:spacing w:before="0" w:after="0" w:lineRule="exact" w:line="220"/>
              <w:jc w:val="left"/>
            </w:pPr>
            <w:r>
              <w:rPr>
                <w:sz w:val="18"/>
              </w:rPr>
              <w:t xml:space="preserve">1.88</w:t>
            </w:r>
          </w:p>
        </w:tc>
        <w:tc>
          <w:tcPr>
            <w:tcW w:w="1035" w:type="dxa"/>
          </w:tcPr>
          <w:p>
            <w:pPr>
              <w:pStyle w:val="Compact"/>
              <w:keepNext/>
              <w:spacing w:before="0" w:after="0" w:lineRule="exact" w:line="220"/>
              <w:jc w:val="left"/>
            </w:pPr>
            <w:r>
              <w:rPr>
                <w:sz w:val="18"/>
              </w:rPr>
              <w:t xml:space="preserve">0.08</w:t>
            </w:r>
          </w:p>
        </w:tc>
        <w:tc>
          <w:tcPr>
            <w:tcW w:w="1225" w:type="dxa"/>
          </w:tcPr>
          <w:p>
            <w:pPr>
              <w:pStyle w:val="Compact"/>
              <w:keepNext/>
              <w:spacing w:before="0" w:after="0" w:lineRule="exact" w:line="220"/>
              <w:jc w:val="left"/>
            </w:pPr>
            <w:r>
              <w:rPr>
                <w:sz w:val="18"/>
              </w:rPr>
              <w:t xml:space="preserve">1.80</w:t>
            </w:r>
          </w:p>
        </w:tc>
        <w:tc>
          <w:tcPr>
            <w:tcW w:w="803" w:type="dxa"/>
          </w:tcPr>
          <w:p>
            <w:pPr>
              <w:pStyle w:val="Compact"/>
              <w:keepNext/>
              <w:spacing w:before="0" w:after="0" w:lineRule="exact" w:line="220"/>
              <w:jc w:val="left"/>
            </w:pPr>
            <w:r>
              <w:rPr>
                <w:sz w:val="18"/>
              </w:rPr>
              <w:t xml:space="preserve">4.20</w:t>
            </w:r>
          </w:p>
        </w:tc>
        <w:tc>
          <w:tcPr>
            <w:tcW w:w="1035" w:type="dxa"/>
          </w:tcPr>
          <w:p>
            <w:pPr>
              <w:pStyle w:val="Compact"/>
              <w:keepNext/>
              <w:spacing w:before="0" w:after="0" w:lineRule="exact" w:line="220"/>
              <w:jc w:val="left"/>
            </w:pPr>
            <w:r>
              <w:rPr>
                <w:sz w:val="18"/>
              </w:rPr>
              <w:t xml:space="preserve">22.8</w:t>
            </w:r>
          </w:p>
        </w:tc>
        <w:tc>
          <w:tcPr>
            <w:tcW w:w="1249" w:type="dxa"/>
          </w:tcPr>
          <w:p>
            <w:pPr>
              <w:pStyle w:val="Compact"/>
              <w:keepNext/>
              <w:spacing w:before="0" w:after="0" w:lineRule="exact" w:line="220"/>
              <w:jc w:val="left"/>
            </w:pPr>
            <w:r>
              <w:rPr>
                <w:sz w:val="18"/>
              </w:rPr>
              <w:t xml:space="preserve">Revenue: country disclosure; value: derived</w:t>
            </w:r>
          </w:p>
        </w:tc>
      </w:tr>
      <w:tr>
        <w:trPr>
          <w:cantSplit/>
        </w:trPr>
        <w:tc>
          <w:tcPr>
            <w:tcW w:w="1370" w:type="dxa"/>
          </w:tcPr>
          <w:p>
            <w:pPr>
              <w:pStyle w:val="Compact"/>
              <w:keepNext/>
              <w:spacing w:before="0" w:after="0" w:lineRule="exact" w:line="220"/>
              <w:jc w:val="left"/>
            </w:pPr>
            <w:r>
              <w:rPr>
                <w:sz w:val="18"/>
              </w:rPr>
              <w:t xml:space="preserve">Grab</w:t>
            </w:r>
          </w:p>
        </w:tc>
        <w:tc>
          <w:tcPr>
            <w:tcW w:w="560" w:type="dxa"/>
          </w:tcPr>
          <w:p>
            <w:pPr>
              <w:pStyle w:val="Compact"/>
              <w:keepNext/>
              <w:spacing w:before="0" w:after="0" w:lineRule="exact" w:line="220"/>
              <w:jc w:val="left"/>
            </w:pPr>
            <w:r>
              <w:rPr>
                <w:sz w:val="18"/>
              </w:rPr>
              <w:t xml:space="preserve">2022</w:t>
            </w:r>
          </w:p>
        </w:tc>
        <w:tc>
          <w:tcPr>
            <w:tcW w:w="1225" w:type="dxa"/>
          </w:tcPr>
          <w:p>
            <w:pPr>
              <w:pStyle w:val="Compact"/>
              <w:keepNext/>
              <w:spacing w:before="0" w:after="0" w:lineRule="exact" w:line="220"/>
              <w:jc w:val="left"/>
            </w:pPr>
            <w:r>
              <w:rPr>
                <w:sz w:val="18"/>
              </w:rPr>
              <w:t xml:space="preserve">3.83</w:t>
            </w:r>
          </w:p>
        </w:tc>
        <w:tc>
          <w:tcPr>
            <w:tcW w:w="1035" w:type="dxa"/>
          </w:tcPr>
          <w:p>
            <w:pPr>
              <w:pStyle w:val="Compact"/>
              <w:keepNext/>
              <w:spacing w:before="0" w:after="0" w:lineRule="exact" w:line="220"/>
              <w:jc w:val="left"/>
            </w:pPr>
            <w:r>
              <w:rPr>
                <w:sz w:val="18"/>
              </w:rPr>
              <w:t xml:space="preserve">0.28</w:t>
            </w:r>
          </w:p>
        </w:tc>
        <w:tc>
          <w:tcPr>
            <w:tcW w:w="1225" w:type="dxa"/>
          </w:tcPr>
          <w:p>
            <w:pPr>
              <w:pStyle w:val="Compact"/>
              <w:keepNext/>
              <w:spacing w:before="0" w:after="0" w:lineRule="exact" w:line="220"/>
              <w:jc w:val="left"/>
            </w:pPr>
            <w:r>
              <w:rPr>
                <w:sz w:val="18"/>
              </w:rPr>
              <w:t xml:space="preserve">3.55</w:t>
            </w:r>
          </w:p>
        </w:tc>
        <w:tc>
          <w:tcPr>
            <w:tcW w:w="803" w:type="dxa"/>
          </w:tcPr>
          <w:p>
            <w:pPr>
              <w:pStyle w:val="Compact"/>
              <w:keepNext/>
              <w:spacing w:before="0" w:after="0" w:lineRule="exact" w:line="220"/>
              <w:jc w:val="left"/>
            </w:pPr>
            <w:r>
              <w:rPr>
                <w:sz w:val="18"/>
              </w:rPr>
              <w:t xml:space="preserve">7.19</w:t>
            </w:r>
          </w:p>
        </w:tc>
        <w:tc>
          <w:tcPr>
            <w:tcW w:w="1035" w:type="dxa"/>
          </w:tcPr>
          <w:p>
            <w:pPr>
              <w:pStyle w:val="Compact"/>
              <w:keepNext/>
              <w:spacing w:before="0" w:after="0" w:lineRule="exact" w:line="220"/>
              <w:jc w:val="left"/>
            </w:pPr>
            <w:r>
              <w:rPr>
                <w:sz w:val="18"/>
              </w:rPr>
              <w:t xml:space="preserve">12.9</w:t>
            </w:r>
          </w:p>
        </w:tc>
        <w:tc>
          <w:tcPr>
            <w:tcW w:w="1249" w:type="dxa"/>
          </w:tcPr>
          <w:p>
            <w:pPr>
              <w:pStyle w:val="Compact"/>
              <w:keepNext/>
              <w:spacing w:before="0" w:after="0" w:lineRule="exact" w:line="220"/>
              <w:jc w:val="left"/>
            </w:pPr>
            <w:r>
              <w:rPr>
                <w:sz w:val="18"/>
              </w:rPr>
              <w:t xml:space="preserve">Revenue: country disclosure; value: derived</w:t>
            </w:r>
          </w:p>
        </w:tc>
      </w:tr>
      <w:tr>
        <w:trPr>
          <w:cantSplit/>
        </w:trPr>
        <w:tc>
          <w:tcPr>
            <w:tcW w:w="1370" w:type="dxa"/>
          </w:tcPr>
          <w:p>
            <w:pPr>
              <w:pStyle w:val="Compact"/>
              <w:spacing w:before="0" w:after="0" w:lineRule="exact" w:line="220"/>
              <w:jc w:val="left"/>
            </w:pPr>
            <w:r>
              <w:rPr>
                <w:sz w:val="18"/>
              </w:rPr>
              <w:t xml:space="preserve">Grab</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5.38</w:t>
            </w:r>
          </w:p>
        </w:tc>
        <w:tc>
          <w:tcPr>
            <w:tcW w:w="1035" w:type="dxa"/>
          </w:tcPr>
          <w:p>
            <w:pPr>
              <w:pStyle w:val="Compact"/>
              <w:spacing w:before="0" w:after="0" w:lineRule="exact" w:line="220"/>
              <w:jc w:val="left"/>
            </w:pPr>
            <w:r>
              <w:rPr>
                <w:sz w:val="18"/>
              </w:rPr>
              <w:t xml:space="preserve">0.60</w:t>
            </w:r>
          </w:p>
        </w:tc>
        <w:tc>
          <w:tcPr>
            <w:tcW w:w="1225" w:type="dxa"/>
          </w:tcPr>
          <w:p>
            <w:pPr>
              <w:pStyle w:val="Compact"/>
              <w:spacing w:before="0" w:after="0" w:lineRule="exact" w:line="220"/>
              <w:jc w:val="left"/>
            </w:pPr>
            <w:r>
              <w:rPr>
                <w:sz w:val="18"/>
              </w:rPr>
              <w:t xml:space="preserve">4.78</w:t>
            </w:r>
          </w:p>
        </w:tc>
        <w:tc>
          <w:tcPr>
            <w:tcW w:w="803" w:type="dxa"/>
          </w:tcPr>
          <w:p>
            <w:pPr>
              <w:pStyle w:val="Compact"/>
              <w:spacing w:before="0" w:after="0" w:lineRule="exact" w:line="220"/>
              <w:jc w:val="left"/>
            </w:pPr>
            <w:r>
              <w:rPr>
                <w:sz w:val="18"/>
              </w:rPr>
              <w:t xml:space="preserve">11.24</w:t>
            </w:r>
          </w:p>
        </w:tc>
        <w:tc>
          <w:tcPr>
            <w:tcW w:w="1035" w:type="dxa"/>
          </w:tcPr>
          <w:p>
            <w:pPr>
              <w:pStyle w:val="Compact"/>
              <w:spacing w:before="0" w:after="0" w:lineRule="exact" w:line="220"/>
              <w:jc w:val="left"/>
            </w:pPr>
            <w:r>
              <w:rPr>
                <w:sz w:val="18"/>
              </w:rPr>
              <w:t xml:space="preserve">7.9</w:t>
            </w:r>
          </w:p>
        </w:tc>
        <w:tc>
          <w:tcPr>
            <w:tcW w:w="1249" w:type="dxa"/>
          </w:tcPr>
          <w:p>
            <w:pPr>
              <w:pStyle w:val="Compact"/>
              <w:spacing w:before="0" w:after="0" w:lineRule="exact" w:line="220"/>
              <w:jc w:val="left"/>
            </w:pPr>
            <w:r>
              <w:rPr>
                <w:sz w:val="18"/>
              </w:rPr>
              <w:t xml:space="preserve">Revenue: country disclosure; value: derived</w:t>
            </w:r>
          </w:p>
        </w:tc>
      </w:tr>
      <w:tr>
        <w:trPr>
          <w:cantSplit/>
        </w:trPr>
        <w:tc>
          <w:tcPr>
            <w:tcW w:w="1370" w:type="dxa"/>
          </w:tcPr>
          <w:p>
            <w:pPr>
              <w:pStyle w:val="Compact"/>
              <w:spacing w:before="0" w:after="0" w:lineRule="exact" w:line="220"/>
              <w:jc w:val="left"/>
            </w:pPr>
            <w:r>
              <w:rPr>
                <w:sz w:val="18"/>
              </w:rPr>
              <w:t xml:space="preserve">Shopee</w:t>
            </w:r>
          </w:p>
        </w:tc>
        <w:tc>
          <w:tcPr>
            <w:tcW w:w="560" w:type="dxa"/>
          </w:tcPr>
          <w:p>
            <w:pPr>
              <w:pStyle w:val="Compact"/>
              <w:spacing w:before="0" w:after="0" w:lineRule="exact" w:line="220"/>
              <w:jc w:val="left"/>
            </w:pPr>
            <w:r>
              <w:rPr>
                <w:sz w:val="18"/>
              </w:rPr>
              <w:t xml:space="preserve">2022</w:t>
            </w:r>
          </w:p>
        </w:tc>
        <w:tc>
          <w:tcPr>
            <w:tcW w:w="1225" w:type="dxa"/>
          </w:tcPr>
          <w:p>
            <w:pPr>
              <w:pStyle w:val="Compact"/>
              <w:spacing w:before="0" w:after="0" w:lineRule="exact" w:line="220"/>
              <w:jc w:val="left"/>
            </w:pPr>
            <w:r>
              <w:rPr>
                <w:sz w:val="18"/>
              </w:rPr>
              <w:t xml:space="preserve">18.68</w:t>
            </w:r>
          </w:p>
        </w:tc>
        <w:tc>
          <w:tcPr>
            <w:tcW w:w="1035" w:type="dxa"/>
          </w:tcPr>
          <w:p>
            <w:pPr>
              <w:pStyle w:val="Compact"/>
              <w:spacing w:before="0" w:after="0" w:lineRule="exact" w:line="220"/>
              <w:jc w:val="left"/>
            </w:pPr>
            <w:r>
              <w:rPr>
                <w:sz w:val="18"/>
              </w:rPr>
              <w:t xml:space="preserve">1.57</w:t>
            </w:r>
          </w:p>
        </w:tc>
        <w:tc>
          <w:tcPr>
            <w:tcW w:w="1225" w:type="dxa"/>
          </w:tcPr>
          <w:p>
            <w:pPr>
              <w:pStyle w:val="Compact"/>
              <w:spacing w:before="0" w:after="0" w:lineRule="exact" w:line="220"/>
              <w:jc w:val="left"/>
            </w:pPr>
            <w:r>
              <w:rPr>
                <w:sz w:val="18"/>
              </w:rPr>
              <w:t xml:space="preserve">17.11</w:t>
            </w:r>
          </w:p>
        </w:tc>
        <w:tc>
          <w:tcPr>
            <w:tcW w:w="803" w:type="dxa"/>
          </w:tcPr>
          <w:p>
            <w:pPr>
              <w:pStyle w:val="Compact"/>
              <w:spacing w:before="0" w:after="0" w:lineRule="exact" w:line="220"/>
              <w:jc w:val="left"/>
            </w:pPr>
            <w:r>
              <w:rPr>
                <w:sz w:val="18"/>
              </w:rPr>
              <w:t xml:space="preserve">8.40</w:t>
            </w:r>
          </w:p>
        </w:tc>
        <w:tc>
          <w:tcPr>
            <w:tcW w:w="1035" w:type="dxa"/>
          </w:tcPr>
          <w:p>
            <w:pPr>
              <w:pStyle w:val="Compact"/>
              <w:spacing w:before="0" w:after="0" w:lineRule="exact" w:line="220"/>
              <w:jc w:val="left"/>
            </w:pPr>
            <w:r>
              <w:rPr>
                <w:sz w:val="18"/>
              </w:rPr>
              <w:t xml:space="preserve">10.9</w:t>
            </w:r>
          </w:p>
        </w:tc>
        <w:tc>
          <w:tcPr>
            <w:tcW w:w="1249" w:type="dxa"/>
          </w:tcPr>
          <w:p>
            <w:pPr>
              <w:pStyle w:val="Compact"/>
              <w:spacing w:before="0" w:after="0" w:lineRule="exact" w:line="220"/>
              <w:jc w:val="left"/>
            </w:pPr>
            <w:r>
              <w:rPr>
                <w:sz w:val="18"/>
              </w:rPr>
              <w:t xml:space="preserve">Value: outside estimate; revenue: scenario</w:t>
            </w:r>
          </w:p>
        </w:tc>
      </w:tr>
      <w:tr>
        <w:trPr>
          <w:cantSplit/>
        </w:trPr>
        <w:tc>
          <w:tcPr>
            <w:tcW w:w="1370" w:type="dxa"/>
          </w:tcPr>
          <w:p>
            <w:pPr>
              <w:pStyle w:val="Compact"/>
              <w:spacing w:before="0" w:after="0" w:lineRule="exact" w:line="220"/>
              <w:jc w:val="left"/>
            </w:pPr>
            <w:r>
              <w:rPr>
                <w:sz w:val="18"/>
              </w:rPr>
              <w:t xml:space="preserve">Shopee</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21.52</w:t>
            </w:r>
          </w:p>
        </w:tc>
        <w:tc>
          <w:tcPr>
            <w:tcW w:w="1035" w:type="dxa"/>
          </w:tcPr>
          <w:p>
            <w:pPr>
              <w:pStyle w:val="Compact"/>
              <w:spacing w:before="0" w:after="0" w:lineRule="exact" w:line="220"/>
              <w:jc w:val="left"/>
            </w:pPr>
            <w:r>
              <w:rPr>
                <w:sz w:val="18"/>
              </w:rPr>
              <w:t xml:space="preserve">2.15</w:t>
            </w:r>
          </w:p>
        </w:tc>
        <w:tc>
          <w:tcPr>
            <w:tcW w:w="1225" w:type="dxa"/>
          </w:tcPr>
          <w:p>
            <w:pPr>
              <w:pStyle w:val="Compact"/>
              <w:spacing w:before="0" w:after="0" w:lineRule="exact" w:line="220"/>
              <w:jc w:val="left"/>
            </w:pPr>
            <w:r>
              <w:rPr>
                <w:sz w:val="18"/>
              </w:rPr>
              <w:t xml:space="preserve">19.37</w:t>
            </w:r>
          </w:p>
        </w:tc>
        <w:tc>
          <w:tcPr>
            <w:tcW w:w="803" w:type="dxa"/>
          </w:tcPr>
          <w:p>
            <w:pPr>
              <w:pStyle w:val="Compact"/>
              <w:spacing w:before="0" w:after="0" w:lineRule="exact" w:line="220"/>
              <w:jc w:val="left"/>
            </w:pPr>
            <w:r>
              <w:rPr>
                <w:sz w:val="18"/>
              </w:rPr>
              <w:t xml:space="preserve">10.00</w:t>
            </w:r>
          </w:p>
        </w:tc>
        <w:tc>
          <w:tcPr>
            <w:tcW w:w="1035" w:type="dxa"/>
          </w:tcPr>
          <w:p>
            <w:pPr>
              <w:pStyle w:val="Compact"/>
              <w:spacing w:before="0" w:after="0" w:lineRule="exact" w:line="220"/>
              <w:jc w:val="left"/>
            </w:pPr>
            <w:r>
              <w:rPr>
                <w:sz w:val="18"/>
              </w:rPr>
              <w:t xml:space="preserve">9.0</w:t>
            </w:r>
          </w:p>
        </w:tc>
        <w:tc>
          <w:tcPr>
            <w:tcW w:w="1249" w:type="dxa"/>
          </w:tcPr>
          <w:p>
            <w:pPr>
              <w:pStyle w:val="Compact"/>
              <w:spacing w:before="0" w:after="0" w:lineRule="exact" w:line="220"/>
              <w:jc w:val="left"/>
            </w:pPr>
            <w:r>
              <w:rPr>
                <w:sz w:val="18"/>
              </w:rPr>
              <w:t xml:space="preserve">Value: outside estimate; revenue: scenario</w:t>
            </w:r>
          </w:p>
        </w:tc>
      </w:tr>
      <w:tr>
        <w:trPr>
          <w:cantSplit/>
        </w:trPr>
        <w:tc>
          <w:tcPr>
            <w:tcW w:w="1370" w:type="dxa"/>
          </w:tcPr>
          <w:p>
            <w:pPr>
              <w:pStyle w:val="Compact"/>
              <w:spacing w:before="0" w:after="0" w:lineRule="exact" w:line="220"/>
              <w:jc w:val="left"/>
            </w:pPr>
            <w:r>
              <w:rPr>
                <w:sz w:val="18"/>
              </w:rPr>
              <w:t xml:space="preserve">Shopee</w:t>
            </w:r>
          </w:p>
        </w:tc>
        <w:tc>
          <w:tcPr>
            <w:tcW w:w="560" w:type="dxa"/>
          </w:tcPr>
          <w:p>
            <w:pPr>
              <w:pStyle w:val="Compact"/>
              <w:spacing w:before="0" w:after="0" w:lineRule="exact" w:line="220"/>
              <w:jc w:val="left"/>
            </w:pPr>
            <w:r>
              <w:rPr>
                <w:sz w:val="18"/>
              </w:rPr>
              <w:t xml:space="preserve">2024</w:t>
            </w:r>
          </w:p>
        </w:tc>
        <w:tc>
          <w:tcPr>
            <w:tcW w:w="1225" w:type="dxa"/>
          </w:tcPr>
          <w:p>
            <w:pPr>
              <w:pStyle w:val="Compact"/>
              <w:spacing w:before="0" w:after="0" w:lineRule="exact" w:line="220"/>
              <w:jc w:val="left"/>
            </w:pPr>
            <w:r>
              <w:rPr>
                <w:sz w:val="18"/>
              </w:rPr>
              <w:t xml:space="preserve">25.99</w:t>
            </w:r>
          </w:p>
        </w:tc>
        <w:tc>
          <w:tcPr>
            <w:tcW w:w="1035" w:type="dxa"/>
          </w:tcPr>
          <w:p>
            <w:pPr>
              <w:pStyle w:val="Compact"/>
              <w:spacing w:before="0" w:after="0" w:lineRule="exact" w:line="220"/>
              <w:jc w:val="left"/>
            </w:pPr>
            <w:r>
              <w:rPr>
                <w:sz w:val="18"/>
              </w:rPr>
              <w:t xml:space="preserve">2.81</w:t>
            </w:r>
          </w:p>
        </w:tc>
        <w:tc>
          <w:tcPr>
            <w:tcW w:w="1225" w:type="dxa"/>
          </w:tcPr>
          <w:p>
            <w:pPr>
              <w:pStyle w:val="Compact"/>
              <w:spacing w:before="0" w:after="0" w:lineRule="exact" w:line="220"/>
              <w:jc w:val="left"/>
            </w:pPr>
            <w:r>
              <w:rPr>
                <w:sz w:val="18"/>
              </w:rPr>
              <w:t xml:space="preserve">23.18</w:t>
            </w:r>
          </w:p>
        </w:tc>
        <w:tc>
          <w:tcPr>
            <w:tcW w:w="803" w:type="dxa"/>
          </w:tcPr>
          <w:p>
            <w:pPr>
              <w:pStyle w:val="Compact"/>
              <w:spacing w:before="0" w:after="0" w:lineRule="exact" w:line="220"/>
              <w:jc w:val="left"/>
            </w:pPr>
            <w:r>
              <w:rPr>
                <w:sz w:val="18"/>
              </w:rPr>
              <w:t xml:space="preserve">10.80</w:t>
            </w:r>
          </w:p>
        </w:tc>
        <w:tc>
          <w:tcPr>
            <w:tcW w:w="1035" w:type="dxa"/>
          </w:tcPr>
          <w:p>
            <w:pPr>
              <w:pStyle w:val="Compact"/>
              <w:spacing w:before="0" w:after="0" w:lineRule="exact" w:line="220"/>
              <w:jc w:val="left"/>
            </w:pPr>
            <w:r>
              <w:rPr>
                <w:sz w:val="18"/>
              </w:rPr>
              <w:t xml:space="preserve">8.3</w:t>
            </w:r>
          </w:p>
        </w:tc>
        <w:tc>
          <w:tcPr>
            <w:tcW w:w="1249" w:type="dxa"/>
          </w:tcPr>
          <w:p>
            <w:pPr>
              <w:pStyle w:val="Compact"/>
              <w:spacing w:before="0" w:after="0" w:lineRule="exact" w:line="220"/>
              <w:jc w:val="left"/>
            </w:pPr>
            <w:r>
              <w:rPr>
                <w:sz w:val="18"/>
              </w:rPr>
              <w:t xml:space="preserve">Value: outside estimate; revenue: scenario</w:t>
            </w:r>
          </w:p>
        </w:tc>
      </w:tr>
      <w:tr>
        <w:trPr>
          <w:cantSplit/>
        </w:trPr>
        <w:tc>
          <w:tcPr>
            <w:tcW w:w="1370" w:type="dxa"/>
          </w:tcPr>
          <w:p>
            <w:pPr>
              <w:pStyle w:val="Compact"/>
              <w:spacing w:before="0" w:after="0" w:lineRule="exact" w:line="220"/>
              <w:jc w:val="left"/>
            </w:pPr>
            <w:r>
              <w:rPr>
                <w:sz w:val="18"/>
              </w:rPr>
              <w:t xml:space="preserve">Tokopedia</w:t>
            </w:r>
          </w:p>
        </w:tc>
        <w:tc>
          <w:tcPr>
            <w:tcW w:w="560" w:type="dxa"/>
          </w:tcPr>
          <w:p>
            <w:pPr>
              <w:pStyle w:val="Compact"/>
              <w:spacing w:before="0" w:after="0" w:lineRule="exact" w:line="220"/>
              <w:jc w:val="left"/>
            </w:pPr>
            <w:r>
              <w:rPr>
                <w:sz w:val="18"/>
              </w:rPr>
              <w:t xml:space="preserve">2022</w:t>
            </w:r>
          </w:p>
        </w:tc>
        <w:tc>
          <w:tcPr>
            <w:tcW w:w="1225" w:type="dxa"/>
          </w:tcPr>
          <w:p>
            <w:pPr>
              <w:pStyle w:val="Compact"/>
              <w:spacing w:before="0" w:after="0" w:lineRule="exact" w:line="220"/>
              <w:jc w:val="left"/>
            </w:pPr>
            <w:r>
              <w:rPr>
                <w:sz w:val="18"/>
              </w:rPr>
              <w:t xml:space="preserve">273,146,166</w:t>
            </w:r>
          </w:p>
        </w:tc>
        <w:tc>
          <w:tcPr>
            <w:tcW w:w="1035" w:type="dxa"/>
          </w:tcPr>
          <w:p>
            <w:pPr>
              <w:pStyle w:val="Compact"/>
              <w:spacing w:before="0" w:after="0" w:lineRule="exact" w:line="220"/>
              <w:jc w:val="left"/>
            </w:pPr>
            <w:r>
              <w:rPr>
                <w:sz w:val="18"/>
              </w:rPr>
              <w:t xml:space="preserve">4,030,919</w:t>
            </w:r>
          </w:p>
        </w:tc>
        <w:tc>
          <w:tcPr>
            <w:tcW w:w="1225" w:type="dxa"/>
          </w:tcPr>
          <w:p>
            <w:pPr>
              <w:pStyle w:val="Compact"/>
              <w:spacing w:before="0" w:after="0" w:lineRule="exact" w:line="220"/>
              <w:jc w:val="left"/>
            </w:pPr>
            <w:r>
              <w:rPr>
                <w:sz w:val="18"/>
              </w:rPr>
              <w:t xml:space="preserve">269,115,247</w:t>
            </w:r>
          </w:p>
        </w:tc>
        <w:tc>
          <w:tcPr>
            <w:tcW w:w="803" w:type="dxa"/>
          </w:tcPr>
          <w:p>
            <w:pPr>
              <w:pStyle w:val="Compact"/>
              <w:spacing w:before="0" w:after="0" w:lineRule="exact" w:line="220"/>
              <w:jc w:val="left"/>
            </w:pPr>
            <w:r>
              <w:rPr>
                <w:sz w:val="18"/>
              </w:rPr>
              <w:t xml:space="preserve">1.48</w:t>
            </w:r>
          </w:p>
        </w:tc>
        <w:tc>
          <w:tcPr>
            <w:tcW w:w="1035" w:type="dxa"/>
          </w:tcPr>
          <w:p>
            <w:pPr>
              <w:pStyle w:val="Compact"/>
              <w:spacing w:before="0" w:after="0" w:lineRule="exact" w:line="220"/>
              <w:jc w:val="left"/>
            </w:pPr>
            <w:r>
              <w:rPr>
                <w:sz w:val="18"/>
              </w:rPr>
              <w:t xml:space="preserve">66.8</w:t>
            </w:r>
          </w:p>
        </w:tc>
        <w:tc>
          <w:tcPr>
            <w:tcW w:w="1249" w:type="dxa"/>
          </w:tcPr>
          <w:p>
            <w:pPr>
              <w:pStyle w:val="Compact"/>
              <w:spacing w:before="0" w:after="0" w:lineRule="exact" w:line="220"/>
              <w:jc w:val="left"/>
            </w:pPr>
            <w:r>
              <w:rPr>
                <w:sz w:val="18"/>
              </w:rPr>
              <w:t xml:space="preserve">Direct segment disclosure</w:t>
            </w:r>
          </w:p>
        </w:tc>
      </w:tr>
      <w:tr>
        <w:trPr>
          <w:cantSplit/>
        </w:trPr>
        <w:tc>
          <w:tcPr>
            <w:tcW w:w="1370" w:type="dxa"/>
          </w:tcPr>
          <w:p>
            <w:pPr>
              <w:pStyle w:val="Compact"/>
              <w:spacing w:before="0" w:after="0" w:lineRule="exact" w:line="220"/>
              <w:jc w:val="left"/>
            </w:pPr>
            <w:r>
              <w:rPr>
                <w:sz w:val="18"/>
              </w:rPr>
              <w:t xml:space="preserve">Tokopedia</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248,836,156</w:t>
            </w:r>
          </w:p>
        </w:tc>
        <w:tc>
          <w:tcPr>
            <w:tcW w:w="1035" w:type="dxa"/>
          </w:tcPr>
          <w:p>
            <w:pPr>
              <w:pStyle w:val="Compact"/>
              <w:spacing w:before="0" w:after="0" w:lineRule="exact" w:line="220"/>
              <w:jc w:val="left"/>
            </w:pPr>
            <w:r>
              <w:rPr>
                <w:sz w:val="18"/>
              </w:rPr>
              <w:t xml:space="preserve">6,175,190</w:t>
            </w:r>
          </w:p>
        </w:tc>
        <w:tc>
          <w:tcPr>
            <w:tcW w:w="1225" w:type="dxa"/>
          </w:tcPr>
          <w:p>
            <w:pPr>
              <w:pStyle w:val="Compact"/>
              <w:spacing w:before="0" w:after="0" w:lineRule="exact" w:line="220"/>
              <w:jc w:val="left"/>
            </w:pPr>
            <w:r>
              <w:rPr>
                <w:sz w:val="18"/>
              </w:rPr>
              <w:t xml:space="preserve">242,660,966</w:t>
            </w:r>
          </w:p>
        </w:tc>
        <w:tc>
          <w:tcPr>
            <w:tcW w:w="803" w:type="dxa"/>
          </w:tcPr>
          <w:p>
            <w:pPr>
              <w:pStyle w:val="Compact"/>
              <w:spacing w:before="0" w:after="0" w:lineRule="exact" w:line="220"/>
              <w:jc w:val="left"/>
            </w:pPr>
            <w:r>
              <w:rPr>
                <w:sz w:val="18"/>
              </w:rPr>
              <w:t xml:space="preserve">2.48</w:t>
            </w:r>
          </w:p>
        </w:tc>
        <w:tc>
          <w:tcPr>
            <w:tcW w:w="1035" w:type="dxa"/>
          </w:tcPr>
          <w:p>
            <w:pPr>
              <w:pStyle w:val="Compact"/>
              <w:spacing w:before="0" w:after="0" w:lineRule="exact" w:line="220"/>
              <w:jc w:val="left"/>
            </w:pPr>
            <w:r>
              <w:rPr>
                <w:sz w:val="18"/>
              </w:rPr>
              <w:t xml:space="preserve">39.3</w:t>
            </w:r>
          </w:p>
        </w:tc>
        <w:tc>
          <w:tcPr>
            <w:tcW w:w="1249" w:type="dxa"/>
          </w:tcPr>
          <w:p>
            <w:pPr>
              <w:pStyle w:val="Compact"/>
              <w:spacing w:before="0" w:after="0" w:lineRule="exact" w:line="220"/>
              <w:jc w:val="left"/>
            </w:pPr>
            <w:r>
              <w:rPr>
                <w:sz w:val="18"/>
              </w:rPr>
              <w:t xml:space="preserve">Direct segment disclosure</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2021</w:t>
            </w:r>
          </w:p>
        </w:tc>
        <w:tc>
          <w:tcPr>
            <w:tcW w:w="1225" w:type="dxa"/>
          </w:tcPr>
          <w:p>
            <w:pPr>
              <w:pStyle w:val="Compact"/>
              <w:spacing w:before="0" w:after="0" w:lineRule="exact" w:line="220"/>
              <w:jc w:val="left"/>
            </w:pPr>
            <w:r>
              <w:rPr>
                <w:sz w:val="18"/>
              </w:rPr>
              <w:t xml:space="preserve">15,746</w:t>
            </w:r>
          </w:p>
        </w:tc>
        <w:tc>
          <w:tcPr>
            <w:tcW w:w="1035" w:type="dxa"/>
          </w:tcPr>
          <w:p>
            <w:pPr>
              <w:pStyle w:val="Compact"/>
              <w:spacing w:before="0" w:after="0" w:lineRule="exact" w:line="220"/>
              <w:jc w:val="left"/>
            </w:pPr>
            <w:r>
              <w:rPr>
                <w:sz w:val="18"/>
              </w:rPr>
              <w:t xml:space="preserve">122</w:t>
            </w:r>
          </w:p>
        </w:tc>
        <w:tc>
          <w:tcPr>
            <w:tcW w:w="1225" w:type="dxa"/>
          </w:tcPr>
          <w:p>
            <w:pPr>
              <w:pStyle w:val="Compact"/>
              <w:spacing w:before="0" w:after="0" w:lineRule="exact" w:line="220"/>
              <w:jc w:val="left"/>
            </w:pPr>
            <w:r>
              <w:rPr>
                <w:sz w:val="18"/>
              </w:rPr>
              <w:t xml:space="preserve">15,624</w:t>
            </w:r>
          </w:p>
        </w:tc>
        <w:tc>
          <w:tcPr>
            <w:tcW w:w="803" w:type="dxa"/>
          </w:tcPr>
          <w:p>
            <w:pPr>
              <w:pStyle w:val="Compact"/>
              <w:spacing w:before="0" w:after="0" w:lineRule="exact" w:line="220"/>
              <w:jc w:val="left"/>
            </w:pPr>
            <w:r>
              <w:rPr>
                <w:sz w:val="18"/>
              </w:rPr>
              <w:t xml:space="preserve">0.77</w:t>
            </w:r>
          </w:p>
        </w:tc>
        <w:tc>
          <w:tcPr>
            <w:tcW w:w="1035" w:type="dxa"/>
          </w:tcPr>
          <w:p>
            <w:pPr>
              <w:pStyle w:val="Compact"/>
              <w:spacing w:before="0" w:after="0" w:lineRule="exact" w:line="220"/>
              <w:jc w:val="left"/>
            </w:pPr>
            <w:r>
              <w:rPr>
                <w:sz w:val="18"/>
              </w:rPr>
              <w:t xml:space="preserve">128.1</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2022</w:t>
            </w:r>
          </w:p>
        </w:tc>
        <w:tc>
          <w:tcPr>
            <w:tcW w:w="1225" w:type="dxa"/>
          </w:tcPr>
          <w:p>
            <w:pPr>
              <w:pStyle w:val="Compact"/>
              <w:spacing w:before="0" w:after="0" w:lineRule="exact" w:line="220"/>
              <w:jc w:val="left"/>
            </w:pPr>
            <w:r>
              <w:rPr>
                <w:sz w:val="18"/>
              </w:rPr>
              <w:t xml:space="preserve">37,050</w:t>
            </w:r>
          </w:p>
        </w:tc>
        <w:tc>
          <w:tcPr>
            <w:tcW w:w="1035" w:type="dxa"/>
          </w:tcPr>
          <w:p>
            <w:pPr>
              <w:pStyle w:val="Compact"/>
              <w:spacing w:before="0" w:after="0" w:lineRule="exact" w:line="220"/>
              <w:jc w:val="left"/>
            </w:pPr>
            <w:r>
              <w:rPr>
                <w:sz w:val="18"/>
              </w:rPr>
              <w:t xml:space="preserve">199</w:t>
            </w:r>
          </w:p>
        </w:tc>
        <w:tc>
          <w:tcPr>
            <w:tcW w:w="1225" w:type="dxa"/>
          </w:tcPr>
          <w:p>
            <w:pPr>
              <w:pStyle w:val="Compact"/>
              <w:spacing w:before="0" w:after="0" w:lineRule="exact" w:line="220"/>
              <w:jc w:val="left"/>
            </w:pPr>
            <w:r>
              <w:rPr>
                <w:sz w:val="18"/>
              </w:rPr>
              <w:t xml:space="preserve">36,851</w:t>
            </w:r>
          </w:p>
        </w:tc>
        <w:tc>
          <w:tcPr>
            <w:tcW w:w="803" w:type="dxa"/>
          </w:tcPr>
          <w:p>
            <w:pPr>
              <w:pStyle w:val="Compact"/>
              <w:spacing w:before="0" w:after="0" w:lineRule="exact" w:line="220"/>
              <w:jc w:val="left"/>
            </w:pPr>
            <w:r>
              <w:rPr>
                <w:sz w:val="18"/>
              </w:rPr>
              <w:t xml:space="preserve">0.54</w:t>
            </w:r>
          </w:p>
        </w:tc>
        <w:tc>
          <w:tcPr>
            <w:tcW w:w="1035" w:type="dxa"/>
          </w:tcPr>
          <w:p>
            <w:pPr>
              <w:pStyle w:val="Compact"/>
              <w:spacing w:before="0" w:after="0" w:lineRule="exact" w:line="220"/>
              <w:jc w:val="left"/>
            </w:pPr>
            <w:r>
              <w:rPr>
                <w:sz w:val="18"/>
              </w:rPr>
              <w:t xml:space="preserve">185.2</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49,912</w:t>
            </w:r>
          </w:p>
        </w:tc>
        <w:tc>
          <w:tcPr>
            <w:tcW w:w="1035" w:type="dxa"/>
          </w:tcPr>
          <w:p>
            <w:pPr>
              <w:pStyle w:val="Compact"/>
              <w:spacing w:before="0" w:after="0" w:lineRule="exact" w:line="220"/>
              <w:jc w:val="left"/>
            </w:pPr>
            <w:r>
              <w:rPr>
                <w:sz w:val="18"/>
              </w:rPr>
              <w:t xml:space="preserve">1,125</w:t>
            </w:r>
          </w:p>
        </w:tc>
        <w:tc>
          <w:tcPr>
            <w:tcW w:w="1225" w:type="dxa"/>
          </w:tcPr>
          <w:p>
            <w:pPr>
              <w:pStyle w:val="Compact"/>
              <w:spacing w:before="0" w:after="0" w:lineRule="exact" w:line="220"/>
              <w:jc w:val="left"/>
            </w:pPr>
            <w:r>
              <w:rPr>
                <w:sz w:val="18"/>
              </w:rPr>
              <w:t xml:space="preserve">48,787</w:t>
            </w:r>
          </w:p>
        </w:tc>
        <w:tc>
          <w:tcPr>
            <w:tcW w:w="803" w:type="dxa"/>
          </w:tcPr>
          <w:p>
            <w:pPr>
              <w:pStyle w:val="Compact"/>
              <w:spacing w:before="0" w:after="0" w:lineRule="exact" w:line="220"/>
              <w:jc w:val="left"/>
            </w:pPr>
            <w:r>
              <w:rPr>
                <w:sz w:val="18"/>
              </w:rPr>
              <w:t xml:space="preserve">2.25</w:t>
            </w:r>
          </w:p>
        </w:tc>
        <w:tc>
          <w:tcPr>
            <w:tcW w:w="1035" w:type="dxa"/>
          </w:tcPr>
          <w:p>
            <w:pPr>
              <w:pStyle w:val="Compact"/>
              <w:spacing w:before="0" w:after="0" w:lineRule="exact" w:line="220"/>
              <w:jc w:val="left"/>
            </w:pPr>
            <w:r>
              <w:rPr>
                <w:sz w:val="18"/>
              </w:rPr>
              <w:t xml:space="preserve">43.4</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2024</w:t>
            </w:r>
          </w:p>
        </w:tc>
        <w:tc>
          <w:tcPr>
            <w:tcW w:w="1225" w:type="dxa"/>
          </w:tcPr>
          <w:p>
            <w:pPr>
              <w:pStyle w:val="Compact"/>
              <w:spacing w:before="0" w:after="0" w:lineRule="exact" w:line="220"/>
              <w:jc w:val="left"/>
            </w:pPr>
            <w:r>
              <w:rPr>
                <w:sz w:val="18"/>
              </w:rPr>
              <w:t xml:space="preserve">54,210</w:t>
            </w:r>
          </w:p>
        </w:tc>
        <w:tc>
          <w:tcPr>
            <w:tcW w:w="1035" w:type="dxa"/>
          </w:tcPr>
          <w:p>
            <w:pPr>
              <w:pStyle w:val="Compact"/>
              <w:spacing w:before="0" w:after="0" w:lineRule="exact" w:line="220"/>
              <w:jc w:val="left"/>
            </w:pPr>
            <w:r>
              <w:rPr>
                <w:sz w:val="18"/>
              </w:rPr>
              <w:t xml:space="preserve">1,384</w:t>
            </w:r>
          </w:p>
        </w:tc>
        <w:tc>
          <w:tcPr>
            <w:tcW w:w="1225" w:type="dxa"/>
          </w:tcPr>
          <w:p>
            <w:pPr>
              <w:pStyle w:val="Compact"/>
              <w:spacing w:before="0" w:after="0" w:lineRule="exact" w:line="220"/>
              <w:jc w:val="left"/>
            </w:pPr>
            <w:r>
              <w:rPr>
                <w:sz w:val="18"/>
              </w:rPr>
              <w:t xml:space="preserve">52,826</w:t>
            </w:r>
          </w:p>
        </w:tc>
        <w:tc>
          <w:tcPr>
            <w:tcW w:w="803" w:type="dxa"/>
          </w:tcPr>
          <w:p>
            <w:pPr>
              <w:pStyle w:val="Compact"/>
              <w:spacing w:before="0" w:after="0" w:lineRule="exact" w:line="220"/>
              <w:jc w:val="left"/>
            </w:pPr>
            <w:r>
              <w:rPr>
                <w:sz w:val="18"/>
              </w:rPr>
              <w:t xml:space="preserve">2.55</w:t>
            </w:r>
          </w:p>
        </w:tc>
        <w:tc>
          <w:tcPr>
            <w:tcW w:w="1035" w:type="dxa"/>
          </w:tcPr>
          <w:p>
            <w:pPr>
              <w:pStyle w:val="Compact"/>
              <w:spacing w:before="0" w:after="0" w:lineRule="exact" w:line="220"/>
              <w:jc w:val="left"/>
            </w:pPr>
            <w:r>
              <w:rPr>
                <w:sz w:val="18"/>
              </w:rPr>
              <w:t xml:space="preserve">38.2</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2025</w:t>
            </w:r>
          </w:p>
        </w:tc>
        <w:tc>
          <w:tcPr>
            <w:tcW w:w="1225" w:type="dxa"/>
          </w:tcPr>
          <w:p>
            <w:pPr>
              <w:pStyle w:val="Compact"/>
              <w:spacing w:before="0" w:after="0" w:lineRule="exact" w:line="220"/>
              <w:jc w:val="left"/>
            </w:pPr>
            <w:r>
              <w:rPr>
                <w:sz w:val="18"/>
              </w:rPr>
              <w:t xml:space="preserve">53,187</w:t>
            </w:r>
          </w:p>
        </w:tc>
        <w:tc>
          <w:tcPr>
            <w:tcW w:w="1035" w:type="dxa"/>
          </w:tcPr>
          <w:p>
            <w:pPr>
              <w:pStyle w:val="Compact"/>
              <w:spacing w:before="0" w:after="0" w:lineRule="exact" w:line="220"/>
              <w:jc w:val="left"/>
            </w:pPr>
            <w:r>
              <w:rPr>
                <w:sz w:val="18"/>
              </w:rPr>
              <w:t xml:space="preserve">1,551</w:t>
            </w:r>
          </w:p>
        </w:tc>
        <w:tc>
          <w:tcPr>
            <w:tcW w:w="1225" w:type="dxa"/>
          </w:tcPr>
          <w:p>
            <w:pPr>
              <w:pStyle w:val="Compact"/>
              <w:spacing w:before="0" w:after="0" w:lineRule="exact" w:line="220"/>
              <w:jc w:val="left"/>
            </w:pPr>
            <w:r>
              <w:rPr>
                <w:sz w:val="18"/>
              </w:rPr>
              <w:t xml:space="preserve">51,636</w:t>
            </w:r>
          </w:p>
        </w:tc>
        <w:tc>
          <w:tcPr>
            <w:tcW w:w="803" w:type="dxa"/>
          </w:tcPr>
          <w:p>
            <w:pPr>
              <w:pStyle w:val="Compact"/>
              <w:spacing w:before="0" w:after="0" w:lineRule="exact" w:line="220"/>
              <w:jc w:val="left"/>
            </w:pPr>
            <w:r>
              <w:rPr>
                <w:sz w:val="18"/>
              </w:rPr>
              <w:t xml:space="preserve">2.92</w:t>
            </w:r>
          </w:p>
        </w:tc>
        <w:tc>
          <w:tcPr>
            <w:tcW w:w="1035" w:type="dxa"/>
          </w:tcPr>
          <w:p>
            <w:pPr>
              <w:pStyle w:val="Compact"/>
              <w:spacing w:before="0" w:after="0" w:lineRule="exact" w:line="220"/>
              <w:jc w:val="left"/>
            </w:pPr>
            <w:r>
              <w:rPr>
                <w:sz w:val="18"/>
              </w:rPr>
              <w:t xml:space="preserve">33.3</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Bukalapak Group</w:t>
            </w:r>
          </w:p>
        </w:tc>
        <w:tc>
          <w:tcPr>
            <w:tcW w:w="560" w:type="dxa"/>
          </w:tcPr>
          <w:p>
            <w:pPr>
              <w:pStyle w:val="Compact"/>
              <w:spacing w:before="0" w:after="0" w:lineRule="exact" w:line="220"/>
              <w:jc w:val="left"/>
            </w:pPr>
            <w:r>
              <w:rPr>
                <w:sz w:val="18"/>
              </w:rPr>
              <w:t xml:space="preserve">2020</w:t>
            </w:r>
          </w:p>
        </w:tc>
        <w:tc>
          <w:tcPr>
            <w:tcW w:w="1225" w:type="dxa"/>
          </w:tcPr>
          <w:p>
            <w:pPr>
              <w:pStyle w:val="Compact"/>
              <w:spacing w:before="0" w:after="0" w:lineRule="exact" w:line="220"/>
              <w:jc w:val="left"/>
            </w:pPr>
            <w:r>
              <w:rPr>
                <w:sz w:val="18"/>
              </w:rPr>
              <w:t xml:space="preserve">85,081,843</w:t>
            </w:r>
          </w:p>
        </w:tc>
        <w:tc>
          <w:tcPr>
            <w:tcW w:w="1035" w:type="dxa"/>
          </w:tcPr>
          <w:p>
            <w:pPr>
              <w:pStyle w:val="Compact"/>
              <w:spacing w:before="0" w:after="0" w:lineRule="exact" w:line="220"/>
              <w:jc w:val="left"/>
            </w:pPr>
            <w:r>
              <w:rPr>
                <w:sz w:val="18"/>
              </w:rPr>
              <w:t xml:space="preserve">1,351,664</w:t>
            </w:r>
          </w:p>
        </w:tc>
        <w:tc>
          <w:tcPr>
            <w:tcW w:w="1225" w:type="dxa"/>
          </w:tcPr>
          <w:p>
            <w:pPr>
              <w:pStyle w:val="Compact"/>
              <w:spacing w:before="0" w:after="0" w:lineRule="exact" w:line="220"/>
              <w:jc w:val="left"/>
            </w:pPr>
            <w:r>
              <w:rPr>
                <w:sz w:val="18"/>
              </w:rPr>
              <w:t xml:space="preserve">83,730,179</w:t>
            </w:r>
          </w:p>
        </w:tc>
        <w:tc>
          <w:tcPr>
            <w:tcW w:w="803" w:type="dxa"/>
          </w:tcPr>
          <w:p>
            <w:pPr>
              <w:pStyle w:val="Compact"/>
              <w:spacing w:before="0" w:after="0" w:lineRule="exact" w:line="220"/>
              <w:jc w:val="left"/>
            </w:pPr>
            <w:r>
              <w:rPr>
                <w:sz w:val="18"/>
              </w:rPr>
              <w:t xml:space="preserve">1.59</w:t>
            </w:r>
          </w:p>
        </w:tc>
        <w:tc>
          <w:tcPr>
            <w:tcW w:w="1035" w:type="dxa"/>
          </w:tcPr>
          <w:p>
            <w:pPr>
              <w:pStyle w:val="Compact"/>
              <w:spacing w:before="0" w:after="0" w:lineRule="exact" w:line="220"/>
              <w:jc w:val="left"/>
            </w:pPr>
            <w:r>
              <w:rPr>
                <w:sz w:val="18"/>
              </w:rPr>
              <w:t xml:space="preserve">61.9</w:t>
            </w:r>
          </w:p>
        </w:tc>
        <w:tc>
          <w:tcPr>
            <w:tcW w:w="1249" w:type="dxa"/>
          </w:tcPr>
          <w:p>
            <w:pPr>
              <w:pStyle w:val="Compact"/>
              <w:spacing w:before="0" w:after="0" w:lineRule="exact" w:line="220"/>
              <w:jc w:val="left"/>
            </w:pPr>
            <w:r>
              <w:rPr>
                <w:sz w:val="18"/>
              </w:rPr>
              <w:t xml:space="preserve">Company-wide disclosure</w:t>
            </w:r>
          </w:p>
        </w:tc>
      </w:tr>
      <w:tr>
        <w:trPr>
          <w:cantSplit/>
        </w:trPr>
        <w:tc>
          <w:tcPr>
            <w:tcW w:w="1370" w:type="dxa"/>
          </w:tcPr>
          <w:p>
            <w:pPr>
              <w:pStyle w:val="Compact"/>
              <w:spacing w:before="0" w:after="0" w:lineRule="exact" w:line="220"/>
              <w:jc w:val="left"/>
            </w:pPr>
            <w:r>
              <w:rPr>
                <w:sz w:val="18"/>
              </w:rPr>
              <w:t xml:space="preserve">Bukalapak Group</w:t>
            </w:r>
          </w:p>
        </w:tc>
        <w:tc>
          <w:tcPr>
            <w:tcW w:w="560" w:type="dxa"/>
          </w:tcPr>
          <w:p>
            <w:pPr>
              <w:pStyle w:val="Compact"/>
              <w:spacing w:before="0" w:after="0" w:lineRule="exact" w:line="220"/>
              <w:jc w:val="left"/>
            </w:pPr>
            <w:r>
              <w:rPr>
                <w:sz w:val="18"/>
              </w:rPr>
              <w:t xml:space="preserve">2021</w:t>
            </w:r>
          </w:p>
        </w:tc>
        <w:tc>
          <w:tcPr>
            <w:tcW w:w="1225" w:type="dxa"/>
          </w:tcPr>
          <w:p>
            <w:pPr>
              <w:pStyle w:val="Compact"/>
              <w:spacing w:before="0" w:after="0" w:lineRule="exact" w:line="220"/>
              <w:jc w:val="left"/>
            </w:pPr>
            <w:r>
              <w:rPr>
                <w:sz w:val="18"/>
              </w:rPr>
              <w:t xml:space="preserve">122,618,794</w:t>
            </w:r>
          </w:p>
        </w:tc>
        <w:tc>
          <w:tcPr>
            <w:tcW w:w="1035" w:type="dxa"/>
          </w:tcPr>
          <w:p>
            <w:pPr>
              <w:pStyle w:val="Compact"/>
              <w:spacing w:before="0" w:after="0" w:lineRule="exact" w:line="220"/>
              <w:jc w:val="left"/>
            </w:pPr>
            <w:r>
              <w:rPr>
                <w:sz w:val="18"/>
              </w:rPr>
              <w:t xml:space="preserve">1,869,122</w:t>
            </w:r>
          </w:p>
        </w:tc>
        <w:tc>
          <w:tcPr>
            <w:tcW w:w="1225" w:type="dxa"/>
          </w:tcPr>
          <w:p>
            <w:pPr>
              <w:pStyle w:val="Compact"/>
              <w:spacing w:before="0" w:after="0" w:lineRule="exact" w:line="220"/>
              <w:jc w:val="left"/>
            </w:pPr>
            <w:r>
              <w:rPr>
                <w:sz w:val="18"/>
              </w:rPr>
              <w:t xml:space="preserve">120,749,672</w:t>
            </w:r>
          </w:p>
        </w:tc>
        <w:tc>
          <w:tcPr>
            <w:tcW w:w="803" w:type="dxa"/>
          </w:tcPr>
          <w:p>
            <w:pPr>
              <w:pStyle w:val="Compact"/>
              <w:spacing w:before="0" w:after="0" w:lineRule="exact" w:line="220"/>
              <w:jc w:val="left"/>
            </w:pPr>
            <w:r>
              <w:rPr>
                <w:sz w:val="18"/>
              </w:rPr>
              <w:t xml:space="preserve">1.52</w:t>
            </w:r>
          </w:p>
        </w:tc>
        <w:tc>
          <w:tcPr>
            <w:tcW w:w="1035" w:type="dxa"/>
          </w:tcPr>
          <w:p>
            <w:pPr>
              <w:pStyle w:val="Compact"/>
              <w:spacing w:before="0" w:after="0" w:lineRule="exact" w:line="220"/>
              <w:jc w:val="left"/>
            </w:pPr>
            <w:r>
              <w:rPr>
                <w:sz w:val="18"/>
              </w:rPr>
              <w:t xml:space="preserve">64.6</w:t>
            </w:r>
          </w:p>
        </w:tc>
        <w:tc>
          <w:tcPr>
            <w:tcW w:w="1249" w:type="dxa"/>
          </w:tcPr>
          <w:p>
            <w:pPr>
              <w:pStyle w:val="Compact"/>
              <w:spacing w:before="0" w:after="0" w:lineRule="exact" w:line="220"/>
              <w:jc w:val="left"/>
            </w:pPr>
            <w:r>
              <w:rPr>
                <w:sz w:val="18"/>
              </w:rPr>
              <w:t xml:space="preserve">Company-wide disclosure</w:t>
            </w:r>
          </w:p>
        </w:tc>
      </w:tr>
      <w:tr>
        <w:trPr>
          <w:cantSplit/>
        </w:trPr>
        <w:tc>
          <w:tcPr>
            <w:tcW w:w="1370" w:type="dxa"/>
          </w:tcPr>
          <w:p>
            <w:pPr>
              <w:pStyle w:val="Compact"/>
              <w:keepNext/>
              <w:spacing w:before="0" w:after="0" w:lineRule="exact" w:line="220"/>
              <w:jc w:val="left"/>
            </w:pPr>
            <w:r>
              <w:rPr>
                <w:sz w:val="18"/>
              </w:rPr>
              <w:t xml:space="preserve">Bukalapak Group</w:t>
            </w:r>
          </w:p>
        </w:tc>
        <w:tc>
          <w:tcPr>
            <w:tcW w:w="560" w:type="dxa"/>
          </w:tcPr>
          <w:p>
            <w:pPr>
              <w:pStyle w:val="Compact"/>
              <w:keepNext/>
              <w:spacing w:before="0" w:after="0" w:lineRule="exact" w:line="220"/>
              <w:jc w:val="left"/>
            </w:pPr>
            <w:r>
              <w:rPr>
                <w:sz w:val="18"/>
              </w:rPr>
              <w:t xml:space="preserve">2022</w:t>
            </w:r>
          </w:p>
        </w:tc>
        <w:tc>
          <w:tcPr>
            <w:tcW w:w="1225" w:type="dxa"/>
          </w:tcPr>
          <w:p>
            <w:pPr>
              <w:pStyle w:val="Compact"/>
              <w:keepNext/>
              <w:spacing w:before="0" w:after="0" w:lineRule="exact" w:line="220"/>
              <w:jc w:val="left"/>
            </w:pPr>
            <w:r>
              <w:rPr>
                <w:sz w:val="18"/>
              </w:rPr>
              <w:t xml:space="preserve">153,738,958</w:t>
            </w:r>
          </w:p>
        </w:tc>
        <w:tc>
          <w:tcPr>
            <w:tcW w:w="1035" w:type="dxa"/>
          </w:tcPr>
          <w:p>
            <w:pPr>
              <w:pStyle w:val="Compact"/>
              <w:keepNext/>
              <w:spacing w:before="0" w:after="0" w:lineRule="exact" w:line="220"/>
              <w:jc w:val="left"/>
            </w:pPr>
            <w:r>
              <w:rPr>
                <w:sz w:val="18"/>
              </w:rPr>
              <w:t xml:space="preserve">3,618,366</w:t>
            </w:r>
          </w:p>
        </w:tc>
        <w:tc>
          <w:tcPr>
            <w:tcW w:w="1225" w:type="dxa"/>
          </w:tcPr>
          <w:p>
            <w:pPr>
              <w:pStyle w:val="Compact"/>
              <w:keepNext/>
              <w:spacing w:before="0" w:after="0" w:lineRule="exact" w:line="220"/>
              <w:jc w:val="left"/>
            </w:pPr>
            <w:r>
              <w:rPr>
                <w:sz w:val="18"/>
              </w:rPr>
              <w:t xml:space="preserve">150,120,592</w:t>
            </w:r>
          </w:p>
        </w:tc>
        <w:tc>
          <w:tcPr>
            <w:tcW w:w="803" w:type="dxa"/>
          </w:tcPr>
          <w:p>
            <w:pPr>
              <w:pStyle w:val="Compact"/>
              <w:keepNext/>
              <w:spacing w:before="0" w:after="0" w:lineRule="exact" w:line="220"/>
              <w:jc w:val="left"/>
            </w:pPr>
            <w:r>
              <w:rPr>
                <w:sz w:val="18"/>
              </w:rPr>
              <w:t xml:space="preserve">2.35</w:t>
            </w:r>
          </w:p>
        </w:tc>
        <w:tc>
          <w:tcPr>
            <w:tcW w:w="1035" w:type="dxa"/>
          </w:tcPr>
          <w:p>
            <w:pPr>
              <w:pStyle w:val="Compact"/>
              <w:keepNext/>
              <w:spacing w:before="0" w:after="0" w:lineRule="exact" w:line="220"/>
              <w:jc w:val="left"/>
            </w:pPr>
            <w:r>
              <w:rPr>
                <w:sz w:val="18"/>
              </w:rPr>
              <w:t xml:space="preserve">41.5</w:t>
            </w:r>
          </w:p>
        </w:tc>
        <w:tc>
          <w:tcPr>
            <w:tcW w:w="1249" w:type="dxa"/>
          </w:tcPr>
          <w:p>
            <w:pPr>
              <w:pStyle w:val="Compact"/>
              <w:keepNext/>
              <w:spacing w:before="0" w:after="0" w:lineRule="exact" w:line="220"/>
              <w:jc w:val="left"/>
            </w:pPr>
            <w:r>
              <w:rPr>
                <w:sz w:val="18"/>
              </w:rPr>
              <w:t xml:space="preserve">Company-wide disclosure</w:t>
            </w:r>
          </w:p>
        </w:tc>
      </w:tr>
      <w:tr>
        <w:trPr>
          <w:cantSplit/>
        </w:trPr>
        <w:tc>
          <w:tcPr>
            <w:tcW w:w="1370" w:type="dxa"/>
          </w:tcPr>
          <w:p>
            <w:pPr>
              <w:pStyle w:val="Compact"/>
              <w:spacing w:before="0" w:after="0" w:lineRule="exact" w:line="220"/>
              <w:jc w:val="left"/>
            </w:pPr>
            <w:r>
              <w:rPr>
                <w:sz w:val="18"/>
              </w:rPr>
              <w:t xml:space="preserve">Bukalapak Group</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164,380,065</w:t>
            </w:r>
          </w:p>
        </w:tc>
        <w:tc>
          <w:tcPr>
            <w:tcW w:w="1035" w:type="dxa"/>
          </w:tcPr>
          <w:p>
            <w:pPr>
              <w:pStyle w:val="Compact"/>
              <w:spacing w:before="0" w:after="0" w:lineRule="exact" w:line="220"/>
              <w:jc w:val="left"/>
            </w:pPr>
            <w:r>
              <w:rPr>
                <w:sz w:val="18"/>
              </w:rPr>
              <w:t xml:space="preserve">4,438,269</w:t>
            </w:r>
          </w:p>
        </w:tc>
        <w:tc>
          <w:tcPr>
            <w:tcW w:w="1225" w:type="dxa"/>
          </w:tcPr>
          <w:p>
            <w:pPr>
              <w:pStyle w:val="Compact"/>
              <w:spacing w:before="0" w:after="0" w:lineRule="exact" w:line="220"/>
              <w:jc w:val="left"/>
            </w:pPr>
            <w:r>
              <w:rPr>
                <w:sz w:val="18"/>
              </w:rPr>
              <w:t xml:space="preserve">159,941,796</w:t>
            </w:r>
          </w:p>
        </w:tc>
        <w:tc>
          <w:tcPr>
            <w:tcW w:w="803" w:type="dxa"/>
          </w:tcPr>
          <w:p>
            <w:pPr>
              <w:pStyle w:val="Compact"/>
              <w:spacing w:before="0" w:after="0" w:lineRule="exact" w:line="220"/>
              <w:jc w:val="left"/>
            </w:pPr>
            <w:r>
              <w:rPr>
                <w:sz w:val="18"/>
              </w:rPr>
              <w:t xml:space="preserve">2.70</w:t>
            </w:r>
          </w:p>
        </w:tc>
        <w:tc>
          <w:tcPr>
            <w:tcW w:w="1035" w:type="dxa"/>
          </w:tcPr>
          <w:p>
            <w:pPr>
              <w:pStyle w:val="Compact"/>
              <w:spacing w:before="0" w:after="0" w:lineRule="exact" w:line="220"/>
              <w:jc w:val="left"/>
            </w:pPr>
            <w:r>
              <w:rPr>
                <w:sz w:val="18"/>
              </w:rPr>
              <w:t xml:space="preserve">36.0</w:t>
            </w:r>
          </w:p>
        </w:tc>
        <w:tc>
          <w:tcPr>
            <w:tcW w:w="1249" w:type="dxa"/>
          </w:tcPr>
          <w:p>
            <w:pPr>
              <w:pStyle w:val="Compact"/>
              <w:spacing w:before="0" w:after="0" w:lineRule="exact" w:line="220"/>
              <w:jc w:val="left"/>
            </w:pPr>
            <w:r>
              <w:rPr>
                <w:sz w:val="18"/>
              </w:rPr>
              <w:t xml:space="preserve">Company-wide disclosure</w:t>
            </w:r>
          </w:p>
        </w:tc>
      </w:tr>
    </w:tbl>
    <w:bookmarkEnd w:id="96"/>
    <w:bookmarkStart w:id="97" w:name="X01999f6a932e4fa967dcf7ad72cb6416da995a8"/>
    <w:p>
      <w:pPr>
        <w:pStyle w:val="Heading3"/>
      </w:pPr>
      <w:r>
        <w:t xml:space="preserve">B.5 Classification of the platforms in the regressions</w:t>
      </w:r>
    </w:p>
    <w:p>
      <w:pPr>
        <w:pStyle w:val="FirstParagraph"/>
        <w:jc w:val="left"/>
      </w:pPr>
      <w:r>
        <w:t xml:space="preserve">The type, the main market and the listing year are the author’s classification from public record. The main market is the country whose macroeconomic conditions are attached to the platform: the United States for most US-listed platforms, Indonesia for Sea (Shopee), Nigeria for Jumia, Brazil for Mercado Libre and Argentina for Despegar. Source:</w:t>
      </w:r>
      <w:r>
        <w:t xml:space="preserve"> </w:t>
      </w:r>
      <w:r>
        <w:rPr>
          <w:rStyle w:val="VerbatimChar"/>
        </w:rPr>
        <w:t xml:space="preserve">tables/platform_attributes.csv</w:t>
      </w:r>
      <w:r>
        <w:t xml:space="preserv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405"/>
        <w:gridCol w:w="1897"/>
        <w:gridCol w:w="1686"/>
        <w:gridCol w:w="1054"/>
        <w:gridCol w:w="1546"/>
        <w:gridCol w:w="913"/>
      </w:tblGrid>
      <w:tr>
        <w:trPr>
          <w:tblHeader w:val="true"/>
          <w:cantSplit/>
          <w:tblHeader/>
        </w:trPr>
        <w:tc>
          <w:tcPr>
            <w:tcW w:w="1405" w:type="dxa"/>
            <w:tcBorders>
              <w:bottom w:val="single" w:sz="5" w:space="0" w:color="000000"/>
            </w:tcBorders>
          </w:tcPr>
          <w:p>
            <w:pPr>
              <w:pStyle w:val="Compact"/>
              <w:keepNext/>
              <w:spacing w:before="0" w:after="0" w:lineRule="exact" w:line="220"/>
              <w:jc w:val="left"/>
            </w:pPr>
            <w:r>
              <w:rPr>
                <w:b/>
                <w:sz w:val="18"/>
              </w:rPr>
              <w:t xml:space="preserve">Platform</w:t>
            </w:r>
          </w:p>
        </w:tc>
        <w:tc>
          <w:tcPr>
            <w:tcW w:w="1897" w:type="dxa"/>
            <w:tcBorders>
              <w:bottom w:val="single" w:sz="5" w:space="0" w:color="000000"/>
            </w:tcBorders>
          </w:tcPr>
          <w:p>
            <w:pPr>
              <w:pStyle w:val="Compact"/>
              <w:keepNext/>
              <w:spacing w:before="0" w:after="0" w:lineRule="exact" w:line="220"/>
              <w:jc w:val="left"/>
            </w:pPr>
            <w:r>
              <w:rPr>
                <w:b/>
                <w:sz w:val="18"/>
              </w:rPr>
              <w:t xml:space="preserve">Group</w:t>
            </w:r>
          </w:p>
        </w:tc>
        <w:tc>
          <w:tcPr>
            <w:tcW w:w="1686" w:type="dxa"/>
            <w:tcBorders>
              <w:bottom w:val="single" w:sz="5" w:space="0" w:color="000000"/>
            </w:tcBorders>
          </w:tcPr>
          <w:p>
            <w:pPr>
              <w:pStyle w:val="Compact"/>
              <w:keepNext/>
              <w:spacing w:before="0" w:after="0" w:lineRule="exact" w:line="220"/>
              <w:jc w:val="left"/>
            </w:pPr>
            <w:r>
              <w:rPr>
                <w:b/>
                <w:sz w:val="18"/>
              </w:rPr>
              <w:t xml:space="preserve">Type</w:t>
            </w:r>
          </w:p>
        </w:tc>
        <w:tc>
          <w:tcPr>
            <w:tcW w:w="1054" w:type="dxa"/>
            <w:tcBorders>
              <w:bottom w:val="single" w:sz="5" w:space="0" w:color="000000"/>
            </w:tcBorders>
          </w:tcPr>
          <w:p>
            <w:pPr>
              <w:pStyle w:val="Compact"/>
              <w:keepNext/>
              <w:spacing w:before="0" w:after="0" w:lineRule="exact" w:line="220"/>
              <w:jc w:val="left"/>
            </w:pPr>
            <w:r>
              <w:rPr>
                <w:b/>
                <w:sz w:val="18"/>
              </w:rPr>
              <w:t xml:space="preserve">Main market</w:t>
            </w:r>
          </w:p>
        </w:tc>
        <w:tc>
          <w:tcPr>
            <w:tcW w:w="1546" w:type="dxa"/>
            <w:tcBorders>
              <w:bottom w:val="single" w:sz="5" w:space="0" w:color="000000"/>
            </w:tcBorders>
          </w:tcPr>
          <w:p>
            <w:pPr>
              <w:pStyle w:val="Compact"/>
              <w:keepNext/>
              <w:spacing w:before="0" w:after="0" w:lineRule="exact" w:line="220"/>
              <w:jc w:val="left"/>
            </w:pPr>
            <w:r>
              <w:rPr>
                <w:b/>
                <w:sz w:val="18"/>
              </w:rPr>
              <w:t xml:space="preserve">Reporting currency</w:t>
            </w:r>
          </w:p>
        </w:tc>
        <w:tc>
          <w:tcPr>
            <w:tcW w:w="913" w:type="dxa"/>
            <w:tcBorders>
              <w:bottom w:val="single" w:sz="5" w:space="0" w:color="000000"/>
            </w:tcBorders>
          </w:tcPr>
          <w:p>
            <w:pPr>
              <w:pStyle w:val="Compact"/>
              <w:keepNext/>
              <w:spacing w:before="0" w:after="0" w:lineRule="exact" w:line="220"/>
              <w:jc w:val="left"/>
            </w:pPr>
            <w:r>
              <w:rPr>
                <w:b/>
                <w:sz w:val="18"/>
              </w:rPr>
              <w:t xml:space="preserve">Listed</w:t>
            </w:r>
          </w:p>
        </w:tc>
      </w:tr>
      <w:tr>
        <w:trPr>
          <w:cantSplit/>
        </w:trPr>
        <w:tc>
          <w:tcPr>
            <w:tcW w:w="1405" w:type="dxa"/>
          </w:tcPr>
          <w:p>
            <w:pPr>
              <w:pStyle w:val="Compact"/>
              <w:keepNext/>
              <w:spacing w:before="0" w:after="0" w:lineRule="exact" w:line="220"/>
              <w:jc w:val="left"/>
            </w:pPr>
            <w:r>
              <w:rPr>
                <w:sz w:val="18"/>
              </w:rPr>
              <w:t xml:space="preserve">Tokopedia</w:t>
            </w:r>
          </w:p>
        </w:tc>
        <w:tc>
          <w:tcPr>
            <w:tcW w:w="1897" w:type="dxa"/>
          </w:tcPr>
          <w:p>
            <w:pPr>
              <w:pStyle w:val="Compact"/>
              <w:keepNext/>
              <w:spacing w:before="0" w:after="0" w:lineRule="exact" w:line="220"/>
              <w:jc w:val="left"/>
            </w:pPr>
            <w:r>
              <w:rPr>
                <w:sz w:val="18"/>
              </w:rPr>
              <w:t xml:space="preserve">Indonesian and regional</w:t>
            </w:r>
          </w:p>
        </w:tc>
        <w:tc>
          <w:tcPr>
            <w:tcW w:w="1686" w:type="dxa"/>
          </w:tcPr>
          <w:p>
            <w:pPr>
              <w:pStyle w:val="Compact"/>
              <w:keepNext/>
              <w:spacing w:before="0" w:after="0" w:lineRule="exact" w:line="220"/>
              <w:jc w:val="left"/>
            </w:pPr>
            <w:r>
              <w:rPr>
                <w:sz w:val="18"/>
              </w:rPr>
              <w:t xml:space="preserve">Marketplace</w:t>
            </w:r>
          </w:p>
        </w:tc>
        <w:tc>
          <w:tcPr>
            <w:tcW w:w="1054" w:type="dxa"/>
          </w:tcPr>
          <w:p>
            <w:pPr>
              <w:pStyle w:val="Compact"/>
              <w:keepNext/>
              <w:spacing w:before="0" w:after="0" w:lineRule="exact" w:line="220"/>
              <w:jc w:val="left"/>
            </w:pPr>
            <w:r>
              <w:rPr>
                <w:sz w:val="18"/>
              </w:rPr>
              <w:t xml:space="preserve">ID</w:t>
            </w:r>
          </w:p>
        </w:tc>
        <w:tc>
          <w:tcPr>
            <w:tcW w:w="1546" w:type="dxa"/>
          </w:tcPr>
          <w:p>
            <w:pPr>
              <w:pStyle w:val="Compact"/>
              <w:keepNext/>
              <w:spacing w:before="0" w:after="0" w:lineRule="exact" w:line="220"/>
              <w:jc w:val="left"/>
            </w:pPr>
            <w:r>
              <w:rPr>
                <w:sz w:val="18"/>
              </w:rPr>
              <w:t xml:space="preserve">IDR</w:t>
            </w:r>
          </w:p>
        </w:tc>
        <w:tc>
          <w:tcPr>
            <w:tcW w:w="913" w:type="dxa"/>
          </w:tcPr>
          <w:p>
            <w:pPr>
              <w:pStyle w:val="Compact"/>
              <w:keepNext/>
              <w:spacing w:before="0" w:after="0" w:lineRule="exact" w:line="220"/>
              <w:jc w:val="left"/>
            </w:pPr>
            <w:r>
              <w:rPr>
                <w:sz w:val="18"/>
              </w:rPr>
              <w:t xml:space="preserve">2022</w:t>
            </w:r>
          </w:p>
        </w:tc>
      </w:tr>
      <w:tr>
        <w:trPr>
          <w:cantSplit/>
        </w:trPr>
        <w:tc>
          <w:tcPr>
            <w:tcW w:w="1405" w:type="dxa"/>
          </w:tcPr>
          <w:p>
            <w:pPr>
              <w:pStyle w:val="Compact"/>
              <w:keepNext/>
              <w:spacing w:before="0" w:after="0" w:lineRule="exact" w:line="220"/>
              <w:jc w:val="left"/>
            </w:pPr>
            <w:r>
              <w:rPr>
                <w:sz w:val="18"/>
              </w:rPr>
              <w:t xml:space="preserve">Blibli</w:t>
            </w:r>
          </w:p>
        </w:tc>
        <w:tc>
          <w:tcPr>
            <w:tcW w:w="1897" w:type="dxa"/>
          </w:tcPr>
          <w:p>
            <w:pPr>
              <w:pStyle w:val="Compact"/>
              <w:keepNext/>
              <w:spacing w:before="0" w:after="0" w:lineRule="exact" w:line="220"/>
              <w:jc w:val="left"/>
            </w:pPr>
            <w:r>
              <w:rPr>
                <w:sz w:val="18"/>
              </w:rPr>
              <w:t xml:space="preserve">Indonesian and regional</w:t>
            </w:r>
          </w:p>
        </w:tc>
        <w:tc>
          <w:tcPr>
            <w:tcW w:w="1686" w:type="dxa"/>
          </w:tcPr>
          <w:p>
            <w:pPr>
              <w:pStyle w:val="Compact"/>
              <w:keepNext/>
              <w:spacing w:before="0" w:after="0" w:lineRule="exact" w:line="220"/>
              <w:jc w:val="left"/>
            </w:pPr>
            <w:r>
              <w:rPr>
                <w:sz w:val="18"/>
              </w:rPr>
              <w:t xml:space="preserve">Marketplace</w:t>
            </w:r>
          </w:p>
        </w:tc>
        <w:tc>
          <w:tcPr>
            <w:tcW w:w="1054" w:type="dxa"/>
          </w:tcPr>
          <w:p>
            <w:pPr>
              <w:pStyle w:val="Compact"/>
              <w:keepNext/>
              <w:spacing w:before="0" w:after="0" w:lineRule="exact" w:line="220"/>
              <w:jc w:val="left"/>
            </w:pPr>
            <w:r>
              <w:rPr>
                <w:sz w:val="18"/>
              </w:rPr>
              <w:t xml:space="preserve">ID</w:t>
            </w:r>
          </w:p>
        </w:tc>
        <w:tc>
          <w:tcPr>
            <w:tcW w:w="1546" w:type="dxa"/>
          </w:tcPr>
          <w:p>
            <w:pPr>
              <w:pStyle w:val="Compact"/>
              <w:keepNext/>
              <w:spacing w:before="0" w:after="0" w:lineRule="exact" w:line="220"/>
              <w:jc w:val="left"/>
            </w:pPr>
            <w:r>
              <w:rPr>
                <w:sz w:val="18"/>
              </w:rPr>
              <w:t xml:space="preserve">IDR</w:t>
            </w:r>
          </w:p>
        </w:tc>
        <w:tc>
          <w:tcPr>
            <w:tcW w:w="913" w:type="dxa"/>
          </w:tcPr>
          <w:p>
            <w:pPr>
              <w:pStyle w:val="Compact"/>
              <w:keepNext/>
              <w:spacing w:before="0" w:after="0" w:lineRule="exact" w:line="220"/>
              <w:jc w:val="left"/>
            </w:pPr>
            <w:r>
              <w:rPr>
                <w:sz w:val="18"/>
              </w:rPr>
              <w:t xml:space="preserve">2022</w:t>
            </w:r>
          </w:p>
        </w:tc>
      </w:tr>
      <w:tr>
        <w:trPr>
          <w:cantSplit/>
        </w:trPr>
        <w:tc>
          <w:tcPr>
            <w:tcW w:w="1405" w:type="dxa"/>
          </w:tcPr>
          <w:p>
            <w:pPr>
              <w:pStyle w:val="Compact"/>
              <w:spacing w:before="0" w:after="0" w:lineRule="exact" w:line="220"/>
              <w:jc w:val="left"/>
            </w:pPr>
            <w:r>
              <w:rPr>
                <w:sz w:val="18"/>
              </w:rPr>
              <w:t xml:space="preserve">Bukalapak</w:t>
            </w:r>
          </w:p>
        </w:tc>
        <w:tc>
          <w:tcPr>
            <w:tcW w:w="1897" w:type="dxa"/>
          </w:tcPr>
          <w:p>
            <w:pPr>
              <w:pStyle w:val="Compact"/>
              <w:spacing w:before="0" w:after="0" w:lineRule="exact" w:line="220"/>
              <w:jc w:val="left"/>
            </w:pPr>
            <w:r>
              <w:rPr>
                <w:sz w:val="18"/>
              </w:rPr>
              <w:t xml:space="preserve">Indonesian and regional</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ID</w:t>
            </w:r>
          </w:p>
        </w:tc>
        <w:tc>
          <w:tcPr>
            <w:tcW w:w="1546" w:type="dxa"/>
          </w:tcPr>
          <w:p>
            <w:pPr>
              <w:pStyle w:val="Compact"/>
              <w:spacing w:before="0" w:after="0" w:lineRule="exact" w:line="220"/>
              <w:jc w:val="left"/>
            </w:pPr>
            <w:r>
              <w:rPr>
                <w:sz w:val="18"/>
              </w:rPr>
              <w:t xml:space="preserve">IDR</w:t>
            </w:r>
          </w:p>
        </w:tc>
        <w:tc>
          <w:tcPr>
            <w:tcW w:w="913" w:type="dxa"/>
          </w:tcPr>
          <w:p>
            <w:pPr>
              <w:pStyle w:val="Compact"/>
              <w:spacing w:before="0" w:after="0" w:lineRule="exact" w:line="220"/>
              <w:jc w:val="left"/>
            </w:pPr>
            <w:r>
              <w:rPr>
                <w:sz w:val="18"/>
              </w:rPr>
              <w:t xml:space="preserve">2021</w:t>
            </w:r>
          </w:p>
        </w:tc>
      </w:tr>
      <w:tr>
        <w:trPr>
          <w:cantSplit/>
        </w:trPr>
        <w:tc>
          <w:tcPr>
            <w:tcW w:w="1405" w:type="dxa"/>
          </w:tcPr>
          <w:p>
            <w:pPr>
              <w:pStyle w:val="Compact"/>
              <w:spacing w:before="0" w:after="0" w:lineRule="exact" w:line="220"/>
              <w:jc w:val="left"/>
            </w:pPr>
            <w:r>
              <w:rPr>
                <w:sz w:val="18"/>
              </w:rPr>
              <w:t xml:space="preserve">Grab (on-demand)</w:t>
            </w:r>
          </w:p>
        </w:tc>
        <w:tc>
          <w:tcPr>
            <w:tcW w:w="1897" w:type="dxa"/>
          </w:tcPr>
          <w:p>
            <w:pPr>
              <w:pStyle w:val="Compact"/>
              <w:spacing w:before="0" w:after="0" w:lineRule="exact" w:line="220"/>
              <w:jc w:val="left"/>
            </w:pPr>
            <w:r>
              <w:rPr>
                <w:sz w:val="18"/>
              </w:rPr>
              <w:t xml:space="preserve">Indonesian and regional</w:t>
            </w:r>
          </w:p>
        </w:tc>
        <w:tc>
          <w:tcPr>
            <w:tcW w:w="1686" w:type="dxa"/>
          </w:tcPr>
          <w:p>
            <w:pPr>
              <w:pStyle w:val="Compact"/>
              <w:spacing w:before="0" w:after="0" w:lineRule="exact" w:line="220"/>
              <w:jc w:val="left"/>
            </w:pPr>
            <w:r>
              <w:rPr>
                <w:sz w:val="18"/>
              </w:rPr>
              <w:t xml:space="preserve">On-demand</w:t>
            </w:r>
          </w:p>
        </w:tc>
        <w:tc>
          <w:tcPr>
            <w:tcW w:w="1054" w:type="dxa"/>
          </w:tcPr>
          <w:p>
            <w:pPr>
              <w:pStyle w:val="Compact"/>
              <w:spacing w:before="0" w:after="0" w:lineRule="exact" w:line="220"/>
              <w:jc w:val="left"/>
            </w:pPr>
            <w:r>
              <w:rPr>
                <w:sz w:val="18"/>
              </w:rPr>
              <w:t xml:space="preserve">ID</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2021</w:t>
            </w:r>
          </w:p>
        </w:tc>
      </w:tr>
      <w:tr>
        <w:trPr>
          <w:cantSplit/>
        </w:trPr>
        <w:tc>
          <w:tcPr>
            <w:tcW w:w="1405" w:type="dxa"/>
          </w:tcPr>
          <w:p>
            <w:pPr>
              <w:pStyle w:val="Compact"/>
              <w:spacing w:before="0" w:after="0" w:lineRule="exact" w:line="220"/>
              <w:jc w:val="left"/>
            </w:pPr>
            <w:r>
              <w:rPr>
                <w:sz w:val="18"/>
              </w:rPr>
              <w:t xml:space="preserve">GoTo (on-demand)</w:t>
            </w:r>
          </w:p>
        </w:tc>
        <w:tc>
          <w:tcPr>
            <w:tcW w:w="1897" w:type="dxa"/>
          </w:tcPr>
          <w:p>
            <w:pPr>
              <w:pStyle w:val="Compact"/>
              <w:spacing w:before="0" w:after="0" w:lineRule="exact" w:line="220"/>
              <w:jc w:val="left"/>
            </w:pPr>
            <w:r>
              <w:rPr>
                <w:sz w:val="18"/>
              </w:rPr>
              <w:t xml:space="preserve">Indonesian and regional</w:t>
            </w:r>
          </w:p>
        </w:tc>
        <w:tc>
          <w:tcPr>
            <w:tcW w:w="1686" w:type="dxa"/>
          </w:tcPr>
          <w:p>
            <w:pPr>
              <w:pStyle w:val="Compact"/>
              <w:spacing w:before="0" w:after="0" w:lineRule="exact" w:line="220"/>
              <w:jc w:val="left"/>
            </w:pPr>
            <w:r>
              <w:rPr>
                <w:sz w:val="18"/>
              </w:rPr>
              <w:t xml:space="preserve">On-demand</w:t>
            </w:r>
          </w:p>
        </w:tc>
        <w:tc>
          <w:tcPr>
            <w:tcW w:w="1054" w:type="dxa"/>
          </w:tcPr>
          <w:p>
            <w:pPr>
              <w:pStyle w:val="Compact"/>
              <w:spacing w:before="0" w:after="0" w:lineRule="exact" w:line="220"/>
              <w:jc w:val="left"/>
            </w:pPr>
            <w:r>
              <w:rPr>
                <w:sz w:val="18"/>
              </w:rPr>
              <w:t xml:space="preserve">ID</w:t>
            </w:r>
          </w:p>
        </w:tc>
        <w:tc>
          <w:tcPr>
            <w:tcW w:w="1546" w:type="dxa"/>
          </w:tcPr>
          <w:p>
            <w:pPr>
              <w:pStyle w:val="Compact"/>
              <w:spacing w:before="0" w:after="0" w:lineRule="exact" w:line="220"/>
              <w:jc w:val="left"/>
            </w:pPr>
            <w:r>
              <w:rPr>
                <w:sz w:val="18"/>
              </w:rPr>
              <w:t xml:space="preserve">IDR</w:t>
            </w:r>
          </w:p>
        </w:tc>
        <w:tc>
          <w:tcPr>
            <w:tcW w:w="913" w:type="dxa"/>
          </w:tcPr>
          <w:p>
            <w:pPr>
              <w:pStyle w:val="Compact"/>
              <w:spacing w:before="0" w:after="0" w:lineRule="exact" w:line="220"/>
              <w:jc w:val="left"/>
            </w:pPr>
            <w:r>
              <w:rPr>
                <w:sz w:val="18"/>
              </w:rPr>
              <w:t xml:space="preserve">2022</w:t>
            </w:r>
          </w:p>
        </w:tc>
      </w:tr>
      <w:tr>
        <w:trPr>
          <w:cantSplit/>
        </w:trPr>
        <w:tc>
          <w:tcPr>
            <w:tcW w:w="1405" w:type="dxa"/>
          </w:tcPr>
          <w:p>
            <w:pPr>
              <w:pStyle w:val="Compact"/>
              <w:spacing w:before="0" w:after="0" w:lineRule="exact" w:line="220"/>
              <w:jc w:val="left"/>
            </w:pPr>
            <w:r>
              <w:rPr>
                <w:sz w:val="18"/>
              </w:rPr>
              <w:t xml:space="preserve">Etsy</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2015</w:t>
            </w:r>
          </w:p>
        </w:tc>
      </w:tr>
      <w:tr>
        <w:trPr>
          <w:cantSplit/>
        </w:trPr>
        <w:tc>
          <w:tcPr>
            <w:tcW w:w="1405" w:type="dxa"/>
          </w:tcPr>
          <w:p>
            <w:pPr>
              <w:pStyle w:val="Compact"/>
              <w:spacing w:before="0" w:after="0" w:lineRule="exact" w:line="220"/>
              <w:jc w:val="left"/>
            </w:pPr>
            <w:r>
              <w:rPr>
                <w:sz w:val="18"/>
              </w:rPr>
              <w:t xml:space="preserve">eBay</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1998</w:t>
            </w:r>
          </w:p>
        </w:tc>
      </w:tr>
      <w:tr>
        <w:trPr>
          <w:cantSplit/>
        </w:trPr>
        <w:tc>
          <w:tcPr>
            <w:tcW w:w="1405" w:type="dxa"/>
          </w:tcPr>
          <w:p>
            <w:pPr>
              <w:pStyle w:val="Compact"/>
              <w:spacing w:before="0" w:after="0" w:lineRule="exact" w:line="220"/>
              <w:jc w:val="left"/>
            </w:pPr>
            <w:r>
              <w:rPr>
                <w:sz w:val="18"/>
              </w:rPr>
              <w:t xml:space="preserve">Jumia</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NG</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2019</w:t>
            </w:r>
          </w:p>
        </w:tc>
      </w:tr>
      <w:tr>
        <w:trPr>
          <w:cantSplit/>
        </w:trPr>
        <w:tc>
          <w:tcPr>
            <w:tcW w:w="1405" w:type="dxa"/>
          </w:tcPr>
          <w:p>
            <w:pPr>
              <w:pStyle w:val="Compact"/>
              <w:spacing w:before="0" w:after="0" w:lineRule="exact" w:line="220"/>
              <w:jc w:val="left"/>
            </w:pPr>
            <w:r>
              <w:rPr>
                <w:sz w:val="18"/>
              </w:rPr>
              <w:t xml:space="preserve">Mercado Libre</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BR</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2007</w:t>
            </w:r>
          </w:p>
        </w:tc>
      </w:tr>
      <w:tr>
        <w:trPr>
          <w:cantSplit/>
        </w:trPr>
        <w:tc>
          <w:tcPr>
            <w:tcW w:w="1405" w:type="dxa"/>
          </w:tcPr>
          <w:p>
            <w:pPr>
              <w:pStyle w:val="Compact"/>
              <w:spacing w:before="0" w:after="0" w:lineRule="exact" w:line="220"/>
              <w:jc w:val="left"/>
            </w:pPr>
            <w:r>
              <w:rPr>
                <w:sz w:val="18"/>
              </w:rPr>
              <w:t xml:space="preserve">Rakuten</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JP</w:t>
            </w:r>
          </w:p>
        </w:tc>
        <w:tc>
          <w:tcPr>
            <w:tcW w:w="1546" w:type="dxa"/>
          </w:tcPr>
          <w:p>
            <w:pPr>
              <w:pStyle w:val="Compact"/>
              <w:spacing w:before="0" w:after="0" w:lineRule="exact" w:line="220"/>
              <w:jc w:val="left"/>
            </w:pPr>
            <w:r>
              <w:rPr>
                <w:sz w:val="18"/>
              </w:rPr>
              <w:t xml:space="preserve">JPY</w:t>
            </w:r>
          </w:p>
        </w:tc>
        <w:tc>
          <w:tcPr>
            <w:tcW w:w="913" w:type="dxa"/>
          </w:tcPr>
          <w:p>
            <w:pPr>
              <w:pStyle w:val="Compact"/>
              <w:spacing w:before="0" w:after="0" w:lineRule="exact" w:line="220"/>
              <w:jc w:val="left"/>
            </w:pPr>
            <w:r>
              <w:rPr>
                <w:sz w:val="18"/>
              </w:rPr>
              <w:t xml:space="preserve">2000</w:t>
            </w:r>
          </w:p>
        </w:tc>
      </w:tr>
      <w:tr>
        <w:trPr>
          <w:cantSplit/>
        </w:trPr>
        <w:tc>
          <w:tcPr>
            <w:tcW w:w="1405" w:type="dxa"/>
          </w:tcPr>
          <w:p>
            <w:pPr>
              <w:pStyle w:val="Compact"/>
              <w:spacing w:before="0" w:after="0" w:lineRule="exact" w:line="220"/>
              <w:jc w:val="left"/>
            </w:pPr>
            <w:r>
              <w:rPr>
                <w:sz w:val="18"/>
              </w:rPr>
              <w:t xml:space="preserve">Sea (Shopee)</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ID</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2017</w:t>
            </w:r>
          </w:p>
        </w:tc>
      </w:tr>
      <w:tr>
        <w:trPr>
          <w:cantSplit/>
        </w:trPr>
        <w:tc>
          <w:tcPr>
            <w:tcW w:w="1405" w:type="dxa"/>
          </w:tcPr>
          <w:p>
            <w:pPr>
              <w:pStyle w:val="Compact"/>
              <w:spacing w:before="0" w:after="0" w:lineRule="exact" w:line="220"/>
              <w:jc w:val="left"/>
            </w:pPr>
            <w:r>
              <w:rPr>
                <w:sz w:val="18"/>
              </w:rPr>
              <w:t xml:space="preserve">Shopify</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2015</w:t>
            </w:r>
          </w:p>
        </w:tc>
      </w:tr>
      <w:tr>
        <w:trPr>
          <w:cantSplit/>
        </w:trPr>
        <w:tc>
          <w:tcPr>
            <w:tcW w:w="1405" w:type="dxa"/>
          </w:tcPr>
          <w:p>
            <w:pPr>
              <w:pStyle w:val="Compact"/>
              <w:spacing w:before="0" w:after="0" w:lineRule="exact" w:line="220"/>
              <w:jc w:val="left"/>
            </w:pPr>
            <w:r>
              <w:rPr>
                <w:sz w:val="18"/>
              </w:rPr>
              <w:t xml:space="preserve">Zalando</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DE</w:t>
            </w:r>
          </w:p>
        </w:tc>
        <w:tc>
          <w:tcPr>
            <w:tcW w:w="1546" w:type="dxa"/>
          </w:tcPr>
          <w:p>
            <w:pPr>
              <w:pStyle w:val="Compact"/>
              <w:spacing w:before="0" w:after="0" w:lineRule="exact" w:line="220"/>
              <w:jc w:val="left"/>
            </w:pPr>
            <w:r>
              <w:rPr>
                <w:sz w:val="18"/>
              </w:rPr>
              <w:t xml:space="preserve">EUR</w:t>
            </w:r>
          </w:p>
        </w:tc>
        <w:tc>
          <w:tcPr>
            <w:tcW w:w="913" w:type="dxa"/>
          </w:tcPr>
          <w:p>
            <w:pPr>
              <w:pStyle w:val="Compact"/>
              <w:spacing w:before="0" w:after="0" w:lineRule="exact" w:line="220"/>
              <w:jc w:val="left"/>
            </w:pPr>
            <w:r>
              <w:rPr>
                <w:sz w:val="18"/>
              </w:rPr>
              <w:t xml:space="preserve">2014</w:t>
            </w:r>
          </w:p>
        </w:tc>
      </w:tr>
      <w:tr>
        <w:trPr>
          <w:cantSplit/>
        </w:trPr>
        <w:tc>
          <w:tcPr>
            <w:tcW w:w="1405" w:type="dxa"/>
          </w:tcPr>
          <w:p>
            <w:pPr>
              <w:pStyle w:val="Compact"/>
              <w:spacing w:before="0" w:after="0" w:lineRule="exact" w:line="220"/>
              <w:jc w:val="left"/>
            </w:pPr>
            <w:r>
              <w:rPr>
                <w:sz w:val="18"/>
              </w:rPr>
              <w:t xml:space="preserve">ACV Auctions</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Resale and auctions</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2021</w:t>
            </w:r>
          </w:p>
        </w:tc>
      </w:tr>
      <w:tr>
        <w:trPr>
          <w:cantSplit/>
        </w:trPr>
        <w:tc>
          <w:tcPr>
            <w:tcW w:w="1405" w:type="dxa"/>
          </w:tcPr>
          <w:p>
            <w:pPr>
              <w:pStyle w:val="Compact"/>
              <w:spacing w:before="0" w:after="0" w:lineRule="exact" w:line="220"/>
              <w:jc w:val="left"/>
            </w:pPr>
            <w:r>
              <w:rPr>
                <w:sz w:val="18"/>
              </w:rPr>
              <w:t xml:space="preserve">Waitr</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On-demand</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2018</w:t>
            </w:r>
          </w:p>
        </w:tc>
      </w:tr>
      <w:tr>
        <w:trPr>
          <w:cantSplit/>
        </w:trPr>
        <w:tc>
          <w:tcPr>
            <w:tcW w:w="1405" w:type="dxa"/>
          </w:tcPr>
          <w:p>
            <w:pPr>
              <w:pStyle w:val="Compact"/>
              <w:spacing w:before="0" w:after="0" w:lineRule="exact" w:line="220"/>
              <w:jc w:val="left"/>
            </w:pPr>
            <w:r>
              <w:rPr>
                <w:sz w:val="18"/>
              </w:rPr>
              <w:t xml:space="preserve">Alibaba</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CN</w:t>
            </w:r>
          </w:p>
        </w:tc>
        <w:tc>
          <w:tcPr>
            <w:tcW w:w="1546" w:type="dxa"/>
          </w:tcPr>
          <w:p>
            <w:pPr>
              <w:pStyle w:val="Compact"/>
              <w:spacing w:before="0" w:after="0" w:lineRule="exact" w:line="220"/>
              <w:jc w:val="left"/>
            </w:pPr>
            <w:r>
              <w:rPr>
                <w:sz w:val="18"/>
              </w:rPr>
              <w:t xml:space="preserve">CNY</w:t>
            </w:r>
          </w:p>
        </w:tc>
        <w:tc>
          <w:tcPr>
            <w:tcW w:w="913" w:type="dxa"/>
          </w:tcPr>
          <w:p>
            <w:pPr>
              <w:pStyle w:val="Compact"/>
              <w:spacing w:before="0" w:after="0" w:lineRule="exact" w:line="220"/>
              <w:jc w:val="left"/>
            </w:pPr>
            <w:r>
              <w:rPr>
                <w:sz w:val="18"/>
              </w:rPr>
              <w:t xml:space="preserve">2014</w:t>
            </w:r>
          </w:p>
        </w:tc>
      </w:tr>
      <w:tr>
        <w:trPr>
          <w:cantSplit/>
        </w:trPr>
        <w:tc>
          <w:tcPr>
            <w:tcW w:w="1405" w:type="dxa"/>
          </w:tcPr>
          <w:p>
            <w:pPr>
              <w:pStyle w:val="Compact"/>
              <w:spacing w:before="0" w:after="0" w:lineRule="exact" w:line="220"/>
              <w:jc w:val="left"/>
            </w:pPr>
            <w:r>
              <w:rPr>
                <w:sz w:val="18"/>
              </w:rPr>
              <w:t xml:space="preserve">Despegar</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Travel and ticketing</w:t>
            </w:r>
          </w:p>
        </w:tc>
        <w:tc>
          <w:tcPr>
            <w:tcW w:w="1054" w:type="dxa"/>
          </w:tcPr>
          <w:p>
            <w:pPr>
              <w:pStyle w:val="Compact"/>
              <w:spacing w:before="0" w:after="0" w:lineRule="exact" w:line="220"/>
              <w:jc w:val="left"/>
            </w:pPr>
            <w:r>
              <w:rPr>
                <w:sz w:val="18"/>
              </w:rPr>
              <w:t xml:space="preserve">AR</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2017</w:t>
            </w:r>
          </w:p>
        </w:tc>
      </w:tr>
      <w:tr>
        <w:trPr>
          <w:cantSplit/>
        </w:trPr>
        <w:tc>
          <w:tcPr>
            <w:tcW w:w="1405" w:type="dxa"/>
          </w:tcPr>
          <w:p>
            <w:pPr>
              <w:pStyle w:val="Compact"/>
              <w:spacing w:before="0" w:after="0" w:lineRule="exact" w:line="220"/>
              <w:jc w:val="left"/>
            </w:pPr>
            <w:r>
              <w:rPr>
                <w:sz w:val="18"/>
              </w:rPr>
              <w:t xml:space="preserve">1stDibs</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Resale and auctions</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2021</w:t>
            </w:r>
          </w:p>
        </w:tc>
      </w:tr>
      <w:tr>
        <w:trPr>
          <w:cantSplit/>
        </w:trPr>
        <w:tc>
          <w:tcPr>
            <w:tcW w:w="1405" w:type="dxa"/>
          </w:tcPr>
          <w:p>
            <w:pPr>
              <w:pStyle w:val="Compact"/>
              <w:spacing w:before="0" w:after="0" w:lineRule="exact" w:line="220"/>
              <w:jc w:val="left"/>
            </w:pPr>
            <w:r>
              <w:rPr>
                <w:sz w:val="18"/>
              </w:rPr>
              <w:t xml:space="preserve">Expedia</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Travel and ticketing</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2005</w:t>
            </w:r>
          </w:p>
        </w:tc>
      </w:tr>
      <w:tr>
        <w:trPr>
          <w:cantSplit/>
        </w:trPr>
        <w:tc>
          <w:tcPr>
            <w:tcW w:w="1405" w:type="dxa"/>
          </w:tcPr>
          <w:p>
            <w:pPr>
              <w:pStyle w:val="Compact"/>
              <w:spacing w:before="0" w:after="0" w:lineRule="exact" w:line="220"/>
              <w:jc w:val="left"/>
            </w:pPr>
            <w:r>
              <w:rPr>
                <w:sz w:val="18"/>
              </w:rPr>
              <w:t xml:space="preserve">Fiverr</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Freelance</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2019</w:t>
            </w:r>
          </w:p>
        </w:tc>
      </w:tr>
      <w:tr>
        <w:trPr>
          <w:cantSplit/>
        </w:trPr>
        <w:tc>
          <w:tcPr>
            <w:tcW w:w="1405" w:type="dxa"/>
          </w:tcPr>
          <w:p>
            <w:pPr>
              <w:pStyle w:val="Compact"/>
              <w:spacing w:before="0" w:after="0" w:lineRule="exact" w:line="220"/>
              <w:jc w:val="left"/>
            </w:pPr>
            <w:r>
              <w:rPr>
                <w:sz w:val="18"/>
              </w:rPr>
              <w:t xml:space="preserve">Grubhub</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On-demand</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2014</w:t>
            </w:r>
          </w:p>
        </w:tc>
      </w:tr>
      <w:tr>
        <w:trPr>
          <w:cantSplit/>
        </w:trPr>
        <w:tc>
          <w:tcPr>
            <w:tcW w:w="1405" w:type="dxa"/>
          </w:tcPr>
          <w:p>
            <w:pPr>
              <w:pStyle w:val="Compact"/>
              <w:spacing w:before="0" w:after="0" w:lineRule="exact" w:line="220"/>
              <w:jc w:val="left"/>
            </w:pPr>
            <w:r>
              <w:rPr>
                <w:sz w:val="18"/>
              </w:rPr>
              <w:t xml:space="preserve">Hepsiburada</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TR</w:t>
            </w:r>
          </w:p>
        </w:tc>
        <w:tc>
          <w:tcPr>
            <w:tcW w:w="1546" w:type="dxa"/>
          </w:tcPr>
          <w:p>
            <w:pPr>
              <w:pStyle w:val="Compact"/>
              <w:spacing w:before="0" w:after="0" w:lineRule="exact" w:line="220"/>
              <w:jc w:val="left"/>
            </w:pPr>
            <w:r>
              <w:rPr>
                <w:sz w:val="18"/>
              </w:rPr>
              <w:t xml:space="preserve">TRY</w:t>
            </w:r>
          </w:p>
        </w:tc>
        <w:tc>
          <w:tcPr>
            <w:tcW w:w="913" w:type="dxa"/>
          </w:tcPr>
          <w:p>
            <w:pPr>
              <w:pStyle w:val="Compact"/>
              <w:spacing w:before="0" w:after="0" w:lineRule="exact" w:line="220"/>
              <w:jc w:val="left"/>
            </w:pPr>
            <w:r>
              <w:rPr>
                <w:sz w:val="18"/>
              </w:rPr>
              <w:t xml:space="preserve">2021</w:t>
            </w:r>
          </w:p>
        </w:tc>
      </w:tr>
      <w:tr>
        <w:trPr>
          <w:cantSplit/>
        </w:trPr>
        <w:tc>
          <w:tcPr>
            <w:tcW w:w="1405" w:type="dxa"/>
          </w:tcPr>
          <w:p>
            <w:pPr>
              <w:pStyle w:val="Compact"/>
              <w:spacing w:before="0" w:after="0" w:lineRule="exact" w:line="220"/>
              <w:jc w:val="left"/>
            </w:pPr>
            <w:r>
              <w:rPr>
                <w:sz w:val="18"/>
              </w:rPr>
              <w:t xml:space="preserve">Kaspi.kz</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KZ</w:t>
            </w:r>
          </w:p>
        </w:tc>
        <w:tc>
          <w:tcPr>
            <w:tcW w:w="1546" w:type="dxa"/>
          </w:tcPr>
          <w:p>
            <w:pPr>
              <w:pStyle w:val="Compact"/>
              <w:spacing w:before="0" w:after="0" w:lineRule="exact" w:line="220"/>
              <w:jc w:val="left"/>
            </w:pPr>
            <w:r>
              <w:rPr>
                <w:sz w:val="18"/>
              </w:rPr>
              <w:t xml:space="preserve">KZT</w:t>
            </w:r>
          </w:p>
        </w:tc>
        <w:tc>
          <w:tcPr>
            <w:tcW w:w="913" w:type="dxa"/>
          </w:tcPr>
          <w:p>
            <w:pPr>
              <w:pStyle w:val="Compact"/>
              <w:spacing w:before="0" w:after="0" w:lineRule="exact" w:line="220"/>
              <w:jc w:val="left"/>
            </w:pPr>
            <w:r>
              <w:rPr>
                <w:sz w:val="18"/>
              </w:rPr>
              <w:t xml:space="preserve">2020</w:t>
            </w:r>
          </w:p>
        </w:tc>
      </w:tr>
      <w:tr>
        <w:trPr>
          <w:cantSplit/>
        </w:trPr>
        <w:tc>
          <w:tcPr>
            <w:tcW w:w="1405" w:type="dxa"/>
          </w:tcPr>
          <w:p>
            <w:pPr>
              <w:pStyle w:val="Compact"/>
              <w:spacing w:before="0" w:after="0" w:lineRule="exact" w:line="220"/>
              <w:jc w:val="left"/>
            </w:pPr>
            <w:r>
              <w:rPr>
                <w:sz w:val="18"/>
              </w:rPr>
              <w:t xml:space="preserve">Mogu</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CN</w:t>
            </w:r>
          </w:p>
        </w:tc>
        <w:tc>
          <w:tcPr>
            <w:tcW w:w="1546" w:type="dxa"/>
          </w:tcPr>
          <w:p>
            <w:pPr>
              <w:pStyle w:val="Compact"/>
              <w:spacing w:before="0" w:after="0" w:lineRule="exact" w:line="220"/>
              <w:jc w:val="left"/>
            </w:pPr>
            <w:r>
              <w:rPr>
                <w:sz w:val="18"/>
              </w:rPr>
              <w:t xml:space="preserve">CNY</w:t>
            </w:r>
          </w:p>
        </w:tc>
        <w:tc>
          <w:tcPr>
            <w:tcW w:w="913" w:type="dxa"/>
          </w:tcPr>
          <w:p>
            <w:pPr>
              <w:pStyle w:val="Compact"/>
              <w:spacing w:before="0" w:after="0" w:lineRule="exact" w:line="220"/>
              <w:jc w:val="left"/>
            </w:pPr>
            <w:r>
              <w:rPr>
                <w:sz w:val="18"/>
              </w:rPr>
              <w:t xml:space="preserve">2018</w:t>
            </w:r>
          </w:p>
        </w:tc>
      </w:tr>
      <w:tr>
        <w:trPr>
          <w:cantSplit/>
        </w:trPr>
        <w:tc>
          <w:tcPr>
            <w:tcW w:w="1405" w:type="dxa"/>
          </w:tcPr>
          <w:p>
            <w:pPr>
              <w:pStyle w:val="Compact"/>
              <w:spacing w:before="0" w:after="0" w:lineRule="exact" w:line="220"/>
              <w:jc w:val="left"/>
            </w:pPr>
            <w:r>
              <w:rPr>
                <w:sz w:val="18"/>
              </w:rPr>
              <w:t xml:space="preserve">Ozon</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RU</w:t>
            </w:r>
          </w:p>
        </w:tc>
        <w:tc>
          <w:tcPr>
            <w:tcW w:w="1546" w:type="dxa"/>
          </w:tcPr>
          <w:p>
            <w:pPr>
              <w:pStyle w:val="Compact"/>
              <w:spacing w:before="0" w:after="0" w:lineRule="exact" w:line="220"/>
              <w:jc w:val="left"/>
            </w:pPr>
            <w:r>
              <w:rPr>
                <w:sz w:val="18"/>
              </w:rPr>
              <w:t xml:space="preserve">RUB</w:t>
            </w:r>
          </w:p>
        </w:tc>
        <w:tc>
          <w:tcPr>
            <w:tcW w:w="913" w:type="dxa"/>
          </w:tcPr>
          <w:p>
            <w:pPr>
              <w:pStyle w:val="Compact"/>
              <w:spacing w:before="0" w:after="0" w:lineRule="exact" w:line="220"/>
              <w:jc w:val="left"/>
            </w:pPr>
            <w:r>
              <w:rPr>
                <w:sz w:val="18"/>
              </w:rPr>
              <w:t xml:space="preserve">2020</w:t>
            </w:r>
          </w:p>
        </w:tc>
      </w:tr>
      <w:tr>
        <w:trPr>
          <w:cantSplit/>
        </w:trPr>
        <w:tc>
          <w:tcPr>
            <w:tcW w:w="1405" w:type="dxa"/>
          </w:tcPr>
          <w:p>
            <w:pPr>
              <w:pStyle w:val="Compact"/>
              <w:spacing w:before="0" w:after="0" w:lineRule="exact" w:line="220"/>
              <w:jc w:val="left"/>
            </w:pPr>
            <w:r>
              <w:rPr>
                <w:sz w:val="18"/>
              </w:rPr>
              <w:t xml:space="preserve">Pinduoduo</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Marketplace</w:t>
            </w:r>
          </w:p>
        </w:tc>
        <w:tc>
          <w:tcPr>
            <w:tcW w:w="1054" w:type="dxa"/>
          </w:tcPr>
          <w:p>
            <w:pPr>
              <w:pStyle w:val="Compact"/>
              <w:spacing w:before="0" w:after="0" w:lineRule="exact" w:line="220"/>
              <w:jc w:val="left"/>
            </w:pPr>
            <w:r>
              <w:rPr>
                <w:sz w:val="18"/>
              </w:rPr>
              <w:t xml:space="preserve">CN</w:t>
            </w:r>
          </w:p>
        </w:tc>
        <w:tc>
          <w:tcPr>
            <w:tcW w:w="1546" w:type="dxa"/>
          </w:tcPr>
          <w:p>
            <w:pPr>
              <w:pStyle w:val="Compact"/>
              <w:spacing w:before="0" w:after="0" w:lineRule="exact" w:line="220"/>
              <w:jc w:val="left"/>
            </w:pPr>
            <w:r>
              <w:rPr>
                <w:sz w:val="18"/>
              </w:rPr>
              <w:t xml:space="preserve">CNY</w:t>
            </w:r>
          </w:p>
        </w:tc>
        <w:tc>
          <w:tcPr>
            <w:tcW w:w="913" w:type="dxa"/>
          </w:tcPr>
          <w:p>
            <w:pPr>
              <w:pStyle w:val="Compact"/>
              <w:spacing w:before="0" w:after="0" w:lineRule="exact" w:line="220"/>
              <w:jc w:val="left"/>
            </w:pPr>
            <w:r>
              <w:rPr>
                <w:sz w:val="18"/>
              </w:rPr>
              <w:t xml:space="preserve">2018</w:t>
            </w:r>
          </w:p>
        </w:tc>
      </w:tr>
      <w:tr>
        <w:trPr>
          <w:cantSplit/>
        </w:trPr>
        <w:tc>
          <w:tcPr>
            <w:tcW w:w="1405" w:type="dxa"/>
          </w:tcPr>
          <w:p>
            <w:pPr>
              <w:pStyle w:val="Compact"/>
              <w:spacing w:before="0" w:after="0" w:lineRule="exact" w:line="220"/>
              <w:jc w:val="left"/>
            </w:pPr>
            <w:r>
              <w:rPr>
                <w:sz w:val="18"/>
              </w:rPr>
              <w:t xml:space="preserve">RB Global</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Resale and auctions</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1998</w:t>
            </w:r>
          </w:p>
        </w:tc>
      </w:tr>
      <w:tr>
        <w:trPr>
          <w:cantSplit/>
        </w:trPr>
        <w:tc>
          <w:tcPr>
            <w:tcW w:w="1405" w:type="dxa"/>
          </w:tcPr>
          <w:p>
            <w:pPr>
              <w:pStyle w:val="Compact"/>
              <w:spacing w:before="0" w:after="0" w:lineRule="exact" w:line="220"/>
              <w:jc w:val="left"/>
            </w:pPr>
            <w:r>
              <w:rPr>
                <w:sz w:val="18"/>
              </w:rPr>
              <w:t xml:space="preserve">The RealReal</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Resale and auctions</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2019</w:t>
            </w:r>
          </w:p>
        </w:tc>
      </w:tr>
      <w:tr>
        <w:trPr>
          <w:cantSplit/>
        </w:trPr>
        <w:tc>
          <w:tcPr>
            <w:tcW w:w="1405" w:type="dxa"/>
          </w:tcPr>
          <w:p>
            <w:pPr>
              <w:pStyle w:val="Compact"/>
              <w:spacing w:before="0" w:after="0" w:lineRule="exact" w:line="220"/>
              <w:jc w:val="left"/>
            </w:pPr>
            <w:r>
              <w:rPr>
                <w:sz w:val="18"/>
              </w:rPr>
              <w:t xml:space="preserve">Vivid Seats</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Travel and ticketing</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2021</w:t>
            </w:r>
          </w:p>
        </w:tc>
      </w:tr>
      <w:tr>
        <w:trPr>
          <w:cantSplit/>
        </w:trPr>
        <w:tc>
          <w:tcPr>
            <w:tcW w:w="1405" w:type="dxa"/>
          </w:tcPr>
          <w:p>
            <w:pPr>
              <w:pStyle w:val="Compact"/>
              <w:spacing w:before="0" w:after="0" w:lineRule="exact" w:line="220"/>
              <w:jc w:val="left"/>
            </w:pPr>
            <w:r>
              <w:rPr>
                <w:sz w:val="18"/>
              </w:rPr>
              <w:t xml:space="preserve">Upwork</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Freelance</w:t>
            </w:r>
          </w:p>
        </w:tc>
        <w:tc>
          <w:tcPr>
            <w:tcW w:w="1054" w:type="dxa"/>
          </w:tcPr>
          <w:p>
            <w:pPr>
              <w:pStyle w:val="Compact"/>
              <w:spacing w:before="0" w:after="0" w:lineRule="exact" w:line="220"/>
              <w:jc w:val="left"/>
            </w:pPr>
            <w:r>
              <w:rPr>
                <w:sz w:val="18"/>
              </w:rPr>
              <w:t xml:space="preserve">US</w:t>
            </w:r>
          </w:p>
        </w:tc>
        <w:tc>
          <w:tcPr>
            <w:tcW w:w="1546" w:type="dxa"/>
          </w:tcPr>
          <w:p>
            <w:pPr>
              <w:pStyle w:val="Compact"/>
              <w:spacing w:before="0" w:after="0" w:lineRule="exact" w:line="220"/>
              <w:jc w:val="left"/>
            </w:pPr>
            <w:r>
              <w:rPr>
                <w:sz w:val="18"/>
              </w:rPr>
              <w:t xml:space="preserve">USD</w:t>
            </w:r>
          </w:p>
        </w:tc>
        <w:tc>
          <w:tcPr>
            <w:tcW w:w="913" w:type="dxa"/>
          </w:tcPr>
          <w:p>
            <w:pPr>
              <w:pStyle w:val="Compact"/>
              <w:spacing w:before="0" w:after="0" w:lineRule="exact" w:line="220"/>
              <w:jc w:val="left"/>
            </w:pPr>
            <w:r>
              <w:rPr>
                <w:sz w:val="18"/>
              </w:rPr>
              <w:t xml:space="preserve">2018</w:t>
            </w:r>
          </w:p>
        </w:tc>
      </w:tr>
      <w:tr>
        <w:trPr>
          <w:cantSplit/>
        </w:trPr>
        <w:tc>
          <w:tcPr>
            <w:tcW w:w="1405" w:type="dxa"/>
          </w:tcPr>
          <w:p>
            <w:pPr>
              <w:pStyle w:val="Compact"/>
              <w:keepNext/>
              <w:spacing w:before="0" w:after="0" w:lineRule="exact" w:line="220"/>
              <w:jc w:val="left"/>
            </w:pPr>
            <w:r>
              <w:rPr>
                <w:sz w:val="18"/>
              </w:rPr>
              <w:t xml:space="preserve">Vacasa</w:t>
            </w:r>
          </w:p>
        </w:tc>
        <w:tc>
          <w:tcPr>
            <w:tcW w:w="1897" w:type="dxa"/>
          </w:tcPr>
          <w:p>
            <w:pPr>
              <w:pStyle w:val="Compact"/>
              <w:keepNext/>
              <w:spacing w:before="0" w:after="0" w:lineRule="exact" w:line="220"/>
              <w:jc w:val="left"/>
            </w:pPr>
            <w:r>
              <w:rPr>
                <w:sz w:val="18"/>
              </w:rPr>
              <w:t xml:space="preserve">Foreign</w:t>
            </w:r>
          </w:p>
        </w:tc>
        <w:tc>
          <w:tcPr>
            <w:tcW w:w="1686" w:type="dxa"/>
          </w:tcPr>
          <w:p>
            <w:pPr>
              <w:pStyle w:val="Compact"/>
              <w:keepNext/>
              <w:spacing w:before="0" w:after="0" w:lineRule="exact" w:line="220"/>
              <w:jc w:val="left"/>
            </w:pPr>
            <w:r>
              <w:rPr>
                <w:sz w:val="18"/>
              </w:rPr>
              <w:t xml:space="preserve">Travel and ticketing</w:t>
            </w:r>
          </w:p>
        </w:tc>
        <w:tc>
          <w:tcPr>
            <w:tcW w:w="1054" w:type="dxa"/>
          </w:tcPr>
          <w:p>
            <w:pPr>
              <w:pStyle w:val="Compact"/>
              <w:keepNext/>
              <w:spacing w:before="0" w:after="0" w:lineRule="exact" w:line="220"/>
              <w:jc w:val="left"/>
            </w:pPr>
            <w:r>
              <w:rPr>
                <w:sz w:val="18"/>
              </w:rPr>
              <w:t xml:space="preserve">US</w:t>
            </w:r>
          </w:p>
        </w:tc>
        <w:tc>
          <w:tcPr>
            <w:tcW w:w="1546" w:type="dxa"/>
          </w:tcPr>
          <w:p>
            <w:pPr>
              <w:pStyle w:val="Compact"/>
              <w:keepNext/>
              <w:spacing w:before="0" w:after="0" w:lineRule="exact" w:line="220"/>
              <w:jc w:val="left"/>
            </w:pPr>
            <w:r>
              <w:rPr>
                <w:sz w:val="18"/>
              </w:rPr>
              <w:t xml:space="preserve">USD</w:t>
            </w:r>
          </w:p>
        </w:tc>
        <w:tc>
          <w:tcPr>
            <w:tcW w:w="913" w:type="dxa"/>
          </w:tcPr>
          <w:p>
            <w:pPr>
              <w:pStyle w:val="Compact"/>
              <w:keepNext/>
              <w:spacing w:before="0" w:after="0" w:lineRule="exact" w:line="220"/>
              <w:jc w:val="left"/>
            </w:pPr>
            <w:r>
              <w:rPr>
                <w:sz w:val="18"/>
              </w:rPr>
              <w:t xml:space="preserve">2021</w:t>
            </w:r>
          </w:p>
        </w:tc>
      </w:tr>
      <w:tr>
        <w:trPr>
          <w:cantSplit/>
        </w:trPr>
        <w:tc>
          <w:tcPr>
            <w:tcW w:w="1405" w:type="dxa"/>
          </w:tcPr>
          <w:p>
            <w:pPr>
              <w:pStyle w:val="Compact"/>
              <w:spacing w:before="0" w:after="0" w:lineRule="exact" w:line="220"/>
              <w:jc w:val="left"/>
            </w:pPr>
            <w:r>
              <w:rPr>
                <w:sz w:val="18"/>
              </w:rPr>
              <w:t xml:space="preserve">Yatra</w:t>
            </w:r>
          </w:p>
        </w:tc>
        <w:tc>
          <w:tcPr>
            <w:tcW w:w="1897" w:type="dxa"/>
          </w:tcPr>
          <w:p>
            <w:pPr>
              <w:pStyle w:val="Compact"/>
              <w:spacing w:before="0" w:after="0" w:lineRule="exact" w:line="220"/>
              <w:jc w:val="left"/>
            </w:pPr>
            <w:r>
              <w:rPr>
                <w:sz w:val="18"/>
              </w:rPr>
              <w:t xml:space="preserve">Foreign</w:t>
            </w:r>
          </w:p>
        </w:tc>
        <w:tc>
          <w:tcPr>
            <w:tcW w:w="1686" w:type="dxa"/>
          </w:tcPr>
          <w:p>
            <w:pPr>
              <w:pStyle w:val="Compact"/>
              <w:spacing w:before="0" w:after="0" w:lineRule="exact" w:line="220"/>
              <w:jc w:val="left"/>
            </w:pPr>
            <w:r>
              <w:rPr>
                <w:sz w:val="18"/>
              </w:rPr>
              <w:t xml:space="preserve">Travel and ticketing</w:t>
            </w:r>
          </w:p>
        </w:tc>
        <w:tc>
          <w:tcPr>
            <w:tcW w:w="1054" w:type="dxa"/>
          </w:tcPr>
          <w:p>
            <w:pPr>
              <w:pStyle w:val="Compact"/>
              <w:spacing w:before="0" w:after="0" w:lineRule="exact" w:line="220"/>
              <w:jc w:val="left"/>
            </w:pPr>
            <w:r>
              <w:rPr>
                <w:sz w:val="18"/>
              </w:rPr>
              <w:t xml:space="preserve">IN</w:t>
            </w:r>
          </w:p>
        </w:tc>
        <w:tc>
          <w:tcPr>
            <w:tcW w:w="1546" w:type="dxa"/>
          </w:tcPr>
          <w:p>
            <w:pPr>
              <w:pStyle w:val="Compact"/>
              <w:spacing w:before="0" w:after="0" w:lineRule="exact" w:line="220"/>
              <w:jc w:val="left"/>
            </w:pPr>
            <w:r>
              <w:rPr>
                <w:sz w:val="18"/>
              </w:rPr>
              <w:t xml:space="preserve">INR</w:t>
            </w:r>
          </w:p>
        </w:tc>
        <w:tc>
          <w:tcPr>
            <w:tcW w:w="913" w:type="dxa"/>
          </w:tcPr>
          <w:p>
            <w:pPr>
              <w:pStyle w:val="Compact"/>
              <w:spacing w:before="0" w:after="0" w:lineRule="exact" w:line="220"/>
              <w:jc w:val="left"/>
            </w:pPr>
            <w:r>
              <w:rPr>
                <w:sz w:val="18"/>
              </w:rPr>
              <w:t xml:space="preserve">2016</w:t>
            </w:r>
          </w:p>
        </w:tc>
      </w:tr>
    </w:tbl>
    <w:bookmarkEnd w:id="97"/>
    <w:bookmarkEnd w:id="98"/>
    <w:bookmarkStart w:id="102" w:name="X86fc5958fcd7d1333545739084b7370a61f7039"/>
    <w:p>
      <w:pPr>
        <w:pStyle w:val="Heading2"/>
      </w:pPr>
      <w:r>
        <w:t xml:space="preserve">Appendix C. The checks on the tests of H1 and on the regressions</w:t>
      </w:r>
    </w:p>
    <w:bookmarkStart w:id="99" w:name="c.1-the-checks"/>
    <w:p>
      <w:pPr>
        <w:pStyle w:val="Heading3"/>
      </w:pPr>
      <w:r>
        <w:t xml:space="preserve">C.1 The checks</w:t>
      </w:r>
    </w:p>
    <w:p>
      <w:pPr>
        <w:pStyle w:val="FirstParagraph"/>
        <w:jc w:val="left"/>
      </w:pPr>
      <w:r>
        <w:t xml:space="preserve">The main test is described in Section 5.2. This appendix keeps its first measure, the absolute change in the log take rate, and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3470"/>
        <w:gridCol w:w="1844"/>
        <w:gridCol w:w="1024"/>
        <w:gridCol w:w="1320"/>
        <w:gridCol w:w="845"/>
      </w:tblGrid>
      <w:tr>
        <w:trPr>
          <w:tblHeader w:val="true"/>
          <w:cantSplit/>
          <w:tblHeader/>
        </w:trPr>
        <w:tc>
          <w:tcPr>
            <w:tcW w:w="3470" w:type="dxa"/>
            <w:tcBorders>
              <w:bottom w:val="single" w:sz="5" w:space="0" w:color="000000"/>
            </w:tcBorders>
          </w:tcPr>
          <w:p>
            <w:pPr>
              <w:pStyle w:val="Compact"/>
              <w:keepNext/>
              <w:spacing w:before="0" w:after="0" w:lineRule="exact" w:line="220"/>
              <w:jc w:val="left"/>
            </w:pPr>
            <w:r>
              <w:rPr>
                <w:b/>
                <w:sz w:val="18"/>
              </w:rPr>
              <w:t xml:space="preserve">Check</w:t>
            </w:r>
          </w:p>
        </w:tc>
        <w:tc>
          <w:tcPr>
            <w:tcW w:w="1844" w:type="dxa"/>
            <w:tcBorders>
              <w:bottom w:val="single" w:sz="5" w:space="0" w:color="000000"/>
            </w:tcBorders>
          </w:tcPr>
          <w:p>
            <w:pPr>
              <w:pStyle w:val="Compact"/>
              <w:keepNext/>
              <w:spacing w:before="0" w:after="0" w:lineRule="exact" w:line="220"/>
              <w:jc w:val="left"/>
            </w:pPr>
            <w:r>
              <w:rPr>
                <w:b/>
                <w:sz w:val="18"/>
              </w:rPr>
              <w:t xml:space="preserve">Indonesian and regional (median)</w:t>
            </w:r>
          </w:p>
        </w:tc>
        <w:tc>
          <w:tcPr>
            <w:tcW w:w="1024" w:type="dxa"/>
            <w:tcBorders>
              <w:bottom w:val="single" w:sz="5" w:space="0" w:color="000000"/>
            </w:tcBorders>
          </w:tcPr>
          <w:p>
            <w:pPr>
              <w:pStyle w:val="Compact"/>
              <w:keepNext/>
              <w:spacing w:before="0" w:after="0" w:lineRule="exact" w:line="220"/>
              <w:jc w:val="left"/>
            </w:pPr>
            <w:r>
              <w:rPr>
                <w:b/>
                <w:sz w:val="18"/>
              </w:rPr>
              <w:t xml:space="preserve">Foreign (median)</w:t>
            </w:r>
          </w:p>
        </w:tc>
        <w:tc>
          <w:tcPr>
            <w:tcW w:w="1320" w:type="dxa"/>
            <w:tcBorders>
              <w:bottom w:val="single" w:sz="5" w:space="0" w:color="000000"/>
            </w:tcBorders>
          </w:tcPr>
          <w:p>
            <w:pPr>
              <w:pStyle w:val="Compact"/>
              <w:keepNext/>
              <w:spacing w:before="0" w:after="0" w:lineRule="exact" w:line="220"/>
              <w:jc w:val="left"/>
            </w:pPr>
            <w:r>
              <w:rPr>
                <w:b/>
                <w:sz w:val="18"/>
              </w:rPr>
              <w:t xml:space="preserve">Mann–Whitney p</w:t>
            </w:r>
          </w:p>
        </w:tc>
        <w:tc>
          <w:tcPr>
            <w:tcW w:w="845" w:type="dxa"/>
            <w:tcBorders>
              <w:bottom w:val="single" w:sz="5" w:space="0" w:color="000000"/>
            </w:tcBorders>
          </w:tcPr>
          <w:p>
            <w:pPr>
              <w:pStyle w:val="Compact"/>
              <w:keepNext/>
              <w:spacing w:before="0" w:after="0" w:lineRule="exact" w:line="220"/>
              <w:jc w:val="left"/>
            </w:pPr>
            <w:r>
              <w:rPr>
                <w:b/>
                <w:sz w:val="18"/>
              </w:rPr>
              <w:t xml:space="preserve">Shuffle p</w:t>
            </w:r>
          </w:p>
        </w:tc>
      </w:tr>
      <w:tr>
        <w:trPr>
          <w:cantSplit/>
        </w:trPr>
        <w:tc>
          <w:tcPr>
            <w:tcW w:w="3470" w:type="dxa"/>
          </w:tcPr>
          <w:p>
            <w:pPr>
              <w:pStyle w:val="Compact"/>
              <w:keepNext/>
              <w:spacing w:before="0" w:after="0" w:lineRule="exact" w:line="220"/>
              <w:jc w:val="left"/>
            </w:pPr>
            <w:r>
              <w:rPr>
                <w:sz w:val="18"/>
              </w:rPr>
              <w:t xml:space="preserve">Main test, 5 against 27</w:t>
            </w:r>
          </w:p>
        </w:tc>
        <w:tc>
          <w:tcPr>
            <w:tcW w:w="1844" w:type="dxa"/>
          </w:tcPr>
          <w:p>
            <w:pPr>
              <w:pStyle w:val="Compact"/>
              <w:keepNext/>
              <w:spacing w:before="0" w:after="0" w:lineRule="exact" w:line="220"/>
              <w:jc w:val="left"/>
            </w:pPr>
            <w:r>
              <w:rPr>
                <w:sz w:val="18"/>
              </w:rPr>
              <w:t xml:space="preserve">0.201</w:t>
            </w:r>
          </w:p>
        </w:tc>
        <w:tc>
          <w:tcPr>
            <w:tcW w:w="1024" w:type="dxa"/>
          </w:tcPr>
          <w:p>
            <w:pPr>
              <w:pStyle w:val="Compact"/>
              <w:keepNext/>
              <w:spacing w:before="0" w:after="0" w:lineRule="exact" w:line="220"/>
              <w:jc w:val="left"/>
            </w:pPr>
            <w:r>
              <w:rPr>
                <w:sz w:val="18"/>
              </w:rPr>
              <w:t xml:space="preserve">0.062</w:t>
            </w:r>
          </w:p>
        </w:tc>
        <w:tc>
          <w:tcPr>
            <w:tcW w:w="1320" w:type="dxa"/>
          </w:tcPr>
          <w:p>
            <w:pPr>
              <w:pStyle w:val="Compact"/>
              <w:keepNext/>
              <w:spacing w:before="0" w:after="0" w:lineRule="exact" w:line="220"/>
              <w:jc w:val="left"/>
            </w:pPr>
            <w:r>
              <w:rPr>
                <w:sz w:val="18"/>
              </w:rPr>
              <w:t xml:space="preserve">0.0038</w:t>
            </w:r>
          </w:p>
        </w:tc>
        <w:tc>
          <w:tcPr>
            <w:tcW w:w="845" w:type="dxa"/>
          </w:tcPr>
          <w:p>
            <w:pPr>
              <w:pStyle w:val="Compact"/>
              <w:keepNext/>
              <w:spacing w:before="0" w:after="0" w:lineRule="exact" w:line="220"/>
              <w:jc w:val="left"/>
            </w:pPr>
            <w:r>
              <w:rPr>
                <w:sz w:val="18"/>
              </w:rPr>
              <w:t xml:space="preserve">0.0221</w:t>
            </w:r>
          </w:p>
        </w:tc>
      </w:tr>
      <w:tr>
        <w:trPr>
          <w:cantSplit/>
        </w:trPr>
        <w:tc>
          <w:tcPr>
            <w:tcW w:w="3470" w:type="dxa"/>
          </w:tcPr>
          <w:p>
            <w:pPr>
              <w:pStyle w:val="Compact"/>
              <w:keepNext/>
              <w:spacing w:before="0" w:after="0" w:lineRule="exact" w:line="220"/>
              <w:jc w:val="left"/>
            </w:pPr>
            <w:r>
              <w:rPr>
                <w:sz w:val="18"/>
              </w:rPr>
              <w:t xml:space="preserve">5 against the 8 chosen first</w:t>
            </w:r>
          </w:p>
        </w:tc>
        <w:tc>
          <w:tcPr>
            <w:tcW w:w="1844" w:type="dxa"/>
          </w:tcPr>
          <w:p>
            <w:pPr>
              <w:pStyle w:val="Compact"/>
              <w:keepNext/>
              <w:spacing w:before="0" w:after="0" w:lineRule="exact" w:line="220"/>
              <w:jc w:val="left"/>
            </w:pPr>
            <w:r>
              <w:rPr>
                <w:sz w:val="18"/>
              </w:rPr>
              <w:t xml:space="preserve">0.201</w:t>
            </w:r>
          </w:p>
        </w:tc>
        <w:tc>
          <w:tcPr>
            <w:tcW w:w="1024" w:type="dxa"/>
          </w:tcPr>
          <w:p>
            <w:pPr>
              <w:pStyle w:val="Compact"/>
              <w:keepNext/>
              <w:spacing w:before="0" w:after="0" w:lineRule="exact" w:line="220"/>
              <w:jc w:val="left"/>
            </w:pPr>
            <w:r>
              <w:rPr>
                <w:sz w:val="18"/>
              </w:rPr>
              <w:t xml:space="preserve">0.055</w:t>
            </w:r>
          </w:p>
        </w:tc>
        <w:tc>
          <w:tcPr>
            <w:tcW w:w="1320" w:type="dxa"/>
          </w:tcPr>
          <w:p>
            <w:pPr>
              <w:pStyle w:val="Compact"/>
              <w:keepNext/>
              <w:spacing w:before="0" w:after="0" w:lineRule="exact" w:line="220"/>
              <w:jc w:val="left"/>
            </w:pPr>
            <w:r>
              <w:rPr>
                <w:sz w:val="18"/>
              </w:rPr>
              <w:t xml:space="preserve">0.0225</w:t>
            </w:r>
          </w:p>
        </w:tc>
        <w:tc>
          <w:tcPr>
            <w:tcW w:w="845" w:type="dxa"/>
          </w:tcPr>
          <w:p>
            <w:pPr>
              <w:pStyle w:val="Compact"/>
              <w:keepNext/>
              <w:spacing w:before="0" w:after="0" w:lineRule="exact" w:line="220"/>
              <w:jc w:val="left"/>
            </w:pPr>
            <w:r>
              <w:rPr>
                <w:sz w:val="18"/>
              </w:rPr>
              <w:t xml:space="preserve">0.0497</w:t>
            </w:r>
          </w:p>
        </w:tc>
      </w:tr>
      <w:tr>
        <w:trPr>
          <w:cantSplit/>
        </w:trPr>
        <w:tc>
          <w:tcPr>
            <w:tcW w:w="3470" w:type="dxa"/>
          </w:tcPr>
          <w:p>
            <w:pPr>
              <w:pStyle w:val="Compact"/>
              <w:spacing w:before="0" w:after="0" w:lineRule="exact" w:line="220"/>
              <w:jc w:val="left"/>
            </w:pPr>
            <w:r>
              <w:rPr>
                <w:sz w:val="18"/>
              </w:rPr>
              <w:t xml:space="preserve">5 against the 19 added</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0.070</w:t>
            </w:r>
          </w:p>
        </w:tc>
        <w:tc>
          <w:tcPr>
            <w:tcW w:w="1320" w:type="dxa"/>
          </w:tcPr>
          <w:p>
            <w:pPr>
              <w:pStyle w:val="Compact"/>
              <w:spacing w:before="0" w:after="0" w:lineRule="exact" w:line="220"/>
              <w:jc w:val="left"/>
            </w:pPr>
            <w:r>
              <w:rPr>
                <w:sz w:val="18"/>
              </w:rPr>
              <w:t xml:space="preserve">0.0046</w:t>
            </w:r>
          </w:p>
        </w:tc>
        <w:tc>
          <w:tcPr>
            <w:tcW w:w="845" w:type="dxa"/>
          </w:tcPr>
          <w:p>
            <w:pPr>
              <w:pStyle w:val="Compact"/>
              <w:spacing w:before="0" w:after="0" w:lineRule="exact" w:line="220"/>
              <w:jc w:val="left"/>
            </w:pPr>
            <w:r>
              <w:rPr>
                <w:sz w:val="18"/>
              </w:rPr>
              <w:t xml:space="preserve">0.0175</w:t>
            </w:r>
          </w:p>
        </w:tc>
      </w:tr>
      <w:tr>
        <w:trPr>
          <w:cantSplit/>
        </w:trPr>
        <w:tc>
          <w:tcPr>
            <w:tcW w:w="3470" w:type="dxa"/>
          </w:tcPr>
          <w:p>
            <w:pPr>
              <w:pStyle w:val="Compact"/>
              <w:spacing w:before="0" w:after="0" w:lineRule="exact" w:line="220"/>
              <w:jc w:val="left"/>
            </w:pPr>
            <w:r>
              <w:rPr>
                <w:sz w:val="18"/>
              </w:rPr>
              <w:t xml:space="preserve">Without the 8 foreign platforms that book shopper discounts as marketing costs (exploratory, 15 Oct 2026)</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0.0035</w:t>
            </w:r>
          </w:p>
        </w:tc>
        <w:tc>
          <w:tcPr>
            <w:tcW w:w="845" w:type="dxa"/>
          </w:tcPr>
          <w:p>
            <w:pPr>
              <w:pStyle w:val="Compact"/>
              <w:spacing w:before="0" w:after="0" w:lineRule="exact" w:line="220"/>
              <w:jc w:val="left"/>
            </w:pPr>
            <w:r>
              <w:rPr>
                <w:sz w:val="18"/>
              </w:rPr>
              <w:t xml:space="preserve">0.0066</w:t>
            </w:r>
          </w:p>
        </w:tc>
      </w:tr>
      <w:tr>
        <w:trPr>
          <w:cantSplit/>
        </w:trPr>
        <w:tc>
          <w:tcPr>
            <w:tcW w:w="3470" w:type="dxa"/>
          </w:tcPr>
          <w:p>
            <w:pPr>
              <w:pStyle w:val="Compact"/>
              <w:spacing w:before="0" w:after="0" w:lineRule="exact" w:line="220"/>
              <w:jc w:val="left"/>
            </w:pPr>
            <w:r>
              <w:rPr>
                <w:sz w:val="18"/>
              </w:rPr>
              <w:t xml:space="preserve">Only the 11 foreign platforms that deduct shopper discounts from revenue (exploratory, 15 Oct 2026)</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0.075</w:t>
            </w:r>
          </w:p>
        </w:tc>
        <w:tc>
          <w:tcPr>
            <w:tcW w:w="1320" w:type="dxa"/>
          </w:tcPr>
          <w:p>
            <w:pPr>
              <w:pStyle w:val="Compact"/>
              <w:spacing w:before="0" w:after="0" w:lineRule="exact" w:line="220"/>
              <w:jc w:val="left"/>
            </w:pPr>
            <w:r>
              <w:rPr>
                <w:sz w:val="18"/>
              </w:rPr>
              <w:t xml:space="preserve">0.0043</w:t>
            </w:r>
          </w:p>
        </w:tc>
        <w:tc>
          <w:tcPr>
            <w:tcW w:w="845" w:type="dxa"/>
          </w:tcPr>
          <w:p>
            <w:pPr>
              <w:pStyle w:val="Compact"/>
              <w:spacing w:before="0" w:after="0" w:lineRule="exact" w:line="220"/>
              <w:jc w:val="left"/>
            </w:pPr>
            <w:r>
              <w:rPr>
                <w:sz w:val="18"/>
              </w:rPr>
              <w:t xml:space="preserve">0.0052</w:t>
            </w:r>
          </w:p>
        </w:tc>
      </w:tr>
      <w:tr>
        <w:trPr>
          <w:cantSplit/>
        </w:trPr>
        <w:tc>
          <w:tcPr>
            <w:tcW w:w="3470" w:type="dxa"/>
          </w:tcPr>
          <w:p>
            <w:pPr>
              <w:pStyle w:val="Compact"/>
              <w:spacing w:before="0" w:after="0" w:lineRule="exact" w:line="220"/>
              <w:jc w:val="left"/>
            </w:pPr>
            <w:r>
              <w:rPr>
                <w:sz w:val="18"/>
              </w:rPr>
              <w:t xml:space="preserve">Growth divergence in points, 5 against 26</w:t>
            </w:r>
          </w:p>
        </w:tc>
        <w:tc>
          <w:tcPr>
            <w:tcW w:w="1844" w:type="dxa"/>
          </w:tcPr>
          <w:p>
            <w:pPr>
              <w:pStyle w:val="Compact"/>
              <w:spacing w:before="0" w:after="0" w:lineRule="exact" w:line="220"/>
              <w:jc w:val="left"/>
            </w:pPr>
            <w:r>
              <w:rPr>
                <w:sz w:val="18"/>
              </w:rPr>
              <w:t xml:space="preserve">27.0</w:t>
            </w:r>
          </w:p>
        </w:tc>
        <w:tc>
          <w:tcPr>
            <w:tcW w:w="1024" w:type="dxa"/>
          </w:tcPr>
          <w:p>
            <w:pPr>
              <w:pStyle w:val="Compact"/>
              <w:spacing w:before="0" w:after="0" w:lineRule="exact" w:line="220"/>
              <w:jc w:val="left"/>
            </w:pPr>
            <w:r>
              <w:rPr>
                <w:sz w:val="18"/>
              </w:rPr>
              <w:t xml:space="preserve">6.5</w:t>
            </w:r>
          </w:p>
        </w:tc>
        <w:tc>
          <w:tcPr>
            <w:tcW w:w="1320" w:type="dxa"/>
          </w:tcPr>
          <w:p>
            <w:pPr>
              <w:pStyle w:val="Compact"/>
              <w:spacing w:before="0" w:after="0" w:lineRule="exact" w:line="220"/>
              <w:jc w:val="left"/>
            </w:pPr>
            <w:r>
              <w:rPr>
                <w:sz w:val="18"/>
              </w:rPr>
              <w:t xml:space="preserve">0.0055</w:t>
            </w:r>
          </w:p>
        </w:tc>
        <w:tc>
          <w:tcPr>
            <w:tcW w:w="845" w:type="dxa"/>
          </w:tcPr>
          <w:p>
            <w:pPr>
              <w:pStyle w:val="Compact"/>
              <w:spacing w:before="0" w:after="0" w:lineRule="exact" w:line="220"/>
              <w:jc w:val="left"/>
            </w:pPr>
          </w:p>
        </w:tc>
      </w:tr>
      <w:tr>
        <w:trPr>
          <w:cantSplit/>
        </w:trPr>
        <w:tc>
          <w:tcPr>
            <w:tcW w:w="3470" w:type="dxa"/>
          </w:tcPr>
          <w:p>
            <w:pPr>
              <w:pStyle w:val="Compact"/>
              <w:spacing w:before="0" w:after="0" w:lineRule="exact" w:line="220"/>
              <w:jc w:val="left"/>
            </w:pPr>
            <w:r>
              <w:rPr>
                <w:sz w:val="18"/>
              </w:rPr>
              <w:t xml:space="preserve">Without Ozon, 26 foreign platforms</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0.060</w:t>
            </w:r>
          </w:p>
        </w:tc>
        <w:tc>
          <w:tcPr>
            <w:tcW w:w="1320" w:type="dxa"/>
          </w:tcPr>
          <w:p>
            <w:pPr>
              <w:pStyle w:val="Compact"/>
              <w:spacing w:before="0" w:after="0" w:lineRule="exact" w:line="220"/>
              <w:jc w:val="left"/>
            </w:pPr>
            <w:r>
              <w:rPr>
                <w:sz w:val="18"/>
              </w:rPr>
              <w:t xml:space="preserve">0.0030</w:t>
            </w:r>
          </w:p>
        </w:tc>
        <w:tc>
          <w:tcPr>
            <w:tcW w:w="845" w:type="dxa"/>
          </w:tcPr>
          <w:p>
            <w:pPr>
              <w:pStyle w:val="Compact"/>
              <w:spacing w:before="0" w:after="0" w:lineRule="exact" w:line="220"/>
              <w:jc w:val="left"/>
            </w:pPr>
            <w:r>
              <w:rPr>
                <w:sz w:val="18"/>
              </w:rPr>
              <w:t xml:space="preserve">0.0215</w:t>
            </w:r>
          </w:p>
        </w:tc>
      </w:tr>
      <w:tr>
        <w:trPr>
          <w:cantSplit/>
        </w:trPr>
        <w:tc>
          <w:tcPr>
            <w:tcW w:w="3470" w:type="dxa"/>
          </w:tcPr>
          <w:p>
            <w:pPr>
              <w:pStyle w:val="Compact"/>
              <w:spacing w:before="0" w:after="0" w:lineRule="exact" w:line="220"/>
              <w:jc w:val="left"/>
            </w:pPr>
            <w:r>
              <w:rPr>
                <w:sz w:val="18"/>
              </w:rPr>
              <w:t xml:space="preserve">Without Zalando, 26 foreign platforms</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0.064</w:t>
            </w:r>
          </w:p>
        </w:tc>
        <w:tc>
          <w:tcPr>
            <w:tcW w:w="1320" w:type="dxa"/>
          </w:tcPr>
          <w:p>
            <w:pPr>
              <w:pStyle w:val="Compact"/>
              <w:spacing w:before="0" w:after="0" w:lineRule="exact" w:line="220"/>
              <w:jc w:val="left"/>
            </w:pPr>
            <w:r>
              <w:rPr>
                <w:sz w:val="18"/>
              </w:rPr>
              <w:t xml:space="preserve">0.0045</w:t>
            </w:r>
          </w:p>
        </w:tc>
        <w:tc>
          <w:tcPr>
            <w:tcW w:w="845" w:type="dxa"/>
          </w:tcPr>
          <w:p>
            <w:pPr>
              <w:pStyle w:val="Compact"/>
              <w:spacing w:before="0" w:after="0" w:lineRule="exact" w:line="220"/>
              <w:jc w:val="left"/>
            </w:pPr>
            <w:r>
              <w:rPr>
                <w:sz w:val="18"/>
              </w:rPr>
              <w:t xml:space="preserve">0.0238</w:t>
            </w:r>
          </w:p>
        </w:tc>
      </w:tr>
      <w:tr>
        <w:trPr>
          <w:cantSplit/>
        </w:trPr>
        <w:tc>
          <w:tcPr>
            <w:tcW w:w="3470" w:type="dxa"/>
          </w:tcPr>
          <w:p>
            <w:pPr>
              <w:pStyle w:val="Compact"/>
              <w:spacing w:before="0" w:after="0" w:lineRule="exact" w:line="220"/>
              <w:jc w:val="left"/>
            </w:pPr>
            <w:r>
              <w:rPr>
                <w:sz w:val="18"/>
              </w:rPr>
              <w:t xml:space="preserve">Without Ozon and Zalando, 25 foreign platforms</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0.0036</w:t>
            </w:r>
          </w:p>
        </w:tc>
        <w:tc>
          <w:tcPr>
            <w:tcW w:w="845" w:type="dxa"/>
          </w:tcPr>
          <w:p>
            <w:pPr>
              <w:pStyle w:val="Compact"/>
              <w:spacing w:before="0" w:after="0" w:lineRule="exact" w:line="220"/>
              <w:jc w:val="left"/>
            </w:pPr>
            <w:r>
              <w:rPr>
                <w:sz w:val="18"/>
              </w:rPr>
              <w:t xml:space="preserve">0.0230</w:t>
            </w:r>
          </w:p>
        </w:tc>
      </w:tr>
      <w:tr>
        <w:trPr>
          <w:cantSplit/>
        </w:trPr>
        <w:tc>
          <w:tcPr>
            <w:tcW w:w="3470" w:type="dxa"/>
          </w:tcPr>
          <w:p>
            <w:pPr>
              <w:pStyle w:val="Compact"/>
              <w:spacing w:before="0" w:after="0" w:lineRule="exact" w:line="220"/>
              <w:jc w:val="left"/>
            </w:pPr>
            <w:r>
              <w:rPr>
                <w:sz w:val="18"/>
              </w:rPr>
              <w:t xml:space="preserve">Without Blibli third-party retail</w:t>
            </w:r>
          </w:p>
        </w:tc>
        <w:tc>
          <w:tcPr>
            <w:tcW w:w="1844" w:type="dxa"/>
          </w:tcPr>
          <w:p>
            <w:pPr>
              <w:pStyle w:val="Compact"/>
              <w:spacing w:before="0" w:after="0" w:lineRule="exact" w:line="220"/>
              <w:jc w:val="left"/>
            </w:pPr>
            <w:r>
              <w:rPr>
                <w:sz w:val="18"/>
              </w:rPr>
              <w:t xml:space="preserve">0.169</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0.0137</w:t>
            </w:r>
          </w:p>
        </w:tc>
        <w:tc>
          <w:tcPr>
            <w:tcW w:w="845" w:type="dxa"/>
          </w:tcPr>
          <w:p>
            <w:pPr>
              <w:pStyle w:val="Compact"/>
              <w:spacing w:before="0" w:after="0" w:lineRule="exact" w:line="220"/>
              <w:jc w:val="left"/>
            </w:pPr>
            <w:r>
              <w:rPr>
                <w:sz w:val="18"/>
              </w:rPr>
              <w:t xml:space="preserve">0.0364</w:t>
            </w:r>
          </w:p>
        </w:tc>
      </w:tr>
      <w:tr>
        <w:trPr>
          <w:cantSplit/>
        </w:trPr>
        <w:tc>
          <w:tcPr>
            <w:tcW w:w="3470" w:type="dxa"/>
          </w:tcPr>
          <w:p>
            <w:pPr>
              <w:pStyle w:val="Compact"/>
              <w:spacing w:before="0" w:after="0" w:lineRule="exact" w:line="220"/>
              <w:jc w:val="left"/>
            </w:pPr>
            <w:r>
              <w:rPr>
                <w:sz w:val="18"/>
              </w:rPr>
              <w:t xml:space="preserve">Without Bukalapak Group</w:t>
            </w:r>
          </w:p>
        </w:tc>
        <w:tc>
          <w:tcPr>
            <w:tcW w:w="1844" w:type="dxa"/>
          </w:tcPr>
          <w:p>
            <w:pPr>
              <w:pStyle w:val="Compact"/>
              <w:spacing w:before="0" w:after="0" w:lineRule="exact" w:line="220"/>
              <w:jc w:val="left"/>
            </w:pPr>
            <w:r>
              <w:rPr>
                <w:sz w:val="18"/>
              </w:rPr>
              <w:t xml:space="preserve">0.225</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0.0049</w:t>
            </w:r>
          </w:p>
        </w:tc>
        <w:tc>
          <w:tcPr>
            <w:tcW w:w="845" w:type="dxa"/>
          </w:tcPr>
          <w:p>
            <w:pPr>
              <w:pStyle w:val="Compact"/>
              <w:spacing w:before="0" w:after="0" w:lineRule="exact" w:line="220"/>
              <w:jc w:val="left"/>
            </w:pPr>
            <w:r>
              <w:rPr>
                <w:sz w:val="18"/>
              </w:rPr>
              <w:t xml:space="preserve">0.0070</w:t>
            </w:r>
          </w:p>
        </w:tc>
      </w:tr>
      <w:tr>
        <w:trPr>
          <w:cantSplit/>
        </w:trPr>
        <w:tc>
          <w:tcPr>
            <w:tcW w:w="3470" w:type="dxa"/>
          </w:tcPr>
          <w:p>
            <w:pPr>
              <w:pStyle w:val="Compact"/>
              <w:spacing w:before="0" w:after="0" w:lineRule="exact" w:line="220"/>
              <w:jc w:val="left"/>
            </w:pPr>
            <w:r>
              <w:rPr>
                <w:sz w:val="18"/>
              </w:rPr>
              <w:t xml:space="preserve">Without GoTo on-demand</w:t>
            </w:r>
          </w:p>
        </w:tc>
        <w:tc>
          <w:tcPr>
            <w:tcW w:w="1844" w:type="dxa"/>
          </w:tcPr>
          <w:p>
            <w:pPr>
              <w:pStyle w:val="Compact"/>
              <w:spacing w:before="0" w:after="0" w:lineRule="exact" w:line="220"/>
              <w:jc w:val="left"/>
            </w:pPr>
            <w:r>
              <w:rPr>
                <w:sz w:val="18"/>
              </w:rPr>
              <w:t xml:space="preserve">0.225</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0.0030</w:t>
            </w:r>
          </w:p>
        </w:tc>
        <w:tc>
          <w:tcPr>
            <w:tcW w:w="845" w:type="dxa"/>
          </w:tcPr>
          <w:p>
            <w:pPr>
              <w:pStyle w:val="Compact"/>
              <w:spacing w:before="0" w:after="0" w:lineRule="exact" w:line="220"/>
              <w:jc w:val="left"/>
            </w:pPr>
            <w:r>
              <w:rPr>
                <w:sz w:val="18"/>
              </w:rPr>
              <w:t xml:space="preserve">0.0071</w:t>
            </w:r>
          </w:p>
        </w:tc>
      </w:tr>
      <w:tr>
        <w:trPr>
          <w:cantSplit/>
        </w:trPr>
        <w:tc>
          <w:tcPr>
            <w:tcW w:w="3470" w:type="dxa"/>
          </w:tcPr>
          <w:p>
            <w:pPr>
              <w:pStyle w:val="Compact"/>
              <w:spacing w:before="0" w:after="0" w:lineRule="exact" w:line="220"/>
              <w:jc w:val="left"/>
            </w:pPr>
            <w:r>
              <w:rPr>
                <w:sz w:val="18"/>
              </w:rPr>
              <w:t xml:space="preserve">Without Grab on-demand</w:t>
            </w:r>
          </w:p>
        </w:tc>
        <w:tc>
          <w:tcPr>
            <w:tcW w:w="1844" w:type="dxa"/>
          </w:tcPr>
          <w:p>
            <w:pPr>
              <w:pStyle w:val="Compact"/>
              <w:spacing w:before="0" w:after="0" w:lineRule="exact" w:line="220"/>
              <w:jc w:val="left"/>
            </w:pPr>
            <w:r>
              <w:rPr>
                <w:sz w:val="18"/>
              </w:rPr>
              <w:t xml:space="preserve">0.194</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0.0094</w:t>
            </w:r>
          </w:p>
        </w:tc>
        <w:tc>
          <w:tcPr>
            <w:tcW w:w="845" w:type="dxa"/>
          </w:tcPr>
          <w:p>
            <w:pPr>
              <w:pStyle w:val="Compact"/>
              <w:spacing w:before="0" w:after="0" w:lineRule="exact" w:line="220"/>
              <w:jc w:val="left"/>
            </w:pPr>
            <w:r>
              <w:rPr>
                <w:sz w:val="18"/>
              </w:rPr>
              <w:t xml:space="preserve">0.0166</w:t>
            </w:r>
          </w:p>
        </w:tc>
      </w:tr>
      <w:tr>
        <w:trPr>
          <w:cantSplit/>
        </w:trPr>
        <w:tc>
          <w:tcPr>
            <w:tcW w:w="3470" w:type="dxa"/>
          </w:tcPr>
          <w:p>
            <w:pPr>
              <w:pStyle w:val="Compact"/>
              <w:spacing w:before="0" w:after="0" w:lineRule="exact" w:line="220"/>
              <w:jc w:val="left"/>
            </w:pPr>
            <w:r>
              <w:rPr>
                <w:sz w:val="18"/>
              </w:rPr>
              <w:t xml:space="preserve">Without Tokopedia</w:t>
            </w:r>
          </w:p>
        </w:tc>
        <w:tc>
          <w:tcPr>
            <w:tcW w:w="1844" w:type="dxa"/>
          </w:tcPr>
          <w:p>
            <w:pPr>
              <w:pStyle w:val="Compact"/>
              <w:spacing w:before="0" w:after="0" w:lineRule="exact" w:line="220"/>
              <w:jc w:val="left"/>
            </w:pPr>
            <w:r>
              <w:rPr>
                <w:sz w:val="18"/>
              </w:rPr>
              <w:t xml:space="preserve">0.169</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0.0164</w:t>
            </w:r>
          </w:p>
        </w:tc>
        <w:tc>
          <w:tcPr>
            <w:tcW w:w="845" w:type="dxa"/>
          </w:tcPr>
          <w:p>
            <w:pPr>
              <w:pStyle w:val="Compact"/>
              <w:spacing w:before="0" w:after="0" w:lineRule="exact" w:line="220"/>
              <w:jc w:val="left"/>
            </w:pPr>
            <w:r>
              <w:rPr>
                <w:sz w:val="18"/>
              </w:rPr>
              <w:t xml:space="preserve">0.0409</w:t>
            </w: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growth divergence in points</w:t>
            </w:r>
          </w:p>
        </w:tc>
        <w:tc>
          <w:tcPr>
            <w:tcW w:w="1844" w:type="dxa"/>
          </w:tcPr>
          <w:p>
            <w:pPr>
              <w:pStyle w:val="Compact"/>
              <w:spacing w:before="0" w:after="0" w:lineRule="exact" w:line="220"/>
              <w:jc w:val="left"/>
            </w:pPr>
            <w:r>
              <w:rPr>
                <w:sz w:val="18"/>
              </w:rPr>
              <w:t xml:space="preserve">38.917</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0.0022</w:t>
            </w:r>
          </w:p>
        </w:tc>
        <w:tc>
          <w:tcPr>
            <w:tcW w:w="845" w:type="dxa"/>
          </w:tcPr>
          <w:p>
            <w:pPr>
              <w:pStyle w:val="Compact"/>
              <w:spacing w:before="0" w:after="0" w:lineRule="exact" w:line="220"/>
              <w:jc w:val="left"/>
            </w:pPr>
            <w:r>
              <w:rPr>
                <w:sz w:val="18"/>
              </w:rPr>
              <w:t xml:space="preserve">0.0606</w:t>
            </w:r>
          </w:p>
        </w:tc>
      </w:tr>
      <w:tr>
        <w:trPr>
          <w:cantSplit/>
        </w:trPr>
        <w:tc>
          <w:tcPr>
            <w:tcW w:w="3470" w:type="dxa"/>
          </w:tcPr>
          <w:p>
            <w:pPr>
              <w:pStyle w:val="Compact"/>
              <w:spacing w:before="0" w:after="0" w:lineRule="exact" w:line="220"/>
              <w:jc w:val="left"/>
            </w:pPr>
            <w:r>
              <w:rPr>
                <w:sz w:val="18"/>
              </w:rPr>
              <w:t xml:space="preserve">Three marketplaces against the 8 chosen first, one median per platform, absolute growth divergence in points (claims ledger C47,</w:t>
            </w:r>
            <w:r>
              <w:rPr>
                <w:sz w:val="18"/>
              </w:rPr>
              <w:t xml:space="preserve"> </w:t>
            </w:r>
            <w:r>
              <w:rPr>
                <w:rStyle w:val="VerbatimChar"/>
                <w:sz w:val="18"/>
              </w:rPr>
              <w:t xml:space="preserve">build_numbers.py</w:t>
            </w:r>
            <w:r>
              <w:rPr>
                <w:sz w:val="18"/>
              </w:rPr>
              <w:t xml:space="preserve">)</w:t>
            </w:r>
          </w:p>
        </w:tc>
        <w:tc>
          <w:tcPr>
            <w:tcW w:w="1844" w:type="dxa"/>
          </w:tcPr>
          <w:p>
            <w:pPr>
              <w:pStyle w:val="Compact"/>
              <w:spacing w:before="0" w:after="0" w:lineRule="exact" w:line="220"/>
              <w:jc w:val="left"/>
            </w:pP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0.0242</w:t>
            </w:r>
          </w:p>
        </w:tc>
        <w:tc>
          <w:tcPr>
            <w:tcW w:w="845" w:type="dxa"/>
          </w:tcPr>
          <w:p>
            <w:pPr>
              <w:pStyle w:val="Compact"/>
              <w:spacing w:before="0" w:after="0" w:lineRule="exact" w:line="220"/>
              <w:jc w:val="left"/>
            </w:pP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growth divergence in points (without Sea)</w:t>
            </w:r>
          </w:p>
        </w:tc>
        <w:tc>
          <w:tcPr>
            <w:tcW w:w="1844" w:type="dxa"/>
          </w:tcPr>
          <w:p>
            <w:pPr>
              <w:pStyle w:val="Compact"/>
              <w:spacing w:before="0" w:after="0" w:lineRule="exact" w:line="220"/>
              <w:jc w:val="left"/>
            </w:pPr>
            <w:r>
              <w:rPr>
                <w:sz w:val="18"/>
              </w:rPr>
              <w:t xml:space="preserve">38.917</w:t>
            </w:r>
          </w:p>
        </w:tc>
        <w:tc>
          <w:tcPr>
            <w:tcW w:w="1024" w:type="dxa"/>
          </w:tcPr>
          <w:p>
            <w:pPr>
              <w:pStyle w:val="Compact"/>
              <w:spacing w:before="0" w:after="0" w:lineRule="exact" w:line="220"/>
              <w:jc w:val="left"/>
            </w:pPr>
            <w:r>
              <w:rPr>
                <w:sz w:val="18"/>
              </w:rPr>
              <w:t xml:space="preserve">4.192</w:t>
            </w:r>
          </w:p>
        </w:tc>
        <w:tc>
          <w:tcPr>
            <w:tcW w:w="1320" w:type="dxa"/>
          </w:tcPr>
          <w:p>
            <w:pPr>
              <w:pStyle w:val="Compact"/>
              <w:spacing w:before="0" w:after="0" w:lineRule="exact" w:line="220"/>
              <w:jc w:val="left"/>
            </w:pPr>
            <w:r>
              <w:rPr>
                <w:sz w:val="18"/>
              </w:rPr>
              <w:t xml:space="preserve">&lt;0.0001</w:t>
            </w:r>
          </w:p>
        </w:tc>
        <w:tc>
          <w:tcPr>
            <w:tcW w:w="845" w:type="dxa"/>
          </w:tcPr>
          <w:p>
            <w:pPr>
              <w:pStyle w:val="Compact"/>
              <w:spacing w:before="0" w:after="0" w:lineRule="exact" w:line="220"/>
              <w:jc w:val="left"/>
            </w:pPr>
            <w:r>
              <w:rPr>
                <w:sz w:val="18"/>
              </w:rPr>
              <w:t xml:space="preserve">0.0083</w:t>
            </w: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change in log take rate</w:t>
            </w:r>
          </w:p>
        </w:tc>
        <w:tc>
          <w:tcPr>
            <w:tcW w:w="1844" w:type="dxa"/>
          </w:tcPr>
          <w:p>
            <w:pPr>
              <w:pStyle w:val="Compact"/>
              <w:spacing w:before="0" w:after="0" w:lineRule="exact" w:line="220"/>
              <w:jc w:val="left"/>
            </w:pPr>
            <w:r>
              <w:rPr>
                <w:sz w:val="18"/>
              </w:rPr>
              <w:t xml:space="preserve">0.252</w:t>
            </w:r>
          </w:p>
        </w:tc>
        <w:tc>
          <w:tcPr>
            <w:tcW w:w="1024" w:type="dxa"/>
          </w:tcPr>
          <w:p>
            <w:pPr>
              <w:pStyle w:val="Compact"/>
              <w:spacing w:before="0" w:after="0" w:lineRule="exact" w:line="220"/>
              <w:jc w:val="left"/>
            </w:pPr>
            <w:r>
              <w:rPr>
                <w:sz w:val="18"/>
              </w:rPr>
              <w:t xml:space="preserve">0.055</w:t>
            </w:r>
          </w:p>
        </w:tc>
        <w:tc>
          <w:tcPr>
            <w:tcW w:w="1320" w:type="dxa"/>
          </w:tcPr>
          <w:p>
            <w:pPr>
              <w:pStyle w:val="Compact"/>
              <w:spacing w:before="0" w:after="0" w:lineRule="exact" w:line="220"/>
              <w:jc w:val="left"/>
            </w:pPr>
            <w:r>
              <w:rPr>
                <w:sz w:val="18"/>
              </w:rPr>
              <w:t xml:space="preserve">0.0037</w:t>
            </w:r>
          </w:p>
        </w:tc>
        <w:tc>
          <w:tcPr>
            <w:tcW w:w="845" w:type="dxa"/>
          </w:tcPr>
          <w:p>
            <w:pPr>
              <w:pStyle w:val="Compact"/>
              <w:spacing w:before="0" w:after="0" w:lineRule="exact" w:line="220"/>
              <w:jc w:val="left"/>
            </w:pPr>
            <w:r>
              <w:rPr>
                <w:sz w:val="18"/>
              </w:rPr>
              <w:t xml:space="preserve">0.0303</w:t>
            </w: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change in log take rate (without Sea)</w:t>
            </w:r>
          </w:p>
        </w:tc>
        <w:tc>
          <w:tcPr>
            <w:tcW w:w="1844" w:type="dxa"/>
          </w:tcPr>
          <w:p>
            <w:pPr>
              <w:pStyle w:val="Compact"/>
              <w:spacing w:before="0" w:after="0" w:lineRule="exact" w:line="220"/>
              <w:jc w:val="left"/>
            </w:pPr>
            <w:r>
              <w:rPr>
                <w:sz w:val="18"/>
              </w:rPr>
              <w:t xml:space="preserve">0.252</w:t>
            </w:r>
          </w:p>
        </w:tc>
        <w:tc>
          <w:tcPr>
            <w:tcW w:w="1024" w:type="dxa"/>
          </w:tcPr>
          <w:p>
            <w:pPr>
              <w:pStyle w:val="Compact"/>
              <w:spacing w:before="0" w:after="0" w:lineRule="exact" w:line="220"/>
              <w:jc w:val="left"/>
            </w:pPr>
            <w:r>
              <w:rPr>
                <w:sz w:val="18"/>
              </w:rPr>
              <w:t xml:space="preserve">0.033</w:t>
            </w:r>
          </w:p>
        </w:tc>
        <w:tc>
          <w:tcPr>
            <w:tcW w:w="1320" w:type="dxa"/>
          </w:tcPr>
          <w:p>
            <w:pPr>
              <w:pStyle w:val="Compact"/>
              <w:spacing w:before="0" w:after="0" w:lineRule="exact" w:line="220"/>
              <w:jc w:val="left"/>
            </w:pPr>
            <w:r>
              <w:rPr>
                <w:sz w:val="18"/>
              </w:rPr>
              <w:t xml:space="preserve">0.0001</w:t>
            </w:r>
          </w:p>
        </w:tc>
        <w:tc>
          <w:tcPr>
            <w:tcW w:w="845" w:type="dxa"/>
          </w:tcPr>
          <w:p>
            <w:pPr>
              <w:pStyle w:val="Compact"/>
              <w:spacing w:before="0" w:after="0" w:lineRule="exact" w:line="220"/>
              <w:jc w:val="left"/>
            </w:pPr>
            <w:r>
              <w:rPr>
                <w:sz w:val="18"/>
              </w:rPr>
              <w:t xml:space="preserve">0.0167</w:t>
            </w:r>
          </w:p>
        </w:tc>
      </w:tr>
      <w:tr>
        <w:trPr>
          <w:cantSplit/>
        </w:trPr>
        <w:tc>
          <w:tcPr>
            <w:tcW w:w="3470" w:type="dxa"/>
          </w:tcPr>
          <w:p>
            <w:pPr>
              <w:pStyle w:val="Compact"/>
              <w:spacing w:before="0" w:after="0" w:lineRule="exact" w:line="220"/>
              <w:jc w:val="left"/>
            </w:pPr>
            <w:r>
              <w:rPr>
                <w:sz w:val="18"/>
              </w:rPr>
              <w:t xml:space="preserve">Three marketplaces, dropping all three 2022–23 comparisons (5 pairs), absolute growth divergence in points</w:t>
            </w:r>
          </w:p>
        </w:tc>
        <w:tc>
          <w:tcPr>
            <w:tcW w:w="1844" w:type="dxa"/>
          </w:tcPr>
          <w:p>
            <w:pPr>
              <w:pStyle w:val="Compact"/>
              <w:spacing w:before="0" w:after="0" w:lineRule="exact" w:line="220"/>
              <w:jc w:val="left"/>
            </w:pPr>
            <w:r>
              <w:rPr>
                <w:sz w:val="18"/>
              </w:rPr>
              <w:t xml:space="preserve">14.411</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0.0248</w:t>
            </w:r>
          </w:p>
        </w:tc>
        <w:tc>
          <w:tcPr>
            <w:tcW w:w="845" w:type="dxa"/>
          </w:tcPr>
          <w:p>
            <w:pPr>
              <w:pStyle w:val="Compact"/>
              <w:spacing w:before="0" w:after="0" w:lineRule="exact" w:line="220"/>
              <w:jc w:val="left"/>
            </w:pPr>
            <w:r>
              <w:rPr>
                <w:sz w:val="18"/>
              </w:rPr>
              <w:t xml:space="preserve">0.2222</w:t>
            </w:r>
          </w:p>
        </w:tc>
      </w:tr>
      <w:tr>
        <w:trPr>
          <w:cantSplit/>
        </w:trPr>
        <w:tc>
          <w:tcPr>
            <w:tcW w:w="3470" w:type="dxa"/>
          </w:tcPr>
          <w:p>
            <w:pPr>
              <w:pStyle w:val="Compact"/>
              <w:spacing w:before="0" w:after="0" w:lineRule="exact" w:line="220"/>
              <w:jc w:val="left"/>
            </w:pPr>
            <w:r>
              <w:rPr>
                <w:sz w:val="18"/>
              </w:rPr>
              <w:t xml:space="preserve">Three marketplaces, dropping the largest comparison (7 pairs), absolute growth divergence in points</w:t>
            </w:r>
          </w:p>
        </w:tc>
        <w:tc>
          <w:tcPr>
            <w:tcW w:w="1844" w:type="dxa"/>
          </w:tcPr>
          <w:p>
            <w:pPr>
              <w:pStyle w:val="Compact"/>
              <w:spacing w:before="0" w:after="0" w:lineRule="exact" w:line="220"/>
              <w:jc w:val="left"/>
            </w:pPr>
            <w:r>
              <w:rPr>
                <w:sz w:val="18"/>
              </w:rPr>
              <w:t xml:space="preserve">15.738</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0.0061</w:t>
            </w:r>
          </w:p>
        </w:tc>
        <w:tc>
          <w:tcPr>
            <w:tcW w:w="845" w:type="dxa"/>
          </w:tcPr>
          <w:p>
            <w:pPr>
              <w:pStyle w:val="Compact"/>
              <w:spacing w:before="0" w:after="0" w:lineRule="exact" w:line="220"/>
              <w:jc w:val="left"/>
            </w:pPr>
            <w:r>
              <w:rPr>
                <w:sz w:val="18"/>
              </w:rPr>
              <w:t xml:space="preserve">0.0606</w:t>
            </w:r>
          </w:p>
        </w:tc>
      </w:tr>
      <w:tr>
        <w:trPr>
          <w:cantSplit/>
        </w:trPr>
        <w:tc>
          <w:tcPr>
            <w:tcW w:w="3470" w:type="dxa"/>
          </w:tcPr>
          <w:p>
            <w:pPr>
              <w:pStyle w:val="Compact"/>
              <w:spacing w:before="0" w:after="0" w:lineRule="exact" w:line="220"/>
              <w:jc w:val="left"/>
            </w:pPr>
            <w:r>
              <w:rPr>
                <w:sz w:val="18"/>
              </w:rPr>
              <w:t xml:space="preserve">Three marketplaces against all 40 foreign pairs, absolute growth divergence in points</w:t>
            </w:r>
          </w:p>
        </w:tc>
        <w:tc>
          <w:tcPr>
            <w:tcW w:w="1844" w:type="dxa"/>
          </w:tcPr>
          <w:p>
            <w:pPr>
              <w:pStyle w:val="Compact"/>
              <w:spacing w:before="0" w:after="0" w:lineRule="exact" w:line="220"/>
              <w:jc w:val="left"/>
            </w:pPr>
            <w:r>
              <w:rPr>
                <w:sz w:val="18"/>
              </w:rPr>
              <w:t xml:space="preserve">38.917</w:t>
            </w:r>
          </w:p>
        </w:tc>
        <w:tc>
          <w:tcPr>
            <w:tcW w:w="1024" w:type="dxa"/>
          </w:tcPr>
          <w:p>
            <w:pPr>
              <w:pStyle w:val="Compact"/>
              <w:spacing w:before="0" w:after="0" w:lineRule="exact" w:line="220"/>
              <w:jc w:val="left"/>
            </w:pPr>
            <w:r>
              <w:rPr>
                <w:sz w:val="18"/>
              </w:rPr>
              <w:t xml:space="preserve">7.373</w:t>
            </w:r>
          </w:p>
        </w:tc>
        <w:tc>
          <w:tcPr>
            <w:tcW w:w="1320" w:type="dxa"/>
          </w:tcPr>
          <w:p>
            <w:pPr>
              <w:pStyle w:val="Compact"/>
              <w:spacing w:before="0" w:after="0" w:lineRule="exact" w:line="220"/>
              <w:jc w:val="left"/>
            </w:pPr>
            <w:r>
              <w:rPr>
                <w:sz w:val="18"/>
              </w:rPr>
              <w:t xml:space="preserve">0.0014</w:t>
            </w:r>
          </w:p>
        </w:tc>
        <w:tc>
          <w:tcPr>
            <w:tcW w:w="845" w:type="dxa"/>
          </w:tcPr>
          <w:p>
            <w:pPr>
              <w:pStyle w:val="Compact"/>
              <w:spacing w:before="0" w:after="0" w:lineRule="exact" w:line="220"/>
              <w:jc w:val="left"/>
            </w:pPr>
            <w:r>
              <w:rPr>
                <w:sz w:val="18"/>
              </w:rPr>
              <w:t xml:space="preserve">0.0121</w:t>
            </w:r>
          </w:p>
        </w:tc>
      </w:tr>
      <w:tr>
        <w:trPr>
          <w:cantSplit/>
        </w:trPr>
        <w:tc>
          <w:tcPr>
            <w:tcW w:w="3470" w:type="dxa"/>
          </w:tcPr>
          <w:p>
            <w:pPr>
              <w:pStyle w:val="Compact"/>
              <w:spacing w:before="0" w:after="0" w:lineRule="exact" w:line="220"/>
              <w:jc w:val="left"/>
            </w:pPr>
            <w:r>
              <w:rPr>
                <w:sz w:val="18"/>
              </w:rPr>
              <w:t xml:space="preserve">Five Indonesian and regional series including constructed Grab and Shopee (12 pairs) against the 8 chosen first, absolute growth divergence in points</w:t>
            </w:r>
          </w:p>
        </w:tc>
        <w:tc>
          <w:tcPr>
            <w:tcW w:w="1844" w:type="dxa"/>
          </w:tcPr>
          <w:p>
            <w:pPr>
              <w:pStyle w:val="Compact"/>
              <w:spacing w:before="0" w:after="0" w:lineRule="exact" w:line="220"/>
              <w:jc w:val="left"/>
            </w:pPr>
            <w:r>
              <w:rPr>
                <w:sz w:val="18"/>
              </w:rPr>
              <w:t xml:space="preserve">42.017</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0.0006</w:t>
            </w:r>
          </w:p>
        </w:tc>
        <w:tc>
          <w:tcPr>
            <w:tcW w:w="845" w:type="dxa"/>
          </w:tcPr>
          <w:p>
            <w:pPr>
              <w:pStyle w:val="Compact"/>
              <w:spacing w:before="0" w:after="0" w:lineRule="exact" w:line="220"/>
              <w:jc w:val="left"/>
            </w:pPr>
            <w:r>
              <w:rPr>
                <w:sz w:val="18"/>
              </w:rPr>
              <w:t xml:space="preserve">0.0225</w:t>
            </w:r>
          </w:p>
        </w:tc>
      </w:tr>
      <w:tr>
        <w:trPr>
          <w:cantSplit/>
        </w:trPr>
        <w:tc>
          <w:tcPr>
            <w:tcW w:w="3470" w:type="dxa"/>
          </w:tcPr>
          <w:p>
            <w:pPr>
              <w:pStyle w:val="Compact"/>
              <w:spacing w:before="0" w:after="0" w:lineRule="exact" w:line="220"/>
              <w:jc w:val="left"/>
            </w:pPr>
            <w:r>
              <w:rPr>
                <w:sz w:val="18"/>
              </w:rPr>
              <w:t xml:space="preserve">Tokopedia and GoTo on-demand as one company, 4 against 27</w:t>
            </w:r>
          </w:p>
        </w:tc>
        <w:tc>
          <w:tcPr>
            <w:tcW w:w="1844" w:type="dxa"/>
          </w:tcPr>
          <w:p>
            <w:pPr>
              <w:pStyle w:val="Compact"/>
              <w:spacing w:before="0" w:after="0" w:lineRule="exact" w:line="220"/>
              <w:jc w:val="left"/>
            </w:pP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0.003</w:t>
            </w:r>
          </w:p>
        </w:tc>
        <w:tc>
          <w:tcPr>
            <w:tcW w:w="845" w:type="dxa"/>
          </w:tcPr>
          <w:p>
            <w:pPr>
              <w:pStyle w:val="Compact"/>
              <w:spacing w:before="0" w:after="0" w:lineRule="exact" w:line="220"/>
              <w:jc w:val="left"/>
            </w:pPr>
            <w:r>
              <w:rPr>
                <w:sz w:val="18"/>
              </w:rPr>
              <w:t xml:space="preserve">0.007</w:t>
            </w:r>
          </w:p>
        </w:tc>
      </w:tr>
      <w:tr>
        <w:trPr>
          <w:cantSplit/>
        </w:trPr>
        <w:tc>
          <w:tcPr>
            <w:tcW w:w="3470" w:type="dxa"/>
          </w:tcPr>
          <w:p>
            <w:pPr>
              <w:pStyle w:val="Compact"/>
              <w:spacing w:before="0" w:after="0" w:lineRule="exact" w:line="220"/>
              <w:jc w:val="left"/>
            </w:pPr>
            <w:r>
              <w:rPr>
                <w:sz w:val="18"/>
              </w:rPr>
              <w:t xml:space="preserve">Exact tests over all 201,376 ways to pick the five platforms, main test (exploratory, 22 Oct 2026)</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0.0038</w:t>
            </w:r>
          </w:p>
        </w:tc>
        <w:tc>
          <w:tcPr>
            <w:tcW w:w="845" w:type="dxa"/>
          </w:tcPr>
          <w:p>
            <w:pPr>
              <w:pStyle w:val="Compact"/>
              <w:spacing w:before="0" w:after="0" w:lineRule="exact" w:line="220"/>
              <w:jc w:val="left"/>
            </w:pPr>
            <w:r>
              <w:rPr>
                <w:sz w:val="18"/>
              </w:rPr>
              <w:t xml:space="preserve">0.0214</w:t>
            </w:r>
          </w:p>
        </w:tc>
      </w:tr>
      <w:tr>
        <w:trPr>
          <w:cantSplit/>
        </w:trPr>
        <w:tc>
          <w:tcPr>
            <w:tcW w:w="3470" w:type="dxa"/>
          </w:tcPr>
          <w:p>
            <w:pPr>
              <w:pStyle w:val="Compact"/>
              <w:spacing w:before="0" w:after="0" w:lineRule="exact" w:line="220"/>
              <w:jc w:val="left"/>
            </w:pPr>
            <w:r>
              <w:rPr>
                <w:sz w:val="18"/>
              </w:rPr>
              <w:t xml:space="preserve">Sea moved to the regional group, 6 against 26 (exploratory, 22 Oct 2026; exact tests)</w:t>
            </w:r>
          </w:p>
        </w:tc>
        <w:tc>
          <w:tcPr>
            <w:tcW w:w="1844" w:type="dxa"/>
          </w:tcPr>
          <w:p>
            <w:pPr>
              <w:pStyle w:val="Compact"/>
              <w:spacing w:before="0" w:after="0" w:lineRule="exact" w:line="220"/>
              <w:jc w:val="left"/>
            </w:pPr>
            <w:r>
              <w:rPr>
                <w:sz w:val="18"/>
              </w:rPr>
              <w:t xml:space="preserve">0.225</w:t>
            </w:r>
          </w:p>
        </w:tc>
        <w:tc>
          <w:tcPr>
            <w:tcW w:w="1024" w:type="dxa"/>
          </w:tcPr>
          <w:p>
            <w:pPr>
              <w:pStyle w:val="Compact"/>
              <w:spacing w:before="0" w:after="0" w:lineRule="exact" w:line="220"/>
              <w:jc w:val="left"/>
            </w:pPr>
            <w:r>
              <w:rPr>
                <w:sz w:val="18"/>
              </w:rPr>
              <w:t xml:space="preserve">0.060</w:t>
            </w:r>
          </w:p>
        </w:tc>
        <w:tc>
          <w:tcPr>
            <w:tcW w:w="1320" w:type="dxa"/>
          </w:tcPr>
          <w:p>
            <w:pPr>
              <w:pStyle w:val="Compact"/>
              <w:spacing w:before="0" w:after="0" w:lineRule="exact" w:line="220"/>
              <w:jc w:val="left"/>
            </w:pPr>
            <w:r>
              <w:rPr>
                <w:sz w:val="18"/>
              </w:rPr>
              <w:t xml:space="preserve">0.0004</w:t>
            </w:r>
          </w:p>
        </w:tc>
        <w:tc>
          <w:tcPr>
            <w:tcW w:w="845" w:type="dxa"/>
          </w:tcPr>
          <w:p>
            <w:pPr>
              <w:pStyle w:val="Compact"/>
              <w:spacing w:before="0" w:after="0" w:lineRule="exact" w:line="220"/>
              <w:jc w:val="left"/>
            </w:pPr>
            <w:r>
              <w:rPr>
                <w:sz w:val="18"/>
              </w:rPr>
              <w:t xml:space="preserve">0.0006</w:t>
            </w:r>
          </w:p>
        </w:tc>
      </w:tr>
      <w:tr>
        <w:trPr>
          <w:cantSplit/>
        </w:trPr>
        <w:tc>
          <w:tcPr>
            <w:tcW w:w="3470" w:type="dxa"/>
          </w:tcPr>
          <w:p>
            <w:pPr>
              <w:pStyle w:val="Compact"/>
              <w:spacing w:before="0" w:after="0" w:lineRule="exact" w:line="220"/>
              <w:jc w:val="left"/>
            </w:pPr>
            <w:r>
              <w:rPr>
                <w:sz w:val="18"/>
              </w:rPr>
              <w:t xml:space="preserve">Dropping any two of the five platforms, 10 cases (exploratory, 22 Oct 2026; exact test)</w:t>
            </w:r>
          </w:p>
        </w:tc>
        <w:tc>
          <w:tcPr>
            <w:tcW w:w="1844" w:type="dxa"/>
          </w:tcPr>
          <w:p>
            <w:pPr>
              <w:pStyle w:val="Compact"/>
              <w:spacing w:before="0" w:after="0" w:lineRule="exact" w:line="220"/>
              <w:jc w:val="left"/>
            </w:pPr>
            <w:r>
              <w:rPr>
                <w:sz w:val="18"/>
              </w:rPr>
              <w:t xml:space="preserve">0.137 to 0.250</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 to 0.058</w:t>
            </w:r>
          </w:p>
        </w:tc>
        <w:tc>
          <w:tcPr>
            <w:tcW w:w="845" w:type="dxa"/>
          </w:tcPr>
          <w:p>
            <w:pPr>
              <w:pStyle w:val="Compact"/>
              <w:spacing w:before="0" w:after="0" w:lineRule="exact" w:line="220"/>
              <w:jc w:val="left"/>
            </w:pPr>
          </w:p>
        </w:tc>
      </w:tr>
      <w:tr>
        <w:trPr>
          <w:cantSplit/>
        </w:trPr>
        <w:tc>
          <w:tcPr>
            <w:tcW w:w="3470" w:type="dxa"/>
          </w:tcPr>
          <w:p>
            <w:pPr>
              <w:pStyle w:val="Compact"/>
              <w:keepNext/>
              <w:spacing w:before="0" w:after="0" w:lineRule="exact" w:line="220"/>
              <w:jc w:val="left"/>
            </w:pPr>
            <w:r>
              <w:rPr>
                <w:sz w:val="18"/>
              </w:rPr>
              <w:t xml:space="preserve">Only years up to 5 after listing, 4 against 18 platforms (exploratory, 22 Oct 2026; exact test)</w:t>
            </w:r>
          </w:p>
        </w:tc>
        <w:tc>
          <w:tcPr>
            <w:tcW w:w="1844" w:type="dxa"/>
          </w:tcPr>
          <w:p>
            <w:pPr>
              <w:pStyle w:val="Compact"/>
              <w:keepNext/>
              <w:spacing w:before="0" w:after="0" w:lineRule="exact" w:line="220"/>
              <w:jc w:val="left"/>
            </w:pPr>
            <w:r>
              <w:rPr>
                <w:sz w:val="18"/>
              </w:rPr>
              <w:t xml:space="preserve">0.169</w:t>
            </w:r>
          </w:p>
        </w:tc>
        <w:tc>
          <w:tcPr>
            <w:tcW w:w="1024" w:type="dxa"/>
          </w:tcPr>
          <w:p>
            <w:pPr>
              <w:pStyle w:val="Compact"/>
              <w:keepNext/>
              <w:spacing w:before="0" w:after="0" w:lineRule="exact" w:line="220"/>
              <w:jc w:val="left"/>
            </w:pPr>
            <w:r>
              <w:rPr>
                <w:sz w:val="18"/>
              </w:rPr>
              <w:t xml:space="preserve">0.069</w:t>
            </w:r>
          </w:p>
        </w:tc>
        <w:tc>
          <w:tcPr>
            <w:tcW w:w="1320" w:type="dxa"/>
          </w:tcPr>
          <w:p>
            <w:pPr>
              <w:pStyle w:val="Compact"/>
              <w:keepNext/>
              <w:spacing w:before="0" w:after="0" w:lineRule="exact" w:line="220"/>
              <w:jc w:val="left"/>
            </w:pPr>
            <w:r>
              <w:rPr>
                <w:sz w:val="18"/>
              </w:rPr>
              <w:t xml:space="preserve">0.059</w:t>
            </w:r>
          </w:p>
        </w:tc>
        <w:tc>
          <w:tcPr>
            <w:tcW w:w="845" w:type="dxa"/>
          </w:tcPr>
          <w:p>
            <w:pPr>
              <w:pStyle w:val="Compact"/>
              <w:keepNext/>
              <w:spacing w:before="0" w:after="0" w:lineRule="exact" w:line="220"/>
              <w:jc w:val="left"/>
            </w:pPr>
          </w:p>
        </w:tc>
      </w:tr>
      <w:tr>
        <w:trPr>
          <w:cantSplit/>
        </w:trPr>
        <w:tc>
          <w:tcPr>
            <w:tcW w:w="3470" w:type="dxa"/>
          </w:tcPr>
          <w:p>
            <w:pPr>
              <w:pStyle w:val="Compact"/>
              <w:spacing w:before="0" w:after="0" w:lineRule="exact" w:line="220"/>
              <w:jc w:val="left"/>
            </w:pPr>
            <w:r>
              <w:rPr>
                <w:sz w:val="18"/>
              </w:rPr>
              <w:t xml:space="preserve">Quarterly pairs, 3 against 8 (same quarter a year earlier)</w:t>
            </w:r>
          </w:p>
        </w:tc>
        <w:tc>
          <w:tcPr>
            <w:tcW w:w="1844" w:type="dxa"/>
          </w:tcPr>
          <w:p>
            <w:pPr>
              <w:pStyle w:val="Compact"/>
              <w:spacing w:before="0" w:after="0" w:lineRule="exact" w:line="220"/>
              <w:jc w:val="left"/>
            </w:pPr>
            <w:r>
              <w:rPr>
                <w:sz w:val="18"/>
              </w:rPr>
              <w:t xml:space="preserve">0.071</w:t>
            </w:r>
          </w:p>
        </w:tc>
        <w:tc>
          <w:tcPr>
            <w:tcW w:w="1024" w:type="dxa"/>
          </w:tcPr>
          <w:p>
            <w:pPr>
              <w:pStyle w:val="Compact"/>
              <w:spacing w:before="0" w:after="0" w:lineRule="exact" w:line="220"/>
              <w:jc w:val="left"/>
            </w:pPr>
            <w:r>
              <w:rPr>
                <w:sz w:val="18"/>
              </w:rPr>
              <w:t xml:space="preserve">0.049</w:t>
            </w:r>
          </w:p>
        </w:tc>
        <w:tc>
          <w:tcPr>
            <w:tcW w:w="1320" w:type="dxa"/>
          </w:tcPr>
          <w:p>
            <w:pPr>
              <w:pStyle w:val="Compact"/>
              <w:spacing w:before="0" w:after="0" w:lineRule="exact" w:line="220"/>
              <w:jc w:val="left"/>
            </w:pPr>
            <w:r>
              <w:rPr>
                <w:sz w:val="18"/>
              </w:rPr>
              <w:t xml:space="preserve">0.19</w:t>
            </w:r>
          </w:p>
        </w:tc>
        <w:tc>
          <w:tcPr>
            <w:tcW w:w="845" w:type="dxa"/>
          </w:tcPr>
          <w:p>
            <w:pPr>
              <w:pStyle w:val="Compact"/>
              <w:spacing w:before="0" w:after="0" w:lineRule="exact" w:line="220"/>
              <w:jc w:val="left"/>
            </w:pPr>
            <w:r>
              <w:rPr>
                <w:sz w:val="18"/>
              </w:rPr>
              <w:t xml:space="preserve">0.33</w:t>
            </w:r>
          </w:p>
        </w:tc>
      </w:tr>
    </w:tbl>
    <w:p>
      <w:pPr>
        <w:pStyle w:val="BodyText"/>
        <w:spacing w:before="160"/>
        <w:jc w:val="left"/>
      </w:pPr>
      <w:r>
        <w:t xml:space="preserve">The four rows marked 22 Oct 2026 were added after all other results were known, so they are exploratory. They use exact tests, which list every possible split of the 32 platforms, and they agree with the approximations in Section 5.2.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t>
      </w:r>
      <w:r>
        <w:rPr>
          <w:rStyle w:val="VerbatimChar"/>
        </w:rPr>
        <w:t xml:space="preserve">tables/h1_exact_inference.json</w:t>
      </w:r>
      <w:r>
        <w:t xml:space="preserve">, from</w:t>
      </w:r>
      <w:r>
        <w:t xml:space="preserve"> </w:t>
      </w:r>
      <w:r>
        <w:rPr>
          <w:rStyle w:val="VerbatimChar"/>
        </w:rPr>
        <w:t xml:space="preserve">h1_exact_inference.py</w:t>
      </w:r>
      <w:r>
        <w:t xml:space="preserve">).</w:t>
      </w:r>
    </w:p>
    <w:p>
      <w:pPr>
        <w:pStyle w:val="BodyText"/>
        <w:jc w:val="lef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jc w:val="lef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9"/>
    <w:bookmarkStart w:id="100" w:name="X52d5ae19455bf2fec6946631ede33e95919406f"/>
    <w:p>
      <w:pPr>
        <w:pStyle w:val="Heading3"/>
      </w:pPr>
      <w:r>
        <w:t xml:space="preserve">C.2 Where the 2023 break sits (exploratory)</w:t>
      </w:r>
    </w:p>
    <w:p>
      <w:pPr>
        <w:pStyle w:val="FirstParagraph"/>
        <w:jc w:val="left"/>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jc w:val="lef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100"/>
    <w:bookmarkStart w:id="101" w:name="Xdccb276a307a64fb68cdad97e588739fa6cabc6"/>
    <w:p>
      <w:pPr>
        <w:pStyle w:val="Heading3"/>
      </w:pPr>
      <w:r>
        <w:t xml:space="preserve">C.3 Checks on the growth test and on the regressions (exploratory, 25 Oct 2026)</w:t>
      </w:r>
    </w:p>
    <w:p>
      <w:pPr>
        <w:pStyle w:val="FirstParagraph"/>
        <w:jc w:val="left"/>
      </w:pPr>
      <w:r>
        <w:t xml:space="preserve">The first table repeats the test of the size of take-rate moves with other measures of the yearly change. The second gives the correlation of revenue growth and transaction value growth with and without capping the growth rates, and the rank correlation. The third lists the checks on the coefficient on IndonesiaRegion in Table 4. Sources:</w:t>
      </w:r>
      <w:r>
        <w:t xml:space="preserve"> </w:t>
      </w:r>
      <w:r>
        <w:rPr>
          <w:rStyle w:val="VerbatimChar"/>
        </w:rPr>
        <w:t xml:space="preserve">h1_simple_change.py</w:t>
      </w:r>
      <w:r>
        <w:t xml:space="preserve"> </w:t>
      </w:r>
      <w:r>
        <w:t xml:space="preserve">(</w:t>
      </w:r>
      <w:r>
        <w:rPr>
          <w:rStyle w:val="VerbatimChar"/>
        </w:rPr>
        <w:t xml:space="preserve">tables/h1_simple_change.json</w:t>
      </w:r>
      <w:r>
        <w:t xml:space="preserve">),</w:t>
      </w:r>
      <w:r>
        <w:t xml:space="preserve"> </w:t>
      </w:r>
      <w:r>
        <w:rPr>
          <w:rStyle w:val="VerbatimChar"/>
        </w:rPr>
        <w:t xml:space="preserve">kong_regressions.py</w:t>
      </w:r>
      <w:r>
        <w:t xml:space="preserve"> </w:t>
      </w:r>
      <w:r>
        <w:t xml:space="preserve">(</w:t>
      </w:r>
      <w:r>
        <w:rPr>
          <w:rStyle w:val="VerbatimChar"/>
        </w:rPr>
        <w:t xml:space="preserve">tables/kong_results.json</w:t>
      </w:r>
      <w:r>
        <w:t xml:space="preserve">),</w:t>
      </w:r>
      <w:r>
        <w:t xml:space="preserve"> </w:t>
      </w:r>
      <w:r>
        <w:rPr>
          <w:rStyle w:val="VerbatimChar"/>
        </w:rPr>
        <w:t xml:space="preserve">build_regression_panel.py</w:t>
      </w:r>
      <w:r>
        <w:t xml:space="preserve"> </w:t>
      </w:r>
      <w:r>
        <w:t xml:space="preserve">(</w:t>
      </w:r>
      <w:r>
        <w:rPr>
          <w:rStyle w:val="VerbatimChar"/>
        </w:rPr>
        <w:t xml:space="preserve">tables/regression_panel.csv</w:t>
      </w:r>
      <w:r>
        <w:t xml:space="preserv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3244"/>
        <w:gridCol w:w="2111"/>
        <w:gridCol w:w="1173"/>
        <w:gridCol w:w="655"/>
        <w:gridCol w:w="1320"/>
      </w:tblGrid>
      <w:tr>
        <w:trPr>
          <w:tblHeader w:val="true"/>
          <w:cantSplit/>
          <w:tblHeader/>
        </w:trPr>
        <w:tc>
          <w:tcPr>
            <w:tcW w:w="3244" w:type="dxa"/>
            <w:tcBorders>
              <w:bottom w:val="single" w:sz="5" w:space="0" w:color="000000"/>
            </w:tcBorders>
          </w:tcPr>
          <w:p>
            <w:pPr>
              <w:pStyle w:val="Compact"/>
              <w:keepNext/>
              <w:spacing w:before="0" w:after="0" w:lineRule="exact" w:line="220"/>
              <w:jc w:val="left"/>
            </w:pPr>
            <w:r>
              <w:rPr>
                <w:b/>
                <w:sz w:val="18"/>
              </w:rPr>
              <w:t xml:space="preserve">Measure of the yearly change in the take rate</w:t>
            </w:r>
          </w:p>
        </w:tc>
        <w:tc>
          <w:tcPr>
            <w:tcW w:w="2111" w:type="dxa"/>
            <w:tcBorders>
              <w:bottom w:val="single" w:sz="5" w:space="0" w:color="000000"/>
            </w:tcBorders>
          </w:tcPr>
          <w:p>
            <w:pPr>
              <w:pStyle w:val="Compact"/>
              <w:keepNext/>
              <w:spacing w:before="0" w:after="0" w:lineRule="exact" w:line="220"/>
              <w:jc w:val="left"/>
            </w:pPr>
            <w:r>
              <w:rPr>
                <w:b/>
                <w:sz w:val="18"/>
              </w:rPr>
              <w:t xml:space="preserve">Indonesian and regional (median)</w:t>
            </w:r>
          </w:p>
        </w:tc>
        <w:tc>
          <w:tcPr>
            <w:tcW w:w="1173" w:type="dxa"/>
            <w:tcBorders>
              <w:bottom w:val="single" w:sz="5" w:space="0" w:color="000000"/>
            </w:tcBorders>
          </w:tcPr>
          <w:p>
            <w:pPr>
              <w:pStyle w:val="Compact"/>
              <w:keepNext/>
              <w:spacing w:before="0" w:after="0" w:lineRule="exact" w:line="220"/>
              <w:jc w:val="left"/>
            </w:pPr>
            <w:r>
              <w:rPr>
                <w:b/>
                <w:sz w:val="18"/>
              </w:rPr>
              <w:t xml:space="preserve">Foreign (median)</w:t>
            </w:r>
          </w:p>
        </w:tc>
        <w:tc>
          <w:tcPr>
            <w:tcW w:w="655" w:type="dxa"/>
            <w:tcBorders>
              <w:bottom w:val="single" w:sz="5" w:space="0" w:color="000000"/>
            </w:tcBorders>
          </w:tcPr>
          <w:p>
            <w:pPr>
              <w:pStyle w:val="Compact"/>
              <w:keepNext/>
              <w:spacing w:before="0" w:after="0" w:lineRule="exact" w:line="220"/>
              <w:jc w:val="left"/>
            </w:pPr>
            <w:r>
              <w:rPr>
                <w:b/>
                <w:sz w:val="18"/>
              </w:rPr>
              <w:t xml:space="preserve">Ratio</w:t>
            </w:r>
          </w:p>
        </w:tc>
        <w:tc>
          <w:tcPr>
            <w:tcW w:w="1320" w:type="dxa"/>
            <w:tcBorders>
              <w:bottom w:val="single" w:sz="5" w:space="0" w:color="000000"/>
            </w:tcBorders>
          </w:tcPr>
          <w:p>
            <w:pPr>
              <w:pStyle w:val="Compact"/>
              <w:keepNext/>
              <w:spacing w:before="0" w:after="0" w:lineRule="exact" w:line="220"/>
              <w:jc w:val="left"/>
            </w:pPr>
            <w:r>
              <w:rPr>
                <w:b/>
                <w:sz w:val="18"/>
              </w:rPr>
              <w:t xml:space="preserve">Mann–Whitney p</w:t>
            </w:r>
          </w:p>
        </w:tc>
      </w:tr>
      <w:tr>
        <w:trPr>
          <w:cantSplit/>
        </w:trPr>
        <w:tc>
          <w:tcPr>
            <w:tcW w:w="3244" w:type="dxa"/>
          </w:tcPr>
          <w:p>
            <w:pPr>
              <w:pStyle w:val="Compact"/>
              <w:keepNext/>
              <w:spacing w:before="0" w:after="0" w:lineRule="exact" w:line="220"/>
              <w:jc w:val="left"/>
            </w:pPr>
            <w:r>
              <w:rPr>
                <w:sz w:val="18"/>
              </w:rPr>
              <w:t xml:space="preserve">Absolute change in the logarithm (the first version)</w:t>
            </w:r>
          </w:p>
        </w:tc>
        <w:tc>
          <w:tcPr>
            <w:tcW w:w="2111" w:type="dxa"/>
          </w:tcPr>
          <w:p>
            <w:pPr>
              <w:pStyle w:val="Compact"/>
              <w:keepNext/>
              <w:spacing w:before="0" w:after="0" w:lineRule="exact" w:line="220"/>
              <w:jc w:val="left"/>
            </w:pPr>
            <w:r>
              <w:rPr>
                <w:sz w:val="18"/>
              </w:rPr>
              <w:t xml:space="preserve">0.201</w:t>
            </w:r>
          </w:p>
        </w:tc>
        <w:tc>
          <w:tcPr>
            <w:tcW w:w="1173" w:type="dxa"/>
          </w:tcPr>
          <w:p>
            <w:pPr>
              <w:pStyle w:val="Compact"/>
              <w:keepNext/>
              <w:spacing w:before="0" w:after="0" w:lineRule="exact" w:line="220"/>
              <w:jc w:val="left"/>
            </w:pPr>
            <w:r>
              <w:rPr>
                <w:sz w:val="18"/>
              </w:rPr>
              <w:t xml:space="preserve">0.062</w:t>
            </w:r>
          </w:p>
        </w:tc>
        <w:tc>
          <w:tcPr>
            <w:tcW w:w="655" w:type="dxa"/>
          </w:tcPr>
          <w:p>
            <w:pPr>
              <w:pStyle w:val="Compact"/>
              <w:keepNext/>
              <w:spacing w:before="0" w:after="0" w:lineRule="exact" w:line="220"/>
              <w:jc w:val="left"/>
            </w:pPr>
            <w:r>
              <w:rPr>
                <w:sz w:val="18"/>
              </w:rPr>
              <w:t xml:space="preserve">3.3</w:t>
            </w:r>
          </w:p>
        </w:tc>
        <w:tc>
          <w:tcPr>
            <w:tcW w:w="1320" w:type="dxa"/>
          </w:tcPr>
          <w:p>
            <w:pPr>
              <w:pStyle w:val="Compact"/>
              <w:keepNext/>
              <w:spacing w:before="0" w:after="0" w:lineRule="exact" w:line="220"/>
              <w:jc w:val="left"/>
            </w:pPr>
            <w:r>
              <w:rPr>
                <w:sz w:val="18"/>
              </w:rPr>
              <w:t xml:space="preserve">0.0038</w:t>
            </w:r>
          </w:p>
        </w:tc>
      </w:tr>
      <w:tr>
        <w:trPr>
          <w:cantSplit/>
        </w:trPr>
        <w:tc>
          <w:tcPr>
            <w:tcW w:w="3244" w:type="dxa"/>
          </w:tcPr>
          <w:p>
            <w:pPr>
              <w:pStyle w:val="Compact"/>
              <w:keepNext/>
              <w:spacing w:before="0" w:after="0" w:lineRule="exact" w:line="220"/>
              <w:jc w:val="left"/>
            </w:pPr>
            <w:r>
              <w:rPr>
                <w:sz w:val="18"/>
              </w:rPr>
              <w:t xml:space="preserve">Absolute simple percentage change (Section 5.2)</w:t>
            </w:r>
          </w:p>
        </w:tc>
        <w:tc>
          <w:tcPr>
            <w:tcW w:w="2111" w:type="dxa"/>
          </w:tcPr>
          <w:p>
            <w:pPr>
              <w:pStyle w:val="Compact"/>
              <w:keepNext/>
              <w:spacing w:before="0" w:after="0" w:lineRule="exact" w:line="220"/>
              <w:jc w:val="left"/>
            </w:pPr>
            <w:r>
              <w:rPr>
                <w:sz w:val="18"/>
              </w:rPr>
              <w:t xml:space="preserve">0.224</w:t>
            </w:r>
          </w:p>
        </w:tc>
        <w:tc>
          <w:tcPr>
            <w:tcW w:w="1173" w:type="dxa"/>
          </w:tcPr>
          <w:p>
            <w:pPr>
              <w:pStyle w:val="Compact"/>
              <w:keepNext/>
              <w:spacing w:before="0" w:after="0" w:lineRule="exact" w:line="220"/>
              <w:jc w:val="left"/>
            </w:pPr>
            <w:r>
              <w:rPr>
                <w:sz w:val="18"/>
              </w:rPr>
              <w:t xml:space="preserve">0.062</w:t>
            </w:r>
          </w:p>
        </w:tc>
        <w:tc>
          <w:tcPr>
            <w:tcW w:w="655" w:type="dxa"/>
          </w:tcPr>
          <w:p>
            <w:pPr>
              <w:pStyle w:val="Compact"/>
              <w:keepNext/>
              <w:spacing w:before="0" w:after="0" w:lineRule="exact" w:line="220"/>
              <w:jc w:val="left"/>
            </w:pPr>
            <w:r>
              <w:rPr>
                <w:sz w:val="18"/>
              </w:rPr>
              <w:t xml:space="preserve">3.6</w:t>
            </w:r>
          </w:p>
        </w:tc>
        <w:tc>
          <w:tcPr>
            <w:tcW w:w="1320" w:type="dxa"/>
          </w:tcPr>
          <w:p>
            <w:pPr>
              <w:pStyle w:val="Compact"/>
              <w:keepNext/>
              <w:spacing w:before="0" w:after="0" w:lineRule="exact" w:line="220"/>
              <w:jc w:val="left"/>
            </w:pPr>
            <w:r>
              <w:rPr>
                <w:sz w:val="18"/>
              </w:rPr>
              <w:t xml:space="preserve">0.0031</w:t>
            </w:r>
          </w:p>
        </w:tc>
      </w:tr>
      <w:tr>
        <w:trPr>
          <w:cantSplit/>
        </w:trPr>
        <w:tc>
          <w:tcPr>
            <w:tcW w:w="3244" w:type="dxa"/>
          </w:tcPr>
          <w:p>
            <w:pPr>
              <w:pStyle w:val="Compact"/>
              <w:spacing w:before="0" w:after="0" w:lineRule="exact" w:line="220"/>
              <w:jc w:val="left"/>
            </w:pPr>
            <w:r>
              <w:rPr>
                <w:sz w:val="18"/>
              </w:rPr>
              <w:t xml:space="preserve">Absolute change over the mean of the two take rates</w:t>
            </w:r>
          </w:p>
        </w:tc>
        <w:tc>
          <w:tcPr>
            <w:tcW w:w="2111" w:type="dxa"/>
          </w:tcPr>
          <w:p>
            <w:pPr>
              <w:pStyle w:val="Compact"/>
              <w:spacing w:before="0" w:after="0" w:lineRule="exact" w:line="220"/>
              <w:jc w:val="left"/>
            </w:pPr>
            <w:r>
              <w:rPr>
                <w:sz w:val="18"/>
              </w:rPr>
              <w:t xml:space="preserve">0.199</w:t>
            </w:r>
          </w:p>
        </w:tc>
        <w:tc>
          <w:tcPr>
            <w:tcW w:w="1173" w:type="dxa"/>
          </w:tcPr>
          <w:p>
            <w:pPr>
              <w:pStyle w:val="Compact"/>
              <w:spacing w:before="0" w:after="0" w:lineRule="exact" w:line="220"/>
              <w:jc w:val="left"/>
            </w:pPr>
            <w:r>
              <w:rPr>
                <w:sz w:val="18"/>
              </w:rPr>
              <w:t xml:space="preserve">0.062</w:t>
            </w:r>
          </w:p>
        </w:tc>
        <w:tc>
          <w:tcPr>
            <w:tcW w:w="655" w:type="dxa"/>
          </w:tcPr>
          <w:p>
            <w:pPr>
              <w:pStyle w:val="Compact"/>
              <w:spacing w:before="0" w:after="0" w:lineRule="exact" w:line="220"/>
              <w:jc w:val="left"/>
            </w:pPr>
            <w:r>
              <w:rPr>
                <w:sz w:val="18"/>
              </w:rPr>
              <w:t xml:space="preserve">3.2</w:t>
            </w:r>
          </w:p>
        </w:tc>
        <w:tc>
          <w:tcPr>
            <w:tcW w:w="1320" w:type="dxa"/>
          </w:tcPr>
          <w:p>
            <w:pPr>
              <w:pStyle w:val="Compact"/>
              <w:spacing w:before="0" w:after="0" w:lineRule="exact" w:line="220"/>
              <w:jc w:val="left"/>
            </w:pPr>
            <w:r>
              <w:rPr>
                <w:sz w:val="18"/>
              </w:rPr>
              <w:t xml:space="preserve">0.0038</w:t>
            </w:r>
          </w:p>
        </w:tc>
      </w:tr>
    </w:tbl>
    <w:p>
      <w:pPr>
        <w:spacing w:before="160"/>
      </w:pP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2126"/>
        <w:gridCol w:w="1811"/>
        <w:gridCol w:w="2126"/>
        <w:gridCol w:w="1575"/>
        <w:gridCol w:w="866"/>
      </w:tblGrid>
      <w:tr>
        <w:trPr>
          <w:tblHeader w:val="true"/>
          <w:cantSplit/>
          <w:tblHeader/>
        </w:trPr>
        <w:tc>
          <w:tcPr>
            <w:tcW w:w="2126" w:type="dxa"/>
            <w:tcBorders>
              <w:bottom w:val="single" w:sz="5" w:space="0" w:color="000000"/>
            </w:tcBorders>
          </w:tcPr>
          <w:p>
            <w:pPr>
              <w:pStyle w:val="Compact"/>
              <w:keepNext/>
              <w:spacing w:before="0" w:after="0" w:lineRule="exact" w:line="220"/>
              <w:jc w:val="left"/>
            </w:pPr>
            <w:r>
              <w:rPr>
                <w:b/>
                <w:sz w:val="18"/>
              </w:rPr>
              <w:t xml:space="preserve">Sample</w:t>
            </w:r>
          </w:p>
        </w:tc>
        <w:tc>
          <w:tcPr>
            <w:tcW w:w="1811" w:type="dxa"/>
            <w:tcBorders>
              <w:bottom w:val="single" w:sz="5" w:space="0" w:color="000000"/>
            </w:tcBorders>
          </w:tcPr>
          <w:p>
            <w:pPr>
              <w:pStyle w:val="Compact"/>
              <w:keepNext/>
              <w:spacing w:before="0" w:after="0" w:lineRule="exact" w:line="220"/>
              <w:jc w:val="left"/>
            </w:pPr>
            <w:r>
              <w:rPr>
                <w:b/>
                <w:sz w:val="18"/>
              </w:rPr>
              <w:t xml:space="preserve">Correlation, capped</w:t>
            </w:r>
          </w:p>
        </w:tc>
        <w:tc>
          <w:tcPr>
            <w:tcW w:w="2126" w:type="dxa"/>
            <w:tcBorders>
              <w:bottom w:val="single" w:sz="5" w:space="0" w:color="000000"/>
            </w:tcBorders>
          </w:tcPr>
          <w:p>
            <w:pPr>
              <w:pStyle w:val="Compact"/>
              <w:keepNext/>
              <w:spacing w:before="0" w:after="0" w:lineRule="exact" w:line="220"/>
              <w:jc w:val="left"/>
            </w:pPr>
            <w:r>
              <w:rPr>
                <w:b/>
                <w:sz w:val="18"/>
              </w:rPr>
              <w:t xml:space="preserve">Correlation, not capped</w:t>
            </w:r>
          </w:p>
        </w:tc>
        <w:tc>
          <w:tcPr>
            <w:tcW w:w="1575" w:type="dxa"/>
            <w:tcBorders>
              <w:bottom w:val="single" w:sz="5" w:space="0" w:color="000000"/>
            </w:tcBorders>
          </w:tcPr>
          <w:p>
            <w:pPr>
              <w:pStyle w:val="Compact"/>
              <w:keepNext/>
              <w:spacing w:before="0" w:after="0" w:lineRule="exact" w:line="220"/>
              <w:jc w:val="left"/>
            </w:pPr>
            <w:r>
              <w:rPr>
                <w:b/>
                <w:sz w:val="18"/>
              </w:rPr>
              <w:t xml:space="preserve">Rank correlation</w:t>
            </w:r>
          </w:p>
        </w:tc>
        <w:tc>
          <w:tcPr>
            <w:tcW w:w="866" w:type="dxa"/>
            <w:tcBorders>
              <w:bottom w:val="single" w:sz="5" w:space="0" w:color="000000"/>
            </w:tcBorders>
          </w:tcPr>
          <w:p>
            <w:pPr>
              <w:pStyle w:val="Compact"/>
              <w:keepNext/>
              <w:spacing w:before="0" w:after="0" w:lineRule="exact" w:line="220"/>
              <w:jc w:val="left"/>
            </w:pPr>
            <w:r>
              <w:rPr>
                <w:b/>
                <w:sz w:val="18"/>
              </w:rPr>
              <w:t xml:space="preserve">Pairs</w:t>
            </w:r>
          </w:p>
        </w:tc>
      </w:tr>
      <w:tr>
        <w:trPr>
          <w:cantSplit/>
        </w:trPr>
        <w:tc>
          <w:tcPr>
            <w:tcW w:w="2126" w:type="dxa"/>
          </w:tcPr>
          <w:p>
            <w:pPr>
              <w:pStyle w:val="Compact"/>
              <w:keepNext/>
              <w:spacing w:before="0" w:after="0" w:lineRule="exact" w:line="220"/>
              <w:jc w:val="left"/>
            </w:pPr>
            <w:r>
              <w:rPr>
                <w:sz w:val="18"/>
              </w:rPr>
              <w:t xml:space="preserve">Foreign</w:t>
            </w:r>
          </w:p>
        </w:tc>
        <w:tc>
          <w:tcPr>
            <w:tcW w:w="1811" w:type="dxa"/>
          </w:tcPr>
          <w:p>
            <w:pPr>
              <w:pStyle w:val="Compact"/>
              <w:keepNext/>
              <w:spacing w:before="0" w:after="0" w:lineRule="exact" w:line="220"/>
              <w:jc w:val="left"/>
            </w:pPr>
            <w:r>
              <w:rPr>
                <w:sz w:val="18"/>
              </w:rPr>
              <w:t xml:space="preserve">0.90</w:t>
            </w:r>
          </w:p>
        </w:tc>
        <w:tc>
          <w:tcPr>
            <w:tcW w:w="2126" w:type="dxa"/>
          </w:tcPr>
          <w:p>
            <w:pPr>
              <w:pStyle w:val="Compact"/>
              <w:keepNext/>
              <w:spacing w:before="0" w:after="0" w:lineRule="exact" w:line="220"/>
              <w:jc w:val="left"/>
            </w:pPr>
            <w:r>
              <w:rPr>
                <w:sz w:val="18"/>
              </w:rPr>
              <w:t xml:space="preserve">0.54</w:t>
            </w:r>
          </w:p>
        </w:tc>
        <w:tc>
          <w:tcPr>
            <w:tcW w:w="1575" w:type="dxa"/>
          </w:tcPr>
          <w:p>
            <w:pPr>
              <w:pStyle w:val="Compact"/>
              <w:keepNext/>
              <w:spacing w:before="0" w:after="0" w:lineRule="exact" w:line="220"/>
              <w:jc w:val="left"/>
            </w:pPr>
            <w:r>
              <w:rPr>
                <w:sz w:val="18"/>
              </w:rPr>
              <w:t xml:space="preserve">0.89</w:t>
            </w:r>
          </w:p>
        </w:tc>
        <w:tc>
          <w:tcPr>
            <w:tcW w:w="866" w:type="dxa"/>
          </w:tcPr>
          <w:p>
            <w:pPr>
              <w:pStyle w:val="Compact"/>
              <w:keepNext/>
              <w:spacing w:before="0" w:after="0" w:lineRule="exact" w:line="220"/>
              <w:jc w:val="left"/>
            </w:pPr>
            <w:r>
              <w:rPr>
                <w:sz w:val="18"/>
              </w:rPr>
              <w:t xml:space="preserve">166</w:t>
            </w:r>
          </w:p>
        </w:tc>
      </w:tr>
      <w:tr>
        <w:trPr>
          <w:cantSplit/>
        </w:trPr>
        <w:tc>
          <w:tcPr>
            <w:tcW w:w="2126" w:type="dxa"/>
          </w:tcPr>
          <w:p>
            <w:pPr>
              <w:pStyle w:val="Compact"/>
              <w:keepNext/>
              <w:spacing w:before="0" w:after="0" w:lineRule="exact" w:line="220"/>
              <w:jc w:val="left"/>
            </w:pPr>
            <w:r>
              <w:rPr>
                <w:sz w:val="18"/>
              </w:rPr>
              <w:t xml:space="preserve">Indonesian and regional</w:t>
            </w:r>
          </w:p>
        </w:tc>
        <w:tc>
          <w:tcPr>
            <w:tcW w:w="1811" w:type="dxa"/>
          </w:tcPr>
          <w:p>
            <w:pPr>
              <w:pStyle w:val="Compact"/>
              <w:keepNext/>
              <w:spacing w:before="0" w:after="0" w:lineRule="exact" w:line="220"/>
              <w:jc w:val="left"/>
            </w:pPr>
            <w:r>
              <w:rPr>
                <w:sz w:val="18"/>
              </w:rPr>
              <w:t xml:space="preserve">0.31</w:t>
            </w:r>
          </w:p>
        </w:tc>
        <w:tc>
          <w:tcPr>
            <w:tcW w:w="2126" w:type="dxa"/>
          </w:tcPr>
          <w:p>
            <w:pPr>
              <w:pStyle w:val="Compact"/>
              <w:keepNext/>
              <w:spacing w:before="0" w:after="0" w:lineRule="exact" w:line="220"/>
              <w:jc w:val="left"/>
            </w:pPr>
            <w:r>
              <w:rPr>
                <w:sz w:val="18"/>
              </w:rPr>
              <w:t xml:space="preserve">0.18</w:t>
            </w:r>
          </w:p>
        </w:tc>
        <w:tc>
          <w:tcPr>
            <w:tcW w:w="1575" w:type="dxa"/>
          </w:tcPr>
          <w:p>
            <w:pPr>
              <w:pStyle w:val="Compact"/>
              <w:keepNext/>
              <w:spacing w:before="0" w:after="0" w:lineRule="exact" w:line="220"/>
              <w:jc w:val="left"/>
            </w:pPr>
            <w:r>
              <w:rPr>
                <w:sz w:val="18"/>
              </w:rPr>
              <w:t xml:space="preserve">0.64</w:t>
            </w:r>
          </w:p>
        </w:tc>
        <w:tc>
          <w:tcPr>
            <w:tcW w:w="866" w:type="dxa"/>
          </w:tcPr>
          <w:p>
            <w:pPr>
              <w:pStyle w:val="Compact"/>
              <w:keepNext/>
              <w:spacing w:before="0" w:after="0" w:lineRule="exact" w:line="220"/>
              <w:jc w:val="left"/>
            </w:pPr>
            <w:r>
              <w:rPr>
                <w:sz w:val="18"/>
              </w:rPr>
              <w:t xml:space="preserve">15</w:t>
            </w:r>
          </w:p>
        </w:tc>
      </w:tr>
      <w:tr>
        <w:trPr>
          <w:cantSplit/>
        </w:trPr>
        <w:tc>
          <w:tcPr>
            <w:tcW w:w="2126" w:type="dxa"/>
          </w:tcPr>
          <w:p>
            <w:pPr>
              <w:pStyle w:val="Compact"/>
              <w:spacing w:before="0" w:after="0" w:lineRule="exact" w:line="220"/>
              <w:jc w:val="left"/>
            </w:pPr>
            <w:r>
              <w:rPr>
                <w:sz w:val="18"/>
              </w:rPr>
              <w:t xml:space="preserve">All platforms</w:t>
            </w:r>
          </w:p>
        </w:tc>
        <w:tc>
          <w:tcPr>
            <w:tcW w:w="1811" w:type="dxa"/>
          </w:tcPr>
          <w:p>
            <w:pPr>
              <w:pStyle w:val="Compact"/>
              <w:spacing w:before="0" w:after="0" w:lineRule="exact" w:line="220"/>
              <w:jc w:val="left"/>
            </w:pPr>
            <w:r>
              <w:rPr>
                <w:sz w:val="18"/>
              </w:rPr>
              <w:t xml:space="preserve">0.84</w:t>
            </w:r>
          </w:p>
        </w:tc>
        <w:tc>
          <w:tcPr>
            <w:tcW w:w="2126" w:type="dxa"/>
          </w:tcPr>
          <w:p>
            <w:pPr>
              <w:pStyle w:val="Compact"/>
              <w:spacing w:before="0" w:after="0" w:lineRule="exact" w:line="220"/>
              <w:jc w:val="left"/>
            </w:pPr>
            <w:r>
              <w:rPr>
                <w:sz w:val="18"/>
              </w:rPr>
              <w:t xml:space="preserve">0.53</w:t>
            </w:r>
          </w:p>
        </w:tc>
        <w:tc>
          <w:tcPr>
            <w:tcW w:w="1575" w:type="dxa"/>
          </w:tcPr>
          <w:p>
            <w:pPr>
              <w:pStyle w:val="Compact"/>
              <w:spacing w:before="0" w:after="0" w:lineRule="exact" w:line="220"/>
              <w:jc w:val="left"/>
            </w:pPr>
            <w:r>
              <w:rPr>
                <w:sz w:val="18"/>
              </w:rPr>
              <w:t xml:space="preserve">0.87</w:t>
            </w:r>
          </w:p>
        </w:tc>
        <w:tc>
          <w:tcPr>
            <w:tcW w:w="866" w:type="dxa"/>
          </w:tcPr>
          <w:p>
            <w:pPr>
              <w:pStyle w:val="Compact"/>
              <w:spacing w:before="0" w:after="0" w:lineRule="exact" w:line="220"/>
              <w:jc w:val="left"/>
            </w:pPr>
            <w:r>
              <w:rPr>
                <w:sz w:val="18"/>
              </w:rPr>
              <w:t xml:space="preserve">181</w:t>
            </w:r>
          </w:p>
        </w:tc>
      </w:tr>
    </w:tbl>
    <w:p>
      <w:pPr>
        <w:spacing w:before="160"/>
      </w:pP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974"/>
        <w:gridCol w:w="1342"/>
        <w:gridCol w:w="1605"/>
        <w:gridCol w:w="750"/>
        <w:gridCol w:w="1510"/>
        <w:gridCol w:w="1320"/>
      </w:tblGrid>
      <w:tr>
        <w:trPr>
          <w:tblHeader w:val="true"/>
          <w:cantSplit/>
          <w:tblHeader/>
        </w:trPr>
        <w:tc>
          <w:tcPr>
            <w:tcW w:w="1974" w:type="dxa"/>
            <w:tcBorders>
              <w:bottom w:val="single" w:sz="5" w:space="0" w:color="000000"/>
            </w:tcBorders>
          </w:tcPr>
          <w:p>
            <w:pPr>
              <w:pStyle w:val="Compact"/>
              <w:keepNext/>
              <w:spacing w:before="0" w:after="0" w:lineRule="exact" w:line="220"/>
              <w:jc w:val="left"/>
            </w:pPr>
            <w:r>
              <w:rPr>
                <w:b/>
                <w:sz w:val="18"/>
              </w:rPr>
              <w:t xml:space="preserve">Check</w:t>
            </w:r>
          </w:p>
        </w:tc>
        <w:tc>
          <w:tcPr>
            <w:tcW w:w="1342" w:type="dxa"/>
            <w:tcBorders>
              <w:bottom w:val="single" w:sz="5" w:space="0" w:color="000000"/>
            </w:tcBorders>
          </w:tcPr>
          <w:p>
            <w:pPr>
              <w:pStyle w:val="Compact"/>
              <w:keepNext/>
              <w:spacing w:before="0" w:after="0" w:lineRule="exact" w:line="220"/>
              <w:jc w:val="left"/>
            </w:pPr>
            <w:r>
              <w:rPr>
                <w:b/>
                <w:sz w:val="18"/>
              </w:rPr>
              <w:t xml:space="preserve">Dependent variable</w:t>
            </w:r>
          </w:p>
        </w:tc>
        <w:tc>
          <w:tcPr>
            <w:tcW w:w="1605" w:type="dxa"/>
            <w:tcBorders>
              <w:bottom w:val="single" w:sz="5" w:space="0" w:color="000000"/>
            </w:tcBorders>
          </w:tcPr>
          <w:p>
            <w:pPr>
              <w:pStyle w:val="Compact"/>
              <w:keepNext/>
              <w:spacing w:before="0" w:after="0" w:lineRule="exact" w:line="220"/>
              <w:jc w:val="left"/>
            </w:pPr>
            <w:r>
              <w:rPr>
                <w:b/>
                <w:sz w:val="18"/>
              </w:rPr>
              <w:t xml:space="preserve">IndonesiaRegion</w:t>
            </w:r>
          </w:p>
        </w:tc>
        <w:tc>
          <w:tcPr>
            <w:tcW w:w="750" w:type="dxa"/>
            <w:tcBorders>
              <w:bottom w:val="single" w:sz="5" w:space="0" w:color="000000"/>
            </w:tcBorders>
          </w:tcPr>
          <w:p>
            <w:pPr>
              <w:pStyle w:val="Compact"/>
              <w:keepNext/>
              <w:spacing w:before="0" w:after="0" w:lineRule="exact" w:line="220"/>
              <w:jc w:val="left"/>
            </w:pPr>
            <w:r>
              <w:rPr>
                <w:b/>
                <w:sz w:val="18"/>
              </w:rPr>
              <w:t xml:space="preserve">p</w:t>
            </w:r>
          </w:p>
        </w:tc>
        <w:tc>
          <w:tcPr>
            <w:tcW w:w="1510" w:type="dxa"/>
            <w:tcBorders>
              <w:bottom w:val="single" w:sz="5" w:space="0" w:color="000000"/>
            </w:tcBorders>
          </w:tcPr>
          <w:p>
            <w:pPr>
              <w:pStyle w:val="Compact"/>
              <w:keepNext/>
              <w:spacing w:before="0" w:after="0" w:lineRule="exact" w:line="220"/>
              <w:jc w:val="left"/>
            </w:pPr>
            <w:r>
              <w:rPr>
                <w:b/>
                <w:sz w:val="18"/>
              </w:rPr>
              <w:t xml:space="preserve">Wild-bootstrap p</w:t>
            </w:r>
          </w:p>
        </w:tc>
        <w:tc>
          <w:tcPr>
            <w:tcW w:w="1320" w:type="dxa"/>
            <w:tcBorders>
              <w:bottom w:val="single" w:sz="5" w:space="0" w:color="000000"/>
            </w:tcBorders>
          </w:tcPr>
          <w:p>
            <w:pPr>
              <w:pStyle w:val="Compact"/>
              <w:keepNext/>
              <w:spacing w:before="0" w:after="0" w:lineRule="exact" w:line="220"/>
              <w:jc w:val="left"/>
            </w:pPr>
            <w:r>
              <w:rPr>
                <w:b/>
                <w:sz w:val="18"/>
              </w:rPr>
              <w:t xml:space="preserve">Observations</w:t>
            </w:r>
          </w:p>
        </w:tc>
      </w:tr>
      <w:tr>
        <w:trPr>
          <w:cantSplit/>
        </w:trPr>
        <w:tc>
          <w:tcPr>
            <w:tcW w:w="1974" w:type="dxa"/>
          </w:tcPr>
          <w:p>
            <w:pPr>
              <w:pStyle w:val="Compact"/>
              <w:keepNext/>
              <w:spacing w:before="0" w:after="0" w:lineRule="exact" w:line="220"/>
              <w:jc w:val="left"/>
            </w:pPr>
            <w:r>
              <w:rPr>
                <w:sz w:val="18"/>
              </w:rPr>
              <w:t xml:space="preserve">Table 4, column (3)</w:t>
            </w:r>
          </w:p>
        </w:tc>
        <w:tc>
          <w:tcPr>
            <w:tcW w:w="1342" w:type="dxa"/>
          </w:tcPr>
          <w:p>
            <w:pPr>
              <w:pStyle w:val="Compact"/>
              <w:keepNext/>
              <w:spacing w:before="0" w:after="0" w:lineRule="exact" w:line="220"/>
              <w:jc w:val="left"/>
            </w:pPr>
            <w:r>
              <w:rPr>
                <w:sz w:val="18"/>
              </w:rPr>
              <w:t xml:space="preserve">ln(Wedge)</w:t>
            </w:r>
          </w:p>
        </w:tc>
        <w:tc>
          <w:tcPr>
            <w:tcW w:w="1605" w:type="dxa"/>
          </w:tcPr>
          <w:p>
            <w:pPr>
              <w:pStyle w:val="Compact"/>
              <w:keepNext/>
              <w:spacing w:before="0" w:after="0" w:lineRule="exact" w:line="220"/>
              <w:jc w:val="left"/>
            </w:pPr>
            <w:r>
              <w:rPr>
                <w:sz w:val="18"/>
              </w:rPr>
              <w:t xml:space="preserve">0.080</w:t>
            </w:r>
          </w:p>
        </w:tc>
        <w:tc>
          <w:tcPr>
            <w:tcW w:w="750" w:type="dxa"/>
          </w:tcPr>
          <w:p>
            <w:pPr>
              <w:pStyle w:val="Compact"/>
              <w:keepNext/>
              <w:spacing w:before="0" w:after="0" w:lineRule="exact" w:line="220"/>
              <w:jc w:val="left"/>
            </w:pPr>
            <w:r>
              <w:rPr>
                <w:sz w:val="18"/>
              </w:rPr>
              <w:t xml:space="preserve">0.841</w:t>
            </w:r>
          </w:p>
        </w:tc>
        <w:tc>
          <w:tcPr>
            <w:tcW w:w="1510" w:type="dxa"/>
          </w:tcPr>
          <w:p>
            <w:pPr>
              <w:pStyle w:val="Compact"/>
              <w:keepNext/>
              <w:spacing w:before="0" w:after="0" w:lineRule="exact" w:line="220"/>
              <w:jc w:val="left"/>
            </w:pPr>
            <w:r>
              <w:rPr>
                <w:sz w:val="18"/>
              </w:rPr>
              <w:t xml:space="preserve">0.866</w:t>
            </w:r>
          </w:p>
        </w:tc>
        <w:tc>
          <w:tcPr>
            <w:tcW w:w="1320" w:type="dxa"/>
          </w:tcPr>
          <w:p>
            <w:pPr>
              <w:pStyle w:val="Compact"/>
              <w:keepNext/>
              <w:spacing w:before="0" w:after="0" w:lineRule="exact" w:line="220"/>
              <w:jc w:val="left"/>
            </w:pPr>
            <w:r>
              <w:rPr>
                <w:sz w:val="18"/>
              </w:rPr>
              <w:t xml:space="preserve">178</w:t>
            </w:r>
          </w:p>
        </w:tc>
      </w:tr>
      <w:tr>
        <w:trPr>
          <w:cantSplit/>
        </w:trPr>
        <w:tc>
          <w:tcPr>
            <w:tcW w:w="1974" w:type="dxa"/>
          </w:tcPr>
          <w:p>
            <w:pPr>
              <w:pStyle w:val="Compact"/>
              <w:keepNext/>
              <w:spacing w:before="0" w:after="0" w:lineRule="exact" w:line="220"/>
              <w:jc w:val="left"/>
            </w:pPr>
            <w:r>
              <w:rPr>
                <w:sz w:val="18"/>
              </w:rPr>
              <w:t xml:space="preserve">Table 4, column (6)</w:t>
            </w:r>
          </w:p>
        </w:tc>
        <w:tc>
          <w:tcPr>
            <w:tcW w:w="1342" w:type="dxa"/>
          </w:tcPr>
          <w:p>
            <w:pPr>
              <w:pStyle w:val="Compact"/>
              <w:keepNext/>
              <w:spacing w:before="0" w:after="0" w:lineRule="exact" w:line="220"/>
              <w:jc w:val="left"/>
            </w:pPr>
            <w:r>
              <w:rPr>
                <w:sz w:val="18"/>
              </w:rPr>
              <w:t xml:space="preserve">Ecosystem ratio</w:t>
            </w:r>
          </w:p>
        </w:tc>
        <w:tc>
          <w:tcPr>
            <w:tcW w:w="1605" w:type="dxa"/>
          </w:tcPr>
          <w:p>
            <w:pPr>
              <w:pStyle w:val="Compact"/>
              <w:keepNext/>
              <w:spacing w:before="0" w:after="0" w:lineRule="exact" w:line="220"/>
              <w:jc w:val="left"/>
            </w:pPr>
            <w:r>
              <w:rPr>
                <w:sz w:val="18"/>
              </w:rPr>
              <w:t xml:space="preserve">17.092</w:t>
            </w:r>
          </w:p>
        </w:tc>
        <w:tc>
          <w:tcPr>
            <w:tcW w:w="750" w:type="dxa"/>
          </w:tcPr>
          <w:p>
            <w:pPr>
              <w:pStyle w:val="Compact"/>
              <w:keepNext/>
              <w:spacing w:before="0" w:after="0" w:lineRule="exact" w:line="220"/>
              <w:jc w:val="left"/>
            </w:pPr>
            <w:r>
              <w:rPr>
                <w:sz w:val="18"/>
              </w:rPr>
              <w:t xml:space="preserve">&lt;0.001</w:t>
            </w:r>
          </w:p>
        </w:tc>
        <w:tc>
          <w:tcPr>
            <w:tcW w:w="1510" w:type="dxa"/>
          </w:tcPr>
          <w:p>
            <w:pPr>
              <w:pStyle w:val="Compact"/>
              <w:keepNext/>
              <w:spacing w:before="0" w:after="0" w:lineRule="exact" w:line="220"/>
              <w:jc w:val="left"/>
            </w:pPr>
            <w:r>
              <w:rPr>
                <w:sz w:val="18"/>
              </w:rPr>
              <w:t xml:space="preserve">0.005</w:t>
            </w:r>
          </w:p>
        </w:tc>
        <w:tc>
          <w:tcPr>
            <w:tcW w:w="1320" w:type="dxa"/>
          </w:tcPr>
          <w:p>
            <w:pPr>
              <w:pStyle w:val="Compact"/>
              <w:keepNext/>
              <w:spacing w:before="0" w:after="0" w:lineRule="exact" w:line="220"/>
              <w:jc w:val="left"/>
            </w:pPr>
            <w:r>
              <w:rPr>
                <w:sz w:val="18"/>
              </w:rPr>
              <w:t xml:space="preserve">178</w:t>
            </w:r>
          </w:p>
        </w:tc>
      </w:tr>
      <w:tr>
        <w:trPr>
          <w:cantSplit/>
        </w:trPr>
        <w:tc>
          <w:tcPr>
            <w:tcW w:w="1974" w:type="dxa"/>
          </w:tcPr>
          <w:p>
            <w:pPr>
              <w:pStyle w:val="Compact"/>
              <w:spacing w:before="0" w:after="0" w:lineRule="exact" w:line="220"/>
              <w:jc w:val="left"/>
            </w:pPr>
            <w:r>
              <w:rPr>
                <w:sz w:val="18"/>
              </w:rPr>
              <w:t xml:space="preserve">Without Blibli</w:t>
            </w:r>
          </w:p>
        </w:tc>
        <w:tc>
          <w:tcPr>
            <w:tcW w:w="1342" w:type="dxa"/>
          </w:tcPr>
          <w:p>
            <w:pPr>
              <w:pStyle w:val="Compact"/>
              <w:spacing w:before="0" w:after="0" w:lineRule="exact" w:line="220"/>
              <w:jc w:val="left"/>
            </w:pPr>
            <w:r>
              <w:rPr>
                <w:sz w:val="18"/>
              </w:rPr>
              <w:t xml:space="preserve">ln(Wedge); Ecosystem ratio</w:t>
            </w:r>
          </w:p>
        </w:tc>
        <w:tc>
          <w:tcPr>
            <w:tcW w:w="1605" w:type="dxa"/>
          </w:tcPr>
          <w:p>
            <w:pPr>
              <w:pStyle w:val="Compact"/>
              <w:spacing w:before="0" w:after="0" w:lineRule="exact" w:line="220"/>
              <w:jc w:val="left"/>
            </w:pPr>
            <w:r>
              <w:rPr>
                <w:sz w:val="18"/>
              </w:rPr>
              <w:t xml:space="preserve">0.267; 15.330</w:t>
            </w:r>
          </w:p>
        </w:tc>
        <w:tc>
          <w:tcPr>
            <w:tcW w:w="750" w:type="dxa"/>
          </w:tcPr>
          <w:p>
            <w:pPr>
              <w:pStyle w:val="Compact"/>
              <w:spacing w:before="0" w:after="0" w:lineRule="exact" w:line="220"/>
              <w:jc w:val="left"/>
            </w:pP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Bukalapak</w:t>
            </w:r>
          </w:p>
        </w:tc>
        <w:tc>
          <w:tcPr>
            <w:tcW w:w="1342" w:type="dxa"/>
          </w:tcPr>
          <w:p>
            <w:pPr>
              <w:pStyle w:val="Compact"/>
              <w:spacing w:before="0" w:after="0" w:lineRule="exact" w:line="220"/>
              <w:jc w:val="left"/>
            </w:pPr>
            <w:r>
              <w:rPr>
                <w:sz w:val="18"/>
              </w:rPr>
              <w:t xml:space="preserve">ln(Wedge); Ecosystem ratio</w:t>
            </w:r>
          </w:p>
        </w:tc>
        <w:tc>
          <w:tcPr>
            <w:tcW w:w="1605" w:type="dxa"/>
          </w:tcPr>
          <w:p>
            <w:pPr>
              <w:pStyle w:val="Compact"/>
              <w:spacing w:before="0" w:after="0" w:lineRule="exact" w:line="220"/>
              <w:jc w:val="left"/>
            </w:pPr>
            <w:r>
              <w:rPr>
                <w:sz w:val="18"/>
              </w:rPr>
              <w:t xml:space="preserve">-0.256; 16.072</w:t>
            </w:r>
          </w:p>
        </w:tc>
        <w:tc>
          <w:tcPr>
            <w:tcW w:w="750" w:type="dxa"/>
          </w:tcPr>
          <w:p>
            <w:pPr>
              <w:pStyle w:val="Compact"/>
              <w:spacing w:before="0" w:after="0" w:lineRule="exact" w:line="220"/>
              <w:jc w:val="left"/>
            </w:pP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GoTo (on-demand)</w:t>
            </w:r>
          </w:p>
        </w:tc>
        <w:tc>
          <w:tcPr>
            <w:tcW w:w="1342" w:type="dxa"/>
          </w:tcPr>
          <w:p>
            <w:pPr>
              <w:pStyle w:val="Compact"/>
              <w:spacing w:before="0" w:after="0" w:lineRule="exact" w:line="220"/>
              <w:jc w:val="left"/>
            </w:pPr>
            <w:r>
              <w:rPr>
                <w:sz w:val="18"/>
              </w:rPr>
              <w:t xml:space="preserve">ln(Wedge); Ecosystem ratio</w:t>
            </w:r>
          </w:p>
        </w:tc>
        <w:tc>
          <w:tcPr>
            <w:tcW w:w="1605" w:type="dxa"/>
          </w:tcPr>
          <w:p>
            <w:pPr>
              <w:pStyle w:val="Compact"/>
              <w:spacing w:before="0" w:after="0" w:lineRule="exact" w:line="220"/>
              <w:jc w:val="left"/>
            </w:pPr>
            <w:r>
              <w:rPr>
                <w:sz w:val="18"/>
              </w:rPr>
              <w:t xml:space="preserve">0.148; 18.344</w:t>
            </w:r>
          </w:p>
        </w:tc>
        <w:tc>
          <w:tcPr>
            <w:tcW w:w="750" w:type="dxa"/>
          </w:tcPr>
          <w:p>
            <w:pPr>
              <w:pStyle w:val="Compact"/>
              <w:spacing w:before="0" w:after="0" w:lineRule="exact" w:line="220"/>
              <w:jc w:val="left"/>
            </w:pP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Grab (on-demand)</w:t>
            </w:r>
          </w:p>
        </w:tc>
        <w:tc>
          <w:tcPr>
            <w:tcW w:w="1342" w:type="dxa"/>
          </w:tcPr>
          <w:p>
            <w:pPr>
              <w:pStyle w:val="Compact"/>
              <w:spacing w:before="0" w:after="0" w:lineRule="exact" w:line="220"/>
              <w:jc w:val="left"/>
            </w:pPr>
            <w:r>
              <w:rPr>
                <w:sz w:val="18"/>
              </w:rPr>
              <w:t xml:space="preserve">ln(Wedge); Ecosystem ratio</w:t>
            </w:r>
          </w:p>
        </w:tc>
        <w:tc>
          <w:tcPr>
            <w:tcW w:w="1605" w:type="dxa"/>
          </w:tcPr>
          <w:p>
            <w:pPr>
              <w:pStyle w:val="Compact"/>
              <w:spacing w:before="0" w:after="0" w:lineRule="exact" w:line="220"/>
              <w:jc w:val="left"/>
            </w:pPr>
            <w:r>
              <w:rPr>
                <w:sz w:val="18"/>
              </w:rPr>
              <w:t xml:space="preserve">0.023; 17.803</w:t>
            </w:r>
          </w:p>
        </w:tc>
        <w:tc>
          <w:tcPr>
            <w:tcW w:w="750" w:type="dxa"/>
          </w:tcPr>
          <w:p>
            <w:pPr>
              <w:pStyle w:val="Compact"/>
              <w:spacing w:before="0" w:after="0" w:lineRule="exact" w:line="220"/>
              <w:jc w:val="left"/>
            </w:pP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Tokopedia</w:t>
            </w:r>
          </w:p>
        </w:tc>
        <w:tc>
          <w:tcPr>
            <w:tcW w:w="1342" w:type="dxa"/>
          </w:tcPr>
          <w:p>
            <w:pPr>
              <w:pStyle w:val="Compact"/>
              <w:spacing w:before="0" w:after="0" w:lineRule="exact" w:line="220"/>
              <w:jc w:val="left"/>
            </w:pPr>
            <w:r>
              <w:rPr>
                <w:sz w:val="18"/>
              </w:rPr>
              <w:t xml:space="preserve">ln(Wedge); Ecosystem ratio</w:t>
            </w:r>
          </w:p>
        </w:tc>
        <w:tc>
          <w:tcPr>
            <w:tcW w:w="1605" w:type="dxa"/>
          </w:tcPr>
          <w:p>
            <w:pPr>
              <w:pStyle w:val="Compact"/>
              <w:spacing w:before="0" w:after="0" w:lineRule="exact" w:line="220"/>
              <w:jc w:val="left"/>
            </w:pPr>
            <w:r>
              <w:rPr>
                <w:sz w:val="18"/>
              </w:rPr>
              <w:t xml:space="preserve">0.104; 16.620</w:t>
            </w:r>
          </w:p>
        </w:tc>
        <w:tc>
          <w:tcPr>
            <w:tcW w:w="750" w:type="dxa"/>
          </w:tcPr>
          <w:p>
            <w:pPr>
              <w:pStyle w:val="Compact"/>
              <w:spacing w:before="0" w:after="0" w:lineRule="exact" w:line="220"/>
              <w:jc w:val="left"/>
            </w:pP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year dummies</w:t>
            </w:r>
          </w:p>
        </w:tc>
        <w:tc>
          <w:tcPr>
            <w:tcW w:w="1342" w:type="dxa"/>
          </w:tcPr>
          <w:p>
            <w:pPr>
              <w:pStyle w:val="Compact"/>
              <w:spacing w:before="0" w:after="0" w:lineRule="exact" w:line="220"/>
              <w:jc w:val="left"/>
            </w:pPr>
            <w:r>
              <w:rPr>
                <w:sz w:val="18"/>
              </w:rPr>
              <w:t xml:space="preserve">ln(Wedge)</w:t>
            </w:r>
          </w:p>
        </w:tc>
        <w:tc>
          <w:tcPr>
            <w:tcW w:w="1605" w:type="dxa"/>
          </w:tcPr>
          <w:p>
            <w:pPr>
              <w:pStyle w:val="Compact"/>
              <w:spacing w:before="0" w:after="0" w:lineRule="exact" w:line="220"/>
              <w:jc w:val="left"/>
            </w:pPr>
            <w:r>
              <w:rPr>
                <w:sz w:val="18"/>
              </w:rPr>
              <w:t xml:space="preserve">-0.302</w:t>
            </w:r>
          </w:p>
        </w:tc>
        <w:tc>
          <w:tcPr>
            <w:tcW w:w="750" w:type="dxa"/>
          </w:tcPr>
          <w:p>
            <w:pPr>
              <w:pStyle w:val="Compact"/>
              <w:spacing w:before="0" w:after="0" w:lineRule="exact" w:line="220"/>
              <w:jc w:val="left"/>
            </w:pPr>
            <w:r>
              <w:rPr>
                <w:sz w:val="18"/>
              </w:rPr>
              <w:t xml:space="preserve">0.395</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year dummies</w:t>
            </w:r>
          </w:p>
        </w:tc>
        <w:tc>
          <w:tcPr>
            <w:tcW w:w="1342" w:type="dxa"/>
          </w:tcPr>
          <w:p>
            <w:pPr>
              <w:pStyle w:val="Compact"/>
              <w:spacing w:before="0" w:after="0" w:lineRule="exact" w:line="220"/>
              <w:jc w:val="left"/>
            </w:pPr>
            <w:r>
              <w:rPr>
                <w:sz w:val="18"/>
              </w:rPr>
              <w:t xml:space="preserve">Ecosystem ratio</w:t>
            </w:r>
          </w:p>
        </w:tc>
        <w:tc>
          <w:tcPr>
            <w:tcW w:w="1605" w:type="dxa"/>
          </w:tcPr>
          <w:p>
            <w:pPr>
              <w:pStyle w:val="Compact"/>
              <w:spacing w:before="0" w:after="0" w:lineRule="exact" w:line="220"/>
              <w:jc w:val="left"/>
            </w:pPr>
            <w:r>
              <w:rPr>
                <w:sz w:val="18"/>
              </w:rPr>
              <w:t xml:space="preserve">12.939</w:t>
            </w:r>
          </w:p>
        </w:tc>
        <w:tc>
          <w:tcPr>
            <w:tcW w:w="750" w:type="dxa"/>
          </w:tcPr>
          <w:p>
            <w:pPr>
              <w:pStyle w:val="Compact"/>
              <w:spacing w:before="0" w:after="0" w:lineRule="exact" w:line="220"/>
              <w:jc w:val="left"/>
            </w:pPr>
            <w:r>
              <w:rPr>
                <w:sz w:val="18"/>
              </w:rPr>
              <w:t xml:space="preserve">&lt;0.001</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total assets</w:t>
            </w:r>
          </w:p>
        </w:tc>
        <w:tc>
          <w:tcPr>
            <w:tcW w:w="1342" w:type="dxa"/>
          </w:tcPr>
          <w:p>
            <w:pPr>
              <w:pStyle w:val="Compact"/>
              <w:spacing w:before="0" w:after="0" w:lineRule="exact" w:line="220"/>
              <w:jc w:val="left"/>
            </w:pPr>
            <w:r>
              <w:rPr>
                <w:sz w:val="18"/>
              </w:rPr>
              <w:t xml:space="preserve">ln(Wedge)</w:t>
            </w:r>
          </w:p>
        </w:tc>
        <w:tc>
          <w:tcPr>
            <w:tcW w:w="1605" w:type="dxa"/>
          </w:tcPr>
          <w:p>
            <w:pPr>
              <w:pStyle w:val="Compact"/>
              <w:spacing w:before="0" w:after="0" w:lineRule="exact" w:line="220"/>
              <w:jc w:val="left"/>
            </w:pPr>
            <w:r>
              <w:rPr>
                <w:sz w:val="18"/>
              </w:rPr>
              <w:t xml:space="preserve">1.197</w:t>
            </w:r>
          </w:p>
        </w:tc>
        <w:tc>
          <w:tcPr>
            <w:tcW w:w="750" w:type="dxa"/>
          </w:tcPr>
          <w:p>
            <w:pPr>
              <w:pStyle w:val="Compact"/>
              <w:spacing w:before="0" w:after="0" w:lineRule="exact" w:line="220"/>
              <w:jc w:val="left"/>
            </w:pPr>
            <w:r>
              <w:rPr>
                <w:sz w:val="18"/>
              </w:rPr>
              <w:t xml:space="preserve">0.246</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187</w:t>
            </w:r>
          </w:p>
        </w:tc>
      </w:tr>
      <w:tr>
        <w:trPr>
          <w:cantSplit/>
        </w:trPr>
        <w:tc>
          <w:tcPr>
            <w:tcW w:w="1974" w:type="dxa"/>
          </w:tcPr>
          <w:p>
            <w:pPr>
              <w:pStyle w:val="Compact"/>
              <w:spacing w:before="0" w:after="0" w:lineRule="exact" w:line="220"/>
              <w:jc w:val="left"/>
            </w:pPr>
            <w:r>
              <w:rPr>
                <w:sz w:val="18"/>
              </w:rPr>
              <w:t xml:space="preserve">Without total assets</w:t>
            </w:r>
          </w:p>
        </w:tc>
        <w:tc>
          <w:tcPr>
            <w:tcW w:w="1342" w:type="dxa"/>
          </w:tcPr>
          <w:p>
            <w:pPr>
              <w:pStyle w:val="Compact"/>
              <w:spacing w:before="0" w:after="0" w:lineRule="exact" w:line="220"/>
              <w:jc w:val="left"/>
            </w:pPr>
            <w:r>
              <w:rPr>
                <w:sz w:val="18"/>
              </w:rPr>
              <w:t xml:space="preserve">Ecosystem ratio</w:t>
            </w:r>
          </w:p>
        </w:tc>
        <w:tc>
          <w:tcPr>
            <w:tcW w:w="1605" w:type="dxa"/>
          </w:tcPr>
          <w:p>
            <w:pPr>
              <w:pStyle w:val="Compact"/>
              <w:spacing w:before="0" w:after="0" w:lineRule="exact" w:line="220"/>
              <w:jc w:val="left"/>
            </w:pPr>
            <w:r>
              <w:rPr>
                <w:sz w:val="18"/>
              </w:rPr>
              <w:t xml:space="preserve">17.027</w:t>
            </w:r>
          </w:p>
        </w:tc>
        <w:tc>
          <w:tcPr>
            <w:tcW w:w="750" w:type="dxa"/>
          </w:tcPr>
          <w:p>
            <w:pPr>
              <w:pStyle w:val="Compact"/>
              <w:spacing w:before="0" w:after="0" w:lineRule="exact" w:line="220"/>
              <w:jc w:val="left"/>
            </w:pPr>
            <w:r>
              <w:rPr>
                <w:sz w:val="18"/>
              </w:rPr>
              <w:t xml:space="preserve">&lt;0.001</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187</w:t>
            </w:r>
          </w:p>
        </w:tc>
      </w:tr>
      <w:tr>
        <w:trPr>
          <w:cantSplit/>
        </w:trPr>
        <w:tc>
          <w:tcPr>
            <w:tcW w:w="1974" w:type="dxa"/>
          </w:tcPr>
          <w:p>
            <w:pPr>
              <w:pStyle w:val="Compact"/>
              <w:spacing w:before="0" w:after="0" w:lineRule="exact" w:line="220"/>
              <w:jc w:val="left"/>
            </w:pPr>
            <w:r>
              <w:rPr>
                <w:sz w:val="18"/>
              </w:rPr>
              <w:t xml:space="preserve">Without years before listing</w:t>
            </w:r>
          </w:p>
        </w:tc>
        <w:tc>
          <w:tcPr>
            <w:tcW w:w="1342" w:type="dxa"/>
          </w:tcPr>
          <w:p>
            <w:pPr>
              <w:pStyle w:val="Compact"/>
              <w:spacing w:before="0" w:after="0" w:lineRule="exact" w:line="220"/>
              <w:jc w:val="left"/>
            </w:pPr>
            <w:r>
              <w:rPr>
                <w:sz w:val="18"/>
              </w:rPr>
              <w:t xml:space="preserve">ln(Wedge)</w:t>
            </w:r>
          </w:p>
        </w:tc>
        <w:tc>
          <w:tcPr>
            <w:tcW w:w="1605" w:type="dxa"/>
          </w:tcPr>
          <w:p>
            <w:pPr>
              <w:pStyle w:val="Compact"/>
              <w:spacing w:before="0" w:after="0" w:lineRule="exact" w:line="220"/>
              <w:jc w:val="left"/>
            </w:pPr>
            <w:r>
              <w:rPr>
                <w:sz w:val="18"/>
              </w:rPr>
              <w:t xml:space="preserve">-0.113</w:t>
            </w:r>
          </w:p>
        </w:tc>
        <w:tc>
          <w:tcPr>
            <w:tcW w:w="750" w:type="dxa"/>
          </w:tcPr>
          <w:p>
            <w:pPr>
              <w:pStyle w:val="Compact"/>
              <w:spacing w:before="0" w:after="0" w:lineRule="exact" w:line="220"/>
              <w:jc w:val="left"/>
            </w:pPr>
            <w:r>
              <w:rPr>
                <w:sz w:val="18"/>
              </w:rPr>
              <w:t xml:space="preserve">0.711</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165</w:t>
            </w:r>
          </w:p>
        </w:tc>
      </w:tr>
      <w:tr>
        <w:trPr>
          <w:cantSplit/>
        </w:trPr>
        <w:tc>
          <w:tcPr>
            <w:tcW w:w="1974" w:type="dxa"/>
          </w:tcPr>
          <w:p>
            <w:pPr>
              <w:pStyle w:val="Compact"/>
              <w:spacing w:before="0" w:after="0" w:lineRule="exact" w:line="220"/>
              <w:jc w:val="left"/>
            </w:pPr>
            <w:r>
              <w:rPr>
                <w:sz w:val="18"/>
              </w:rPr>
              <w:t xml:space="preserve">Without years before listing</w:t>
            </w:r>
          </w:p>
        </w:tc>
        <w:tc>
          <w:tcPr>
            <w:tcW w:w="1342" w:type="dxa"/>
          </w:tcPr>
          <w:p>
            <w:pPr>
              <w:pStyle w:val="Compact"/>
              <w:spacing w:before="0" w:after="0" w:lineRule="exact" w:line="220"/>
              <w:jc w:val="left"/>
            </w:pPr>
            <w:r>
              <w:rPr>
                <w:sz w:val="18"/>
              </w:rPr>
              <w:t xml:space="preserve">Ecosystem ratio</w:t>
            </w:r>
          </w:p>
        </w:tc>
        <w:tc>
          <w:tcPr>
            <w:tcW w:w="1605" w:type="dxa"/>
          </w:tcPr>
          <w:p>
            <w:pPr>
              <w:pStyle w:val="Compact"/>
              <w:spacing w:before="0" w:after="0" w:lineRule="exact" w:line="220"/>
              <w:jc w:val="left"/>
            </w:pPr>
            <w:r>
              <w:rPr>
                <w:sz w:val="18"/>
              </w:rPr>
              <w:t xml:space="preserve">16.244</w:t>
            </w:r>
          </w:p>
        </w:tc>
        <w:tc>
          <w:tcPr>
            <w:tcW w:w="750" w:type="dxa"/>
          </w:tcPr>
          <w:p>
            <w:pPr>
              <w:pStyle w:val="Compact"/>
              <w:spacing w:before="0" w:after="0" w:lineRule="exact" w:line="220"/>
              <w:jc w:val="left"/>
            </w:pPr>
            <w:r>
              <w:rPr>
                <w:sz w:val="18"/>
              </w:rPr>
              <w:t xml:space="preserve">&lt;0.001</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165</w:t>
            </w:r>
          </w:p>
        </w:tc>
      </w:tr>
      <w:tr>
        <w:trPr>
          <w:cantSplit/>
        </w:trPr>
        <w:tc>
          <w:tcPr>
            <w:tcW w:w="1974" w:type="dxa"/>
          </w:tcPr>
          <w:p>
            <w:pPr>
              <w:pStyle w:val="Compact"/>
              <w:spacing w:before="0" w:after="0" w:lineRule="exact" w:line="220"/>
              <w:jc w:val="left"/>
            </w:pPr>
            <w:r>
              <w:rPr>
                <w:sz w:val="18"/>
              </w:rPr>
              <w:t xml:space="preserve">Without Alibaba, Pinduoduo, Rakuten and Shopify</w:t>
            </w:r>
          </w:p>
        </w:tc>
        <w:tc>
          <w:tcPr>
            <w:tcW w:w="1342" w:type="dxa"/>
          </w:tcPr>
          <w:p>
            <w:pPr>
              <w:pStyle w:val="Compact"/>
              <w:spacing w:before="0" w:after="0" w:lineRule="exact" w:line="220"/>
              <w:jc w:val="left"/>
            </w:pPr>
            <w:r>
              <w:rPr>
                <w:sz w:val="18"/>
              </w:rPr>
              <w:t xml:space="preserve">ln(Wedge)</w:t>
            </w:r>
          </w:p>
        </w:tc>
        <w:tc>
          <w:tcPr>
            <w:tcW w:w="1605" w:type="dxa"/>
          </w:tcPr>
          <w:p>
            <w:pPr>
              <w:pStyle w:val="Compact"/>
              <w:spacing w:before="0" w:after="0" w:lineRule="exact" w:line="220"/>
              <w:jc w:val="left"/>
            </w:pPr>
            <w:r>
              <w:rPr>
                <w:sz w:val="18"/>
              </w:rPr>
              <w:t xml:space="preserve">0.383</w:t>
            </w:r>
          </w:p>
        </w:tc>
        <w:tc>
          <w:tcPr>
            <w:tcW w:w="750" w:type="dxa"/>
          </w:tcPr>
          <w:p>
            <w:pPr>
              <w:pStyle w:val="Compact"/>
              <w:spacing w:before="0" w:after="0" w:lineRule="exact" w:line="220"/>
              <w:jc w:val="left"/>
            </w:pPr>
            <w:r>
              <w:rPr>
                <w:sz w:val="18"/>
              </w:rPr>
              <w:t xml:space="preserve">0.394</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Alibaba, Pinduoduo, Rakuten and Shopify</w:t>
            </w:r>
          </w:p>
        </w:tc>
        <w:tc>
          <w:tcPr>
            <w:tcW w:w="1342" w:type="dxa"/>
          </w:tcPr>
          <w:p>
            <w:pPr>
              <w:pStyle w:val="Compact"/>
              <w:spacing w:before="0" w:after="0" w:lineRule="exact" w:line="220"/>
              <w:jc w:val="left"/>
            </w:pPr>
            <w:r>
              <w:rPr>
                <w:sz w:val="18"/>
              </w:rPr>
              <w:t xml:space="preserve">Ecosystem ratio</w:t>
            </w:r>
          </w:p>
        </w:tc>
        <w:tc>
          <w:tcPr>
            <w:tcW w:w="1605" w:type="dxa"/>
          </w:tcPr>
          <w:p>
            <w:pPr>
              <w:pStyle w:val="Compact"/>
              <w:spacing w:before="0" w:after="0" w:lineRule="exact" w:line="220"/>
              <w:jc w:val="left"/>
            </w:pPr>
            <w:r>
              <w:rPr>
                <w:sz w:val="18"/>
              </w:rPr>
              <w:t xml:space="preserve">20.954</w:t>
            </w:r>
          </w:p>
        </w:tc>
        <w:tc>
          <w:tcPr>
            <w:tcW w:w="750" w:type="dxa"/>
          </w:tcPr>
          <w:p>
            <w:pPr>
              <w:pStyle w:val="Compact"/>
              <w:spacing w:before="0" w:after="0" w:lineRule="exact" w:line="220"/>
              <w:jc w:val="left"/>
            </w:pPr>
            <w:r>
              <w:rPr>
                <w:sz w:val="18"/>
              </w:rPr>
              <w:t xml:space="preserve">&lt;0.001</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 a dummy for emerging home markets</w:t>
            </w:r>
          </w:p>
        </w:tc>
        <w:tc>
          <w:tcPr>
            <w:tcW w:w="1342" w:type="dxa"/>
          </w:tcPr>
          <w:p>
            <w:pPr>
              <w:pStyle w:val="Compact"/>
              <w:spacing w:before="0" w:after="0" w:lineRule="exact" w:line="220"/>
              <w:jc w:val="left"/>
            </w:pPr>
            <w:r>
              <w:rPr>
                <w:sz w:val="18"/>
              </w:rPr>
              <w:t xml:space="preserve">ln(Wedge)</w:t>
            </w:r>
          </w:p>
        </w:tc>
        <w:tc>
          <w:tcPr>
            <w:tcW w:w="1605" w:type="dxa"/>
          </w:tcPr>
          <w:p>
            <w:pPr>
              <w:pStyle w:val="Compact"/>
              <w:spacing w:before="0" w:after="0" w:lineRule="exact" w:line="220"/>
              <w:jc w:val="left"/>
            </w:pPr>
            <w:r>
              <w:rPr>
                <w:sz w:val="18"/>
              </w:rPr>
              <w:t xml:space="preserve">0.065</w:t>
            </w:r>
          </w:p>
        </w:tc>
        <w:tc>
          <w:tcPr>
            <w:tcW w:w="750" w:type="dxa"/>
          </w:tcPr>
          <w:p>
            <w:pPr>
              <w:pStyle w:val="Compact"/>
              <w:spacing w:before="0" w:after="0" w:lineRule="exact" w:line="220"/>
              <w:jc w:val="left"/>
            </w:pPr>
            <w:r>
              <w:rPr>
                <w:sz w:val="18"/>
              </w:rPr>
              <w:t xml:space="preserve">0.869</w:t>
            </w:r>
          </w:p>
        </w:tc>
        <w:tc>
          <w:tcPr>
            <w:tcW w:w="1510" w:type="dxa"/>
          </w:tcPr>
          <w:p>
            <w:pPr>
              <w:pStyle w:val="Compact"/>
              <w:spacing w:before="0" w:after="0" w:lineRule="exact" w:line="220"/>
              <w:jc w:val="left"/>
            </w:pPr>
            <w:r>
              <w:rPr>
                <w:sz w:val="18"/>
              </w:rPr>
              <w:t xml:space="preserve">0.886</w:t>
            </w: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 a dummy for emerging home markets</w:t>
            </w:r>
          </w:p>
        </w:tc>
        <w:tc>
          <w:tcPr>
            <w:tcW w:w="1342" w:type="dxa"/>
          </w:tcPr>
          <w:p>
            <w:pPr>
              <w:pStyle w:val="Compact"/>
              <w:spacing w:before="0" w:after="0" w:lineRule="exact" w:line="220"/>
              <w:jc w:val="left"/>
            </w:pPr>
            <w:r>
              <w:rPr>
                <w:sz w:val="18"/>
              </w:rPr>
              <w:t xml:space="preserve">Ecosystem ratio</w:t>
            </w:r>
          </w:p>
        </w:tc>
        <w:tc>
          <w:tcPr>
            <w:tcW w:w="1605" w:type="dxa"/>
          </w:tcPr>
          <w:p>
            <w:pPr>
              <w:pStyle w:val="Compact"/>
              <w:spacing w:before="0" w:after="0" w:lineRule="exact" w:line="220"/>
              <w:jc w:val="left"/>
            </w:pPr>
            <w:r>
              <w:rPr>
                <w:sz w:val="18"/>
              </w:rPr>
              <w:t xml:space="preserve">16.888</w:t>
            </w:r>
          </w:p>
        </w:tc>
        <w:tc>
          <w:tcPr>
            <w:tcW w:w="750" w:type="dxa"/>
          </w:tcPr>
          <w:p>
            <w:pPr>
              <w:pStyle w:val="Compact"/>
              <w:spacing w:before="0" w:after="0" w:lineRule="exact" w:line="220"/>
              <w:jc w:val="left"/>
            </w:pPr>
            <w:r>
              <w:rPr>
                <w:sz w:val="18"/>
              </w:rPr>
              <w:t xml:space="preserve">&lt;0.001</w:t>
            </w:r>
          </w:p>
        </w:tc>
        <w:tc>
          <w:tcPr>
            <w:tcW w:w="1510" w:type="dxa"/>
          </w:tcPr>
          <w:p>
            <w:pPr>
              <w:pStyle w:val="Compact"/>
              <w:spacing w:before="0" w:after="0" w:lineRule="exact" w:line="220"/>
              <w:jc w:val="left"/>
            </w:pPr>
            <w:r>
              <w:rPr>
                <w:sz w:val="18"/>
              </w:rPr>
              <w:t xml:space="preserve">0.027</w:t>
            </w:r>
          </w:p>
        </w:tc>
        <w:tc>
          <w:tcPr>
            <w:tcW w:w="1320" w:type="dxa"/>
          </w:tcPr>
          <w:p>
            <w:pPr>
              <w:pStyle w:val="Compac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Without the six platforms with an ambiguous main market (Sea, Jumia, Mercado Libre, Despegar, Shopify, Fiverr)</w:t>
            </w:r>
          </w:p>
        </w:tc>
        <w:tc>
          <w:tcPr>
            <w:tcW w:w="1342" w:type="dxa"/>
          </w:tcPr>
          <w:p>
            <w:pPr>
              <w:pStyle w:val="Compact"/>
              <w:spacing w:before="0" w:after="0" w:lineRule="exact" w:line="220"/>
              <w:jc w:val="left"/>
            </w:pPr>
            <w:r>
              <w:rPr>
                <w:sz w:val="18"/>
              </w:rPr>
              <w:t xml:space="preserve">ln(Wedge)</w:t>
            </w:r>
          </w:p>
        </w:tc>
        <w:tc>
          <w:tcPr>
            <w:tcW w:w="1605" w:type="dxa"/>
          </w:tcPr>
          <w:p>
            <w:pPr>
              <w:pStyle w:val="Compact"/>
              <w:spacing w:before="0" w:after="0" w:lineRule="exact" w:line="220"/>
              <w:jc w:val="left"/>
            </w:pPr>
            <w:r>
              <w:rPr>
                <w:sz w:val="18"/>
              </w:rPr>
              <w:t xml:space="preserve">0.145</w:t>
            </w:r>
          </w:p>
        </w:tc>
        <w:tc>
          <w:tcPr>
            <w:tcW w:w="750" w:type="dxa"/>
          </w:tcPr>
          <w:p>
            <w:pPr>
              <w:pStyle w:val="Compact"/>
              <w:spacing w:before="0" w:after="0" w:lineRule="exact" w:line="220"/>
              <w:jc w:val="left"/>
            </w:pPr>
            <w:r>
              <w:rPr>
                <w:sz w:val="18"/>
              </w:rPr>
              <w:t xml:space="preserve">0.743</w:t>
            </w:r>
          </w:p>
        </w:tc>
        <w:tc>
          <w:tcPr>
            <w:tcW w:w="1510" w:type="dxa"/>
          </w:tcPr>
          <w:p>
            <w:pPr>
              <w:pStyle w:val="Compact"/>
              <w:spacing w:before="0" w:after="0" w:lineRule="exact" w:line="220"/>
              <w:jc w:val="left"/>
            </w:pPr>
            <w:r>
              <w:rPr>
                <w:sz w:val="18"/>
              </w:rPr>
              <w:t xml:space="preserve">0.801</w:t>
            </w:r>
          </w:p>
        </w:tc>
        <w:tc>
          <w:tcPr>
            <w:tcW w:w="1320" w:type="dxa"/>
          </w:tcPr>
          <w:p>
            <w:pPr>
              <w:pStyle w:val="Compact"/>
              <w:spacing w:before="0" w:after="0" w:lineRule="exact" w:line="220"/>
              <w:jc w:val="left"/>
            </w:pPr>
            <w:r>
              <w:rPr>
                <w:sz w:val="18"/>
              </w:rPr>
              <w:t xml:space="preserve">144</w:t>
            </w:r>
          </w:p>
        </w:tc>
      </w:tr>
      <w:tr>
        <w:trPr>
          <w:cantSplit/>
        </w:trPr>
        <w:tc>
          <w:tcPr>
            <w:tcW w:w="1974" w:type="dxa"/>
          </w:tcPr>
          <w:p>
            <w:pPr>
              <w:pStyle w:val="Compact"/>
              <w:spacing w:before="0" w:after="0" w:lineRule="exact" w:line="220"/>
              <w:jc w:val="left"/>
            </w:pPr>
            <w:r>
              <w:rPr>
                <w:sz w:val="18"/>
              </w:rPr>
              <w:t xml:space="preserve">Without the six platforms with an ambiguous main market (Sea, Jumia, Mercado Libre, Despegar, Shopify, Fiverr)</w:t>
            </w:r>
          </w:p>
        </w:tc>
        <w:tc>
          <w:tcPr>
            <w:tcW w:w="1342" w:type="dxa"/>
          </w:tcPr>
          <w:p>
            <w:pPr>
              <w:pStyle w:val="Compact"/>
              <w:spacing w:before="0" w:after="0" w:lineRule="exact" w:line="220"/>
              <w:jc w:val="left"/>
            </w:pPr>
            <w:r>
              <w:rPr>
                <w:sz w:val="18"/>
              </w:rPr>
              <w:t xml:space="preserve">Ecosystem ratio</w:t>
            </w:r>
          </w:p>
        </w:tc>
        <w:tc>
          <w:tcPr>
            <w:tcW w:w="1605" w:type="dxa"/>
          </w:tcPr>
          <w:p>
            <w:pPr>
              <w:pStyle w:val="Compact"/>
              <w:spacing w:before="0" w:after="0" w:lineRule="exact" w:line="220"/>
              <w:jc w:val="left"/>
            </w:pPr>
            <w:r>
              <w:rPr>
                <w:sz w:val="18"/>
              </w:rPr>
              <w:t xml:space="preserve">16.974</w:t>
            </w:r>
          </w:p>
        </w:tc>
        <w:tc>
          <w:tcPr>
            <w:tcW w:w="750" w:type="dxa"/>
          </w:tcPr>
          <w:p>
            <w:pPr>
              <w:pStyle w:val="Compact"/>
              <w:spacing w:before="0" w:after="0" w:lineRule="exact" w:line="220"/>
              <w:jc w:val="left"/>
            </w:pPr>
            <w:r>
              <w:rPr>
                <w:sz w:val="18"/>
              </w:rPr>
              <w:t xml:space="preserve">&lt;0.001</w:t>
            </w:r>
          </w:p>
        </w:tc>
        <w:tc>
          <w:tcPr>
            <w:tcW w:w="1510" w:type="dxa"/>
          </w:tcPr>
          <w:p>
            <w:pPr>
              <w:pStyle w:val="Compact"/>
              <w:spacing w:before="0" w:after="0" w:lineRule="exact" w:line="220"/>
              <w:jc w:val="left"/>
            </w:pPr>
            <w:r>
              <w:rPr>
                <w:sz w:val="18"/>
              </w:rPr>
              <w:t xml:space="preserve">0.024</w:t>
            </w:r>
          </w:p>
        </w:tc>
        <w:tc>
          <w:tcPr>
            <w:tcW w:w="1320" w:type="dxa"/>
          </w:tcPr>
          <w:p>
            <w:pPr>
              <w:pStyle w:val="Compact"/>
              <w:spacing w:before="0" w:after="0" w:lineRule="exact" w:line="220"/>
              <w:jc w:val="left"/>
            </w:pPr>
            <w:r>
              <w:rPr>
                <w:sz w:val="18"/>
              </w:rPr>
              <w:t xml:space="preserve">144</w:t>
            </w:r>
          </w:p>
        </w:tc>
      </w:tr>
      <w:tr>
        <w:trPr>
          <w:cantSplit/>
        </w:trPr>
        <w:tc>
          <w:tcPr>
            <w:tcW w:w="1974" w:type="dxa"/>
          </w:tcPr>
          <w:p>
            <w:pPr>
              <w:pStyle w:val="Compact"/>
              <w:keepNext/>
              <w:spacing w:before="0" w:after="0" w:lineRule="exact" w:line="220"/>
              <w:jc w:val="left"/>
            </w:pPr>
            <w:r>
              <w:rPr>
                <w:sz w:val="18"/>
              </w:rPr>
              <w:t xml:space="preserve">Natural logarithm of the ecosystem ratio</w:t>
            </w:r>
          </w:p>
        </w:tc>
        <w:tc>
          <w:tcPr>
            <w:tcW w:w="1342" w:type="dxa"/>
          </w:tcPr>
          <w:p>
            <w:pPr>
              <w:pStyle w:val="Compact"/>
              <w:keepNext/>
              <w:spacing w:before="0" w:after="0" w:lineRule="exact" w:line="220"/>
              <w:jc w:val="left"/>
            </w:pPr>
            <w:r>
              <w:rPr>
                <w:sz w:val="18"/>
              </w:rPr>
              <w:t xml:space="preserve">ln(Ecosystem ratio)</w:t>
            </w:r>
          </w:p>
        </w:tc>
        <w:tc>
          <w:tcPr>
            <w:tcW w:w="1605" w:type="dxa"/>
          </w:tcPr>
          <w:p>
            <w:pPr>
              <w:pStyle w:val="Compact"/>
              <w:keepNext/>
              <w:spacing w:before="0" w:after="0" w:lineRule="exact" w:line="220"/>
              <w:jc w:val="left"/>
            </w:pPr>
            <w:r>
              <w:rPr>
                <w:sz w:val="18"/>
              </w:rPr>
              <w:t xml:space="preserve">1.677</w:t>
            </w:r>
          </w:p>
        </w:tc>
        <w:tc>
          <w:tcPr>
            <w:tcW w:w="750" w:type="dxa"/>
          </w:tcPr>
          <w:p>
            <w:pPr>
              <w:pStyle w:val="Compact"/>
              <w:keepNext/>
              <w:spacing w:before="0" w:after="0" w:lineRule="exact" w:line="220"/>
              <w:jc w:val="left"/>
            </w:pPr>
            <w:r>
              <w:rPr>
                <w:sz w:val="18"/>
              </w:rPr>
              <w:t xml:space="preserve">&lt;0.001</w:t>
            </w:r>
          </w:p>
        </w:tc>
        <w:tc>
          <w:tcPr>
            <w:tcW w:w="1510" w:type="dxa"/>
          </w:tcPr>
          <w:p>
            <w:pPr>
              <w:pStyle w:val="Compact"/>
              <w:keepNext/>
              <w:spacing w:before="0" w:after="0" w:lineRule="exact" w:line="220"/>
              <w:jc w:val="left"/>
            </w:pPr>
            <w:r>
              <w:rPr>
                <w:sz w:val="18"/>
              </w:rPr>
              <w:t xml:space="preserve">0.006</w:t>
            </w:r>
          </w:p>
        </w:tc>
        <w:tc>
          <w:tcPr>
            <w:tcW w:w="1320" w:type="dxa"/>
          </w:tcPr>
          <w:p>
            <w:pPr>
              <w:pStyle w:val="Compact"/>
              <w:keepNext/>
              <w:spacing w:before="0" w:after="0" w:lineRule="exact" w:line="220"/>
              <w:jc w:val="left"/>
            </w:pPr>
          </w:p>
        </w:tc>
      </w:tr>
      <w:tr>
        <w:trPr>
          <w:cantSplit/>
        </w:trPr>
        <w:tc>
          <w:tcPr>
            <w:tcW w:w="1974" w:type="dxa"/>
          </w:tcPr>
          <w:p>
            <w:pPr>
              <w:pStyle w:val="Compact"/>
              <w:spacing w:before="0" w:after="0" w:lineRule="exact" w:line="220"/>
              <w:jc w:val="left"/>
            </w:pPr>
            <w:r>
              <w:rPr>
                <w:sz w:val="18"/>
              </w:rPr>
              <w:t xml:space="preserve">Ecosystem ratio not capped</w:t>
            </w:r>
          </w:p>
        </w:tc>
        <w:tc>
          <w:tcPr>
            <w:tcW w:w="1342" w:type="dxa"/>
          </w:tcPr>
          <w:p>
            <w:pPr>
              <w:pStyle w:val="Compact"/>
              <w:spacing w:before="0" w:after="0" w:lineRule="exact" w:line="220"/>
              <w:jc w:val="left"/>
            </w:pPr>
            <w:r>
              <w:rPr>
                <w:sz w:val="18"/>
              </w:rPr>
              <w:t xml:space="preserve">Ecosystem ratio</w:t>
            </w:r>
          </w:p>
        </w:tc>
        <w:tc>
          <w:tcPr>
            <w:tcW w:w="1605" w:type="dxa"/>
          </w:tcPr>
          <w:p>
            <w:pPr>
              <w:pStyle w:val="Compact"/>
              <w:spacing w:before="0" w:after="0" w:lineRule="exact" w:line="220"/>
              <w:jc w:val="left"/>
            </w:pPr>
            <w:r>
              <w:rPr>
                <w:sz w:val="18"/>
              </w:rPr>
              <w:t xml:space="preserve">28.550</w:t>
            </w:r>
          </w:p>
        </w:tc>
        <w:tc>
          <w:tcPr>
            <w:tcW w:w="750" w:type="dxa"/>
          </w:tcPr>
          <w:p>
            <w:pPr>
              <w:pStyle w:val="Compact"/>
              <w:spacing w:before="0" w:after="0" w:lineRule="exact" w:line="220"/>
              <w:jc w:val="left"/>
            </w:pPr>
            <w:r>
              <w:rPr>
                <w:sz w:val="18"/>
              </w:rPr>
              <w:t xml:space="preserve">0.008</w:t>
            </w:r>
          </w:p>
        </w:tc>
        <w:tc>
          <w:tcPr>
            <w:tcW w:w="1510" w:type="dxa"/>
          </w:tcPr>
          <w:p>
            <w:pPr>
              <w:pStyle w:val="Compact"/>
              <w:spacing w:before="0" w:after="0" w:lineRule="exact" w:line="220"/>
              <w:jc w:val="left"/>
            </w:pPr>
          </w:p>
        </w:tc>
        <w:tc>
          <w:tcPr>
            <w:tcW w:w="1320" w:type="dxa"/>
          </w:tcPr>
          <w:p>
            <w:pPr>
              <w:pStyle w:val="Compact"/>
              <w:spacing w:before="0" w:after="0" w:lineRule="exact" w:line="220"/>
              <w:jc w:val="left"/>
            </w:pPr>
          </w:p>
        </w:tc>
      </w:tr>
    </w:tbl>
    <w:bookmarkEnd w:id="101"/>
    <w:bookmarkEnd w:id="102"/>
    <w:bookmarkStart w:id="103" w:name="Xdeb489f8fdbeb3bc3b6e07c1768976c94f8af49"/>
    <w:p>
      <w:pPr>
        <w:pStyle w:val="Heading2"/>
      </w:pPr>
      <w:r>
        <w:t xml:space="preserve">Appendix D. Registered tests and their outcomes</w:t>
      </w:r>
    </w:p>
    <w:p>
      <w:pPr>
        <w:pStyle w:val="FirstParagraph"/>
        <w:jc w:val="left"/>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225"/>
        <w:gridCol w:w="2183"/>
        <w:gridCol w:w="2548"/>
        <w:gridCol w:w="2548"/>
      </w:tblGrid>
      <w:tr>
        <w:trPr>
          <w:tblHeader w:val="true"/>
          <w:cantSplit/>
          <w:tblHeader/>
        </w:trPr>
        <w:tc>
          <w:tcPr>
            <w:tcW w:w="1225" w:type="dxa"/>
            <w:tcBorders>
              <w:bottom w:val="single" w:sz="5" w:space="0" w:color="000000"/>
            </w:tcBorders>
          </w:tcPr>
          <w:p>
            <w:pPr>
              <w:pStyle w:val="Compact"/>
              <w:keepNext/>
              <w:spacing w:before="0" w:after="0" w:lineRule="exact" w:line="220"/>
              <w:jc w:val="left"/>
            </w:pPr>
            <w:r>
              <w:rPr>
                <w:b/>
                <w:sz w:val="18"/>
              </w:rPr>
              <w:t xml:space="preserve">Test</w:t>
            </w:r>
          </w:p>
        </w:tc>
        <w:tc>
          <w:tcPr>
            <w:tcW w:w="2183" w:type="dxa"/>
            <w:tcBorders>
              <w:bottom w:val="single" w:sz="5" w:space="0" w:color="000000"/>
            </w:tcBorders>
          </w:tcPr>
          <w:p>
            <w:pPr>
              <w:pStyle w:val="Compact"/>
              <w:keepNext/>
              <w:spacing w:before="0" w:after="0" w:lineRule="exact" w:line="220"/>
              <w:jc w:val="left"/>
            </w:pPr>
            <w:r>
              <w:rPr>
                <w:b/>
                <w:sz w:val="18"/>
              </w:rPr>
              <w:t xml:space="preserve">What it predicted</w:t>
            </w:r>
          </w:p>
        </w:tc>
        <w:tc>
          <w:tcPr>
            <w:tcW w:w="2548" w:type="dxa"/>
            <w:tcBorders>
              <w:bottom w:val="single" w:sz="5" w:space="0" w:color="000000"/>
            </w:tcBorders>
          </w:tcPr>
          <w:p>
            <w:pPr>
              <w:pStyle w:val="Compact"/>
              <w:keepNext/>
              <w:spacing w:before="0" w:after="0" w:lineRule="exact" w:line="220"/>
              <w:jc w:val="left"/>
            </w:pPr>
            <w:r>
              <w:rPr>
                <w:b/>
                <w:sz w:val="18"/>
              </w:rPr>
              <w:t xml:space="preserve">Registered</w:t>
            </w:r>
          </w:p>
        </w:tc>
        <w:tc>
          <w:tcPr>
            <w:tcW w:w="2548" w:type="dxa"/>
            <w:tcBorders>
              <w:bottom w:val="single" w:sz="5" w:space="0" w:color="000000"/>
            </w:tcBorders>
          </w:tcPr>
          <w:p>
            <w:pPr>
              <w:pStyle w:val="Compact"/>
              <w:keepNext/>
              <w:spacing w:before="0" w:after="0" w:lineRule="exact" w:line="220"/>
              <w:jc w:val="left"/>
            </w:pPr>
            <w:r>
              <w:rPr>
                <w:b/>
                <w:sz w:val="18"/>
              </w:rPr>
              <w:t xml:space="preserve">Outcome</w:t>
            </w:r>
          </w:p>
        </w:tc>
      </w:tr>
      <w:tr>
        <w:trPr>
          <w:cantSplit/>
        </w:trPr>
        <w:tc>
          <w:tcPr>
            <w:tcW w:w="1225" w:type="dxa"/>
          </w:tcPr>
          <w:p>
            <w:pPr>
              <w:pStyle w:val="Compact"/>
              <w:keepNext/>
              <w:spacing w:before="0" w:after="0" w:lineRule="exact" w:line="220"/>
              <w:jc w:val="left"/>
            </w:pPr>
            <w:r>
              <w:rPr>
                <w:sz w:val="18"/>
              </w:rPr>
              <w:t xml:space="preserve">E1</w:t>
            </w:r>
          </w:p>
        </w:tc>
        <w:tc>
          <w:tcPr>
            <w:tcW w:w="2183" w:type="dxa"/>
          </w:tcPr>
          <w:p>
            <w:pPr>
              <w:pStyle w:val="Compact"/>
              <w:keepNext/>
              <w:spacing w:before="0" w:after="0" w:lineRule="exact" w:line="220"/>
              <w:jc w:val="left"/>
            </w:pPr>
            <w:r>
              <w:rPr>
                <w:sz w:val="18"/>
              </w:rPr>
              <w:t xml:space="preserve">Sellers without financial statements hold a smaller share of online value than of the count</w:t>
            </w:r>
          </w:p>
        </w:tc>
        <w:tc>
          <w:tcPr>
            <w:tcW w:w="2548" w:type="dxa"/>
          </w:tcPr>
          <w:p>
            <w:pPr>
              <w:pStyle w:val="Compact"/>
              <w:keepNext/>
              <w:spacing w:before="0" w:after="0" w:lineRule="exact" w:line="220"/>
              <w:jc w:val="left"/>
            </w:pPr>
            <w:r>
              <w:rPr>
                <w:sz w:val="18"/>
              </w:rPr>
              <w:t xml:space="preserve">2 Oct 2026</w:t>
            </w:r>
          </w:p>
        </w:tc>
        <w:tc>
          <w:tcPr>
            <w:tcW w:w="2548" w:type="dxa"/>
          </w:tcPr>
          <w:p>
            <w:pPr>
              <w:pStyle w:val="Compact"/>
              <w:keepNext/>
              <w:spacing w:before="0" w:after="0" w:lineRule="exact" w:line="220"/>
              <w:jc w:val="left"/>
            </w:pPr>
            <w:r>
              <w:rPr>
                <w:sz w:val="18"/>
              </w:rPr>
              <w:t xml:space="preserve">Holds, as a range (25.7 to 40.4 percent of value against 79.3 percent of the count)</w:t>
            </w:r>
          </w:p>
        </w:tc>
      </w:tr>
      <w:tr>
        <w:trPr>
          <w:cantSplit/>
        </w:trPr>
        <w:tc>
          <w:tcPr>
            <w:tcW w:w="1225" w:type="dxa"/>
          </w:tcPr>
          <w:p>
            <w:pPr>
              <w:pStyle w:val="Compact"/>
              <w:keepNext/>
              <w:spacing w:before="0" w:after="0" w:lineRule="exact" w:line="220"/>
              <w:jc w:val="left"/>
            </w:pPr>
            <w:r>
              <w:rPr>
                <w:sz w:val="18"/>
              </w:rPr>
              <w:t xml:space="preserve">E2</w:t>
            </w:r>
          </w:p>
        </w:tc>
        <w:tc>
          <w:tcPr>
            <w:tcW w:w="2183" w:type="dxa"/>
          </w:tcPr>
          <w:p>
            <w:pPr>
              <w:pStyle w:val="Compact"/>
              <w:keepNext/>
              <w:spacing w:before="0" w:after="0" w:lineRule="exact" w:line="220"/>
              <w:jc w:val="left"/>
            </w:pPr>
            <w:r>
              <w:rPr>
                <w:sz w:val="18"/>
              </w:rPr>
              <w:t xml:space="preserve">The marketplace share of online value in 2022 is above the published 2023 figure</w:t>
            </w:r>
          </w:p>
        </w:tc>
        <w:tc>
          <w:tcPr>
            <w:tcW w:w="2548" w:type="dxa"/>
          </w:tcPr>
          <w:p>
            <w:pPr>
              <w:pStyle w:val="Compact"/>
              <w:keepNext/>
              <w:spacing w:before="0" w:after="0" w:lineRule="exact" w:line="220"/>
              <w:jc w:val="left"/>
            </w:pPr>
            <w:r>
              <w:rPr>
                <w:sz w:val="18"/>
              </w:rPr>
              <w:t xml:space="preserve">2 Oct 2026</w:t>
            </w:r>
          </w:p>
        </w:tc>
        <w:tc>
          <w:tcPr>
            <w:tcW w:w="2548" w:type="dxa"/>
          </w:tcPr>
          <w:p>
            <w:pPr>
              <w:pStyle w:val="Compact"/>
              <w:keepNext/>
              <w:spacing w:before="0" w:after="0" w:lineRule="exact" w:line="220"/>
              <w:jc w:val="left"/>
            </w:pPr>
            <w:r>
              <w:rPr>
                <w:sz w:val="18"/>
              </w:rPr>
              <w:t xml:space="preserve">Holds, as a range (22.6 to 25.6 percent)</w:t>
            </w:r>
          </w:p>
        </w:tc>
      </w:tr>
      <w:tr>
        <w:trPr>
          <w:cantSplit/>
        </w:trPr>
        <w:tc>
          <w:tcPr>
            <w:tcW w:w="1225" w:type="dxa"/>
          </w:tcPr>
          <w:p>
            <w:pPr>
              <w:pStyle w:val="Compact"/>
              <w:spacing w:before="0" w:after="0" w:lineRule="exact" w:line="220"/>
              <w:jc w:val="left"/>
            </w:pPr>
            <w:r>
              <w:rPr>
                <w:sz w:val="18"/>
              </w:rPr>
              <w:t xml:space="preserve">E2b, E2c</w:t>
            </w:r>
          </w:p>
        </w:tc>
        <w:tc>
          <w:tcPr>
            <w:tcW w:w="2183" w:type="dxa"/>
          </w:tcPr>
          <w:p>
            <w:pPr>
              <w:pStyle w:val="Compact"/>
              <w:spacing w:before="0" w:after="0" w:lineRule="exact" w:line="220"/>
              <w:jc w:val="left"/>
            </w:pPr>
            <w:r>
              <w:rPr>
                <w:sz w:val="18"/>
              </w:rPr>
              <w:t xml:space="preserve">Marketplace use did not rise between 2020 and 2024</w:t>
            </w:r>
          </w:p>
        </w:tc>
        <w:tc>
          <w:tcPr>
            <w:tcW w:w="2548" w:type="dxa"/>
          </w:tcPr>
          <w:p>
            <w:pPr>
              <w:pStyle w:val="Compact"/>
              <w:spacing w:before="0" w:after="0" w:lineRule="exact" w:line="220"/>
              <w:jc w:val="left"/>
            </w:pPr>
            <w:r>
              <w:rPr>
                <w:sz w:val="18"/>
              </w:rPr>
              <w:t xml:space="preserve">2 Oct and 3 Oct 2026</w:t>
            </w:r>
          </w:p>
        </w:tc>
        <w:tc>
          <w:tcPr>
            <w:tcW w:w="2548" w:type="dxa"/>
          </w:tcPr>
          <w:p>
            <w:pPr>
              <w:pStyle w:val="Compact"/>
              <w:spacing w:before="0" w:after="0" w:lineRule="exact" w:line="220"/>
              <w:jc w:val="left"/>
            </w:pPr>
            <w:r>
              <w:rPr>
                <w:sz w:val="18"/>
              </w:rPr>
              <w:t xml:space="preserve">Hold (21.6, 19.8, 17.8 and 17.2 percent)</w:t>
            </w:r>
          </w:p>
        </w:tc>
      </w:tr>
      <w:tr>
        <w:trPr>
          <w:cantSplit/>
        </w:trPr>
        <w:tc>
          <w:tcPr>
            <w:tcW w:w="1225" w:type="dxa"/>
          </w:tcPr>
          <w:p>
            <w:pPr>
              <w:pStyle w:val="Compact"/>
              <w:spacing w:before="0" w:after="0" w:lineRule="exact" w:line="220"/>
              <w:jc w:val="left"/>
            </w:pPr>
            <w:r>
              <w:rPr>
                <w:sz w:val="18"/>
              </w:rPr>
              <w:t xml:space="preserve">E3</w:t>
            </w:r>
          </w:p>
        </w:tc>
        <w:tc>
          <w:tcPr>
            <w:tcW w:w="2183" w:type="dxa"/>
          </w:tcPr>
          <w:p>
            <w:pPr>
              <w:pStyle w:val="Compact"/>
              <w:spacing w:before="0" w:after="0" w:lineRule="exact" w:line="220"/>
              <w:jc w:val="left"/>
            </w:pPr>
            <w:r>
              <w:rPr>
                <w:sz w:val="18"/>
              </w:rPr>
              <w:t xml:space="preserve">Shopee reaches at least as many sellers as Tokopedia</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Holds (7.5 against 2.2 percent of all sellers)</w:t>
            </w:r>
          </w:p>
        </w:tc>
      </w:tr>
      <w:tr>
        <w:trPr>
          <w:cantSplit/>
        </w:trPr>
        <w:tc>
          <w:tcPr>
            <w:tcW w:w="1225" w:type="dxa"/>
          </w:tcPr>
          <w:p>
            <w:pPr>
              <w:pStyle w:val="Compact"/>
              <w:spacing w:before="0" w:after="0" w:lineRule="exact" w:line="220"/>
              <w:jc w:val="left"/>
            </w:pPr>
            <w:r>
              <w:rPr>
                <w:sz w:val="18"/>
              </w:rPr>
              <w:t xml:space="preserve">E4</w:t>
            </w:r>
          </w:p>
        </w:tc>
        <w:tc>
          <w:tcPr>
            <w:tcW w:w="2183" w:type="dxa"/>
          </w:tcPr>
          <w:p>
            <w:pPr>
              <w:pStyle w:val="Compact"/>
              <w:spacing w:before="0" w:after="0" w:lineRule="exact" w:line="220"/>
              <w:jc w:val="left"/>
            </w:pPr>
            <w:r>
              <w:rPr>
                <w:sz w:val="18"/>
              </w:rPr>
              <w:t xml:space="preserve">Entrants use chat or social media at least as often as earlier sellers</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Holds, with no power (nearly everyone uses them)</w:t>
            </w:r>
          </w:p>
        </w:tc>
      </w:tr>
      <w:tr>
        <w:trPr>
          <w:cantSplit/>
        </w:trPr>
        <w:tc>
          <w:tcPr>
            <w:tcW w:w="1225" w:type="dxa"/>
          </w:tcPr>
          <w:p>
            <w:pPr>
              <w:pStyle w:val="Compact"/>
              <w:spacing w:before="0" w:after="0" w:lineRule="exact" w:line="220"/>
              <w:jc w:val="left"/>
            </w:pPr>
            <w:r>
              <w:rPr>
                <w:sz w:val="18"/>
              </w:rPr>
              <w:t xml:space="preserve">E5</w:t>
            </w:r>
          </w:p>
        </w:tc>
        <w:tc>
          <w:tcPr>
            <w:tcW w:w="2183" w:type="dxa"/>
          </w:tcPr>
          <w:p>
            <w:pPr>
              <w:pStyle w:val="Compact"/>
              <w:spacing w:before="0" w:after="0" w:lineRule="exact" w:line="220"/>
              <w:jc w:val="left"/>
            </w:pPr>
            <w:r>
              <w:rPr>
                <w:sz w:val="18"/>
              </w:rPr>
              <w:t xml:space="preserve">At least 21.5 percent of 2023 sellers began in 2023 (the entry test)</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rPr>
          <w:cantSplit/>
        </w:trPr>
        <w:tc>
          <w:tcPr>
            <w:tcW w:w="1225" w:type="dxa"/>
          </w:tcPr>
          <w:p>
            <w:pPr>
              <w:pStyle w:val="Compact"/>
              <w:spacing w:before="0" w:after="0" w:lineRule="exact" w:line="220"/>
              <w:jc w:val="left"/>
            </w:pPr>
            <w:r>
              <w:rPr>
                <w:sz w:val="18"/>
              </w:rPr>
              <w:t xml:space="preserve">E6</w:t>
            </w:r>
          </w:p>
        </w:tc>
        <w:tc>
          <w:tcPr>
            <w:tcW w:w="2183" w:type="dxa"/>
          </w:tcPr>
          <w:p>
            <w:pPr>
              <w:pStyle w:val="Compact"/>
              <w:spacing w:before="0" w:after="0" w:lineRule="exact" w:line="220"/>
              <w:jc w:val="left"/>
            </w:pPr>
            <w:r>
              <w:rPr>
                <w:sz w:val="18"/>
              </w:rPr>
              <w:t xml:space="preserve">The median change in sales of sellers already online is at most 10.36 percent</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Holds (median 0 percent)</w:t>
            </w:r>
          </w:p>
        </w:tc>
      </w:tr>
      <w:tr>
        <w:trPr>
          <w:cantSplit/>
        </w:trPr>
        <w:tc>
          <w:tcPr>
            <w:tcW w:w="1225" w:type="dxa"/>
          </w:tcPr>
          <w:p>
            <w:pPr>
              <w:pStyle w:val="Compact"/>
              <w:spacing w:before="0" w:after="0" w:lineRule="exact" w:line="220"/>
              <w:jc w:val="left"/>
            </w:pPr>
            <w:r>
              <w:rPr>
                <w:sz w:val="18"/>
              </w:rPr>
              <w:t xml:space="preserve">E7</w:t>
            </w:r>
          </w:p>
        </w:tc>
        <w:tc>
          <w:tcPr>
            <w:tcW w:w="2183" w:type="dxa"/>
          </w:tcPr>
          <w:p>
            <w:pPr>
              <w:pStyle w:val="Compact"/>
              <w:spacing w:before="0" w:after="0" w:lineRule="exact" w:line="220"/>
              <w:jc w:val="left"/>
            </w:pPr>
            <w:r>
              <w:rPr>
                <w:sz w:val="18"/>
              </w:rPr>
              <w:t xml:space="preserve">The share of value held by sellers without statements fell by at most 5 points from 2020 to 2022</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Falsified, narrowly (5.8 points; 3.3 on the second version)</w:t>
            </w:r>
          </w:p>
        </w:tc>
      </w:tr>
      <w:tr>
        <w:trPr>
          <w:cantSplit/>
        </w:trPr>
        <w:tc>
          <w:tcPr>
            <w:tcW w:w="1225" w:type="dxa"/>
          </w:tcPr>
          <w:p>
            <w:pPr>
              <w:pStyle w:val="Compact"/>
              <w:spacing w:before="0" w:after="0" w:lineRule="exact" w:line="220"/>
              <w:jc w:val="left"/>
            </w:pPr>
            <w:r>
              <w:rPr>
                <w:sz w:val="18"/>
              </w:rPr>
              <w:t xml:space="preserve">E8</w:t>
            </w:r>
          </w:p>
        </w:tc>
        <w:tc>
          <w:tcPr>
            <w:tcW w:w="2183" w:type="dxa"/>
          </w:tcPr>
          <w:p>
            <w:pPr>
              <w:pStyle w:val="Compact"/>
              <w:spacing w:before="0" w:after="0" w:lineRule="exact" w:line="220"/>
              <w:jc w:val="left"/>
            </w:pPr>
            <w:r>
              <w:rPr>
                <w:sz w:val="18"/>
              </w:rPr>
              <w:t xml:space="preserve">Sellers with revenue of Rp300 million a year or more hold over half of marketplace value</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(92.2 percent, middle scenario, an upper bound)</w:t>
            </w:r>
          </w:p>
        </w:tc>
      </w:tr>
      <w:tr>
        <w:trPr>
          <w:cantSplit/>
        </w:trPr>
        <w:tc>
          <w:tcPr>
            <w:tcW w:w="1225" w:type="dxa"/>
          </w:tcPr>
          <w:p>
            <w:pPr>
              <w:pStyle w:val="Compact"/>
              <w:spacing w:before="0" w:after="0" w:lineRule="exact" w:line="220"/>
              <w:jc w:val="left"/>
            </w:pPr>
            <w:r>
              <w:rPr>
                <w:sz w:val="18"/>
              </w:rPr>
              <w:t xml:space="preserve">RBI</w:t>
            </w:r>
          </w:p>
        </w:tc>
        <w:tc>
          <w:tcPr>
            <w:tcW w:w="2183" w:type="dxa"/>
          </w:tcPr>
          <w:p>
            <w:pPr>
              <w:pStyle w:val="Compact"/>
              <w:spacing w:before="0" w:after="0" w:lineRule="exact" w:line="220"/>
              <w:jc w:val="left"/>
            </w:pPr>
            <w:r>
              <w:rPr>
                <w:sz w:val="18"/>
              </w:rPr>
              <w:t xml:space="preserve">The marketplace part sold to final consumers is below Bank Indonesia’s 2022 figure</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in the low (0.16) and middle (0.68) scenarios; fails in the high one (1.62)</w:t>
            </w:r>
          </w:p>
        </w:tc>
      </w:tr>
      <w:tr>
        <w:trPr>
          <w:cantSplit/>
        </w:trPr>
        <w:tc>
          <w:tcPr>
            <w:tcW w:w="1225" w:type="dxa"/>
          </w:tcPr>
          <w:p>
            <w:pPr>
              <w:pStyle w:val="Compact"/>
              <w:spacing w:before="0" w:after="0" w:lineRule="exact" w:line="220"/>
              <w:jc w:val="left"/>
            </w:pPr>
            <w:r>
              <w:rPr>
                <w:sz w:val="18"/>
              </w:rPr>
              <w:t xml:space="preserve">W1, W2</w:t>
            </w:r>
          </w:p>
        </w:tc>
        <w:tc>
          <w:tcPr>
            <w:tcW w:w="2183" w:type="dxa"/>
          </w:tcPr>
          <w:p>
            <w:pPr>
              <w:pStyle w:val="Compact"/>
              <w:spacing w:before="0" w:after="0" w:lineRule="exact" w:line="220"/>
              <w:jc w:val="left"/>
            </w:pPr>
            <w:r>
              <w:rPr>
                <w:sz w:val="18"/>
              </w:rPr>
              <w:t xml:space="preserve">Unregistered firms using social media keep written records and take digital payments more often</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 (29.9 against 12.3 percent; 11.5 against 2.7 percent)</w:t>
            </w:r>
          </w:p>
        </w:tc>
      </w:tr>
      <w:tr>
        <w:trPr>
          <w:cantSplit/>
        </w:trPr>
        <w:tc>
          <w:tcPr>
            <w:tcW w:w="1225" w:type="dxa"/>
          </w:tcPr>
          <w:p>
            <w:pPr>
              <w:pStyle w:val="Compact"/>
              <w:spacing w:before="0" w:after="0" w:lineRule="exact" w:line="220"/>
              <w:jc w:val="left"/>
            </w:pPr>
            <w:r>
              <w:rPr>
                <w:sz w:val="18"/>
              </w:rPr>
              <w:t xml:space="preserve">W3</w:t>
            </w:r>
          </w:p>
        </w:tc>
        <w:tc>
          <w:tcPr>
            <w:tcW w:w="2183" w:type="dxa"/>
          </w:tcPr>
          <w:p>
            <w:pPr>
              <w:pStyle w:val="Compact"/>
              <w:spacing w:before="0" w:after="0" w:lineRule="exact" w:line="220"/>
              <w:jc w:val="left"/>
            </w:pPr>
            <w:r>
              <w:rPr>
                <w:sz w:val="18"/>
              </w:rPr>
              <w:t xml:space="preserve">Their mean annual sales are below Rp100 million (about US$6,600)</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Falsified (mean Rp111 million; median Rp60 million)</w:t>
            </w:r>
          </w:p>
        </w:tc>
      </w:tr>
      <w:tr>
        <w:trPr>
          <w:cantSplit/>
        </w:trPr>
        <w:tc>
          <w:tcPr>
            <w:tcW w:w="1225" w:type="dxa"/>
          </w:tcPr>
          <w:p>
            <w:pPr>
              <w:pStyle w:val="Compact"/>
              <w:spacing w:before="0" w:after="0" w:lineRule="exact" w:line="220"/>
              <w:jc w:val="left"/>
            </w:pPr>
            <w:r>
              <w:rPr>
                <w:sz w:val="18"/>
              </w:rPr>
              <w:t xml:space="preserve">F1, F2</w:t>
            </w:r>
          </w:p>
        </w:tc>
        <w:tc>
          <w:tcPr>
            <w:tcW w:w="2183" w:type="dxa"/>
          </w:tcPr>
          <w:p>
            <w:pPr>
              <w:pStyle w:val="Compact"/>
              <w:spacing w:before="0" w:after="0" w:lineRule="exact" w:line="220"/>
              <w:jc w:val="left"/>
            </w:pPr>
            <w:r>
              <w:rPr>
                <w:sz w:val="18"/>
              </w:rPr>
              <w:t xml:space="preserve">Formal firms with a website take more e-payments and file taxes online more often</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w:t>
            </w:r>
          </w:p>
        </w:tc>
      </w:tr>
      <w:tr>
        <w:trPr>
          <w:cantSplit/>
        </w:trPr>
        <w:tc>
          <w:tcPr>
            <w:tcW w:w="1225" w:type="dxa"/>
          </w:tcPr>
          <w:p>
            <w:pPr>
              <w:pStyle w:val="Compact"/>
              <w:spacing w:before="0" w:after="0" w:lineRule="exact" w:line="220"/>
              <w:jc w:val="left"/>
            </w:pPr>
            <w:r>
              <w:rPr>
                <w:sz w:val="18"/>
              </w:rPr>
              <w:t xml:space="preserve">F3</w:t>
            </w:r>
          </w:p>
        </w:tc>
        <w:tc>
          <w:tcPr>
            <w:tcW w:w="2183" w:type="dxa"/>
          </w:tcPr>
          <w:p>
            <w:pPr>
              <w:pStyle w:val="Compact"/>
              <w:spacing w:before="0" w:after="0" w:lineRule="exact" w:line="220"/>
              <w:jc w:val="left"/>
            </w:pPr>
            <w:r>
              <w:rPr>
                <w:sz w:val="18"/>
              </w:rPr>
              <w:t xml:space="preserve">More than one third of formal firms have neither a website nor online tax filing</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(39.9 percent), after a disclosed coding fix: the first run read</w:t>
            </w:r>
            <w:r>
              <w:rPr>
                <w:sz w:val="18"/>
              </w:rPr>
              <w:t xml:space="preserve"> </w:t>
            </w:r>
            <w:r>
              <w:rPr>
                <w:sz w:val="18"/>
              </w:rPr>
              <w:t xml:space="preserve">“</w:t>
            </w:r>
            <w:r>
              <w:rPr>
                <w:sz w:val="18"/>
              </w:rPr>
              <w:t xml:space="preserve">yes, partially</w:t>
            </w:r>
            <w:r>
              <w:rPr>
                <w:sz w:val="18"/>
              </w:rPr>
              <w:t xml:space="preserve">”</w:t>
            </w:r>
            <w:r>
              <w:rPr>
                <w:sz w:val="18"/>
              </w:rPr>
              <w:t xml:space="preserve"> </w:t>
            </w:r>
            <w:r>
              <w:rPr>
                <w:sz w:val="18"/>
              </w:rPr>
              <w:t xml:space="preserve">as no for online filing and gave 13.0 percent; the questionnaire counts it as yes</w:t>
            </w:r>
          </w:p>
        </w:tc>
      </w:tr>
      <w:tr>
        <w:trPr>
          <w:cantSplit/>
        </w:trPr>
        <w:tc>
          <w:tcPr>
            <w:tcW w:w="1225" w:type="dxa"/>
          </w:tcPr>
          <w:p>
            <w:pPr>
              <w:pStyle w:val="Compact"/>
              <w:spacing w:before="0" w:after="0" w:lineRule="exact" w:line="220"/>
              <w:jc w:val="left"/>
            </w:pPr>
            <w:r>
              <w:rPr>
                <w:sz w:val="18"/>
              </w:rPr>
              <w:t xml:space="preserve">X3</w:t>
            </w:r>
          </w:p>
        </w:tc>
        <w:tc>
          <w:tcPr>
            <w:tcW w:w="2183" w:type="dxa"/>
          </w:tcPr>
          <w:p>
            <w:pPr>
              <w:pStyle w:val="Compact"/>
              <w:spacing w:before="0" w:after="0" w:lineRule="exact" w:line="220"/>
              <w:jc w:val="left"/>
            </w:pPr>
            <w:r>
              <w:rPr>
                <w:sz w:val="18"/>
              </w:rPr>
              <w:t xml:space="preserve">Indonesia’s share of firms with neither is the highest of the countries compared</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Withdrawn as a test (addendum of 16 Oct 2026): published e-filing shares seen at registration already capped every other country below Indonesia. Reported as descriptive (Malaysia 9.1, Thailand 8.7)</w:t>
            </w:r>
          </w:p>
        </w:tc>
      </w:tr>
      <w:tr>
        <w:trPr>
          <w:cantSplit/>
        </w:trPr>
        <w:tc>
          <w:tcPr>
            <w:tcW w:w="1225" w:type="dxa"/>
          </w:tcPr>
          <w:p>
            <w:pPr>
              <w:pStyle w:val="Compact"/>
              <w:spacing w:before="0" w:after="0" w:lineRule="exact" w:line="220"/>
              <w:jc w:val="left"/>
            </w:pPr>
            <w:r>
              <w:rPr>
                <w:sz w:val="18"/>
              </w:rPr>
              <w:t xml:space="preserve">X2</w:t>
            </w:r>
          </w:p>
        </w:tc>
        <w:tc>
          <w:tcPr>
            <w:tcW w:w="2183" w:type="dxa"/>
          </w:tcPr>
          <w:p>
            <w:pPr>
              <w:pStyle w:val="Compact"/>
              <w:spacing w:before="0" w:after="0" w:lineRule="exact" w:line="220"/>
              <w:jc w:val="left"/>
            </w:pPr>
            <w:r>
              <w:rPr>
                <w:sz w:val="18"/>
              </w:rPr>
              <w:t xml:space="preserve">Firms with a website file taxes online more often, in at least 3 of 4 countries</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in 4 of 4</w:t>
            </w:r>
          </w:p>
        </w:tc>
      </w:tr>
      <w:tr>
        <w:trPr>
          <w:cantSplit/>
        </w:trPr>
        <w:tc>
          <w:tcPr>
            <w:tcW w:w="1225" w:type="dxa"/>
          </w:tcPr>
          <w:p>
            <w:pPr>
              <w:pStyle w:val="Compact"/>
              <w:spacing w:before="0" w:after="0" w:lineRule="exact" w:line="220"/>
              <w:jc w:val="left"/>
            </w:pPr>
            <w:r>
              <w:rPr>
                <w:sz w:val="18"/>
              </w:rPr>
              <w:t xml:space="preserve">Q1</w:t>
            </w:r>
          </w:p>
        </w:tc>
        <w:tc>
          <w:tcPr>
            <w:tcW w:w="2183" w:type="dxa"/>
          </w:tcPr>
          <w:p>
            <w:pPr>
              <w:pStyle w:val="Compact"/>
              <w:spacing w:before="0" w:after="0" w:lineRule="exact" w:line="220"/>
              <w:jc w:val="left"/>
            </w:pPr>
            <w:r>
              <w:rPr>
                <w:sz w:val="18"/>
              </w:rPr>
              <w:t xml:space="preserve">The test of H1 with quarterly pairs rejects H1</w:t>
            </w:r>
          </w:p>
        </w:tc>
        <w:tc>
          <w:tcPr>
            <w:tcW w:w="2548" w:type="dxa"/>
          </w:tcPr>
          <w:p>
            <w:pPr>
              <w:pStyle w:val="Compact"/>
              <w:spacing w:before="0" w:after="0" w:lineRule="exact" w:line="220"/>
              <w:jc w:val="left"/>
            </w:pPr>
            <w:r>
              <w:rPr>
                <w:sz w:val="18"/>
              </w:rPr>
              <w:t xml:space="preserve">7 Oct 2026, before it was run, but after the quarterly series had been built and the annual result was known, so it is a robustness check</w:t>
            </w:r>
          </w:p>
        </w:tc>
        <w:tc>
          <w:tcPr>
            <w:tcW w:w="2548" w:type="dxa"/>
          </w:tcPr>
          <w:p>
            <w:pPr>
              <w:pStyle w:val="Compact"/>
              <w:spacing w:before="0" w:after="0" w:lineRule="exact" w:line="220"/>
              <w:jc w:val="left"/>
            </w:pPr>
            <w:r>
              <w:rPr>
                <w:sz w:val="18"/>
              </w:rPr>
              <w:t xml:space="preserve">Falsified (p = 0.19)</w:t>
            </w:r>
          </w:p>
        </w:tc>
      </w:tr>
      <w:tr>
        <w:trPr>
          <w:cantSplit/>
        </w:trPr>
        <w:tc>
          <w:tcPr>
            <w:tcW w:w="1225" w:type="dxa"/>
          </w:tcPr>
          <w:p>
            <w:pPr>
              <w:pStyle w:val="Compact"/>
              <w:spacing w:before="0" w:after="0" w:lineRule="exact" w:line="220"/>
              <w:jc w:val="left"/>
            </w:pPr>
            <w:r>
              <w:rPr>
                <w:sz w:val="18"/>
              </w:rPr>
              <w:t xml:space="preserve">M1</w:t>
            </w:r>
          </w:p>
        </w:tc>
        <w:tc>
          <w:tcPr>
            <w:tcW w:w="2183" w:type="dxa"/>
          </w:tcPr>
          <w:p>
            <w:pPr>
              <w:pStyle w:val="Compact"/>
              <w:spacing w:before="0" w:after="0" w:lineRule="exact" w:line="220"/>
              <w:jc w:val="left"/>
            </w:pPr>
            <w:r>
              <w:rPr>
                <w:sz w:val="18"/>
              </w:rPr>
              <w:t xml:space="preserve">Markets value growth from more transactions more than growth from a higher take rate</w:t>
            </w:r>
          </w:p>
        </w:tc>
        <w:tc>
          <w:tcPr>
            <w:tcW w:w="2548" w:type="dxa"/>
          </w:tcPr>
          <w:p>
            <w:pPr>
              <w:pStyle w:val="Compact"/>
              <w:spacing w:before="0" w:after="0" w:lineRule="exact" w:line="220"/>
              <w:jc w:val="left"/>
            </w:pPr>
            <w:r>
              <w:rPr>
                <w:sz w:val="18"/>
              </w:rPr>
              <w:t xml:space="preserve">8 Oct 2026, before the market values were pulled</w:t>
            </w:r>
          </w:p>
        </w:tc>
        <w:tc>
          <w:tcPr>
            <w:tcW w:w="2548" w:type="dxa"/>
          </w:tcPr>
          <w:p>
            <w:pPr>
              <w:pStyle w:val="Compact"/>
              <w:spacing w:before="0" w:after="0" w:lineRule="exact" w:line="220"/>
              <w:jc w:val="left"/>
            </w:pPr>
            <w:r>
              <w:rPr>
                <w:sz w:val="18"/>
              </w:rPr>
              <w:t xml:space="preserve">Falsified in the main sample (p = 0.20) and with extreme values capped (p = 0.16); holds in the second run of 34 platforms (p = 0.004), which mixes segment figures with whole-company values</w:t>
            </w:r>
          </w:p>
        </w:tc>
      </w:tr>
      <w:tr>
        <w:trPr>
          <w:cantSplit/>
        </w:trPr>
        <w:tc>
          <w:tcPr>
            <w:tcW w:w="1225" w:type="dxa"/>
          </w:tcPr>
          <w:p>
            <w:pPr>
              <w:pStyle w:val="Compact"/>
              <w:spacing w:before="0" w:after="0" w:lineRule="exact" w:line="220"/>
              <w:jc w:val="left"/>
            </w:pPr>
            <w:r>
              <w:rPr>
                <w:sz w:val="18"/>
              </w:rPr>
              <w:t xml:space="preserve">M2</w:t>
            </w:r>
          </w:p>
        </w:tc>
        <w:tc>
          <w:tcPr>
            <w:tcW w:w="2183" w:type="dxa"/>
          </w:tcPr>
          <w:p>
            <w:pPr>
              <w:pStyle w:val="Compact"/>
              <w:spacing w:before="0" w:after="0" w:lineRule="exact" w:line="220"/>
              <w:jc w:val="left"/>
            </w:pPr>
            <w:r>
              <w:rPr>
                <w:sz w:val="18"/>
              </w:rPr>
              <w:t xml:space="preserve">Market value moves with transaction value</w:t>
            </w:r>
          </w:p>
        </w:tc>
        <w:tc>
          <w:tcPr>
            <w:tcW w:w="2548" w:type="dxa"/>
          </w:tcPr>
          <w:p>
            <w:pPr>
              <w:pStyle w:val="Compact"/>
              <w:spacing w:before="0" w:after="0" w:lineRule="exact" w:line="220"/>
              <w:jc w:val="left"/>
            </w:pPr>
            <w:r>
              <w:rPr>
                <w:sz w:val="18"/>
              </w:rPr>
              <w:t xml:space="preserve">8 Oct 2026</w:t>
            </w:r>
          </w:p>
        </w:tc>
        <w:tc>
          <w:tcPr>
            <w:tcW w:w="2548" w:type="dxa"/>
          </w:tcPr>
          <w:p>
            <w:pPr>
              <w:pStyle w:val="Compact"/>
              <w:spacing w:before="0" w:after="0" w:lineRule="exact" w:line="220"/>
              <w:jc w:val="left"/>
            </w:pPr>
            <w:r>
              <w:rPr>
                <w:sz w:val="18"/>
              </w:rPr>
              <w:t xml:space="preserve">Holds (p = 0.002)</w:t>
            </w:r>
          </w:p>
        </w:tc>
      </w:tr>
      <w:tr>
        <w:trPr>
          <w:cantSplit/>
        </w:trPr>
        <w:tc>
          <w:tcPr>
            <w:tcW w:w="1225" w:type="dxa"/>
          </w:tcPr>
          <w:p>
            <w:pPr>
              <w:pStyle w:val="Compact"/>
              <w:spacing w:before="0" w:after="0" w:lineRule="exact" w:line="220"/>
              <w:jc w:val="left"/>
            </w:pPr>
            <w:r>
              <w:rPr>
                <w:sz w:val="18"/>
              </w:rPr>
              <w:t xml:space="preserve">L (P1 to P3)</w:t>
            </w:r>
          </w:p>
        </w:tc>
        <w:tc>
          <w:tcPr>
            <w:tcW w:w="2183" w:type="dxa"/>
          </w:tcPr>
          <w:p>
            <w:pPr>
              <w:pStyle w:val="Compact"/>
              <w:spacing w:before="0" w:after="0" w:lineRule="exact" w:line="220"/>
              <w:jc w:val="left"/>
            </w:pPr>
            <w:r>
              <w:rPr>
                <w:sz w:val="18"/>
              </w:rPr>
              <w:t xml:space="preserve">Large take-rate moves driven by discounts occur only where incentives are at least as large as revenue (L of 1 or more)</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Thin support out of sample: P1 holds on 2 of 2 cases; P3 fails at the main threshold (median move 0.117 against 0.10); rank correlation 0.20 (p = 0.43)</w:t>
            </w:r>
          </w:p>
        </w:tc>
      </w:tr>
      <w:tr>
        <w:trPr>
          <w:cantSplit/>
        </w:trPr>
        <w:tc>
          <w:tcPr>
            <w:tcW w:w="1225" w:type="dxa"/>
          </w:tcPr>
          <w:p>
            <w:pPr>
              <w:pStyle w:val="Compact"/>
              <w:spacing w:before="0" w:after="0" w:lineRule="exact" w:line="220"/>
              <w:jc w:val="left"/>
            </w:pPr>
            <w:r>
              <w:rPr>
                <w:sz w:val="18"/>
              </w:rPr>
              <w:t xml:space="preserve">P1 to P5, R1 to R3</w:t>
            </w:r>
          </w:p>
        </w:tc>
        <w:tc>
          <w:tcPr>
            <w:tcW w:w="2183" w:type="dxa"/>
          </w:tcPr>
          <w:p>
            <w:pPr>
              <w:pStyle w:val="Compact"/>
              <w:spacing w:before="0" w:after="0" w:lineRule="exact" w:line="220"/>
              <w:jc w:val="left"/>
            </w:pPr>
            <w:r>
              <w:rPr>
                <w:sz w:val="18"/>
              </w:rPr>
              <w:t xml:space="preserve">Predictions on the third-quarter 2026 results of GoTo, Grab and Sea</w:t>
            </w:r>
          </w:p>
        </w:tc>
        <w:tc>
          <w:tcPr>
            <w:tcW w:w="2548" w:type="dxa"/>
          </w:tcPr>
          <w:p>
            <w:pPr>
              <w:pStyle w:val="Compact"/>
              <w:spacing w:before="0" w:after="0" w:lineRule="exact" w:line="220"/>
              <w:jc w:val="left"/>
            </w:pPr>
            <w:r>
              <w:rPr>
                <w:sz w:val="18"/>
              </w:rPr>
              <w:t xml:space="preserve">2 and 3 Oct 2026</w:t>
            </w:r>
          </w:p>
        </w:tc>
        <w:tc>
          <w:tcPr>
            <w:tcW w:w="2548" w:type="dxa"/>
          </w:tcPr>
          <w:p>
            <w:pPr>
              <w:pStyle w:val="Compact"/>
              <w:spacing w:before="0" w:after="0" w:lineRule="exact" w:line="220"/>
              <w:jc w:val="left"/>
            </w:pPr>
            <w:r>
              <w:rPr>
                <w:sz w:val="18"/>
              </w:rPr>
              <w:t xml:space="preserve">Not yet scored; first results are due on 27 Oct 2026</w:t>
            </w:r>
          </w:p>
        </w:tc>
      </w:tr>
      <w:tr>
        <w:trPr>
          <w:cantSplit/>
        </w:trPr>
        <w:tc>
          <w:tcPr>
            <w:tcW w:w="1225" w:type="dxa"/>
          </w:tcPr>
          <w:p>
            <w:pPr>
              <w:pStyle w:val="Compact"/>
              <w:keepNext/>
              <w:spacing w:before="0" w:after="0" w:lineRule="exact" w:line="220"/>
              <w:jc w:val="left"/>
            </w:pPr>
            <w:r>
              <w:rPr>
                <w:sz w:val="18"/>
              </w:rPr>
              <w:t xml:space="preserve">Marketplace tax start</w:t>
            </w:r>
          </w:p>
        </w:tc>
        <w:tc>
          <w:tcPr>
            <w:tcW w:w="2183" w:type="dxa"/>
          </w:tcPr>
          <w:p>
            <w:pPr>
              <w:pStyle w:val="Compact"/>
              <w:keepNext/>
              <w:spacing w:before="0" w:after="0" w:lineRule="exact" w:line="220"/>
              <w:jc w:val="left"/>
            </w:pPr>
            <w:r>
              <w:rPr>
                <w:sz w:val="18"/>
              </w:rPr>
              <w:t xml:space="preserve">The tax start slips again</w:t>
            </w:r>
          </w:p>
        </w:tc>
        <w:tc>
          <w:tcPr>
            <w:tcW w:w="2548" w:type="dxa"/>
          </w:tcPr>
          <w:p>
            <w:pPr>
              <w:pStyle w:val="Compact"/>
              <w:keepNext/>
              <w:spacing w:before="0" w:after="0" w:lineRule="exact" w:line="220"/>
              <w:jc w:val="left"/>
            </w:pPr>
            <w:r>
              <w:rPr>
                <w:sz w:val="18"/>
              </w:rPr>
              <w:t xml:space="preserve">2 Oct 2026</w:t>
            </w:r>
          </w:p>
        </w:tc>
        <w:tc>
          <w:tcPr>
            <w:tcW w:w="2548" w:type="dxa"/>
          </w:tcPr>
          <w:p>
            <w:pPr>
              <w:pStyle w:val="Compact"/>
              <w:keepNext/>
              <w:spacing w:before="0" w:after="0" w:lineRule="exact" w:line="220"/>
              <w:jc w:val="left"/>
            </w:pPr>
            <w:r>
              <w:rPr>
                <w:sz w:val="18"/>
              </w:rPr>
              <w:t xml:space="preserve">Withdrawn: collection began on 1 Oct 2026, before the prediction was registered (addendum of 15 Oct 2026)</w:t>
            </w:r>
          </w:p>
        </w:tc>
      </w:tr>
      <w:tr>
        <w:trPr>
          <w:cantSplit/>
        </w:trPr>
        <w:tc>
          <w:tcPr>
            <w:tcW w:w="1225" w:type="dxa"/>
          </w:tcPr>
          <w:p>
            <w:pPr>
              <w:pStyle w:val="Compact"/>
              <w:spacing w:before="0" w:after="0" w:lineRule="exact" w:line="220"/>
              <w:jc w:val="left"/>
            </w:pPr>
            <w:r>
              <w:rPr>
                <w:sz w:val="18"/>
              </w:rPr>
              <w:t xml:space="preserve">BPS marketplace share</w:t>
            </w:r>
          </w:p>
        </w:tc>
        <w:tc>
          <w:tcPr>
            <w:tcW w:w="2183" w:type="dxa"/>
          </w:tcPr>
          <w:p>
            <w:pPr>
              <w:pStyle w:val="Compact"/>
              <w:spacing w:before="0" w:after="0" w:lineRule="exact" w:line="220"/>
              <w:jc w:val="left"/>
            </w:pPr>
            <w:r>
              <w:rPr>
                <w:sz w:val="18"/>
              </w:rPr>
              <w:t xml:space="preserve">The next published marketplace share is at most 15.79 percent</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Not yet scored</w:t>
            </w:r>
          </w:p>
        </w:tc>
      </w:tr>
    </w:tbl>
    <w:bookmarkEnd w:id="103"/>
    <w:bookmarkStart w:id="104" w:name="Xecbd4fe58fbe96cdac50dc82b61237ce64cf196"/>
    <w:p>
      <w:pPr>
        <w:pStyle w:val="Heading2"/>
      </w:pPr>
      <w:r>
        <w:t xml:space="preserve">Appendix E. The values behind Figures 4 to 6</w:t>
      </w:r>
    </w:p>
    <w:p>
      <w:pPr>
        <w:pStyle w:val="FirstParagraph"/>
        <w:jc w:val="left"/>
      </w:pPr>
      <w:r>
        <w:rPr>
          <w:bCs/>
          <w:b/>
        </w:rPr>
        <w:t xml:space="preserve">Growth in 2023, percent (Figure 4).</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jc w:val="left"/>
      </w:pPr>
      <w:r>
        <w:rPr>
          <w:bCs/>
          <w:b/>
        </w:rPr>
        <w:t xml:space="preserve">Who the extra sellers were, percent (Figure 5).</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jc w:val="left"/>
      </w:pPr>
      <w:r>
        <w:rPr>
          <w:bCs/>
          <w:b/>
        </w:rPr>
        <w:t xml:space="preserve">Marketplace use and financial statements, percent of sellers (Figure 6).</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jc w:val="lef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104"/>
    <w:bookmarkEnd w:id="105"/>
    <w:bookmarkStart w:id="106" w:name="references"/>
    <w:p>
      <w:pPr>
        <w:pStyle w:val="Heading1"/>
      </w:pPr>
      <w:r>
        <w:t xml:space="preserve">References</w:t>
      </w:r>
    </w:p>
    <w:p>
      <w:pPr>
        <w:pStyle w:val="FirstParagraph"/>
        <w:spacing w:after="120"/>
        <w:ind w:left="709" w:hanging="709"/>
        <w:jc w:val="left"/>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spacing w:after="120"/>
        <w:ind w:left="709" w:hanging="709"/>
        <w:jc w:val="lef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spacing w:after="120"/>
        <w:ind w:left="709" w:hanging="709"/>
        <w:jc w:val="lef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spacing w:after="120"/>
        <w:ind w:left="709" w:hanging="709"/>
        <w:jc w:val="lef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spacing w:after="120"/>
        <w:ind w:left="709" w:hanging="709"/>
        <w:jc w:val="left"/>
      </w:pPr>
      <w:r>
        <w:t xml:space="preserve">Bank for International Settlements. (2026).</w:t>
      </w:r>
      <w:r>
        <w:t xml:space="preserve"> </w:t>
      </w:r>
      <w:r>
        <w:rPr>
          <w:iCs/>
          <w:i/>
        </w:rPr>
        <w:t xml:space="preserve">Central bank policy rates</w:t>
      </w:r>
      <w:r>
        <w:t xml:space="preserve"> </w:t>
      </w:r>
      <w:r>
        <w:t xml:space="preserve">[Data set, WS_CBPOL, monthly]. https://data.bis.org</w:t>
      </w:r>
      <w:r>
        <w:t xml:space="preserve"> </w:t>
      </w: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w:t>
      </w:r>
    </w:p>
    <w:p>
      <w:pPr>
        <w:pStyle w:val="BodyText"/>
        <w:spacing w:after="120"/>
        <w:ind w:left="709" w:hanging="709"/>
        <w:jc w:val="left"/>
      </w:pPr>
      <w:r>
        <w:t xml:space="preserve">Bank Indonesia. (2025, October 30).</w:t>
      </w:r>
      <w:r>
        <w:t xml:space="preserve"> </w:t>
      </w:r>
      <w:r>
        <w:rPr>
          <w:iCs/>
          <w:i/>
        </w:rPr>
        <w:t xml:space="preserve">Sinergi jadi energi: Saat UMKM naik kelas lewat digitalisasi</w:t>
      </w:r>
      <w:r>
        <w:t xml:space="preserve"> </w:t>
      </w:r>
      <w:r>
        <w:t xml:space="preserve">[Synergy becomes energy: When small businesses move up through digitalisation] [Cerita BI]. https://www.bi.go.id/id/publikasi/ruang-media/cerita-bi/Pages/Sinergi-Jadi-Energi-Saat-UMKM-Naik-Kelas-Lewat-Digitalisasi.aspx</w:t>
      </w:r>
    </w:p>
    <w:p>
      <w:pPr>
        <w:pStyle w:val="BodyText"/>
        <w:spacing w:after="120"/>
        <w:ind w:left="709" w:hanging="709"/>
        <w:jc w:val="lef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spacing w:after="120"/>
        <w:ind w:left="709" w:hanging="709"/>
        <w:jc w:val="lef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spacing w:after="120"/>
        <w:ind w:left="709" w:hanging="709"/>
        <w:jc w:val="lef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Berita Negara Republik Indonesia Tahun 2023 Nomor 257. https://jdih.bps.go.id</w:t>
      </w:r>
    </w:p>
    <w:p>
      <w:pPr>
        <w:pStyle w:val="BodyText"/>
        <w:spacing w:after="120"/>
        <w:ind w:left="709" w:hanging="709"/>
        <w:jc w:val="lef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spacing w:after="120"/>
        <w:ind w:left="709" w:hanging="709"/>
        <w:jc w:val="lef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spacing w:after="120"/>
        <w:ind w:left="709" w:hanging="709"/>
        <w:jc w:val="lef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spacing w:after="120"/>
        <w:ind w:left="709" w:hanging="709"/>
        <w:jc w:val="lef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spacing w:after="120"/>
        <w:ind w:left="709" w:hanging="709"/>
        <w:jc w:val="left"/>
      </w:pPr>
      <w:r>
        <w:t xml:space="preserve">Bureau of Internal Revenue. (2023).</w:t>
      </w:r>
      <w:r>
        <w:t xml:space="preserve"> </w:t>
      </w:r>
      <w:r>
        <w:rPr>
          <w:iCs/>
          <w:i/>
        </w:rPr>
        <w:t xml:space="preserve">Revenue Regulations No. 16-2023</w:t>
      </w:r>
      <w:r>
        <w:t xml:space="preserve"> </w:t>
      </w:r>
      <w:r>
        <w:t xml:space="preserve">[Issued December 21, 2023]. Republic of the Philippines. [Primary text not retrieved; details from Cordero, T. (2023, December 29), BIR subjects online sellers to 1% withholding tax,</w:t>
      </w:r>
      <w:r>
        <w:t xml:space="preserve"> </w:t>
      </w:r>
      <w:r>
        <w:rPr>
          <w:iCs/>
          <w:i/>
        </w:rPr>
        <w:t xml:space="preserve">GMA News</w:t>
      </w:r>
      <w:r>
        <w:t xml:space="preserve">, https://www.gmanetwork.com/news/money/economy/892606/bir-subjects-online-sellers-to-1-withholding-tax/story/]</w:t>
      </w:r>
    </w:p>
    <w:p>
      <w:pPr>
        <w:pStyle w:val="BodyText"/>
        <w:spacing w:after="120"/>
        <w:ind w:left="709" w:hanging="709"/>
        <w:jc w:val="lef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spacing w:after="120"/>
        <w:ind w:left="709" w:hanging="709"/>
        <w:jc w:val="lef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spacing w:after="120"/>
        <w:ind w:left="709" w:hanging="709"/>
        <w:jc w:val="lef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spacing w:after="120"/>
        <w:ind w:left="709" w:hanging="709"/>
        <w:jc w:val="lef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 https://doi.org/10.1162/rest.90.3.414</w:t>
      </w:r>
      <w:r>
        <w:t xml:space="preserve"> </w:t>
      </w: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spacing w:after="120"/>
        <w:ind w:left="709" w:hanging="709"/>
        <w:jc w:val="left"/>
      </w:pPr>
      <w:r>
        <w:t xml:space="preserve">Directorate General of Taxes. (2025, January 20).</w:t>
      </w:r>
      <w:r>
        <w:t xml:space="preserve"> </w:t>
      </w:r>
      <w:r>
        <w:rPr>
          <w:iCs/>
          <w:i/>
        </w:rPr>
        <w:t xml:space="preserve">Pajak atas usaha ekonomi digital terkini: 32,32 triliun</w:t>
      </w:r>
      <w:r>
        <w:t xml:space="preserve"> </w:t>
      </w:r>
      <w:r>
        <w:t xml:space="preserve">[Latest tax from the digital economy: Rp32.32 trillion] (Press Release No. SP-1/2025). Ministry of Finance of the Republic of Indonesia. https://pajak.go.id/id/siaran-pers/pajak-atas-usaha-ekonomi-digital-terkini-3232-triliun</w:t>
      </w:r>
    </w:p>
    <w:p>
      <w:pPr>
        <w:pStyle w:val="BodyText"/>
        <w:spacing w:after="120"/>
        <w:ind w:left="709" w:hanging="709"/>
        <w:jc w:val="left"/>
      </w:pPr>
      <w:r>
        <w:t xml:space="preserve">Directorate General of Taxes. (2026a, July 1).</w:t>
      </w:r>
      <w:r>
        <w:t xml:space="preserve"> </w:t>
      </w:r>
      <w:r>
        <w:rPr>
          <w:iCs/>
          <w:i/>
        </w:rPr>
        <w:t xml:space="preserve">Pemerintah implementasikan PMK 37/2025 melalui penunjukan empat marketplace sebagai pemungut PPh</w:t>
      </w:r>
      <w:r>
        <w:t xml:space="preserve"> </w:t>
      </w:r>
      <w:r>
        <w:t xml:space="preserve">[Government implements Finance Minister Regulation 37/2025 by designating four marketplaces as income tax collectors] (Press Release No. SP-14/2026). Ministry of Finance of the Republic of Indonesia. https://www.pajak.go.id/en/node/120146</w:t>
      </w:r>
    </w:p>
    <w:p>
      <w:pPr>
        <w:pStyle w:val="BodyText"/>
        <w:spacing w:after="120"/>
        <w:ind w:left="709" w:hanging="709"/>
        <w:jc w:val="left"/>
      </w:pPr>
      <w:r>
        <w:t xml:space="preserve">Directorate General of Taxes. (2026b, August 5).</w:t>
      </w:r>
      <w:r>
        <w:t xml:space="preserve"> </w:t>
      </w:r>
      <w:r>
        <w:rPr>
          <w:iCs/>
          <w:i/>
        </w:rPr>
        <w:t xml:space="preserve">Pengumuman Nomor PENG-46/PJ.09/2026 tentang penundaan waktu pemberlakuan ketentuan pemungutan PPh Pasal 22 oleh marketplace</w:t>
      </w:r>
      <w:r>
        <w:t xml:space="preserve"> </w:t>
      </w:r>
      <w:r>
        <w:t xml:space="preserve">[Announcement No. PENG-46/PJ.09/2026 on postponing marketplace collection of income tax Article 22 to 1 November 2026]. Ministry of Finance of the Republic of Indonesia. https://pajak.go.id/en/node/120353</w:t>
      </w:r>
    </w:p>
    <w:p>
      <w:pPr>
        <w:pStyle w:val="BodyText"/>
        <w:spacing w:after="120"/>
        <w:ind w:left="709" w:hanging="709"/>
        <w:jc w:val="lef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spacing w:after="120"/>
        <w:ind w:left="709" w:hanging="709"/>
        <w:jc w:val="left"/>
      </w:pPr>
      <w:r>
        <w:t xml:space="preserve">European Commission, International Monetary Fund, Organisation for Economic Co-operation and Development, United Nations, &amp; World Bank. (2025).</w:t>
      </w:r>
      <w:r>
        <w:t xml:space="preserve"> </w:t>
      </w:r>
      <w:r>
        <w:rPr>
          <w:iCs/>
          <w:i/>
        </w:rPr>
        <w:t xml:space="preserve">System of national accounts 2025</w:t>
      </w:r>
      <w:r>
        <w:t xml:space="preserve"> </w:t>
      </w:r>
      <w:r>
        <w:t xml:space="preserve">(Pre-edit version; Studies in Methods, Series F, No. 2/Rev.6). United Nations. https://doi.org/10.18356/9789211073225</w:t>
      </w:r>
    </w:p>
    <w:p>
      <w:pPr>
        <w:pStyle w:val="BodyText"/>
        <w:spacing w:after="120"/>
        <w:ind w:left="709" w:hanging="709"/>
        <w:jc w:val="lef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spacing w:after="120"/>
        <w:ind w:left="709" w:hanging="709"/>
        <w:jc w:val="lef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spacing w:after="120"/>
        <w:ind w:left="709" w:hanging="709"/>
        <w:jc w:val="lef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spacing w:after="120"/>
        <w:ind w:left="709" w:hanging="709"/>
        <w:jc w:val="lef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spacing w:after="120"/>
        <w:ind w:left="709" w:hanging="709"/>
        <w:jc w:val="lef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spacing w:after="120"/>
        <w:ind w:left="709" w:hanging="709"/>
        <w:jc w:val="left"/>
      </w:pPr>
      <w:r>
        <w:t xml:space="preserve">GoTo Gojek Tokopedia. (2024b).</w:t>
      </w:r>
      <w:r>
        <w:t xml:space="preserve"> </w:t>
      </w:r>
      <w:r>
        <w:rPr>
          <w:iCs/>
          <w:i/>
        </w:rPr>
        <w:t xml:space="preserve">2023 annual report: Transformation for progress</w:t>
      </w:r>
      <w:r>
        <w:t xml:space="preserve">. PT GoTo Gojek Tokopedia Tbk. https://content.goinfra.co.id/asts/InvestorRelation/AnnualReport/GOTO_Laporan%20Tahunan_2023.pdf</w:t>
      </w:r>
    </w:p>
    <w:p>
      <w:pPr>
        <w:pStyle w:val="BodyText"/>
        <w:spacing w:after="120"/>
        <w:ind w:left="709" w:hanging="709"/>
        <w:jc w:val="left"/>
      </w:pPr>
      <w:r>
        <w:t xml:space="preserve">GoTo Gojek Tokopedia. (2026, July 29).</w:t>
      </w:r>
      <w:r>
        <w:t xml:space="preserve"> </w:t>
      </w:r>
      <w:r>
        <w:rPr>
          <w:iCs/>
          <w:i/>
        </w:rPr>
        <w:t xml:space="preserve">PT GoTo Gojek Tokopedia 2Q26 earnings call transcript</w:t>
      </w:r>
      <w:r>
        <w:t xml:space="preserve"> </w:t>
      </w:r>
      <w:r>
        <w:t xml:space="preserve">[Transcript]. https://content.goinfra.co.id/asts/InvestorRelation/FinancialInformation/2026-07-31/PT%20GoTo%20Gojek%20Tokopedia%202Q26%20Earnings%20Call%20Transcript.pdf</w:t>
      </w:r>
    </w:p>
    <w:p>
      <w:pPr>
        <w:pStyle w:val="BodyText"/>
        <w:spacing w:after="120"/>
        <w:ind w:left="709" w:hanging="709"/>
        <w:jc w:val="left"/>
      </w:pPr>
      <w:r>
        <w:t xml:space="preserve">Government of the Republic of Indonesia. (2026).</w:t>
      </w:r>
      <w:r>
        <w:t xml:space="preserve"> </w:t>
      </w:r>
      <w:r>
        <w:rPr>
          <w:iCs/>
          <w:i/>
        </w:rPr>
        <w:t xml:space="preserve">Peraturan Pemerintah Nomor 20 Tahun 2026 tentang perubahan atas Peraturan Pemerintah Nomor 55 Tahun 2022 tentang penyesuaian pengaturan di bidang pajak penghasilan</w:t>
      </w:r>
      <w:r>
        <w:t xml:space="preserve"> </w:t>
      </w:r>
      <w:r>
        <w:t xml:space="preserve">[Government Regulation No. 20 of 2026 amending Government Regulation No. 55 of 2022 on adjustments to income tax rules]. Lembaran Negara Republik Indonesia Tahun 2026 Nomor 43. https://jdih.kemenkeu.go.id/dok/pp-20-tahun-2026</w:t>
      </w:r>
    </w:p>
    <w:p>
      <w:pPr>
        <w:pStyle w:val="BodyText"/>
        <w:spacing w:after="120"/>
        <w:ind w:left="709" w:hanging="709"/>
        <w:jc w:val="left"/>
      </w:pPr>
      <w:r>
        <w:t xml:space="preserve">Government of Viet Nam. (2025).</w:t>
      </w:r>
      <w:r>
        <w:t xml:space="preserve"> </w:t>
      </w:r>
      <w:r>
        <w:rPr>
          <w:iCs/>
          <w:i/>
        </w:rPr>
        <w:t xml:space="preserve">Nghị định số 117/2025/NĐ-CP quy định quản lý thuế đối với hoạt động kinh doanh trên nền tảng thương mại điện tử, nền tảng số của hộ, cá nhân</w:t>
      </w:r>
      <w:r>
        <w:t xml:space="preserve"> </w:t>
      </w:r>
      <w:r>
        <w:t xml:space="preserve">[Decree No. 117/2025/ND-CP on tax administration for business activities on e-commerce and digital platforms of households and individuals; issued June 9, 2025; effective July 1, 2025]. https://datafiles.chinhphu.vn/cpp/files/vbpq/2025/6/117-ndcp.signed.pdf</w:t>
      </w:r>
    </w:p>
    <w:p>
      <w:pPr>
        <w:pStyle w:val="BodyText"/>
        <w:spacing w:after="120"/>
        <w:ind w:left="709" w:hanging="709"/>
        <w:jc w:val="lef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by The Motley Fool, published August 11, 2026]</w:t>
      </w:r>
    </w:p>
    <w:p>
      <w:pPr>
        <w:pStyle w:val="BodyText"/>
        <w:spacing w:after="120"/>
        <w:ind w:left="709" w:hanging="709"/>
        <w:jc w:val="lef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spacing w:after="120"/>
        <w:ind w:left="709" w:hanging="709"/>
        <w:jc w:val="lef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spacing w:after="120"/>
        <w:ind w:left="709" w:hanging="709"/>
        <w:jc w:val="lef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spacing w:after="120"/>
        <w:ind w:left="709" w:hanging="709"/>
        <w:jc w:val="lef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spacing w:after="120"/>
        <w:ind w:left="709" w:hanging="709"/>
        <w:jc w:val="lef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spacing w:after="120"/>
        <w:ind w:left="709" w:hanging="709"/>
        <w:jc w:val="lef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spacing w:after="120"/>
        <w:ind w:left="709" w:hanging="709"/>
        <w:jc w:val="lef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spacing w:after="120"/>
        <w:ind w:left="709" w:hanging="709"/>
        <w:jc w:val="lef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spacing w:after="120"/>
        <w:ind w:left="709" w:hanging="709"/>
        <w:jc w:val="lef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spacing w:after="120"/>
        <w:ind w:left="709" w:hanging="709"/>
        <w:jc w:val="lef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spacing w:after="120"/>
        <w:ind w:left="709" w:hanging="709"/>
        <w:jc w:val="lef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spacing w:after="120"/>
        <w:ind w:left="709" w:hanging="709"/>
        <w:jc w:val="lef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spacing w:after="120"/>
        <w:ind w:left="709" w:hanging="709"/>
        <w:jc w:val="lef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spacing w:after="120"/>
        <w:ind w:left="709" w:hanging="709"/>
        <w:jc w:val="lef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spacing w:after="120"/>
        <w:ind w:left="709" w:hanging="709"/>
        <w:jc w:val="lef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spacing w:after="120"/>
        <w:ind w:left="709" w:hanging="709"/>
        <w:jc w:val="left"/>
      </w:pPr>
      <w:r>
        <w:t xml:space="preserve">Momentum Works. (2024).</w:t>
      </w:r>
      <w:r>
        <w:t xml:space="preserve"> </w:t>
      </w:r>
      <w:r>
        <w:rPr>
          <w:iCs/>
          <w:i/>
        </w:rPr>
        <w:t xml:space="preserve">Ecommerce in Southeast Asia 2024</w:t>
      </w:r>
      <w:r>
        <w:t xml:space="preserve"> </w:t>
      </w:r>
      <w:r>
        <w:t xml:space="preserve">[Report]. https://momentum.asia/insights/detail/ecommerce-in-southeast-asia-2024 [Primary report not seen; figures as quoted in Setyowati (2024)]</w:t>
      </w:r>
    </w:p>
    <w:p>
      <w:pPr>
        <w:pStyle w:val="BodyText"/>
        <w:spacing w:after="120"/>
        <w:ind w:left="709" w:hanging="709"/>
        <w:jc w:val="left"/>
      </w:pPr>
      <w:r>
        <w:t xml:space="preserve">Naritomi, J. (2019). Consumers as tax auditors.</w:t>
      </w:r>
      <w:r>
        <w:t xml:space="preserve"> </w:t>
      </w:r>
      <w:r>
        <w:rPr>
          <w:iCs/>
          <w:i/>
        </w:rPr>
        <w:t xml:space="preserve">American Economic Review, 109</w:t>
      </w:r>
      <w:r>
        <w:t xml:space="preserve">(9), 3031–3072. https://doi.org/10.1257/aer.20160658</w:t>
      </w:r>
    </w:p>
    <w:p>
      <w:pPr>
        <w:pStyle w:val="BodyText"/>
        <w:spacing w:after="120"/>
        <w:ind w:left="709" w:hanging="709"/>
        <w:jc w:val="lef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spacing w:after="120"/>
        <w:ind w:left="709" w:hanging="709"/>
        <w:jc w:val="lef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spacing w:after="120"/>
        <w:ind w:left="709" w:hanging="709"/>
        <w:jc w:val="lef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https://doi.org/10.1787/8ffb8d09-en</w:t>
      </w:r>
    </w:p>
    <w:p>
      <w:pPr>
        <w:pStyle w:val="BodyText"/>
        <w:spacing w:after="120"/>
        <w:ind w:left="709" w:hanging="709"/>
        <w:jc w:val="lef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spacing w:after="120"/>
        <w:ind w:left="709" w:hanging="709"/>
        <w:jc w:val="lef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spacing w:after="120"/>
        <w:ind w:left="709" w:hanging="709"/>
        <w:jc w:val="lef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spacing w:after="120"/>
        <w:ind w:left="709" w:hanging="709"/>
        <w:jc w:val="lef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spacing w:after="120"/>
        <w:ind w:left="709" w:hanging="709"/>
        <w:jc w:val="lef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spacing w:after="120"/>
        <w:ind w:left="709" w:hanging="709"/>
        <w:jc w:val="lef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spacing w:after="120"/>
        <w:ind w:left="709" w:hanging="709"/>
        <w:jc w:val="left"/>
      </w:pPr>
      <w:r>
        <w:t xml:space="preserve">Setyowati, D. (2024, July 15). Transaksi Shopee hingga TikTok Shop Tokopedia di RI Rp 867 triliun [Transactions from Shopee to TikTok Shop Tokopedia in Indonesia reach Rp867 trillion].</w:t>
      </w:r>
      <w:r>
        <w:t xml:space="preserve"> </w:t>
      </w:r>
      <w:r>
        <w:rPr>
          <w:iCs/>
          <w:i/>
        </w:rPr>
        <w:t xml:space="preserve">Katadata</w:t>
      </w:r>
      <w:r>
        <w:t xml:space="preserve">. https://katadata.co.id/digital/e-commerce/6694e1bf09ec8/transaksi-shopee-hingga-tiktok-shop-tokopedia-di-ri-rp-867-triliun</w:t>
      </w:r>
    </w:p>
    <w:p>
      <w:pPr>
        <w:pStyle w:val="BodyText"/>
        <w:spacing w:after="120"/>
        <w:ind w:left="709" w:hanging="709"/>
        <w:jc w:val="left"/>
      </w:pPr>
      <w:r>
        <w:t xml:space="preserve">Setyowati, D. (2025, June 26). Transaksi belanja online di Indonesia melambat, Thailand dan Malaysia melesat [Online shopping in Indonesia slows while Thailand and Malaysia surge].</w:t>
      </w:r>
      <w:r>
        <w:t xml:space="preserve"> </w:t>
      </w:r>
      <w:r>
        <w:rPr>
          <w:iCs/>
          <w:i/>
        </w:rPr>
        <w:t xml:space="preserve">Katadata</w:t>
      </w:r>
      <w:r>
        <w:t xml:space="preserve">. https://katadata.co.id/digital/e-commerce/685ba4184c37a/transaksi-belanja-online-di-indonesia-melambat-thailand-dan-malaysia-melesat</w:t>
      </w:r>
    </w:p>
    <w:p>
      <w:pPr>
        <w:pStyle w:val="BodyText"/>
        <w:spacing w:after="120"/>
        <w:ind w:left="709" w:hanging="709"/>
        <w:jc w:val="lef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spacing w:after="120"/>
        <w:ind w:left="709" w:hanging="709"/>
        <w:jc w:val="lef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spacing w:after="120"/>
        <w:ind w:left="709" w:hanging="709"/>
        <w:jc w:val="lef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spacing w:after="120"/>
        <w:ind w:left="709" w:hanging="709"/>
        <w:jc w:val="left"/>
      </w:pPr>
      <w:r>
        <w:t xml:space="preserve">UNCTAD. (2023).</w:t>
      </w:r>
      <w:r>
        <w:t xml:space="preserve"> </w:t>
      </w:r>
      <w:r>
        <w:rPr>
          <w:iCs/>
          <w:i/>
        </w:rPr>
        <w:t xml:space="preserve">Measuring the value of e-commerce</w:t>
      </w:r>
      <w:r>
        <w:t xml:space="preserve">. United Nations. https://doi.org/10.18356/9789210025539</w:t>
      </w:r>
    </w:p>
    <w:p>
      <w:pPr>
        <w:pStyle w:val="BodyText"/>
        <w:spacing w:after="120"/>
        <w:ind w:left="709" w:hanging="709"/>
        <w:jc w:val="left"/>
      </w:pPr>
      <w:r>
        <w:t xml:space="preserve">UNCTAD. (2024).</w:t>
      </w:r>
      <w:r>
        <w:t xml:space="preserve"> </w:t>
      </w:r>
      <w:r>
        <w:rPr>
          <w:iCs/>
          <w:i/>
        </w:rPr>
        <w:t xml:space="preserve">Business e-commerce sales and the role of online platforms</w:t>
      </w:r>
      <w:r>
        <w:t xml:space="preserve">. United Nations. https://doi.org/10.18356/9789211064490</w:t>
      </w:r>
      <w:r>
        <w:t xml:space="preserve"> </w:t>
      </w:r>
      <w:r>
        <w:t xml:space="preserve">U.S. Securities and Exchange Commission. (2026).</w:t>
      </w:r>
      <w:r>
        <w:t xml:space="preserve"> </w:t>
      </w:r>
      <w:r>
        <w:rPr>
          <w:iCs/>
          <w:i/>
        </w:rPr>
        <w:t xml:space="preserve">EDGAR company facts: XBRL financial data for annual filings (Forms 10-K, 20-F and 40-F)</w:t>
      </w:r>
      <w:r>
        <w:t xml:space="preserve"> </w:t>
      </w:r>
      <w:r>
        <w:t xml:space="preserve">[Total assets]. https://data.sec.gov/api/xbrl/companyfacts/</w:t>
      </w:r>
    </w:p>
    <w:p>
      <w:pPr>
        <w:pStyle w:val="BodyText"/>
        <w:spacing w:after="120"/>
        <w:ind w:left="709" w:hanging="709"/>
        <w:jc w:val="left"/>
      </w:pPr>
      <w:r>
        <w:t xml:space="preserve">World Bank. (2026).</w:t>
      </w:r>
      <w:r>
        <w:t xml:space="preserve"> </w:t>
      </w:r>
      <w:r>
        <w:rPr>
          <w:iCs/>
          <w:i/>
        </w:rPr>
        <w:t xml:space="preserve">World development indicators</w:t>
      </w:r>
      <w:r>
        <w:t xml:space="preserve"> </w:t>
      </w:r>
      <w:r>
        <w:t xml:space="preserve">[GDP growth, consumer-price inflation, household final consumption expenditure growth and official exchange rate (LCU per US$, period average), 2012–2025]. https://data.worldbank.org</w:t>
      </w:r>
    </w:p>
    <w:bookmarkEnd w:id="106"/>
    <w:sectPr>
      <w:footerReference r:id="rId9" w:type="default"/>
      <w:pgSz w:h="16838" w:w="11906"/>
      <w:pgMar w:bottom="1134" w:footer="567" w:header="850" w:left="2268" w:right="1134" w:top="1984"/>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
    <w:p>
      <w:pPr>
        <w:pStyle w:val="FootnoteText"/>
      </w:pPr>
      <w:r>
        <w:rPr>
          <w:rStyle w:val="FootnoteReference"/>
        </w:rPr>
        <w:footnoteRef/>
      </w:r>
      <w:r>
        <w:t xml:space="preserve"> </w:t>
      </w:r>
      <w:r>
        <w:t xml:space="preserve">The files hold 11,848, 31,724 and 39,736 rows. Each weighted total is within 0.1 percent of the BPS count: 2,361,423; 2,995,879, implied by the 2023 count and its growth of 27.4 percent; and 3,816,750.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60" w:before="0" w:line="276" w:lineRule="auto"/>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360" w:before="1800" w:line="312" w:lineRule="auto"/>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800" w:before="0" w:line="312" w:lineRule="auto"/>
      <w:jc w:val="center"/>
    </w:pPr>
    <w:rPr>
      <w:rFonts w:ascii="Times New Roman" w:cs="Times New Roman" w:eastAsia="Times New Roman" w:hAnsi="Times New Roman"/>
      <w:b w:val="0"/>
      <w:i/>
      <w:color w:val="000000"/>
      <w:sz w:val="24"/>
      <w:szCs w:val="30"/>
    </w:rPr>
  </w:style>
  <w:style w:customStyle="1" w:styleId="Author" w:type="paragraph">
    <w:name w:val="Author"/>
    <w:next w:val="BodyText"/>
    <w:qFormat/>
    <w:pPr>
      <w:keepNext/>
      <w:keepLines/>
      <w:spacing w:after="80" w:before="0" w:line="312"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after="80" w:before="0" w:line="312"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pageBreakBefore/>
      <w:spacing w:after="280" w:before="0" w:line="312" w:lineRule="auto"/>
    </w:pPr>
    <w:rPr>
      <w:i w:val="0"/>
      <w:color w:val="000000"/>
      <w:sz w:val="28"/>
      <w:szCs w:val="20"/>
      <w:rFonts w:ascii="Times New Roman" w:cs="Times New Roman" w:eastAsia="DFKai-SB" w:hAnsi="Times New Roman"/>
      <w:b/>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480" w:before="0" w:line="312" w:lineRule="auto"/>
      <w:jc w:val="center"/>
      <w:outlineLvl w:val="0"/>
    </w:pPr>
    <w:rPr>
      <w:rFonts w:ascii="Times New Roman" w:cs="Times New Roman" w:eastAsia="Times New Roman" w:hAnsi="Times New Roman"/>
      <w:b/>
      <w:bCs/>
      <w:i w:val="0"/>
      <w:color w:val="000000"/>
      <w:sz w:val="32"/>
      <w:szCs w:val="32"/>
    </w:rPr>
  </w:style>
  <w:style w:styleId="Heading2" w:type="paragraph">
    <w:name w:val="Heading 2"/>
    <w:basedOn w:val="Normal"/>
    <w:next w:val="BodyText"/>
    <w:uiPriority w:val="9"/>
    <w:unhideWhenUsed/>
    <w:qFormat/>
    <w:pPr>
      <w:keepNext/>
      <w:keepLines/>
      <w:spacing w:after="120" w:before="280" w:line="312" w:lineRule="auto"/>
      <w:jc w:val="left"/>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80" w:before="200" w:line="312" w:lineRule="auto"/>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60" w:before="160" w:line="312" w:lineRule="auto"/>
      <w:jc w:val="left"/>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60" w:line="360" w:lineRule="auto"/>
      <w:ind w:firstLine="0" w:left="567" w:right="567"/>
      <w:jc w:val="left"/>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pPr>
      <w:spacing w:after="40" w:before="0" w:line="240" w:lineRule="auto"/>
      <w:jc w:val="left"/>
    </w:pPr>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40" w:line="276" w:lineRule="auto"/>
      <w:jc w:val="left"/>
    </w:pPr>
    <w:rPr>
      <w:rFonts w:ascii="Times New Roman" w:cs="Times New Roman" w:eastAsia="Times New Roman" w:hAnsi="Times New Roman"/>
      <w:b w:val="0"/>
      <w:i w:val="0"/>
      <w:color w:val="000000"/>
      <w:sz w:val="22"/>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rontHeading" w:type="paragraph">
    <w:name w:val="Front Heading"/>
    <w:basedOn w:val="Normal"/>
    <w:pPr>
      <w:keepNext/>
      <w:pageBreakBefore/>
      <w:spacing w:after="480" w:before="0" w:line="312" w:lineRule="auto"/>
      <w:jc w:val="center"/>
    </w:pPr>
    <w:rPr>
      <w:rFonts w:ascii="Times New Roman" w:cs="Times New Roman" w:eastAsia="Times New Roman" w:hAnsi="Times New Roman"/>
      <w:b/>
      <w:i w:val="0"/>
      <w:color w:val="000000"/>
      <w:sz w:val="32"/>
    </w:rPr>
  </w:style>
  <w:style w:customStyle="1" w:styleId="FieldSlot" w:type="paragraph">
    <w:name w:val="Field Slot"/>
    <w:basedOn w:val="Normal"/>
    <w:pPr>
      <w:spacing w:after="0" w:before="0" w:line="240" w:lineRule="auto"/>
      <w:jc w:val="left"/>
    </w:pPr>
    <w:rPr>
      <w:rFonts w:ascii="Times New Roman" w:cs="Times New Roman" w:eastAsia="Times New Roman" w:hAnsi="Times New Roman"/>
      <w:color w:val="000000"/>
      <w:sz w:val="24"/>
    </w:rPr>
  </w:style>
  <w:style w:customStyle="1" w:styleId="FigureCaption" w:type="paragraph">
    <w:name w:val="Figure Caption"/>
    <w:basedOn w:val="Normal"/>
    <w:pPr>
      <w:spacing w:after="60" w:before="80" w:line="276" w:lineRule="auto"/>
      <w:jc w:val="left"/>
    </w:pPr>
    <w:rPr>
      <w:rFonts w:ascii="Times New Roman" w:cs="Times New Roman" w:eastAsia="Times New Roman" w:hAnsi="Times New Roman"/>
      <w:b w:val="0"/>
      <w:i w:val="0"/>
      <w:color w:val="000000"/>
      <w:sz w:val="22"/>
    </w:rPr>
  </w:style>
  <w:style w:customStyle="1" w:styleId="TableNote" w:type="paragraph">
    <w:name w:val="Table Note"/>
    <w:basedOn w:val="Normal"/>
    <w:pPr>
      <w:spacing w:after="240" w:before="40" w:line="264" w:lineRule="auto"/>
      <w:jc w:val="left"/>
    </w:pPr>
    <w:rPr>
      <w:rFonts w:ascii="Times New Roman" w:cs="Times New Roman" w:eastAsia="Times New Roman" w:hAnsi="Times New Roman"/>
      <w:b w:val="0"/>
      <w:i w:val="0"/>
      <w:color w:val="000000"/>
      <w:sz w:val="19"/>
    </w:rPr>
  </w:style>
  <w:style w:customStyle="1" w:styleId="CoverUniversity" w:type="paragraph">
    <w:name w:val="Cover University"/>
    <w:basedOn w:val="Normal"/>
    <w:pPr>
      <w:spacing w:after="0" w:before="800" w:line="240" w:lineRule="auto"/>
      <w:jc w:val="center"/>
    </w:pPr>
    <w:rPr>
      <w:rFonts w:ascii="Times New Roman" w:cs="Times New Roman" w:eastAsia="DFKai-SB" w:hAnsi="Times New Roman"/>
      <w:b w:val="0"/>
      <w:i w:val="0"/>
      <w:color w:val="000000"/>
      <w:sz w:val="48"/>
    </w:rPr>
  </w:style>
  <w:style w:customStyle="1" w:styleId="CoverDept" w:type="paragraph">
    <w:name w:val="Cover Dept"/>
    <w:basedOn w:val="Normal"/>
    <w:pPr>
      <w:spacing w:after="120" w:before="840" w:line="240" w:lineRule="auto"/>
      <w:jc w:val="center"/>
    </w:pPr>
    <w:rPr>
      <w:rFonts w:ascii="Times New Roman" w:cs="Times New Roman" w:eastAsia="DFKai-SB" w:hAnsi="Times New Roman"/>
      <w:b w:val="0"/>
      <w:i w:val="0"/>
      <w:color w:val="000000"/>
      <w:sz w:val="56"/>
    </w:rPr>
  </w:style>
  <w:style w:customStyle="1" w:styleId="CoverTrack" w:type="paragraph">
    <w:name w:val="Cover Track"/>
    <w:basedOn w:val="Normal"/>
    <w:pPr>
      <w:spacing w:after="0" w:before="0" w:line="240" w:lineRule="auto"/>
      <w:jc w:val="center"/>
    </w:pPr>
    <w:rPr>
      <w:rFonts w:ascii="Times New Roman" w:cs="Times New Roman" w:eastAsia="DFKai-SB" w:hAnsi="Times New Roman"/>
      <w:b w:val="0"/>
      <w:i w:val="0"/>
      <w:color w:val="000000"/>
      <w:sz w:val="36"/>
    </w:rPr>
  </w:style>
  <w:style w:customStyle="1" w:styleId="CoverDegree" w:type="paragraph">
    <w:name w:val="Cover Degree"/>
    <w:basedOn w:val="Normal"/>
    <w:pPr>
      <w:spacing w:after="0" w:before="880" w:line="240" w:lineRule="auto"/>
      <w:jc w:val="center"/>
    </w:pPr>
    <w:rPr>
      <w:rFonts w:ascii="Times New Roman" w:cs="Times New Roman" w:eastAsia="DFKai-SB" w:hAnsi="Times New Roman"/>
      <w:b w:val="0"/>
      <w:i w:val="0"/>
      <w:color w:val="000000"/>
      <w:sz w:val="48"/>
    </w:rPr>
  </w:style>
  <w:style w:customStyle="1" w:styleId="CoverTitle" w:type="paragraph">
    <w:name w:val="Cover Title"/>
    <w:basedOn w:val="Normal"/>
    <w:pPr>
      <w:spacing w:after="0" w:before="800" w:line="312" w:lineRule="auto"/>
      <w:jc w:val="center"/>
    </w:pPr>
    <w:rPr>
      <w:rFonts w:ascii="Times New Roman" w:cs="Times New Roman" w:eastAsia="DFKai-SB" w:hAnsi="Times New Roman"/>
      <w:b w:val="0"/>
      <w:i w:val="0"/>
      <w:color w:val="000000"/>
      <w:sz w:val="28"/>
    </w:rPr>
  </w:style>
  <w:style w:customStyle="1" w:styleId="CoverPerson" w:type="paragraph">
    <w:name w:val="Cover Person"/>
    <w:basedOn w:val="Normal"/>
    <w:pPr>
      <w:spacing w:after="0" w:before="1200" w:line="312" w:lineRule="auto"/>
      <w:ind w:left="1701"/>
      <w:jc w:val="left"/>
    </w:pPr>
    <w:rPr>
      <w:rFonts w:ascii="Times New Roman" w:cs="Times New Roman" w:eastAsia="DFKai-SB" w:hAnsi="Times New Roman"/>
      <w:b w:val="0"/>
      <w:i w:val="0"/>
      <w:color w:val="000000"/>
      <w:sz w:val="36"/>
    </w:rPr>
  </w:style>
  <w:style w:customStyle="1" w:styleId="CoverPersonNext" w:type="paragraph">
    <w:name w:val="Cover Person Next"/>
    <w:basedOn w:val="Normal"/>
    <w:pPr>
      <w:spacing w:after="0" w:before="280" w:line="312" w:lineRule="auto"/>
      <w:ind w:left="1701"/>
      <w:jc w:val="left"/>
    </w:pPr>
    <w:rPr>
      <w:rFonts w:ascii="Times New Roman" w:cs="Times New Roman" w:eastAsia="DFKai-SB" w:hAnsi="Times New Roman"/>
      <w:b w:val="0"/>
      <w:i w:val="0"/>
      <w:color w:val="000000"/>
      <w:sz w:val="36"/>
    </w:rPr>
  </w:style>
  <w:style w:customStyle="1" w:styleId="CoverDate" w:type="paragraph">
    <w:name w:val="Cover Date"/>
    <w:basedOn w:val="Normal"/>
    <w:pPr>
      <w:spacing w:after="0" w:before="1200" w:line="312" w:lineRule="auto"/>
      <w:jc w:val="center"/>
    </w:pPr>
    <w:rPr>
      <w:rFonts w:ascii="Times New Roman" w:cs="Times New Roman" w:eastAsia="DFKai-SB" w:hAnsi="Times New Roman"/>
      <w:b w:val="0"/>
      <w:i w:val="0"/>
      <w:color w:val="000000"/>
      <w:sz w:val="36"/>
    </w:rPr>
  </w:style>
  <w:style w:customStyle="1" w:styleId="TPTitle" w:type="paragraph">
    <w:name w:val="TP Title"/>
    <w:basedOn w:val="Normal"/>
    <w:pPr>
      <w:spacing w:after="0" w:before="200" w:line="312" w:lineRule="auto"/>
      <w:jc w:val="center"/>
    </w:pPr>
    <w:rPr>
      <w:rFonts w:ascii="Times New Roman" w:cs="Times New Roman" w:eastAsia="DFKai-SB" w:hAnsi="Times New Roman"/>
      <w:b w:val="0"/>
      <w:i w:val="0"/>
      <w:color w:val="000000"/>
      <w:sz w:val="28"/>
    </w:rPr>
  </w:style>
  <w:style w:customStyle="1" w:styleId="TPLine" w:type="paragraph">
    <w:name w:val="TP Line"/>
    <w:basedOn w:val="Normal"/>
    <w:pPr>
      <w:spacing w:after="0" w:before="0" w:line="336" w:lineRule="auto"/>
      <w:jc w:val="center"/>
    </w:pPr>
    <w:rPr>
      <w:rFonts w:ascii="Times New Roman" w:cs="Times New Roman" w:eastAsia="DFKai-SB" w:hAnsi="Times New Roman"/>
      <w:b w:val="0"/>
      <w:i w:val="0"/>
      <w:color w:val="000000"/>
      <w:sz w:val="28"/>
    </w:rPr>
  </w:style>
  <w:style w:customStyle="1" w:styleId="TPPeople" w:type="paragraph">
    <w:name w:val="TP People"/>
    <w:basedOn w:val="Normal"/>
    <w:pPr>
      <w:spacing w:after="0" w:before="280" w:line="336" w:lineRule="auto"/>
      <w:jc w:val="center"/>
    </w:pPr>
    <w:rPr>
      <w:rFonts w:ascii="Times New Roman" w:cs="Times New Roman" w:eastAsia="DFKai-SB" w:hAnsi="Times New Roman"/>
      <w:b w:val="0"/>
      <w:i w:val="0"/>
      <w:color w:val="000000"/>
      <w:sz w:val="28"/>
    </w:rPr>
  </w:style>
  <w:style w:customStyle="1" w:styleId="TPBlock" w:type="paragraph">
    <w:name w:val="TP Block"/>
    <w:basedOn w:val="Normal"/>
    <w:pPr>
      <w:spacing w:after="0" w:before="0" w:line="336" w:lineRule="auto"/>
      <w:jc w:val="center"/>
    </w:pPr>
    <w:rPr>
      <w:rFonts w:ascii="Times New Roman" w:cs="Times New Roman" w:eastAsia="DFKai-SB" w:hAnsi="Times New Roman"/>
      <w:b w:val="0"/>
      <w:i w:val="0"/>
      <w:color w:val="000000"/>
      <w:sz w:val="28"/>
    </w:rPr>
  </w:style>
  <w:style w:customStyle="1" w:styleId="TPGap" w:type="paragraph">
    <w:name w:val="TP Gap"/>
    <w:basedOn w:val="Normal"/>
    <w:pPr>
      <w:spacing w:after="0" w:before="400" w:line="336" w:lineRule="auto"/>
      <w:jc w:val="center"/>
    </w:pPr>
    <w:rPr>
      <w:rFonts w:ascii="Times New Roman" w:cs="Times New Roman" w:eastAsia="DFKai-SB" w:hAnsi="Times New Roman"/>
      <w:b w:val="0"/>
      <w:i w:val="0"/>
      <w:color w:val="000000"/>
      <w:sz w:val="28"/>
    </w:rPr>
  </w:style>
  <w:style w:customStyle="1" w:styleId="AbstractHead" w:type="paragraph">
    <w:name w:val="Abstract Head"/>
    <w:basedOn w:val="Normal"/>
    <w:pPr>
      <w:spacing w:after="0" w:before="0" w:line="360" w:lineRule="auto"/>
      <w:jc w:val="center"/>
    </w:pPr>
    <w:rPr>
      <w:rFonts w:ascii="Times New Roman" w:cs="Times New Roman" w:eastAsia="DFKai-SB" w:hAnsi="Times New Roman"/>
      <w:b w:val="0"/>
      <w:i w:val="0"/>
      <w:color w:val="000000"/>
      <w:sz w:val="24"/>
    </w:rPr>
  </w:style>
  <w:style w:customStyle="1" w:styleId="AbstractLabel" w:type="paragraph">
    <w:name w:val="Abstract Label"/>
    <w:basedOn w:val="Normal"/>
    <w:pPr>
      <w:spacing w:after="280" w:before="360" w:line="312" w:lineRule="auto"/>
      <w:jc w:val="center"/>
    </w:pPr>
    <w:rPr>
      <w:rFonts w:ascii="Times New Roman" w:cs="Times New Roman" w:eastAsia="DFKai-SB" w:hAnsi="Times New Roman"/>
      <w:b/>
      <w:i w:val="0"/>
      <w:color w:val="000000"/>
      <w:sz w:val="24"/>
    </w:rPr>
  </w:style>
  <w:style w:customStyle="1" w:styleId="Equation" w:type="paragraph">
    <w:name w:val="Equation"/>
    <w:basedOn w:val="Normal"/>
    <w:pPr>
      <w:keepLines/>
      <w:tabs>
        <w:tab w:pos="4252" w:val="center"/>
        <w:tab w:pos="8504" w:val="right"/>
      </w:tabs>
      <w:spacing w:after="160" w:before="120" w:line="312" w:lineRule="auto"/>
      <w:jc w:val="left"/>
    </w:pPr>
    <w:rPr>
      <w:rFonts w:ascii="Times New Roman" w:cs="Times New Roman" w:eastAsia="Times New Roman" w:hAnsi="Times New Roman"/>
      <w:color w:val="000000"/>
      <w:sz w:val="24"/>
    </w:rPr>
  </w:style>
  <w:style w:customStyle="1" w:styleId="toc1" w:type="paragraph">
    <w:name w:val="toc 1"/>
    <w:basedOn w:val="Normal"/>
    <w:pPr>
      <w:tabs>
        <w:tab w:leader="dot" w:pos="8504" w:val="right"/>
      </w:tabs>
      <w:spacing w:after="40" w:before="80" w:line="276" w:lineRule="auto"/>
      <w:ind w:left="0"/>
      <w:jc w:val="left"/>
    </w:pPr>
    <w:rPr>
      <w:rFonts w:ascii="Times New Roman" w:cs="Times New Roman" w:eastAsia="Times New Roman" w:hAnsi="Times New Roman"/>
      <w:b/>
      <w:color w:val="000000"/>
      <w:sz w:val="24"/>
    </w:rPr>
  </w:style>
  <w:style w:customStyle="1" w:styleId="toc2" w:type="paragraph">
    <w:name w:val="toc 2"/>
    <w:basedOn w:val="Normal"/>
    <w:pPr>
      <w:tabs>
        <w:tab w:leader="dot" w:pos="8504" w:val="right"/>
      </w:tabs>
      <w:spacing w:after="40" w:before="0" w:line="276" w:lineRule="auto"/>
      <w:ind w:left="397"/>
      <w:jc w:val="left"/>
    </w:pPr>
    <w:rPr>
      <w:rFonts w:ascii="Times New Roman" w:cs="Times New Roman" w:eastAsia="Times New Roman" w:hAnsi="Times New Roman"/>
      <w:b w:val="0"/>
      <w:color w:val="000000"/>
      <w:sz w:val="24"/>
    </w:rPr>
  </w:style>
  <w:style w:customStyle="1" w:styleId="tableoffigures" w:type="paragraph">
    <w:name w:val="table of figures"/>
    <w:basedOn w:val="Normal"/>
    <w:pPr>
      <w:tabs>
        <w:tab w:leader="dot" w:pos="8504" w:val="right"/>
      </w:tabs>
      <w:spacing w:after="40" w:before="0" w:line="276" w:lineRule="auto"/>
      <w:ind w:left="0"/>
      <w:jc w:val="left"/>
    </w:pPr>
    <w:rPr>
      <w:rFonts w:ascii="Times New Roman" w:cs="Times New Roman" w:eastAsia="Times New Roman" w:hAnsi="Times New Roman"/>
      <w:b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52" Type="http://schemas.openxmlformats.org/officeDocument/2006/relationships/image" Target="media/rId52.png"/><Relationship Id="rId56" Type="http://schemas.openxmlformats.org/officeDocument/2006/relationships/image" Target="media/rId56.png"/><Relationship Id="rId61" Type="http://schemas.openxmlformats.org/officeDocument/2006/relationships/image" Target="media/rId61.png"/><Relationship Id="rId67" Type="http://schemas.openxmlformats.org/officeDocument/2006/relationships/image" Target="media/rId67.png"/><Relationship Id="rId71" Type="http://schemas.openxmlformats.org/officeDocument/2006/relationships/image" Target="media/rId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2026-10-25T10:00:33Z</dcterms:created>
  <dcterms:modified xsi:type="dcterms:W3CDTF">2026-10-25T10:00:33Z</dcterms:modified>
</cp:coreProperties>
</file>

<file path=docProps/custom.xml><?xml version="1.0" encoding="utf-8"?>
<Properties xmlns="http://schemas.openxmlformats.org/officeDocument/2006/custom-properties" xmlns:vt="http://schemas.openxmlformats.org/officeDocument/2006/docPropsVTypes"/>
</file>