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Quantifying</w:t>
      </w:r>
      <w:r>
        <w:t xml:space="preserve"> </w:t>
      </w:r>
      <w:r>
        <w:t xml:space="preserve">the</w:t>
      </w:r>
      <w:r>
        <w:t xml:space="preserve"> </w:t>
      </w:r>
      <w:r>
        <w:t xml:space="preserve">Invisible</w:t>
      </w:r>
      <w:r>
        <w:t xml:space="preserve"> </w:t>
      </w:r>
      <w:r>
        <w:t xml:space="preserve">Wedge</w:t>
      </w:r>
      <w:r>
        <w:t xml:space="preserve"> </w:t>
      </w:r>
      <w:r>
        <w:t xml:space="preserve">in</w:t>
      </w:r>
      <w:r>
        <w:t xml:space="preserve"> </w:t>
      </w:r>
      <w:r>
        <w:t xml:space="preserve">Indonesia’s</w:t>
      </w:r>
      <w:r>
        <w:t xml:space="preserve"> </w:t>
      </w:r>
      <w:r>
        <w:t xml:space="preserve">Platform</w:t>
      </w:r>
      <w:r>
        <w:t xml:space="preserve"> </w:t>
      </w:r>
      <w:r>
        <w:t xml:space="preserve">Economy</w:t>
      </w:r>
    </w:p>
    <w:p>
      <w:pPr>
        <w:pStyle w:val="Subtitle"/>
      </w:pPr>
      <w:r>
        <w:t xml:space="preserve">Master’s</w:t>
      </w:r>
      <w:r>
        <w:t xml:space="preserve"> </w:t>
      </w:r>
      <w:r>
        <w:t xml:space="preserve">thesis,</w:t>
      </w:r>
      <w:r>
        <w:t xml:space="preserve"> </w:t>
      </w:r>
      <w:r>
        <w:t xml:space="preserve">condensed</w:t>
      </w:r>
      <w:r>
        <w:t xml:space="preserve"> </w:t>
      </w:r>
      <w:r>
        <w:t xml:space="preserve">version</w:t>
      </w:r>
    </w:p>
    <w:bookmarkStart w:id="20" w:name="abstract"/>
    <w:p>
      <w:pPr>
        <w:pStyle w:val="Heading1"/>
      </w:pPr>
      <w:r>
        <w:t xml:space="preserve">Abstract</w:t>
      </w:r>
    </w:p>
    <w:p>
      <w:pPr>
        <w:pStyle w:val="FirstParagraph"/>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Abroad, revenue grew in proportion to transaction value. In Indonesia and the region it did not: platforms changed the share of each sale they kept 3.6 times as much as 27 platforms abroad, mostly between 2022 and 2024, so that hypothesis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bookmarkEnd w:id="20"/>
    <w:bookmarkStart w:id="24" w:name="chapter-1.-introduction"/>
    <w:p>
      <w:pPr>
        <w:pStyle w:val="Heading1"/>
      </w:pPr>
      <w:r>
        <w:t xml:space="preserve">Chapter 1. Introduction</w:t>
      </w:r>
    </w:p>
    <w:p>
      <w:pPr>
        <w:pStyle w:val="FirstParagraph"/>
      </w:pPr>
      <w: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estimate of the United Nations Conference on Trade and Development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pPr>
      <w:r>
        <w:rPr>
          <w:bCs/>
          <w:b/>
        </w:rPr>
        <w:t xml:space="preserve">Indonesia in 2023 offers a striking example, as its figures moved away from the commerce they stand for.</w:t>
      </w:r>
      <w:r>
        <w:t xml:space="preserve"> </w:t>
      </w:r>
      <w:r>
        <w:t xml:space="preserve">Tokopedia, one of Indonesia’s largest online marketplaces, saw its net revenue rise by 53 percent. Yet its transaction value, the value of what was bought through the platform, fell by 9 percent (GoTo Gojek Tokopedia 2024a, 2024b). Nationally, Badan Pusat Statistik (BPS), Indonesia’s national statistics agency,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w:t>
      </w:r>
      <w:r>
        <w:t xml:space="preserve"> </w:t>
      </w:r>
      <w:r>
        <w:rPr>
          <w:bCs/>
          <w:b/>
        </w:rPr>
        <w:t xml:space="preserve">This thesis calls what a revenue-only measure leaves out the invisible wedge.</w:t>
      </w:r>
      <w:r>
        <w:t xml:space="preserve"> </w:t>
      </w:r>
      <w:r>
        <w:t xml:space="preserve">It does not mean activity that goes unrecorded; it is the value that passes through a platform to sellers, drivers and others without appearing in the platform’s revenue.</w:t>
      </w:r>
    </w:p>
    <w:p>
      <w:pPr>
        <w:pStyle w:val="BodyText"/>
      </w:pPr>
      <w:r>
        <w:t xml:space="preserve">Research explains why platform revenue and national sales figures can differ.</w:t>
      </w:r>
      <w:r>
        <w:t xml:space="preserve"> </w:t>
      </w:r>
      <w:r>
        <w:rPr>
          <w:bCs/>
          <w:b/>
        </w:rPr>
        <w:t xml:space="preserve">However, it does not say when a figure stops moving with the activity it represents, or by how much.</w:t>
      </w:r>
      <w:r>
        <w:t xml:space="preserve"> </w:t>
      </w:r>
      <w:r>
        <w:t xml:space="preserve">Answering that takes a platform’s revenue and transaction value over several years, and a national count of online sellers whose underlying answers can be examined.</w:t>
      </w:r>
    </w:p>
    <w:p>
      <w:pPr>
        <w:pStyle w:val="BodyText"/>
      </w:pPr>
      <w:r>
        <w:t xml:space="preserve">There are three reasons why this thesis focuses on Indonesia. First, Indonesia allows the question to be tested. Several platforms report revenue and transaction value each year, and BPS asks online sellers when they began and how their sales changed. Second, the two sources already differ on scale, probably because they cover different sellers: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pPr>
      <w:r>
        <w:t xml:space="preserve">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bookmarkStart w:id="21" w:name="research-question-and-objectives"/>
    <w:p>
      <w:pPr>
        <w:pStyle w:val="Heading2"/>
      </w:pPr>
      <w:r>
        <w:t xml:space="preserve">1.1 Research question and objectives</w:t>
      </w:r>
    </w:p>
    <w:p>
      <w:pPr>
        <w:pStyle w:val="FirstParagraph"/>
      </w:pPr>
      <w:r>
        <w:t xml:space="preserve">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pPr>
      <w:r>
        <w:rPr>
          <w:bCs/>
          <w:b/>
        </w:rPr>
        <w:t xml:space="preserve">Measuring what the current figures miss begins with one question: how much economic activity remains invisible when digital platforms are measured through their reported revenue, and when does that choice change the conclusion about growth?</w:t>
      </w:r>
      <w:r>
        <w:t xml:space="preserve"> </w:t>
      </w:r>
      <w:r>
        <w:t xml:space="preserve">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w:t>
      </w:r>
      <w:r>
        <w:t xml:space="preserve"> </w:t>
      </w:r>
      <w:r>
        <w:rPr>
          <w:bCs/>
          <w:b/>
        </w:rPr>
        <w:t xml:space="preserve">H1 says that a platform’s revenue grows in proportion to its transaction value.</w:t>
      </w:r>
      <w:r>
        <w:t xml:space="preserve"> </w:t>
      </w:r>
      <w:r>
        <w:rPr>
          <w:bCs/>
          <w:b/>
        </w:rPr>
        <w:t xml:space="preserve">H2 says that national e-commerce growth comes mainly from more businesses selling online, and less from higher sales per business.</w:t>
      </w:r>
      <w:r>
        <w:t xml:space="preserve"> </w:t>
      </w:r>
      <w:r>
        <w:t xml:space="preserve">Further analyses test whether a rise in the count of online sellers comes from sellers entering for the first time, and estimate how many sellers a rule built on platform records can reach.</w:t>
      </w:r>
    </w:p>
    <w:p>
      <w:pPr>
        <w:pStyle w:val="BodyText"/>
      </w:pPr>
      <w: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more than three times as much as 27 platforms abroad. Next, the thesis turns to the national figures.</w:t>
      </w:r>
      <w:r>
        <w:t xml:space="preserve"> </w:t>
      </w:r>
      <w:r>
        <w:rPr>
          <w:bCs/>
          <w:b/>
        </w:rPr>
        <w:t xml:space="preserve">National growth came mainly from more sellers, as H2 states.</w:t>
      </w:r>
      <w:r>
        <w:t xml:space="preserve"> </w:t>
      </w:r>
      <w:r>
        <w:rPr>
          <w:bCs/>
          <w:b/>
        </w:rPr>
        <w:t xml:space="preserve">But the registered entry test fails, and about half of the 2023 rise in the count of sellers is not explained by first-time entry.</w:t>
      </w:r>
      <w:r>
        <w:t xml:space="preserve"> </w:t>
      </w:r>
      <w:r>
        <w:t xml:space="preserve">Finally, the thesis finds that the new marketplace tax can collect from at most about 1 in 20 online sellers.</w:t>
      </w:r>
    </w:p>
    <w:bookmarkEnd w:id="21"/>
    <w:bookmarkStart w:id="22"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pPr>
      <w:r>
        <w:t xml:space="preserve">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(Organisation for Economic Co-operation and Development [OECD] 2020; European Union 2021), so the same question applies there.</w:t>
      </w:r>
    </w:p>
    <w:p>
      <w:pPr>
        <w:pStyle w:val="BodyText"/>
      </w:pPr>
      <w:r>
        <w:t xml:space="preserve">More broadly, earlier work has already compared platform transaction values with national e-commerce statistics. This thesis adds connected evidence for one country, drawing on the platforms’ accounts, the sellers’ own survey responses and the rules that act on both.</w:t>
      </w:r>
    </w:p>
    <w:bookmarkEnd w:id="22"/>
    <w:bookmarkStart w:id="23"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3"/>
    <w:bookmarkEnd w:id="24"/>
    <w:bookmarkStart w:id="29"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w:t>
      </w:r>
      <w:r>
        <w:t xml:space="preserve"> </w:t>
      </w:r>
      <w:r>
        <w:rPr>
          <w:bCs/>
          <w:b/>
        </w:rPr>
        <w:t xml:space="preserve">Each body of research explains why the figures differ, but none measures how far they differ in practice.</w:t>
      </w:r>
      <w:r>
        <w:t xml:space="preserve"> </w:t>
      </w:r>
      <w:r>
        <w:t xml:space="preserve">Section 2.4 sets out this research gap.</w:t>
      </w:r>
    </w:p>
    <w:bookmarkStart w:id="25"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w:t>
      </w:r>
      <w:r>
        <w:t xml:space="preserve"> </w:t>
      </w:r>
      <w:r>
        <w:rPr>
          <w:bCs/>
          <w:b/>
        </w:rPr>
        <w:t xml:space="preserve">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w:t>
      </w:r>
      <w:r>
        <w:t xml:space="preserve"> </w:t>
      </w:r>
      <w:r>
        <w:rPr>
          <w:bCs/>
          <w:b/>
        </w:rPr>
        <w:t xml:space="preserve">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w:t>
      </w:r>
      <w:r>
        <w:t xml:space="preserve"> </w:t>
      </w:r>
      <w:r>
        <w:rPr>
          <w:bCs/>
          <w:b/>
        </w:rPr>
        <w:t xml:space="preserve">Testing whether revenue stays a fair guide needs the reported revenue and transaction value of the same platforms, over several years and on one definition.</w:t>
      </w:r>
      <w:r>
        <w:t xml:space="preserve"> </w:t>
      </w:r>
      <w:r>
        <w:t xml:space="preserve">The studies reviewed here do not make that comparison, and none covers Indonesian platforms.</w:t>
      </w:r>
    </w:p>
    <w:bookmarkEnd w:id="25"/>
    <w:bookmarkStart w:id="26"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w:t>
      </w:r>
      <w:r>
        <w:t xml:space="preserve"> </w:t>
      </w:r>
      <w:r>
        <w:rPr>
          <w:bCs/>
          <w:b/>
        </w:rPr>
        <w:t xml:space="preserve">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w:t>
      </w:r>
      <w:r>
        <w:t xml:space="preserve"> </w:t>
      </w:r>
      <w:r>
        <w:rPr>
          <w:bCs/>
          <w:b/>
        </w:rPr>
        <w:t xml:space="preserve">Published totals cannot show whether a rise in the count reflects new sellers or a wider survey, because they do not record when each seller began.</w:t>
      </w:r>
      <w:r>
        <w:t xml:space="preserve"> </w:t>
      </w:r>
      <w:r>
        <w:t xml:space="preserve">That question needs the answers of the sellers themselves.</w:t>
      </w:r>
    </w:p>
    <w:bookmarkEnd w:id="26"/>
    <w:bookmarkStart w:id="27"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w:t>
      </w:r>
      <w:r>
        <w:t xml:space="preserve"> </w:t>
      </w:r>
      <w:r>
        <w:rPr>
          <w:bCs/>
          <w:b/>
        </w:rPr>
        <w:t xml:space="preserve">How far a rule built on platform records can reach depends on how much selling happens on platforms.</w:t>
      </w:r>
      <w:r>
        <w:t xml:space="preserve"> </w:t>
      </w:r>
      <w:r>
        <w:t xml:space="preserve">The studies reviewed here do not estimate that share for Indonesia.</w:t>
      </w:r>
    </w:p>
    <w:bookmarkEnd w:id="27"/>
    <w:bookmarkStart w:id="28" w:name="research-gap"/>
    <w:p>
      <w:pPr>
        <w:pStyle w:val="Heading2"/>
      </w:pPr>
      <w:r>
        <w:t xml:space="preserve">2.4 Research gap</w:t>
      </w:r>
    </w:p>
    <w:p>
      <w:pPr>
        <w:pStyle w:val="FirstParagraph"/>
      </w:pPr>
      <w:r>
        <w:t xml:space="preserve">The shortfalls identified in Sections 2.1 to 2.3 define the research gap, and each becomes one question for the thesis.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whether reported revenue stays a fair guide to reported transaction value has not been tested, least of all for Indonesian platforms.</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platform and national figures have not been followed through time in one country, and published totals cannot show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how much of online selling they cover has not been estimated for Indonesia.</w:t>
      </w:r>
    </w:p>
    <w:bookmarkEnd w:id="28"/>
    <w:bookmarkEnd w:id="29"/>
    <w:bookmarkStart w:id="39"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w:t>
      </w:r>
      <w:r>
        <w:t xml:space="preserve"> </w:t>
      </w:r>
      <w:r>
        <w:rPr>
          <w:bCs/>
          <w:b/>
        </w:rPr>
        <w:t xml:space="preserve">Revenue sits inside platform commerce, because a platform keeps only part of each sale.</w:t>
      </w:r>
      <w:r>
        <w:t xml:space="preserve"> </w:t>
      </w:r>
      <w:r>
        <w:rPr>
          <w:bCs/>
          <w:b/>
        </w:rPr>
        <w:t xml:space="preserve">Platform commerce sits inside all online commerce, because many sellers trade outside platforms.</w:t>
      </w:r>
      <w:r>
        <w:t xml:space="preserve"> </w:t>
      </w:r>
      <w:r>
        <w:t xml:space="preserve">The first hypothesis, H1, tests the inner link between revenue and platform commerce. The second, H2, tests the outer link between platform commerce and national online commerce.</w:t>
      </w:r>
    </w:p>
    <w:p>
      <w:pPr>
        <w:pStyle w:val="BodyText"/>
        <w:keepNext/>
        <w:spacing w:before="114" w:after="0" w:line="240" w:lineRule="auto"/>
        <w:jc w:val="center"/>
      </w:pPr>
      <w:r>
        <w:drawing>
          <wp:inline>
            <wp:extent cx="5537082" cy="3024000"/>
            <wp:effectExtent b="0" l="0" r="0" t="0"/>
            <wp:docPr descr="" title="" id="31" name="Picture"/>
            <a:graphic>
              <a:graphicData uri="http://schemas.openxmlformats.org/drawingml/2006/picture">
                <pic:pic>
                  <pic:nvPicPr>
                    <pic:cNvPr descr="figures/fig3_1_two_links.png" id="32" name="Picture"/>
                    <pic:cNvPicPr>
                      <a:picLocks noChangeArrowheads="1" noChangeAspect="1"/>
                    </pic:cNvPicPr>
                  </pic:nvPicPr>
                  <pic:blipFill>
                    <a:blip r:embed="rId30"/>
                    <a:stretch>
                      <a:fillRect/>
                    </a:stretch>
                  </pic:blipFill>
                  <pic:spPr bwMode="auto">
                    <a:xfrm>
                      <a:off x="0" y="0"/>
                      <a:ext cx="5537082" cy="3024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3.1. Three nested quantities and the two links.</w:t>
      </w:r>
      <w:r>
        <w:rPr>
          <w:sz w:val="16"/>
        </w:rPr>
        <w:t xml:space="preserve"> </w:t>
      </w:r>
      <w:r>
        <w:rPr>
          <w:sz w:val="16"/>
        </w:rPr>
        <w:t xml:space="preserve">Revenue sits inside platform commerce, which sits inside all online commerce. H1 tests the inner link and H2 the outer link.</w:t>
      </w:r>
    </w:p>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direct tests of what changes them,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3" w:name="terms-and-rules-for-comparison"/>
    <w:p>
      <w:pPr>
        <w:pStyle w:val="Heading2"/>
      </w:pPr>
      <w:r>
        <w:t xml:space="preserve">3.1 Terms and rules for comparison</w:t>
      </w:r>
    </w:p>
    <w:p>
      <w:pPr>
        <w:pStyle w:val="FirstParagraph"/>
      </w:pPr>
      <w:r>
        <w:t xml:space="preserve">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p>
    <w:p>
      <w:pPr>
        <w:pStyle w:val="BodyText"/>
      </w:pPr>
      <w:r>
        <w:t xml:space="preserve">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p>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3"/>
    <w:bookmarkStart w:id="34"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 Table 5.1 applies the measures to three platforms in Indonesia in 2023, where the wedge is about US$40 billion and the ecosystem ratio about 13.</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w:t>
      </w:r>
      <w:r>
        <w:t xml:space="preserve"> </w:t>
      </w:r>
      <w:r>
        <w:rPr>
          <w:bCs/>
          <w:b/>
        </w:rPr>
        <w:t xml:space="preserve">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w:t>
      </w:r>
      <w:r>
        <w:t xml:space="preserve"> </w:t>
      </w:r>
      <w:r>
        <w:rPr>
          <w:bCs/>
          <w:b/>
        </w:rPr>
        <w:t xml:space="preserve">So a large ecosystem ratio means that ordinary changes in fees or discounts can produce large swings in reported revenue growth.</w:t>
      </w:r>
    </w:p>
    <w:p>
      <w:pPr>
        <w:pStyle w:val="BodyText"/>
      </w:pPr>
      <w:r>
        <w:t xml:space="preserve">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(5)</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 (5) also shows where a rule acts. A cap on commissions acts on the fee rate, and a limit on discounts acts on the incentive rate. Chapter 6 sets Indonesia’s recent rules against these parts of the take rate.</w:t>
      </w:r>
    </w:p>
    <w:bookmarkEnd w:id="34"/>
    <w:bookmarkStart w:id="35" w:name="Xf5d189a48112b2a5ff2359da6a7450ee2226bce"/>
    <w:p>
      <w:pPr>
        <w:pStyle w:val="Heading2"/>
      </w:pPr>
      <w:r>
        <w:t xml:space="preserve">3.3 What changes the wedge and the ecosystem ratio</w:t>
      </w:r>
    </w:p>
    <w:p>
      <w:pPr>
        <w:pStyle w:val="FirstParagraph"/>
      </w:pPr>
      <w:r>
        <w:t xml:space="preserve">Equations (1) to (4) define the wedge and the ecosystem ratio. They do not say what moves them. Two direct tests do, and Chapter 5 reports both. The first tests whether revenue grows in proportion to transaction value, the claim of H1. The second asks what explains the size of the wedge and of the ecosystem ratio across platforms.</w:t>
      </w:r>
    </w:p>
    <w:p>
      <w:pPr>
        <w:pStyle w:val="BodyText"/>
      </w:pPr>
      <w:r>
        <w:t xml:space="preserve">Revenue grows in proportion to transaction value when a 1 percent rise in transaction value comes with a 1 percent rise in revenue. That claim can be tested in growth rates, with g(·) as defined above:</w:t>
      </w:r>
    </w:p>
    <w:p>
      <w:pPr>
        <w:pStyle w:val="Equation"/>
      </w:pPr>
      <w:r>
        <w:tab/>
        <w:t>g(R</w:t>
      </w:r>
      <w:r>
        <w:rPr>
          <w:vertAlign w:val="subscript"/>
        </w:rPr>
        <w:t xml:space="preserve">it</w:t>
      </w:r>
      <w:r>
        <w:t xml:space="preserve">) = a + b g(V</w:t>
      </w:r>
      <w:r>
        <w:rPr>
          <w:vertAlign w:val="subscript"/>
        </w:rPr>
        <w:t xml:space="preserve">it</w:t>
      </w:r>
      <w:r>
        <w:t xml:space="preserve">) + c Indonesia_i + d (Indonesia_i × g(V</w:t>
      </w:r>
      <w:r>
        <w:rPr>
          <w:vertAlign w:val="subscript"/>
        </w:rPr>
        <w:t xml:space="preserve">it</w:t>
      </w:r>
      <w:r>
        <w:t xml:space="preserve">)) + u</w:t>
      </w:r>
      <w:r>
        <w:rPr>
          <w:vertAlign w:val="subscript"/>
        </w:rPr>
        <w:t xml:space="preserve">it</w:t>
      </w:r>
      <w:r>
        <w:tab/>
        <w:t>(6)</w:t>
      </w:r>
    </w:p>
    <w:p>
      <w:pPr>
        <w:pStyle w:val="BodyText"/>
      </w:pPr>
      <w:r>
        <w:t xml:space="preserve">where Indonesia_i equals one for the Indonesian and regional platforms and zero for the foreign ones. If revenue is proportional to transaction value, b equals 1, a is close to zero, and the group does not matter, so c and d are zero. A slope below 1 in the Indonesian and regional group would mean that revenue moved with the platform’s pricing and not with the commerce. The correlation between the two growth rates, which Chapter 5 reports for each group, gives the same test in one number.</w:t>
      </w:r>
    </w:p>
    <w:p>
      <w:pPr>
        <w:pStyle w:val="BodyText"/>
      </w:pPr>
      <w:r>
        <w:t xml:space="preserve">The second test regresses the wedge and the ecosystem ratio on the features of a platform and of its home market:</w:t>
      </w:r>
    </w:p>
    <w:p>
      <w:pPr>
        <w:pStyle w:val="Equation"/>
      </w:pPr>
      <w:r>
        <w:tab/>
        <w:t>Y</w:t>
      </w:r>
      <w:r>
        <w:rPr>
          <w:vertAlign w:val="subscript"/>
        </w:rPr>
        <w:t xml:space="preserve">it</w:t>
      </w:r>
      <w:r>
        <w:t xml:space="preserve"> </w:t>
      </w:r>
      <w:r>
        <w:t xml:space="preserve">= </w:t>
      </w:r>
      <w:r>
        <w:rPr>
          <w:rFonts w:ascii="Cambria" w:hAnsi="Cambria" w:cs="Cambria" w:eastAsia="Cambria"/>
        </w:rPr>
        <w:t xml:space="preserve">α</w:t>
      </w:r>
      <w:r>
        <w:t xml:space="preserve"> + </w:t>
      </w:r>
      <w:r>
        <w:rPr>
          <w:rFonts w:ascii="Cambria" w:hAnsi="Cambria" w:cs="Cambria" w:eastAsia="Cambria"/>
        </w:rPr>
        <w:t xml:space="preserve">β</w:t>
      </w:r>
      <w:r>
        <w:t xml:space="preserve">1 Indonesia_i + </w:t>
      </w:r>
      <w:r>
        <w:rPr>
          <w:rFonts w:ascii="Cambria" w:hAnsi="Cambria" w:cs="Cambria" w:eastAsia="Cambria"/>
        </w:rPr>
        <w:t xml:space="preserve">β</w:t>
      </w:r>
      <w:r>
        <w:t xml:space="preserve">2 ln(1 + Listed</w:t>
      </w:r>
      <w:r>
        <w:rPr>
          <w:vertAlign w:val="subscript"/>
        </w:rPr>
        <w:t xml:space="preserve">it</w:t>
      </w:r>
      <w:r>
        <w:t xml:space="preserve">) + </w:t>
      </w:r>
      <w:r>
        <w:rPr>
          <w:rFonts w:ascii="Cambria" w:hAnsi="Cambria" w:cs="Cambria" w:eastAsia="Cambria"/>
        </w:rPr>
        <w:t xml:space="preserve">β</w:t>
      </w:r>
      <w:r>
        <w:t xml:space="preserve">3 ln(Assets</w:t>
      </w:r>
      <w:r>
        <w:rPr>
          <w:vertAlign w:val="subscript"/>
        </w:rPr>
        <w:t xml:space="preserve">it</w:t>
      </w:r>
      <w:r>
        <w:t xml:space="preserve">) + </w:t>
      </w:r>
      <w:r>
        <w:rPr>
          <w:rFonts w:ascii="Cambria" w:hAnsi="Cambria" w:cs="Cambria" w:eastAsia="Cambria"/>
        </w:rPr>
        <w:t xml:space="preserve">β</w:t>
      </w:r>
      <w:r>
        <w:t xml:space="preserve">4′ Type_i + </w:t>
      </w:r>
      <w:r>
        <w:rPr>
          <w:rFonts w:ascii="Cambria" w:hAnsi="Cambria" w:cs="Cambria" w:eastAsia="Cambria"/>
        </w:rPr>
        <w:t xml:space="preserve">γ</w:t>
      </w:r>
      <w:r>
        <w:t xml:space="preserve">′ Macro</w:t>
      </w:r>
      <w:r>
        <w:rPr>
          <w:vertAlign w:val="subscript"/>
        </w:rPr>
        <w:t xml:space="preserve">it</w:t>
      </w:r>
      <w:r>
        <w:t xml:space="preserve"> </w:t>
      </w:r>
      <w:r>
        <w:t xml:space="preserve">+ </w:t>
      </w:r>
      <w:r>
        <w:rPr>
          <w:rFonts w:ascii="Cambria" w:hAnsi="Cambria" w:cs="Cambria" w:eastAsia="Cambria"/>
        </w:rPr>
        <w:t xml:space="preserve">δ</w:t>
      </w:r>
      <w:r>
        <w:rPr>
          <w:vertAlign w:val="subscript"/>
        </w:rPr>
        <w:t xml:space="preserve">t</w:t>
      </w:r>
      <w:r>
        <w:t xml:space="preserve"> </w:t>
      </w:r>
      <w:r>
        <w:t xml:space="preserve">+ </w:t>
      </w:r>
      <w:r>
        <w:rPr>
          <w:rFonts w:ascii="Cambria" w:hAnsi="Cambria" w:cs="Cambria" w:eastAsia="Cambria"/>
        </w:rPr>
        <w:t xml:space="preserve">ε</w:t>
      </w:r>
      <w:r>
        <w:rPr>
          <w:vertAlign w:val="subscript"/>
        </w:rPr>
        <w:t xml:space="preserve">it</w:t>
      </w:r>
      <w:r>
        <w:tab/>
        <w:t>(7)</w:t>
      </w:r>
    </w:p>
    <w:p>
      <w:pPr>
        <w:pStyle w:val="BodyText"/>
      </w:pPr>
      <w:r>
        <w:t xml:space="preserve">where Y</w:t>
      </w:r>
      <w:r>
        <w:rPr>
          <w:vertAlign w:val="subscript"/>
        </w:rPr>
        <w:t xml:space="preserve">it</w:t>
      </w:r>
      <w:r>
        <w:t xml:space="preserve"> </w:t>
      </w:r>
      <w:r>
        <w:t xml:space="preserve">is the natural logarithm of the wedge in US dollars, or the ecosystem ratio. Listed_it is the number of years since the platform listed on a stock exchange. Assets_it is its total assets in US dollars, which measure size without using transaction value, because transaction value is part of the wedge itself. Type_i marks the kind of platform: marketplace, which is the base, on-demand, travel, freelance or resale. Macro_it holds four measures of the platform’s home market: growth in gross domestic product (GDP), consumer-price inflation, growth in household spending and the central bank’s policy rate. The year effects </w:t>
      </w:r>
      <w:r>
        <w:rPr>
          <w:rFonts w:ascii="Cambria" w:hAnsi="Cambria" w:cs="Cambria" w:eastAsia="Cambria"/>
        </w:rPr>
        <w:t xml:space="preserve">δ</w:t>
      </w:r>
      <w:r>
        <w:t xml:space="preserve">_t remove what all platforms share in a year.</w:t>
      </w:r>
    </w:p>
    <w:p>
      <w:pPr>
        <w:pStyle w:val="BodyText"/>
      </w:pPr>
      <w:r>
        <w:t xml:space="preserve">The take rate and its parts do not appear on the right-hand side. The ecosystem ratio equals one divided by the take rate, minus one, so a regression of the ratio on the take rate would restate an identity and show nothing. Chapter 4 describes the data, the variables and the standard errors.</w:t>
      </w:r>
    </w:p>
    <w:bookmarkEnd w:id="35"/>
    <w:bookmarkStart w:id="36"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Each hypothesis, and the entry test of Section 3.5, comes with its main test and with the result that would count against it.</w:t>
      </w:r>
    </w:p>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H1 is tested in two ways. The first is equation (6): revenue growth is regressed on transaction value growth, and H1 holds in a group if the slope is 1. The second compares the size of yearly changes in the take rate, measured as simple percentage changes, between two groups. One group is the Indonesian and regional platforms. The other is listed platforms abroad, where revenue and transaction value broadly move together. A slope far below 1 in Indonesia, or changes far larger in Indonesia than abroad, would count against H1. Chapter 4 describes the two groups and the tests.</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splits in two:</w:t>
      </w:r>
    </w:p>
    <w:p>
      <w:pPr>
        <w:pStyle w:val="Equation"/>
      </w:pPr>
      <w:r>
        <w:tab/>
        <w:t>1 + g(Y</w:t>
      </w:r>
      <w:r>
        <w:rPr>
          <w:vertAlign w:val="subscript"/>
        </w:rPr>
        <w:t xml:space="preserve">t</w:t>
      </w:r>
      <w:r>
        <w:t xml:space="preserve">) = (1 + g(N</w:t>
      </w:r>
      <w:r>
        <w:rPr>
          <w:vertAlign w:val="subscript"/>
        </w:rPr>
        <w:t xml:space="preserve">t</w:t>
      </w:r>
      <w:r>
        <w:t xml:space="preserve">)) × (1 + g(Y</w:t>
      </w:r>
      <w:r>
        <w:rPr>
          <w:vertAlign w:val="subscript"/>
        </w:rPr>
        <w:t xml:space="preserve">t</w:t>
      </w:r>
      <w:r>
        <w:t xml:space="preserve"> </w:t>
      </w:r>
      <w:r>
        <w:t xml:space="preserve">/ N</w:t>
      </w:r>
      <w:r>
        <w:rPr>
          <w:vertAlign w:val="subscript"/>
        </w:rPr>
        <w:t xml:space="preserve">t</w:t>
      </w:r>
      <w:r>
        <w:t>))</w:t>
        <w:tab/>
        <w:t>(8)</w:t>
      </w:r>
    </w:p>
    <w:p>
      <w:pPr>
        <w:pStyle w:val="BodyText"/>
      </w:pPr>
      <w:r>
        <w:t xml:space="preserve">where g(N) is the growth in the number of businesses, the extensive margin, and g(Y/N) the growth in sales per business, the intensive margin. H2 holds if g(N) is larger than g(Y/N), which is the same as saying that more businesses account for most of the growth.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6"/>
    <w:bookmarkStart w:id="37"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w:t>
      </w:r>
      <w:r>
        <w:t xml:space="preserve"> </w:t>
      </w:r>
      <w:r>
        <w:rPr>
          <w:bCs/>
          <w:b/>
        </w:rPr>
        <w:t xml:space="preserve">The survey can, because it asks every seller in which year it began selling online.</w:t>
      </w:r>
      <w:r>
        <w:t xml:space="preserve"> </w:t>
      </w:r>
      <w:r>
        <w:t xml:space="preserve">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w:t>
      </w:r>
      <w:r>
        <w:t xml:space="preserve"> </w:t>
      </w:r>
      <w:r>
        <w:rPr>
          <w:bCs/>
          <w:b/>
        </w:rPr>
        <w:t xml:space="preserve">The threshold is the smallest share of new sellers that can produce the rise.</w:t>
      </w:r>
      <w:r>
        <w:t xml:space="preserve"> </w:t>
      </w:r>
      <w:r>
        <w:t xml:space="preserve">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7"/>
    <w:bookmarkStart w:id="38"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They are the tracing of large movements, the market values of listed platforms, the channels and reach of platform records, and the comparison of national figures.</w:t>
      </w:r>
    </w:p>
    <w:p>
      <w:pPr>
        <w:pStyle w:val="BodyText"/>
      </w:pPr>
      <w:r>
        <w:t xml:space="preserve">Tracing large movements asks what moved revenue when it parted from transaction value. Wherever H1 finds a large change in the take rate, the thesis divides the change in revenue into more commerce, higher fees and lower incentives, using company reports (Appendix B). It also reads the reports for changes in the mix of businesses and in reporting scope.</w:t>
      </w:r>
    </w:p>
    <w:p>
      <w:pPr>
        <w:pStyle w:val="BodyText"/>
      </w:pPr>
      <w:r>
        <w:t xml:space="preserve">The market-value analysis asks whether investors, who price revenue (Section 2.1), treat its two sources alike. Equation (4) shows that revenue growth has two sources: growth in transaction value and a change in the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r>
      <w:r>
        <w:rPr>
          <w:rFonts w:ascii="Cambria" w:hAnsi="Cambria" w:cs="Cambria" w:eastAsia="Cambria"/>
        </w:rPr>
        <w:t xml:space="preserve">Δ</w:t>
      </w:r>
      <w:r>
        <w:t xml:space="preserve">ln MV</w:t>
      </w:r>
      <w:r>
        <w:rPr>
          <w:vertAlign w:val="subscript"/>
        </w:rPr>
        <w:t xml:space="preserve">it</w:t>
      </w:r>
      <w:r>
        <w:t xml:space="preserve"> </w:t>
      </w:r>
      <w:r>
        <w:t xml:space="preserve">= </w:t>
      </w:r>
      <w:r>
        <w:rPr>
          <w:rFonts w:ascii="Cambria" w:hAnsi="Cambria" w:cs="Cambria" w:eastAsia="Cambria"/>
        </w:rPr>
        <w:t xml:space="preserve">β</w:t>
      </w:r>
      <w:r>
        <w:rPr>
          <w:vertAlign w:val="subscript"/>
        </w:rPr>
        <w:t xml:space="preserve">V</w:t>
      </w:r>
      <w:r>
        <w:t xml:space="preserve"> </w:t>
      </w:r>
      <w:r>
        <w:rPr>
          <w:rFonts w:ascii="Cambria" w:hAnsi="Cambria" w:cs="Cambria" w:eastAsia="Cambria"/>
        </w:rPr>
        <w:t xml:space="preserve">Δ</w:t>
      </w:r>
      <w:r>
        <w:t xml:space="preserve">ln V</w:t>
      </w:r>
      <w:r>
        <w:rPr>
          <w:vertAlign w:val="subscript"/>
        </w:rPr>
        <w:t xml:space="preserve">it</w:t>
      </w:r>
      <w:r>
        <w:t xml:space="preserve"> </w:t>
      </w:r>
      <w:r>
        <w:t xml:space="preserve">+ </w:t>
      </w:r>
      <w:r>
        <w:rPr>
          <w:rFonts w:ascii="Cambria" w:hAnsi="Cambria" w:cs="Cambria" w:eastAsia="Cambria"/>
        </w:rPr>
        <w:t xml:space="preserve">β</w:t>
      </w:r>
      <w:r>
        <w:rPr>
          <w:vertAlign w:val="subscript"/>
        </w:rPr>
        <w:t xml:space="preserve">m</w:t>
      </w:r>
      <w:r>
        <w:t xml:space="preserve"> </w:t>
      </w:r>
      <w:r>
        <w:rPr>
          <w:rFonts w:ascii="Cambria" w:hAnsi="Cambria" w:cs="Cambria" w:eastAsia="Cambria"/>
        </w:rPr>
        <w:t xml:space="preserve">Δ</w:t>
      </w:r>
      <w:r>
        <w:t xml:space="preserve">ln m</w:t>
      </w:r>
      <w:r>
        <w:rPr>
          <w:vertAlign w:val="subscript"/>
        </w:rPr>
        <w:t xml:space="preserve">it</w:t>
      </w:r>
      <w:r>
        <w:t xml:space="preserve"> </w:t>
      </w:r>
      <w:r>
        <w:t>+ year effect + error</w:t>
        <w:tab/>
        <w:t>(9)</w:t>
      </w:r>
    </w:p>
    <w:p>
      <w:pPr>
        <w:pStyle w:val="BodyText"/>
      </w:pPr>
      <w:r>
        <w:t xml:space="preserve">where </w:t>
      </w:r>
      <w:r>
        <w:rPr>
          <w:rFonts w:ascii="Cambria" w:hAnsi="Cambria" w:cs="Cambria" w:eastAsia="Cambria"/>
        </w:rPr>
        <w:t xml:space="preserve">β</w:t>
      </w:r>
      <w:r>
        <w:rPr>
          <w:vertAlign w:val="subscript"/>
        </w:rPr>
        <w:t xml:space="preserve">V</w:t>
      </w:r>
      <w:r>
        <w:t xml:space="preserve"> </w:t>
      </w:r>
      <w:r>
        <w:t xml:space="preserve">shows how market value moves with transaction value, and </w:t>
      </w:r>
      <w:r>
        <w:rPr>
          <w:rFonts w:ascii="Cambria" w:hAnsi="Cambria" w:cs="Cambria" w:eastAsia="Cambria"/>
        </w:rPr>
        <w:t xml:space="preserve">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w:t>
      </w:r>
      <w:r>
        <w:rPr>
          <w:rFonts w:ascii="Cambria" w:hAnsi="Cambria" w:cs="Cambria" w:eastAsia="Cambria"/>
        </w:rPr>
        <w:t xml:space="preserve">β</w:t>
      </w:r>
      <w:r>
        <w:rPr>
          <w:vertAlign w:val="subscript"/>
        </w:rPr>
        <w:t xml:space="preserve">V</w:t>
      </w:r>
      <w:r>
        <w:t xml:space="preserve"> </w:t>
      </w:r>
      <w:r>
        <w:t xml:space="preserve">is positive. The second is that markets value growth from more commerce more than growth from a higher take rate, so </w:t>
      </w:r>
      <w:r>
        <w:rPr>
          <w:rFonts w:ascii="Cambria" w:hAnsi="Cambria" w:cs="Cambria" w:eastAsia="Cambria"/>
        </w:rPr>
        <w:t xml:space="preserve">β</w:t>
      </w:r>
      <w:r>
        <w:rPr>
          <w:vertAlign w:val="subscript"/>
        </w:rPr>
        <w:t xml:space="preserve">V</w:t>
      </w:r>
      <w:r>
        <w:t xml:space="preserve"> </w:t>
      </w:r>
      <w:r>
        <w:t xml:space="preserve">is larger than </w:t>
      </w:r>
      <w:r>
        <w:rPr>
          <w:rFonts w:ascii="Cambria" w:hAnsi="Cambria" w:cs="Cambria" w:eastAsia="Cambria"/>
        </w:rPr>
        <w:t xml:space="preserve">β</w:t>
      </w:r>
      <w:r>
        <w:rPr>
          <w:vertAlign w:val="subscript"/>
        </w:rPr>
        <w:t xml:space="preserve">m</w:t>
      </w:r>
      <w:r>
        <w:t xml:space="preserve">. The predictions were registered with changes measured in logs, and the specification is kept as registered.</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8"/>
    <w:bookmarkEnd w:id="39"/>
    <w:bookmarkStart w:id="51" w:name="chapter-4.-data-and-methods"/>
    <w:p>
      <w:pPr>
        <w:pStyle w:val="Heading1"/>
      </w:pPr>
      <w:r>
        <w:t xml:space="preserve">Chapter 4. Data and Methods</w:t>
      </w:r>
    </w:p>
    <w:p>
      <w:pPr>
        <w:pStyle w:val="FirstParagraph"/>
      </w:pPr>
      <w:r>
        <w:rPr>
          <w:bCs/>
          <w:b/>
        </w:rPr>
        <w:t xml:space="preserve">The figures this thesis compares come from sources that were never designed to be read together.</w:t>
      </w:r>
      <w:r>
        <w:t xml:space="preserve"> </w:t>
      </w:r>
      <w:r>
        <w:t xml:space="preserve">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rPr>
          <w:bCs/>
          <w:b/>
        </w:rPr>
        <w:t xml:space="preserve">Setting the two sides against each other for one country is what makes the tests possible.</w:t>
      </w:r>
      <w:r>
        <w:t xml:space="preserve"> </w:t>
      </w:r>
      <w:r>
        <w:t xml:space="preserve">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0"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Appendix B.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t xml:space="preserve">Appendix B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C repeats the test without it. One added pair, Ozon from 2021 to 2022, ends in a kept year but starts in a dropped one. Appendix C repeats the test without Ozon as well. The result is 15 pairs for the Indonesian and regional group and 158 for the foreign group.</w:t>
      </w:r>
    </w:p>
    <w:bookmarkEnd w:id="40"/>
    <w:bookmarkStart w:id="41"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1"/>
    <w:bookmarkStart w:id="42" w:name="testing-h1"/>
    <w:p>
      <w:pPr>
        <w:pStyle w:val="Heading2"/>
      </w:pPr>
      <w:r>
        <w:t xml:space="preserve">4.3 Testing H1</w:t>
      </w:r>
    </w:p>
    <w:p>
      <w:pPr>
        <w:pStyle w:val="FirstParagraph"/>
      </w:pPr>
      <w:r>
        <w:t xml:space="preserve">The test of H1 has two parts, run on the same 32 platforms: the five Indonesian and regional platforms, Tokopedia, Blibli, Bukalapak and the on-demand businesses of Grab and GoTo, and the 27 platforms abroad.</w:t>
      </w:r>
    </w:p>
    <w:p>
      <w:pPr>
        <w:pStyle w:val="BodyText"/>
      </w:pPr>
      <w:r>
        <w:t xml:space="preserve">The first part is equation (6). Each observation is a pair of consecutive years of one platform, and a missing year is never filled. Growth is the simple percentage change, and growth rates are capped at their 5th and 95th percentiles (Section 4.4). The regression runs on all platforms with the group interaction, on the foreign group alone and on the Indonesian and regional group alone, with standard errors clustered by platform. The thesis also reports the correlation between revenue growth and transaction value growth for each group. Appendix C gives the rank correlation and the correlation without caps.</w:t>
      </w:r>
    </w:p>
    <w:p>
      <w:pPr>
        <w:pStyle w:val="BodyText"/>
      </w:pPr>
      <w:r>
        <w:t xml:space="preserve">The second part asks how far each platform’s take rate moves from one year to the next. For each pair of years it takes the simple percentage change in the take rate. Tokopedia’s change in 2023 is 68 percent. A move in either direction counts against H1, so the test uses the size of each yearly change.</w:t>
      </w:r>
      <w:r>
        <w:t xml:space="preserve"> </w:t>
      </w:r>
      <w:r>
        <w:rPr>
          <w:bCs/>
          <w:b/>
        </w:rPr>
        <w:t xml:space="preserve">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C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the change in logs, which the first version of this test used, growth divergence in points as Chapter 3 defines it, exact tests, and the change in the take rate in percentage points, to see whether a thin take rate explains the result. One repeats the test with quarterly pairs.</w:t>
      </w:r>
    </w:p>
    <w:bookmarkEnd w:id="42"/>
    <w:bookmarkStart w:id="43" w:name="Xfbf6e5adbfadf21de73f4530e1ec2c5eb39a9a1"/>
    <w:p>
      <w:pPr>
        <w:pStyle w:val="Heading2"/>
      </w:pPr>
      <w:r>
        <w:t xml:space="preserve">4.4 What explains the wedge and the ecosystem ratio</w:t>
      </w:r>
    </w:p>
    <w:p>
      <w:pPr>
        <w:pStyle w:val="FirstParagraph"/>
      </w:pPr>
      <w:r>
        <w:t xml:space="preserve">Equation (7) is estimated on a panel of 213 platform-years for the same 32 platforms, 20 of them Indonesian and regional platform-years and 193 foreign. A platform-year enters when the company reports both transaction value and revenue for it under the rules of Section 3.1, and a year that fails them stays missing. Amounts are in US dollars at the World Bank’s period-average rate for the year (World Bank 2026).</w:t>
      </w:r>
    </w:p>
    <w:p>
      <w:pPr>
        <w:pStyle w:val="BodyText"/>
      </w:pPr>
      <w:r>
        <w:t xml:space="preserve">Size is the platform’s total assets, taken from annual reports filed with the US Securities and Exchange Commission for 26 platforms (U.S. Securities and Exchange Commission 2026) and from published financial statements for the other six: Tokopedia and GoTo, which share one group statement, Blibli, Bukalapak, Rakuten and Zalando. Total assets are those of the company as a whole. They overstate the platform business at GoTo, Rakuten and Sea. The number of years since listing counts from the year the platform listed on a stock exchange, from public record, and a year before listing counts as zero. The type of platform is the author’s classification (Appendix B).</w:t>
      </w:r>
    </w:p>
    <w:p>
      <w:pPr>
        <w:pStyle w:val="BodyText"/>
      </w:pPr>
      <w:r>
        <w:t xml:space="preserve">The home market is the country of the platform’s main market. It is the United States for most US-listed platforms and Indonesia for the five Indonesian and regional platforms. It is also Indonesia for Sea, whose Shopee business has Indonesia as a main market. GDP growth, inflation and growth in household spending come from the World Bank (2026). The policy rate is the central bank’s rate from the Bank for International Settlements (2026), averaged over the year. It is not available for Kazakhstan or Nigeria, so the regressions with macroeconomic variables have 178 platform-years from 30 platforms.</w:t>
      </w:r>
    </w:p>
    <w:p>
      <w:pPr>
        <w:pStyle w:val="BodyText"/>
      </w:pPr>
      <w:r>
        <w:t xml:space="preserve">Growth rates and the ecosystem ratio are capped at their 5th and 95th percentiles across all platforms, the rule that Section 4.5 uses for market value. Standard errors are clustered by platform, with the small-sample correction, and p-values use a t distribution with one fewer degrees of freedom than platforms. Only five platforms are Indonesian and regional, so the thesis adds a wild cluster bootstrap p-value for the Indonesia coefficient (Cameron, Gelbach and Miller 2008). Appendix C lists the checks on this coefficient. All of these tests are exploratory, because they were designed after the data were seen.</w:t>
      </w:r>
    </w:p>
    <w:p>
      <w:pPr>
        <w:pStyle w:val="BodyText"/>
      </w:pPr>
      <w:r>
        <w:t xml:space="preserve">The second objective, to reconcile large movements in revenue with disclosed changes in fees, discounts and scope, rests on company reports. Where a company discloses both its gross fees and its incentives, the thesis splits the growth of revenue over a window into more commerce, a change in the fee rate and a change in the incentive rate (equation (5)). The split is exact only in logs, so Appendix B keeps the log definition for these windows.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 Grab is read from its annual filings and GoTo from its audited statements. Blibli does not report incentives, so its split rests on a proxy built from its releases. Seven windows are traced, and Appendix B lists them. The thesis also records where accounting treatment or reporting scope matters, such as the deduction of incentives from revenue and the travel business inside Blibli’s retail segment. Company explanations are read as reports and are not tested.</w:t>
      </w:r>
    </w:p>
    <w:bookmarkEnd w:id="43"/>
    <w:bookmarkStart w:id="44" w:name="market-values"/>
    <w:p>
      <w:pPr>
        <w:pStyle w:val="Heading2"/>
      </w:pPr>
      <w:r>
        <w:t xml:space="preserve">4.5 Market values</w:t>
      </w:r>
    </w:p>
    <w:p>
      <w:pPr>
        <w:pStyle w:val="FirstParagraph"/>
      </w:pPr>
      <w:r>
        <w:t xml:space="preserve">The market-value analysis of Section 3.6 uses year-end market values from the data service of the London Stock Exchange Group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(9)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with changes measured in logs, and it keeps that definition.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4"/>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(8).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The three files are the E-Commerce rounds of 2021, 2023 and 2024, which describe the activity years 2020, 2022 and 2023.</w:t>
      </w:r>
      <w:r>
        <w:rPr>
          <w:rStyle w:val="FootnoteReference"/>
        </w:rPr>
        <w:footnoteReference w:id="45"/>
      </w:r>
      <w:r>
        <w:t xml:space="preserve"> </w:t>
      </w:r>
      <w:r>
        <w:t xml:space="preserve">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Appendix A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w:t>
      </w:r>
      <w:r>
        <w:t xml:space="preserve"> </w:t>
      </w:r>
      <w:r>
        <w:rPr>
          <w:bCs/>
          <w:b/>
        </w:rPr>
        <w:t xml:space="preserve">A registered test was written down, dated and stored in the repository before the data were opened.</w:t>
      </w:r>
      <w:r>
        <w:t xml:space="preserve"> </w:t>
      </w:r>
      <w:r>
        <w:t xml:space="preserve">This applies to the entry test, the scenario rules for value, the comparison with Bank Indonesia and the market-value test, among others. Appendix D lists them with their dates.</w:t>
      </w:r>
      <w:r>
        <w:t xml:space="preserve"> </w:t>
      </w:r>
      <w:r>
        <w:rPr>
          <w:bCs/>
          <w:b/>
        </w:rPr>
        <w:t xml:space="preserve">An exploratory test was designed after some results were seen.</w:t>
      </w:r>
      <w:r>
        <w:t xml:space="preserve"> </w:t>
      </w:r>
      <w:r>
        <w:t xml:space="preserve">The test with the larger groups in Section 4.3 belongs here, because it was set up after a first test on the three marketplaces.</w:t>
      </w:r>
      <w:r>
        <w:t xml:space="preserve"> </w:t>
      </w:r>
      <w:r>
        <w:rPr>
          <w:bCs/>
          <w:b/>
        </w:rPr>
        <w:t xml:space="preserve">A descriptive result reports numbers without a test.</w:t>
      </w:r>
    </w:p>
    <w:p>
      <w:pPr>
        <w:pStyle w:val="BodyText"/>
      </w:pPr>
      <w:r>
        <w:t xml:space="preserve">The World Bank indicators, the Bank for International Settlements policy rates and the total assets from SEC filings are public. The repository holds the downloaded values and the scripts that fetched them. 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Each section states the label next to the result it reports.</w:t>
      </w:r>
    </w:p>
    <w:bookmarkStart w:id="52" w:name="how-much-revenue-leaves-out"/>
    <w:p>
      <w:pPr>
        <w:pStyle w:val="Heading2"/>
      </w:pPr>
      <w:r>
        <w:t xml:space="preserve">5.1 How much revenue leaves out</w:t>
      </w:r>
    </w:p>
    <w:p>
      <w:pPr>
        <w:pStyle w:val="FirstParagraph"/>
      </w:pPr>
      <w:r>
        <w:rPr>
          <w:bCs/>
          <w:b/>
        </w:rPr>
        <w:t xml:space="preserve">Revenue showed only a small part of what Indonesia’s major platforms carried.</w:t>
      </w:r>
      <w:r>
        <w:t xml:space="preserve"> </w:t>
      </w:r>
      <w:r>
        <w:t xml:space="preserve">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5.1 shows each platform.</w:t>
      </w:r>
    </w:p>
    <w:p>
      <w:pPr>
        <w:pStyle w:val="BodyText"/>
        <w:keepNext/>
        <w:spacing w:before="140" w:after="56" w:lineRule="exact" w:line="246"/>
        <w:jc w:val="left"/>
      </w:pPr>
      <w:r>
        <w:rPr>
          <w:b/>
          <w:sz w:val="17"/>
        </w:rPr>
        <w:t>Table 5.1.</w:t>
      </w:r>
      <w:r>
        <w:rPr>
          <w:b w:val="0"/>
          <w:sz w:val="17"/>
        </w:rPr>
        <w:t xml:space="preserve"> The invisible wedge of three platforms, 2023 (US$ billion)</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1340"/>
        <w:gridCol w:w="1398"/>
        <w:gridCol w:w="990"/>
        <w:gridCol w:w="816"/>
        <w:gridCol w:w="1224"/>
        <w:gridCol w:w="4429"/>
      </w:tblGrid>
      <w:tr>
        <w:trPr>
          <w:tblHeader w:val="true"/>
          <w:cantSplit/>
          <w:tblHeader/>
        </w:trPr>
        <w:tc>
          <w:tcPr>
            <w:tcW w:w="1340" w:type="dxa"/>
            <w:tcBorders>
              <w:bottom w:val="single" w:sz="4" w:space="0" w:color="111111"/>
            </w:tcBorders>
          </w:tcPr>
          <w:p>
            <w:pPr>
              <w:pStyle w:val="Compact"/>
              <w:keepNext/>
              <w:spacing w:before="0" w:after="0" w:lineRule="exact" w:line="200"/>
              <w:jc w:val="left"/>
            </w:pPr>
            <w:r>
              <w:rPr>
                <w:b/>
                <w:sz w:val="16"/>
              </w:rPr>
              <w:t xml:space="preserve">Platform</w:t>
            </w:r>
          </w:p>
        </w:tc>
        <w:tc>
          <w:tcPr>
            <w:tcW w:w="1398" w:type="dxa"/>
            <w:tcBorders>
              <w:bottom w:val="single" w:sz="4" w:space="0" w:color="111111"/>
            </w:tcBorders>
          </w:tcPr>
          <w:p>
            <w:pPr>
              <w:pStyle w:val="Compact"/>
              <w:keepNext/>
              <w:spacing w:before="0" w:after="0" w:lineRule="exact" w:line="200"/>
              <w:jc w:val="left"/>
            </w:pPr>
            <w:r>
              <w:rPr>
                <w:b/>
                <w:sz w:val="16"/>
              </w:rPr>
              <w:t xml:space="preserve">Transaction value</w:t>
            </w:r>
          </w:p>
        </w:tc>
        <w:tc>
          <w:tcPr>
            <w:tcW w:w="990" w:type="dxa"/>
            <w:tcBorders>
              <w:bottom w:val="single" w:sz="4" w:space="0" w:color="111111"/>
            </w:tcBorders>
          </w:tcPr>
          <w:p>
            <w:pPr>
              <w:pStyle w:val="Compact"/>
              <w:keepNext/>
              <w:spacing w:before="0" w:after="0" w:lineRule="exact" w:line="200"/>
              <w:jc w:val="left"/>
            </w:pPr>
            <w:r>
              <w:rPr>
                <w:b/>
                <w:sz w:val="16"/>
              </w:rPr>
              <w:t xml:space="preserve">Revenue</w:t>
            </w:r>
          </w:p>
        </w:tc>
        <w:tc>
          <w:tcPr>
            <w:tcW w:w="816" w:type="dxa"/>
            <w:tcBorders>
              <w:bottom w:val="single" w:sz="4" w:space="0" w:color="111111"/>
            </w:tcBorders>
          </w:tcPr>
          <w:p>
            <w:pPr>
              <w:pStyle w:val="Compact"/>
              <w:keepNext/>
              <w:spacing w:before="0" w:after="0" w:lineRule="exact" w:line="200"/>
              <w:jc w:val="left"/>
            </w:pPr>
            <w:r>
              <w:rPr>
                <w:b/>
                <w:sz w:val="16"/>
              </w:rPr>
              <w:t xml:space="preserve">Wedge</w:t>
            </w:r>
          </w:p>
        </w:tc>
        <w:tc>
          <w:tcPr>
            <w:tcW w:w="1224" w:type="dxa"/>
            <w:tcBorders>
              <w:bottom w:val="single" w:sz="4" w:space="0" w:color="111111"/>
            </w:tcBorders>
          </w:tcPr>
          <w:p>
            <w:pPr>
              <w:pStyle w:val="Compact"/>
              <w:keepNext/>
              <w:spacing w:before="0" w:after="0" w:lineRule="exact" w:line="200"/>
              <w:jc w:val="left"/>
            </w:pPr>
            <w:r>
              <w:rPr>
                <w:b/>
                <w:sz w:val="16"/>
              </w:rPr>
              <w:t xml:space="preserve">Ecosystem ratio</w:t>
            </w:r>
          </w:p>
        </w:tc>
        <w:tc>
          <w:tcPr>
            <w:tcW w:w="4429" w:type="dxa"/>
            <w:tcBorders>
              <w:bottom w:val="single" w:sz="4" w:space="0" w:color="111111"/>
            </w:tcBorders>
          </w:tcPr>
          <w:p>
            <w:pPr>
              <w:pStyle w:val="Compact"/>
              <w:keepNext/>
              <w:spacing w:before="0" w:after="0" w:lineRule="exact" w:line="200"/>
              <w:jc w:val="left"/>
            </w:pPr>
            <w:r>
              <w:rPr>
                <w:b/>
                <w:sz w:val="16"/>
              </w:rPr>
              <w:t xml:space="preserve">How it is labelled</w:t>
            </w:r>
          </w:p>
        </w:tc>
      </w:tr>
      <w:tr>
        <w:trPr>
          <w:cantSplit/>
        </w:trPr>
        <w:tc>
          <w:tcPr>
            <w:tcW w:w="1340" w:type="dxa"/>
          </w:tcPr>
          <w:p>
            <w:pPr>
              <w:pStyle w:val="Compact"/>
              <w:keepNext/>
              <w:spacing w:before="0" w:after="0" w:lineRule="exact" w:line="200"/>
              <w:jc w:val="left"/>
            </w:pPr>
            <w:r>
              <w:rPr>
                <w:sz w:val="16"/>
              </w:rPr>
              <w:t xml:space="preserve">Tokopedia</w:t>
            </w:r>
          </w:p>
        </w:tc>
        <w:tc>
          <w:tcPr>
            <w:tcW w:w="1398" w:type="dxa"/>
          </w:tcPr>
          <w:p>
            <w:pPr>
              <w:pStyle w:val="Compact"/>
              <w:keepNext/>
              <w:spacing w:before="0" w:after="0" w:lineRule="exact" w:line="200"/>
              <w:jc w:val="left"/>
            </w:pPr>
            <w:r>
              <w:rPr>
                <w:sz w:val="16"/>
              </w:rPr>
              <w:t xml:space="preserve">16.33</w:t>
            </w:r>
          </w:p>
        </w:tc>
        <w:tc>
          <w:tcPr>
            <w:tcW w:w="990" w:type="dxa"/>
          </w:tcPr>
          <w:p>
            <w:pPr>
              <w:pStyle w:val="Compact"/>
              <w:keepNext/>
              <w:spacing w:before="0" w:after="0" w:lineRule="exact" w:line="200"/>
              <w:jc w:val="left"/>
            </w:pPr>
            <w:r>
              <w:rPr>
                <w:sz w:val="16"/>
              </w:rPr>
              <w:t xml:space="preserve">0.41</w:t>
            </w:r>
          </w:p>
        </w:tc>
        <w:tc>
          <w:tcPr>
            <w:tcW w:w="816" w:type="dxa"/>
          </w:tcPr>
          <w:p>
            <w:pPr>
              <w:pStyle w:val="Compact"/>
              <w:keepNext/>
              <w:spacing w:before="0" w:after="0" w:lineRule="exact" w:line="200"/>
              <w:jc w:val="left"/>
            </w:pPr>
            <w:r>
              <w:rPr>
                <w:sz w:val="16"/>
              </w:rPr>
              <w:t xml:space="preserve">15.93</w:t>
            </w:r>
          </w:p>
        </w:tc>
        <w:tc>
          <w:tcPr>
            <w:tcW w:w="1224" w:type="dxa"/>
          </w:tcPr>
          <w:p>
            <w:pPr>
              <w:pStyle w:val="Compact"/>
              <w:keepNext/>
              <w:spacing w:before="0" w:after="0" w:lineRule="exact" w:line="200"/>
              <w:jc w:val="left"/>
            </w:pPr>
            <w:r>
              <w:rPr>
                <w:sz w:val="16"/>
              </w:rPr>
              <w:t xml:space="preserve">39.3</w:t>
            </w:r>
          </w:p>
        </w:tc>
        <w:tc>
          <w:tcPr>
            <w:tcW w:w="4429" w:type="dxa"/>
          </w:tcPr>
          <w:p>
            <w:pPr>
              <w:pStyle w:val="Compact"/>
              <w:keepNext/>
              <w:spacing w:before="0" w:after="0" w:lineRule="exact" w:line="200"/>
              <w:jc w:val="left"/>
            </w:pPr>
            <w:r>
              <w:rPr>
                <w:sz w:val="16"/>
              </w:rPr>
              <w:t xml:space="preserve">Both direct segment disclosure</w:t>
            </w:r>
          </w:p>
        </w:tc>
      </w:tr>
      <w:tr>
        <w:trPr>
          <w:cantSplit/>
        </w:trPr>
        <w:tc>
          <w:tcPr>
            <w:tcW w:w="1340" w:type="dxa"/>
          </w:tcPr>
          <w:p>
            <w:pPr>
              <w:pStyle w:val="Compact"/>
              <w:keepNext/>
              <w:spacing w:before="0" w:after="0" w:lineRule="exact" w:line="200"/>
              <w:jc w:val="left"/>
            </w:pPr>
            <w:r>
              <w:rPr>
                <w:sz w:val="16"/>
              </w:rPr>
              <w:t xml:space="preserve">Shopee, Indonesia</w:t>
            </w:r>
          </w:p>
        </w:tc>
        <w:tc>
          <w:tcPr>
            <w:tcW w:w="1398" w:type="dxa"/>
          </w:tcPr>
          <w:p>
            <w:pPr>
              <w:pStyle w:val="Compact"/>
              <w:keepNext/>
              <w:spacing w:before="0" w:after="0" w:lineRule="exact" w:line="200"/>
              <w:jc w:val="left"/>
            </w:pPr>
            <w:r>
              <w:rPr>
                <w:sz w:val="16"/>
              </w:rPr>
              <w:t xml:space="preserve">21.52</w:t>
            </w:r>
          </w:p>
        </w:tc>
        <w:tc>
          <w:tcPr>
            <w:tcW w:w="990" w:type="dxa"/>
          </w:tcPr>
          <w:p>
            <w:pPr>
              <w:pStyle w:val="Compact"/>
              <w:keepNext/>
              <w:spacing w:before="0" w:after="0" w:lineRule="exact" w:line="200"/>
              <w:jc w:val="left"/>
            </w:pPr>
            <w:r>
              <w:rPr>
                <w:sz w:val="16"/>
              </w:rPr>
              <w:t xml:space="preserve">2.15</w:t>
            </w:r>
          </w:p>
        </w:tc>
        <w:tc>
          <w:tcPr>
            <w:tcW w:w="816" w:type="dxa"/>
          </w:tcPr>
          <w:p>
            <w:pPr>
              <w:pStyle w:val="Compact"/>
              <w:keepNext/>
              <w:spacing w:before="0" w:after="0" w:lineRule="exact" w:line="200"/>
              <w:jc w:val="left"/>
            </w:pPr>
            <w:r>
              <w:rPr>
                <w:sz w:val="16"/>
              </w:rPr>
              <w:t xml:space="preserve">19.37</w:t>
            </w:r>
          </w:p>
        </w:tc>
        <w:tc>
          <w:tcPr>
            <w:tcW w:w="1224" w:type="dxa"/>
          </w:tcPr>
          <w:p>
            <w:pPr>
              <w:pStyle w:val="Compact"/>
              <w:keepNext/>
              <w:spacing w:before="0" w:after="0" w:lineRule="exact" w:line="200"/>
              <w:jc w:val="left"/>
            </w:pPr>
            <w:r>
              <w:rPr>
                <w:sz w:val="16"/>
              </w:rPr>
              <w:t xml:space="preserve">9.0</w:t>
            </w:r>
          </w:p>
        </w:tc>
        <w:tc>
          <w:tcPr>
            <w:tcW w:w="4429" w:type="dxa"/>
          </w:tcPr>
          <w:p>
            <w:pPr>
              <w:pStyle w:val="Compact"/>
              <w:keepNext/>
              <w:spacing w:before="0" w:after="0" w:lineRule="exact" w:line="200"/>
              <w:jc w:val="left"/>
            </w:pPr>
            <w:r>
              <w:rPr>
                <w:sz w:val="16"/>
              </w:rPr>
              <w:t xml:space="preserve">Transaction value is an outside estimate (Momentum Works); revenue is derived at an assumed take rate of 10 percent</w:t>
            </w:r>
          </w:p>
        </w:tc>
      </w:tr>
      <w:tr>
        <w:trPr>
          <w:cantSplit/>
        </w:trPr>
        <w:tc>
          <w:tcPr>
            <w:tcW w:w="1340" w:type="dxa"/>
          </w:tcPr>
          <w:p>
            <w:pPr>
              <w:pStyle w:val="Compact"/>
              <w:keepNext/>
              <w:spacing w:before="0" w:after="0" w:lineRule="exact" w:line="200"/>
              <w:jc w:val="left"/>
            </w:pPr>
            <w:r>
              <w:rPr>
                <w:sz w:val="16"/>
              </w:rPr>
              <w:t xml:space="preserve">Grab, Indonesia</w:t>
            </w:r>
          </w:p>
        </w:tc>
        <w:tc>
          <w:tcPr>
            <w:tcW w:w="1398" w:type="dxa"/>
          </w:tcPr>
          <w:p>
            <w:pPr>
              <w:pStyle w:val="Compact"/>
              <w:keepNext/>
              <w:spacing w:before="0" w:after="0" w:lineRule="exact" w:line="200"/>
              <w:jc w:val="left"/>
            </w:pPr>
            <w:r>
              <w:rPr>
                <w:sz w:val="16"/>
              </w:rPr>
              <w:t xml:space="preserve">5.38</w:t>
            </w:r>
          </w:p>
        </w:tc>
        <w:tc>
          <w:tcPr>
            <w:tcW w:w="990" w:type="dxa"/>
          </w:tcPr>
          <w:p>
            <w:pPr>
              <w:pStyle w:val="Compact"/>
              <w:keepNext/>
              <w:spacing w:before="0" w:after="0" w:lineRule="exact" w:line="200"/>
              <w:jc w:val="left"/>
            </w:pPr>
            <w:r>
              <w:rPr>
                <w:sz w:val="16"/>
              </w:rPr>
              <w:t xml:space="preserve">0.60</w:t>
            </w:r>
          </w:p>
        </w:tc>
        <w:tc>
          <w:tcPr>
            <w:tcW w:w="816" w:type="dxa"/>
          </w:tcPr>
          <w:p>
            <w:pPr>
              <w:pStyle w:val="Compact"/>
              <w:keepNext/>
              <w:spacing w:before="0" w:after="0" w:lineRule="exact" w:line="200"/>
              <w:jc w:val="left"/>
            </w:pPr>
            <w:r>
              <w:rPr>
                <w:sz w:val="16"/>
              </w:rPr>
              <w:t xml:space="preserve">4.78</w:t>
            </w:r>
          </w:p>
        </w:tc>
        <w:tc>
          <w:tcPr>
            <w:tcW w:w="1224" w:type="dxa"/>
          </w:tcPr>
          <w:p>
            <w:pPr>
              <w:pStyle w:val="Compact"/>
              <w:keepNext/>
              <w:spacing w:before="0" w:after="0" w:lineRule="exact" w:line="200"/>
              <w:jc w:val="left"/>
            </w:pPr>
            <w:r>
              <w:rPr>
                <w:sz w:val="16"/>
              </w:rPr>
              <w:t xml:space="preserve">7.9</w:t>
            </w:r>
          </w:p>
        </w:tc>
        <w:tc>
          <w:tcPr>
            <w:tcW w:w="4429" w:type="dxa"/>
          </w:tcPr>
          <w:p>
            <w:pPr>
              <w:pStyle w:val="Compact"/>
              <w:keepNext/>
              <w:spacing w:before="0" w:after="0" w:lineRule="exact" w:line="200"/>
              <w:jc w:val="left"/>
            </w:pPr>
            <w:r>
              <w:rPr>
                <w:sz w:val="16"/>
              </w:rPr>
              <w:t xml:space="preserve">Revenue is a direct country disclosure; transaction value is derived from Grab’s company-wide ratio</w:t>
            </w:r>
          </w:p>
        </w:tc>
      </w:tr>
      <w:tr>
        <w:trPr>
          <w:cantSplit/>
        </w:trPr>
        <w:tc>
          <w:tcPr>
            <w:tcW w:w="1340" w:type="dxa"/>
          </w:tcPr>
          <w:p>
            <w:pPr>
              <w:pStyle w:val="Compact"/>
              <w:spacing w:before="0" w:after="0" w:lineRule="exact" w:line="200"/>
              <w:jc w:val="left"/>
            </w:pPr>
            <w:r>
              <w:rPr>
                <w:sz w:val="16"/>
              </w:rPr>
              <w:t xml:space="preserve">Total</w:t>
            </w:r>
          </w:p>
        </w:tc>
        <w:tc>
          <w:tcPr>
            <w:tcW w:w="1398" w:type="dxa"/>
          </w:tcPr>
          <w:p>
            <w:pPr>
              <w:pStyle w:val="Compact"/>
              <w:spacing w:before="0" w:after="0" w:lineRule="exact" w:line="200"/>
              <w:jc w:val="left"/>
            </w:pPr>
            <w:r>
              <w:rPr>
                <w:sz w:val="16"/>
              </w:rPr>
              <w:t xml:space="preserve">43.23</w:t>
            </w:r>
          </w:p>
        </w:tc>
        <w:tc>
          <w:tcPr>
            <w:tcW w:w="990" w:type="dxa"/>
          </w:tcPr>
          <w:p>
            <w:pPr>
              <w:pStyle w:val="Compact"/>
              <w:spacing w:before="0" w:after="0" w:lineRule="exact" w:line="200"/>
              <w:jc w:val="left"/>
            </w:pPr>
            <w:r>
              <w:rPr>
                <w:sz w:val="16"/>
              </w:rPr>
              <w:t xml:space="preserve">3.16</w:t>
            </w:r>
          </w:p>
        </w:tc>
        <w:tc>
          <w:tcPr>
            <w:tcW w:w="816" w:type="dxa"/>
          </w:tcPr>
          <w:p>
            <w:pPr>
              <w:pStyle w:val="Compact"/>
              <w:spacing w:before="0" w:after="0" w:lineRule="exact" w:line="200"/>
              <w:jc w:val="left"/>
            </w:pPr>
            <w:r>
              <w:rPr>
                <w:sz w:val="16"/>
              </w:rPr>
              <w:t xml:space="preserve">40.07</w:t>
            </w:r>
          </w:p>
        </w:tc>
        <w:tc>
          <w:tcPr>
            <w:tcW w:w="1224" w:type="dxa"/>
          </w:tcPr>
          <w:p>
            <w:pPr>
              <w:pStyle w:val="Compact"/>
              <w:spacing w:before="0" w:after="0" w:lineRule="exact" w:line="200"/>
              <w:jc w:val="left"/>
            </w:pPr>
            <w:r>
              <w:rPr>
                <w:sz w:val="16"/>
              </w:rPr>
              <w:t xml:space="preserve">12.7</w:t>
            </w:r>
          </w:p>
        </w:tc>
        <w:tc>
          <w:tcPr>
            <w:tcW w:w="4429" w:type="dxa"/>
          </w:tcPr>
          <w:p>
            <w:pPr>
              <w:pStyle w:val="Compact"/>
              <w:spacing w:before="0" w:after="0" w:lineRule="exact" w:line="200"/>
              <w:jc w:val="left"/>
            </w:pPr>
            <w:r>
              <w:rPr>
                <w:sz w:val="16"/>
              </w:rPr>
              <w:t xml:space="preserve">Sum of three platforms, not a national total</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B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rPr>
          <w:bCs/>
          <w:b/>
        </w:rPr>
        <w:t xml:space="preserve">Revenue followed transaction value abroad and did not in Indonesia and the region, so the thesis rejects H1 for the Indonesian and regional platforms.</w:t>
      </w:r>
      <w:r>
        <w:t xml:space="preserve"> </w:t>
      </w:r>
      <w:r>
        <w:t xml:space="preserve">Table 5.2 describes the panel behind the test. The typical Indonesian and regional platform-year has an ecosystem ratio of about 35, against about 5.5 abroad. Transaction value grew by a median of 16 percent a year in both groups, and revenue by 38 percent in Indonesia and the region against 21 percent abroad. The Indonesian and regional platforms are also younger, a median of one year since listing against four.</w:t>
      </w:r>
    </w:p>
    <w:p>
      <w:pPr>
        <w:pStyle w:val="BodyText"/>
        <w:keepNext/>
        <w:spacing w:before="140" w:after="56" w:lineRule="exact" w:line="246"/>
        <w:jc w:val="left"/>
      </w:pPr>
      <w:r>
        <w:rPr>
          <w:b/>
          <w:sz w:val="17"/>
        </w:rPr>
        <w:t>Table 5.2.</w:t>
      </w:r>
      <w:r>
        <w:rPr>
          <w:b w:val="0"/>
          <w:sz w:val="17"/>
        </w:rPr>
        <w:t xml:space="preserve"> Summary statistics and correlations</w:t>
      </w:r>
    </w:p>
    <w:p>
      <w:pPr>
        <w:pStyle w:val="BodyText"/>
        <w:keepNext/>
        <w:spacing w:before="40" w:after="70" w:lineRule="exact" w:line="220"/>
        <w:jc w:val="left"/>
      </w:pPr>
      <w:r>
        <w:rPr>
          <w:color w:val="222222"/>
          <w:sz w:val="16"/>
        </w:rPr>
        <w:t xml:space="preserve">This table reports summary statistics and pairwise correlations for the panel of 213 platform-years used in Sections 5.2 and 5.3, which covers 32 platforms. Panel A gives the number of observations (N), the mean, the median (P50) and the standard deviation (SD) of each variable for the Indonesian and regional platforms and for the foreign platforms. Panel B gives pairwise Pearson correlations for all platforms. Growth rates and the ecosystem ratio are capped at their 5th and 95th percentiles; the wedge and total assets are in US$ million. Appendix A defines the variables. ∗∗∗, ∗∗ and ∗ correspond to statistical significance at the 1%, 5% and 10% levels.</w:t>
      </w:r>
    </w:p>
    <w:p>
      <w:pPr>
        <w:pStyle w:val="BodyText"/>
        <w:keepNext/>
        <w:spacing w:before="40" w:after="70" w:lineRule="exact" w:line="220"/>
        <w:jc w:val="left"/>
      </w:pPr>
      <w:r>
        <w:rPr>
          <w:iCs/>
          <w:i/>
          <w:color w:val="222222"/>
          <w:sz w:val="16"/>
        </w:rPr>
        <w:t xml:space="preserve">Panel A. Summary statistics</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2331"/>
        <w:gridCol w:w="1690"/>
        <w:gridCol w:w="816"/>
        <w:gridCol w:w="816"/>
        <w:gridCol w:w="816"/>
        <w:gridCol w:w="990"/>
        <w:gridCol w:w="932"/>
        <w:gridCol w:w="816"/>
        <w:gridCol w:w="990"/>
      </w:tblGrid>
      <w:tr>
        <w:trPr>
          <w:tblHeader w:val="true"/>
          <w:cantSplit/>
          <w:tblHeader/>
        </w:trPr>
        <w:tc>
          <w:tcPr>
            <w:tcW w:w="2331" w:type="dxa"/>
            <w:tcBorders>
              <w:bottom w:val="single" w:sz="4" w:space="0" w:color="111111"/>
            </w:tcBorders>
          </w:tcPr>
          <w:p>
            <w:pPr>
              <w:pStyle w:val="Compact"/>
              <w:keepNext/>
              <w:spacing w:before="0" w:after="0" w:lineRule="exact" w:line="200"/>
              <w:jc w:val="left"/>
            </w:pPr>
            <w:r>
              <w:rPr>
                <w:b/>
                <w:sz w:val="16"/>
              </w:rPr>
              <w:t xml:space="preserve">Variable</w:t>
            </w:r>
          </w:p>
        </w:tc>
        <w:tc>
          <w:tcPr>
            <w:tcW w:w="4138" w:type="dxa"/>
            <w:gridSpan w:val="4"/>
            <w:tcBorders>
              <w:bottom w:val="single" w:sz="4" w:space="0" w:color="111111"/>
            </w:tcBorders>
          </w:tcPr>
          <w:p>
            <w:pPr>
              <w:pStyle w:val="Compact"/>
              <w:keepNext/>
              <w:spacing w:before="0" w:after="0" w:lineRule="exact" w:line="200"/>
              <w:jc w:val="center"/>
            </w:pPr>
            <w:r>
              <w:rPr>
                <w:b/>
                <w:sz w:val="16"/>
              </w:rPr>
              <w:t xml:space="preserve">Indonesian and regional</w:t>
            </w:r>
          </w:p>
        </w:tc>
        <w:tc>
          <w:tcPr>
            <w:tcW w:w="3728" w:type="dxa"/>
            <w:gridSpan w:val="4"/>
            <w:tcBorders>
              <w:bottom w:val="single" w:sz="4" w:space="0" w:color="111111"/>
            </w:tcBorders>
          </w:tcPr>
          <w:p>
            <w:pPr>
              <w:pStyle w:val="Compact"/>
              <w:keepNext/>
              <w:spacing w:before="0" w:after="0" w:lineRule="exact" w:line="200"/>
              <w:jc w:val="center"/>
            </w:pPr>
            <w:r>
              <w:rPr>
                <w:b/>
                <w:sz w:val="16"/>
              </w:rPr>
              <w:t xml:space="preserve">Foreign</w:t>
            </w:r>
          </w:p>
        </w:tc>
      </w:tr>
      <w:tr>
        <w:trPr>
          <w:cantSplit/>
        </w:trPr>
        <w:tc>
          <w:tcPr>
            <w:tcW w:w="2331" w:type="dxa"/>
          </w:tcPr>
          <w:p>
            <w:pPr>
              <w:pStyle w:val="Compact"/>
              <w:keepNext/>
              <w:spacing w:before="0" w:after="0" w:lineRule="exact" w:line="200"/>
              <w:jc w:val="left"/>
            </w:pPr>
          </w:p>
        </w:tc>
        <w:tc>
          <w:tcPr>
            <w:tcW w:w="1690" w:type="dxa"/>
          </w:tcPr>
          <w:p>
            <w:pPr>
              <w:pStyle w:val="Compact"/>
              <w:keepNext/>
              <w:spacing w:before="0" w:after="0" w:lineRule="exact" w:line="200"/>
              <w:jc w:val="left"/>
            </w:pPr>
            <w:r>
              <w:rPr>
                <w:bCs/>
                <w:b/>
                <w:sz w:val="16"/>
              </w:rPr>
              <w:t xml:space="preserve">N</w:t>
            </w:r>
          </w:p>
        </w:tc>
        <w:tc>
          <w:tcPr>
            <w:tcW w:w="816" w:type="dxa"/>
          </w:tcPr>
          <w:p>
            <w:pPr>
              <w:pStyle w:val="Compact"/>
              <w:keepNext/>
              <w:spacing w:before="0" w:after="0" w:lineRule="exact" w:line="200"/>
              <w:jc w:val="left"/>
            </w:pPr>
            <w:r>
              <w:rPr>
                <w:bCs/>
                <w:b/>
                <w:sz w:val="16"/>
              </w:rPr>
              <w:t xml:space="preserve">Mean</w:t>
            </w:r>
          </w:p>
        </w:tc>
        <w:tc>
          <w:tcPr>
            <w:tcW w:w="816" w:type="dxa"/>
          </w:tcPr>
          <w:p>
            <w:pPr>
              <w:pStyle w:val="Compact"/>
              <w:keepNext/>
              <w:spacing w:before="0" w:after="0" w:lineRule="exact" w:line="200"/>
              <w:jc w:val="left"/>
            </w:pPr>
            <w:r>
              <w:rPr>
                <w:bCs/>
                <w:b/>
                <w:sz w:val="16"/>
              </w:rPr>
              <w:t xml:space="preserve">P50</w:t>
            </w:r>
          </w:p>
        </w:tc>
        <w:tc>
          <w:tcPr>
            <w:tcW w:w="816" w:type="dxa"/>
          </w:tcPr>
          <w:p>
            <w:pPr>
              <w:pStyle w:val="Compact"/>
              <w:keepNext/>
              <w:spacing w:before="0" w:after="0" w:lineRule="exact" w:line="200"/>
              <w:jc w:val="left"/>
            </w:pPr>
            <w:r>
              <w:rPr>
                <w:bCs/>
                <w:b/>
                <w:sz w:val="16"/>
              </w:rPr>
              <w:t xml:space="preserve">SD</w:t>
            </w:r>
          </w:p>
        </w:tc>
        <w:tc>
          <w:tcPr>
            <w:tcW w:w="990" w:type="dxa"/>
          </w:tcPr>
          <w:p>
            <w:pPr>
              <w:pStyle w:val="Compact"/>
              <w:keepNext/>
              <w:spacing w:before="0" w:after="0" w:lineRule="exact" w:line="200"/>
              <w:jc w:val="left"/>
            </w:pPr>
            <w:r>
              <w:rPr>
                <w:bCs/>
                <w:b/>
                <w:sz w:val="16"/>
              </w:rPr>
              <w:t xml:space="preserve">N</w:t>
            </w:r>
          </w:p>
        </w:tc>
        <w:tc>
          <w:tcPr>
            <w:tcW w:w="932" w:type="dxa"/>
          </w:tcPr>
          <w:p>
            <w:pPr>
              <w:pStyle w:val="Compact"/>
              <w:keepNext/>
              <w:spacing w:before="0" w:after="0" w:lineRule="exact" w:line="200"/>
              <w:jc w:val="left"/>
            </w:pPr>
            <w:r>
              <w:rPr>
                <w:bCs/>
                <w:b/>
                <w:sz w:val="16"/>
              </w:rPr>
              <w:t xml:space="preserve">Mean</w:t>
            </w:r>
          </w:p>
        </w:tc>
        <w:tc>
          <w:tcPr>
            <w:tcW w:w="816" w:type="dxa"/>
          </w:tcPr>
          <w:p>
            <w:pPr>
              <w:pStyle w:val="Compact"/>
              <w:keepNext/>
              <w:spacing w:before="0" w:after="0" w:lineRule="exact" w:line="200"/>
              <w:jc w:val="left"/>
            </w:pPr>
            <w:r>
              <w:rPr>
                <w:bCs/>
                <w:b/>
                <w:sz w:val="16"/>
              </w:rPr>
              <w:t xml:space="preserve">P50</w:t>
            </w:r>
          </w:p>
        </w:tc>
        <w:tc>
          <w:tcPr>
            <w:tcW w:w="990" w:type="dxa"/>
          </w:tcPr>
          <w:p>
            <w:pPr>
              <w:pStyle w:val="Compact"/>
              <w:keepNext/>
              <w:spacing w:before="0" w:after="0" w:lineRule="exact" w:line="200"/>
              <w:jc w:val="left"/>
            </w:pPr>
            <w:r>
              <w:rPr>
                <w:bCs/>
                <w:b/>
                <w:sz w:val="16"/>
              </w:rPr>
              <w:t xml:space="preserve">SD</w:t>
            </w:r>
          </w:p>
        </w:tc>
      </w:tr>
      <w:tr>
        <w:trPr>
          <w:cantSplit/>
        </w:trPr>
        <w:tc>
          <w:tcPr>
            <w:tcW w:w="2331" w:type="dxa"/>
          </w:tcPr>
          <w:p>
            <w:pPr>
              <w:pStyle w:val="Compact"/>
              <w:keepNext/>
              <w:spacing w:before="0" w:after="0" w:lineRule="exact" w:line="200"/>
              <w:jc w:val="left"/>
            </w:pPr>
            <w:r>
              <w:rPr>
                <w:sz w:val="16"/>
              </w:rPr>
              <w:t xml:space="preserve">Wedge, US$ million</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7,834</w:t>
            </w:r>
          </w:p>
        </w:tc>
        <w:tc>
          <w:tcPr>
            <w:tcW w:w="816" w:type="dxa"/>
          </w:tcPr>
          <w:p>
            <w:pPr>
              <w:pStyle w:val="Compact"/>
              <w:keepNext/>
              <w:spacing w:before="0" w:after="0" w:lineRule="exact" w:line="200"/>
              <w:jc w:val="left"/>
            </w:pPr>
            <w:r>
              <w:rPr>
                <w:sz w:val="16"/>
              </w:rPr>
              <w:t xml:space="preserve">6,999</w:t>
            </w:r>
          </w:p>
        </w:tc>
        <w:tc>
          <w:tcPr>
            <w:tcW w:w="816" w:type="dxa"/>
          </w:tcPr>
          <w:p>
            <w:pPr>
              <w:pStyle w:val="Compact"/>
              <w:keepNext/>
              <w:spacing w:before="0" w:after="0" w:lineRule="exact" w:line="200"/>
              <w:jc w:val="left"/>
            </w:pPr>
            <w:r>
              <w:rPr>
                <w:sz w:val="16"/>
              </w:rPr>
              <w:t xml:space="preserve">5,311</w:t>
            </w:r>
          </w:p>
        </w:tc>
        <w:tc>
          <w:tcPr>
            <w:tcW w:w="990" w:type="dxa"/>
          </w:tcPr>
          <w:p>
            <w:pPr>
              <w:pStyle w:val="Compact"/>
              <w:keepNext/>
              <w:spacing w:before="0" w:after="0" w:lineRule="exact" w:line="200"/>
              <w:jc w:val="left"/>
            </w:pPr>
            <w:r>
              <w:rPr>
                <w:sz w:val="16"/>
              </w:rPr>
              <w:t xml:space="preserve">193</w:t>
            </w:r>
          </w:p>
        </w:tc>
        <w:tc>
          <w:tcPr>
            <w:tcW w:w="932" w:type="dxa"/>
          </w:tcPr>
          <w:p>
            <w:pPr>
              <w:pStyle w:val="Compact"/>
              <w:keepNext/>
              <w:spacing w:before="0" w:after="0" w:lineRule="exact" w:line="200"/>
              <w:jc w:val="left"/>
            </w:pPr>
            <w:r>
              <w:rPr>
                <w:sz w:val="16"/>
              </w:rPr>
              <w:t xml:space="preserve">50,439</w:t>
            </w:r>
          </w:p>
        </w:tc>
        <w:tc>
          <w:tcPr>
            <w:tcW w:w="816" w:type="dxa"/>
          </w:tcPr>
          <w:p>
            <w:pPr>
              <w:pStyle w:val="Compact"/>
              <w:keepNext/>
              <w:spacing w:before="0" w:after="0" w:lineRule="exact" w:line="200"/>
              <w:jc w:val="left"/>
            </w:pPr>
            <w:r>
              <w:rPr>
                <w:sz w:val="16"/>
              </w:rPr>
              <w:t xml:space="preserve">3,732</w:t>
            </w:r>
          </w:p>
        </w:tc>
        <w:tc>
          <w:tcPr>
            <w:tcW w:w="990" w:type="dxa"/>
          </w:tcPr>
          <w:p>
            <w:pPr>
              <w:pStyle w:val="Compact"/>
              <w:keepNext/>
              <w:spacing w:before="0" w:after="0" w:lineRule="exact" w:line="200"/>
              <w:jc w:val="left"/>
            </w:pPr>
            <w:r>
              <w:rPr>
                <w:sz w:val="16"/>
              </w:rPr>
              <w:t xml:space="preserve">142,180</w:t>
            </w:r>
          </w:p>
        </w:tc>
      </w:tr>
      <w:tr>
        <w:trPr>
          <w:cantSplit/>
        </w:trPr>
        <w:tc>
          <w:tcPr>
            <w:tcW w:w="2331" w:type="dxa"/>
          </w:tcPr>
          <w:p>
            <w:pPr>
              <w:pStyle w:val="Compact"/>
              <w:keepNext/>
              <w:spacing w:before="0" w:after="0" w:lineRule="exact" w:line="200"/>
              <w:jc w:val="left"/>
            </w:pPr>
            <w:r>
              <w:rPr>
                <w:sz w:val="16"/>
              </w:rPr>
              <w:t xml:space="preserve">Ecosystem ratio</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25.08</w:t>
            </w:r>
          </w:p>
        </w:tc>
        <w:tc>
          <w:tcPr>
            <w:tcW w:w="816" w:type="dxa"/>
          </w:tcPr>
          <w:p>
            <w:pPr>
              <w:pStyle w:val="Compact"/>
              <w:keepNext/>
              <w:spacing w:before="0" w:after="0" w:lineRule="exact" w:line="200"/>
              <w:jc w:val="left"/>
            </w:pPr>
            <w:r>
              <w:rPr>
                <w:sz w:val="16"/>
              </w:rPr>
              <w:t xml:space="preserve">34.66</w:t>
            </w:r>
          </w:p>
        </w:tc>
        <w:tc>
          <w:tcPr>
            <w:tcW w:w="816" w:type="dxa"/>
          </w:tcPr>
          <w:p>
            <w:pPr>
              <w:pStyle w:val="Compact"/>
              <w:keepNext/>
              <w:spacing w:before="0" w:after="0" w:lineRule="exact" w:line="200"/>
              <w:jc w:val="left"/>
            </w:pPr>
            <w:r>
              <w:rPr>
                <w:sz w:val="16"/>
              </w:rPr>
              <w:t xml:space="preserve">14.95</w:t>
            </w:r>
          </w:p>
        </w:tc>
        <w:tc>
          <w:tcPr>
            <w:tcW w:w="990" w:type="dxa"/>
          </w:tcPr>
          <w:p>
            <w:pPr>
              <w:pStyle w:val="Compact"/>
              <w:keepNext/>
              <w:spacing w:before="0" w:after="0" w:lineRule="exact" w:line="200"/>
              <w:jc w:val="left"/>
            </w:pPr>
            <w:r>
              <w:rPr>
                <w:sz w:val="16"/>
              </w:rPr>
              <w:t xml:space="preserve">193</w:t>
            </w:r>
          </w:p>
        </w:tc>
        <w:tc>
          <w:tcPr>
            <w:tcW w:w="932" w:type="dxa"/>
          </w:tcPr>
          <w:p>
            <w:pPr>
              <w:pStyle w:val="Compact"/>
              <w:keepNext/>
              <w:spacing w:before="0" w:after="0" w:lineRule="exact" w:line="200"/>
              <w:jc w:val="left"/>
            </w:pPr>
            <w:r>
              <w:rPr>
                <w:sz w:val="16"/>
              </w:rPr>
              <w:t xml:space="preserve">8.84</w:t>
            </w:r>
          </w:p>
        </w:tc>
        <w:tc>
          <w:tcPr>
            <w:tcW w:w="816" w:type="dxa"/>
          </w:tcPr>
          <w:p>
            <w:pPr>
              <w:pStyle w:val="Compact"/>
              <w:keepNext/>
              <w:spacing w:before="0" w:after="0" w:lineRule="exact" w:line="200"/>
              <w:jc w:val="left"/>
            </w:pPr>
            <w:r>
              <w:rPr>
                <w:sz w:val="16"/>
              </w:rPr>
              <w:t xml:space="preserve">5.50</w:t>
            </w:r>
          </w:p>
        </w:tc>
        <w:tc>
          <w:tcPr>
            <w:tcW w:w="990" w:type="dxa"/>
          </w:tcPr>
          <w:p>
            <w:pPr>
              <w:pStyle w:val="Compact"/>
              <w:keepNext/>
              <w:spacing w:before="0" w:after="0" w:lineRule="exact" w:line="200"/>
              <w:jc w:val="left"/>
            </w:pPr>
            <w:r>
              <w:rPr>
                <w:sz w:val="16"/>
              </w:rPr>
              <w:t xml:space="preserve">9.56</w:t>
            </w:r>
          </w:p>
        </w:tc>
      </w:tr>
      <w:tr>
        <w:trPr>
          <w:cantSplit/>
        </w:trPr>
        <w:tc>
          <w:tcPr>
            <w:tcW w:w="2331" w:type="dxa"/>
          </w:tcPr>
          <w:p>
            <w:pPr>
              <w:pStyle w:val="Compact"/>
              <w:keepNext/>
              <w:spacing w:before="0" w:after="0" w:lineRule="exact" w:line="200"/>
              <w:jc w:val="left"/>
            </w:pPr>
            <w:r>
              <w:rPr>
                <w:sz w:val="16"/>
              </w:rPr>
              <w:t xml:space="preserve">Revenue growth, g(R)</w:t>
            </w:r>
          </w:p>
        </w:tc>
        <w:tc>
          <w:tcPr>
            <w:tcW w:w="1690" w:type="dxa"/>
          </w:tcPr>
          <w:p>
            <w:pPr>
              <w:pStyle w:val="Compact"/>
              <w:keepNext/>
              <w:spacing w:before="0" w:after="0" w:lineRule="exact" w:line="200"/>
              <w:jc w:val="left"/>
            </w:pPr>
            <w:r>
              <w:rPr>
                <w:sz w:val="16"/>
              </w:rPr>
              <w:t xml:space="preserve">15</w:t>
            </w:r>
          </w:p>
        </w:tc>
        <w:tc>
          <w:tcPr>
            <w:tcW w:w="816" w:type="dxa"/>
          </w:tcPr>
          <w:p>
            <w:pPr>
              <w:pStyle w:val="Compact"/>
              <w:keepNext/>
              <w:spacing w:before="0" w:after="0" w:lineRule="exact" w:line="200"/>
              <w:jc w:val="left"/>
            </w:pPr>
            <w:r>
              <w:rPr>
                <w:sz w:val="16"/>
              </w:rPr>
              <w:t xml:space="preserve">0.53</w:t>
            </w:r>
          </w:p>
        </w:tc>
        <w:tc>
          <w:tcPr>
            <w:tcW w:w="816" w:type="dxa"/>
          </w:tcPr>
          <w:p>
            <w:pPr>
              <w:pStyle w:val="Compact"/>
              <w:keepNext/>
              <w:spacing w:before="0" w:after="0" w:lineRule="exact" w:line="200"/>
              <w:jc w:val="left"/>
            </w:pPr>
            <w:r>
              <w:rPr>
                <w:sz w:val="16"/>
              </w:rPr>
              <w:t xml:space="preserve">0.38</w:t>
            </w:r>
          </w:p>
        </w:tc>
        <w:tc>
          <w:tcPr>
            <w:tcW w:w="816" w:type="dxa"/>
          </w:tcPr>
          <w:p>
            <w:pPr>
              <w:pStyle w:val="Compact"/>
              <w:keepNext/>
              <w:spacing w:before="0" w:after="0" w:lineRule="exact" w:line="200"/>
              <w:jc w:val="left"/>
            </w:pPr>
            <w:r>
              <w:rPr>
                <w:sz w:val="16"/>
              </w:rPr>
              <w:t xml:space="preserve">0.44</w:t>
            </w:r>
          </w:p>
        </w:tc>
        <w:tc>
          <w:tcPr>
            <w:tcW w:w="990" w:type="dxa"/>
          </w:tcPr>
          <w:p>
            <w:pPr>
              <w:pStyle w:val="Compact"/>
              <w:keepNext/>
              <w:spacing w:before="0" w:after="0" w:lineRule="exact" w:line="200"/>
              <w:jc w:val="left"/>
            </w:pPr>
            <w:r>
              <w:rPr>
                <w:sz w:val="16"/>
              </w:rPr>
              <w:t xml:space="preserve">166</w:t>
            </w:r>
          </w:p>
        </w:tc>
        <w:tc>
          <w:tcPr>
            <w:tcW w:w="932" w:type="dxa"/>
          </w:tcPr>
          <w:p>
            <w:pPr>
              <w:pStyle w:val="Compact"/>
              <w:keepNext/>
              <w:spacing w:before="0" w:after="0" w:lineRule="exact" w:line="200"/>
              <w:jc w:val="left"/>
            </w:pPr>
            <w:r>
              <w:rPr>
                <w:sz w:val="16"/>
              </w:rPr>
              <w:t xml:space="preserve">0.32</w:t>
            </w:r>
          </w:p>
        </w:tc>
        <w:tc>
          <w:tcPr>
            <w:tcW w:w="816" w:type="dxa"/>
          </w:tcPr>
          <w:p>
            <w:pPr>
              <w:pStyle w:val="Compact"/>
              <w:keepNext/>
              <w:spacing w:before="0" w:after="0" w:lineRule="exact" w:line="200"/>
              <w:jc w:val="left"/>
            </w:pPr>
            <w:r>
              <w:rPr>
                <w:sz w:val="16"/>
              </w:rPr>
              <w:t xml:space="preserve">0.21</w:t>
            </w:r>
          </w:p>
        </w:tc>
        <w:tc>
          <w:tcPr>
            <w:tcW w:w="990" w:type="dxa"/>
          </w:tcPr>
          <w:p>
            <w:pPr>
              <w:pStyle w:val="Compact"/>
              <w:keepNext/>
              <w:spacing w:before="0" w:after="0" w:lineRule="exact" w:line="200"/>
              <w:jc w:val="left"/>
            </w:pPr>
            <w:r>
              <w:rPr>
                <w:sz w:val="16"/>
              </w:rPr>
              <w:t xml:space="preserve">0.44</w:t>
            </w:r>
          </w:p>
        </w:tc>
      </w:tr>
      <w:tr>
        <w:trPr>
          <w:cantSplit/>
        </w:trPr>
        <w:tc>
          <w:tcPr>
            <w:tcW w:w="2331" w:type="dxa"/>
          </w:tcPr>
          <w:p>
            <w:pPr>
              <w:pStyle w:val="Compact"/>
              <w:keepNext/>
              <w:spacing w:before="0" w:after="0" w:lineRule="exact" w:line="200"/>
              <w:jc w:val="left"/>
            </w:pPr>
            <w:r>
              <w:rPr>
                <w:sz w:val="16"/>
              </w:rPr>
              <w:t xml:space="preserve">Transaction value growth, g(V)</w:t>
            </w:r>
          </w:p>
        </w:tc>
        <w:tc>
          <w:tcPr>
            <w:tcW w:w="1690" w:type="dxa"/>
          </w:tcPr>
          <w:p>
            <w:pPr>
              <w:pStyle w:val="Compact"/>
              <w:keepNext/>
              <w:spacing w:before="0" w:after="0" w:lineRule="exact" w:line="200"/>
              <w:jc w:val="left"/>
            </w:pPr>
            <w:r>
              <w:rPr>
                <w:sz w:val="16"/>
              </w:rPr>
              <w:t xml:space="preserve">15</w:t>
            </w:r>
          </w:p>
        </w:tc>
        <w:tc>
          <w:tcPr>
            <w:tcW w:w="816" w:type="dxa"/>
          </w:tcPr>
          <w:p>
            <w:pPr>
              <w:pStyle w:val="Compact"/>
              <w:keepNext/>
              <w:spacing w:before="0" w:after="0" w:lineRule="exact" w:line="200"/>
              <w:jc w:val="left"/>
            </w:pPr>
            <w:r>
              <w:rPr>
                <w:sz w:val="16"/>
              </w:rPr>
              <w:t xml:space="preserve">0.22</w:t>
            </w:r>
          </w:p>
        </w:tc>
        <w:tc>
          <w:tcPr>
            <w:tcW w:w="816" w:type="dxa"/>
          </w:tcPr>
          <w:p>
            <w:pPr>
              <w:pStyle w:val="Compact"/>
              <w:keepNext/>
              <w:spacing w:before="0" w:after="0" w:lineRule="exact" w:line="200"/>
              <w:jc w:val="left"/>
            </w:pPr>
            <w:r>
              <w:rPr>
                <w:sz w:val="16"/>
              </w:rPr>
              <w:t xml:space="preserve">0.16</w:t>
            </w:r>
          </w:p>
        </w:tc>
        <w:tc>
          <w:tcPr>
            <w:tcW w:w="816" w:type="dxa"/>
          </w:tcPr>
          <w:p>
            <w:pPr>
              <w:pStyle w:val="Compact"/>
              <w:keepNext/>
              <w:spacing w:before="0" w:after="0" w:lineRule="exact" w:line="200"/>
              <w:jc w:val="left"/>
            </w:pPr>
            <w:r>
              <w:rPr>
                <w:sz w:val="16"/>
              </w:rPr>
              <w:t xml:space="preserve">0.34</w:t>
            </w:r>
          </w:p>
        </w:tc>
        <w:tc>
          <w:tcPr>
            <w:tcW w:w="990" w:type="dxa"/>
          </w:tcPr>
          <w:p>
            <w:pPr>
              <w:pStyle w:val="Compact"/>
              <w:keepNext/>
              <w:spacing w:before="0" w:after="0" w:lineRule="exact" w:line="200"/>
              <w:jc w:val="left"/>
            </w:pPr>
            <w:r>
              <w:rPr>
                <w:sz w:val="16"/>
              </w:rPr>
              <w:t xml:space="preserve">166</w:t>
            </w:r>
          </w:p>
        </w:tc>
        <w:tc>
          <w:tcPr>
            <w:tcW w:w="932" w:type="dxa"/>
          </w:tcPr>
          <w:p>
            <w:pPr>
              <w:pStyle w:val="Compact"/>
              <w:keepNext/>
              <w:spacing w:before="0" w:after="0" w:lineRule="exact" w:line="200"/>
              <w:jc w:val="left"/>
            </w:pPr>
            <w:r>
              <w:rPr>
                <w:sz w:val="16"/>
              </w:rPr>
              <w:t xml:space="preserve">0.26</w:t>
            </w:r>
          </w:p>
        </w:tc>
        <w:tc>
          <w:tcPr>
            <w:tcW w:w="816" w:type="dxa"/>
          </w:tcPr>
          <w:p>
            <w:pPr>
              <w:pStyle w:val="Compact"/>
              <w:keepNext/>
              <w:spacing w:before="0" w:after="0" w:lineRule="exact" w:line="200"/>
              <w:jc w:val="left"/>
            </w:pPr>
            <w:r>
              <w:rPr>
                <w:sz w:val="16"/>
              </w:rPr>
              <w:t xml:space="preserve">0.16</w:t>
            </w:r>
          </w:p>
        </w:tc>
        <w:tc>
          <w:tcPr>
            <w:tcW w:w="990" w:type="dxa"/>
          </w:tcPr>
          <w:p>
            <w:pPr>
              <w:pStyle w:val="Compact"/>
              <w:keepNext/>
              <w:spacing w:before="0" w:after="0" w:lineRule="exact" w:line="200"/>
              <w:jc w:val="left"/>
            </w:pPr>
            <w:r>
              <w:rPr>
                <w:sz w:val="16"/>
              </w:rPr>
              <w:t xml:space="preserve">0.40</w:t>
            </w:r>
          </w:p>
        </w:tc>
      </w:tr>
      <w:tr>
        <w:trPr>
          <w:cantSplit/>
        </w:trPr>
        <w:tc>
          <w:tcPr>
            <w:tcW w:w="2331" w:type="dxa"/>
          </w:tcPr>
          <w:p>
            <w:pPr>
              <w:pStyle w:val="Compact"/>
              <w:keepNext/>
              <w:spacing w:before="0" w:after="0" w:lineRule="exact" w:line="200"/>
              <w:jc w:val="left"/>
            </w:pPr>
            <w:r>
              <w:rPr>
                <w:sz w:val="16"/>
              </w:rPr>
              <w:t xml:space="preserve">Total assets, US$ million</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4,300</w:t>
            </w:r>
          </w:p>
        </w:tc>
        <w:tc>
          <w:tcPr>
            <w:tcW w:w="816" w:type="dxa"/>
          </w:tcPr>
          <w:p>
            <w:pPr>
              <w:pStyle w:val="Compact"/>
              <w:keepNext/>
              <w:spacing w:before="0" w:after="0" w:lineRule="exact" w:line="200"/>
              <w:jc w:val="left"/>
            </w:pPr>
            <w:r>
              <w:rPr>
                <w:sz w:val="16"/>
              </w:rPr>
              <w:t xml:space="preserve">2,751</w:t>
            </w:r>
          </w:p>
        </w:tc>
        <w:tc>
          <w:tcPr>
            <w:tcW w:w="816" w:type="dxa"/>
          </w:tcPr>
          <w:p>
            <w:pPr>
              <w:pStyle w:val="Compact"/>
              <w:keepNext/>
              <w:spacing w:before="0" w:after="0" w:lineRule="exact" w:line="200"/>
              <w:jc w:val="left"/>
            </w:pPr>
            <w:r>
              <w:rPr>
                <w:sz w:val="16"/>
              </w:rPr>
              <w:t xml:space="preserve">3,727</w:t>
            </w:r>
          </w:p>
        </w:tc>
        <w:tc>
          <w:tcPr>
            <w:tcW w:w="990" w:type="dxa"/>
          </w:tcPr>
          <w:p>
            <w:pPr>
              <w:pStyle w:val="Compact"/>
              <w:keepNext/>
              <w:spacing w:before="0" w:after="0" w:lineRule="exact" w:line="200"/>
              <w:jc w:val="left"/>
            </w:pPr>
            <w:r>
              <w:rPr>
                <w:sz w:val="16"/>
              </w:rPr>
              <w:t xml:space="preserve">182</w:t>
            </w:r>
          </w:p>
        </w:tc>
        <w:tc>
          <w:tcPr>
            <w:tcW w:w="932" w:type="dxa"/>
          </w:tcPr>
          <w:p>
            <w:pPr>
              <w:pStyle w:val="Compact"/>
              <w:keepNext/>
              <w:spacing w:before="0" w:after="0" w:lineRule="exact" w:line="200"/>
              <w:jc w:val="left"/>
            </w:pPr>
            <w:r>
              <w:rPr>
                <w:sz w:val="16"/>
              </w:rPr>
              <w:t xml:space="preserve">13,252</w:t>
            </w:r>
          </w:p>
        </w:tc>
        <w:tc>
          <w:tcPr>
            <w:tcW w:w="816" w:type="dxa"/>
          </w:tcPr>
          <w:p>
            <w:pPr>
              <w:pStyle w:val="Compact"/>
              <w:keepNext/>
              <w:spacing w:before="0" w:after="0" w:lineRule="exact" w:line="200"/>
              <w:jc w:val="left"/>
            </w:pPr>
            <w:r>
              <w:rPr>
                <w:sz w:val="16"/>
              </w:rPr>
              <w:t xml:space="preserve">1,461</w:t>
            </w:r>
          </w:p>
        </w:tc>
        <w:tc>
          <w:tcPr>
            <w:tcW w:w="990" w:type="dxa"/>
          </w:tcPr>
          <w:p>
            <w:pPr>
              <w:pStyle w:val="Compact"/>
              <w:keepNext/>
              <w:spacing w:before="0" w:after="0" w:lineRule="exact" w:line="200"/>
              <w:jc w:val="left"/>
            </w:pPr>
            <w:r>
              <w:rPr>
                <w:sz w:val="16"/>
              </w:rPr>
              <w:t xml:space="preserve">35,325</w:t>
            </w:r>
          </w:p>
        </w:tc>
      </w:tr>
      <w:tr>
        <w:trPr>
          <w:cantSplit/>
        </w:trPr>
        <w:tc>
          <w:tcPr>
            <w:tcW w:w="2331" w:type="dxa"/>
          </w:tcPr>
          <w:p>
            <w:pPr>
              <w:pStyle w:val="Compact"/>
              <w:keepNext/>
              <w:spacing w:before="0" w:after="0" w:lineRule="exact" w:line="200"/>
              <w:jc w:val="left"/>
            </w:pPr>
            <w:r>
              <w:rPr>
                <w:sz w:val="16"/>
              </w:rPr>
              <w:t xml:space="preserve">Years since listing</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1.10</w:t>
            </w:r>
          </w:p>
        </w:tc>
        <w:tc>
          <w:tcPr>
            <w:tcW w:w="816" w:type="dxa"/>
          </w:tcPr>
          <w:p>
            <w:pPr>
              <w:pStyle w:val="Compact"/>
              <w:keepNext/>
              <w:spacing w:before="0" w:after="0" w:lineRule="exact" w:line="200"/>
              <w:jc w:val="left"/>
            </w:pPr>
            <w:r>
              <w:rPr>
                <w:sz w:val="16"/>
              </w:rPr>
              <w:t xml:space="preserve">1.00</w:t>
            </w:r>
          </w:p>
        </w:tc>
        <w:tc>
          <w:tcPr>
            <w:tcW w:w="816" w:type="dxa"/>
          </w:tcPr>
          <w:p>
            <w:pPr>
              <w:pStyle w:val="Compact"/>
              <w:keepNext/>
              <w:spacing w:before="0" w:after="0" w:lineRule="exact" w:line="200"/>
              <w:jc w:val="left"/>
            </w:pPr>
            <w:r>
              <w:rPr>
                <w:sz w:val="16"/>
              </w:rPr>
              <w:t xml:space="preserve">1.12</w:t>
            </w:r>
          </w:p>
        </w:tc>
        <w:tc>
          <w:tcPr>
            <w:tcW w:w="990" w:type="dxa"/>
          </w:tcPr>
          <w:p>
            <w:pPr>
              <w:pStyle w:val="Compact"/>
              <w:keepNext/>
              <w:spacing w:before="0" w:after="0" w:lineRule="exact" w:line="200"/>
              <w:jc w:val="left"/>
            </w:pPr>
            <w:r>
              <w:rPr>
                <w:sz w:val="16"/>
              </w:rPr>
              <w:t xml:space="preserve">193</w:t>
            </w:r>
          </w:p>
        </w:tc>
        <w:tc>
          <w:tcPr>
            <w:tcW w:w="932" w:type="dxa"/>
          </w:tcPr>
          <w:p>
            <w:pPr>
              <w:pStyle w:val="Compact"/>
              <w:keepNext/>
              <w:spacing w:before="0" w:after="0" w:lineRule="exact" w:line="200"/>
              <w:jc w:val="left"/>
            </w:pPr>
            <w:r>
              <w:rPr>
                <w:sz w:val="16"/>
              </w:rPr>
              <w:t xml:space="preserve">6.38</w:t>
            </w:r>
          </w:p>
        </w:tc>
        <w:tc>
          <w:tcPr>
            <w:tcW w:w="816" w:type="dxa"/>
          </w:tcPr>
          <w:p>
            <w:pPr>
              <w:pStyle w:val="Compact"/>
              <w:keepNext/>
              <w:spacing w:before="0" w:after="0" w:lineRule="exact" w:line="200"/>
              <w:jc w:val="left"/>
            </w:pPr>
            <w:r>
              <w:rPr>
                <w:sz w:val="16"/>
              </w:rPr>
              <w:t xml:space="preserve">4.00</w:t>
            </w:r>
          </w:p>
        </w:tc>
        <w:tc>
          <w:tcPr>
            <w:tcW w:w="990" w:type="dxa"/>
          </w:tcPr>
          <w:p>
            <w:pPr>
              <w:pStyle w:val="Compact"/>
              <w:keepNext/>
              <w:spacing w:before="0" w:after="0" w:lineRule="exact" w:line="200"/>
              <w:jc w:val="left"/>
            </w:pPr>
            <w:r>
              <w:rPr>
                <w:sz w:val="16"/>
              </w:rPr>
              <w:t xml:space="preserve">7.21</w:t>
            </w:r>
          </w:p>
        </w:tc>
      </w:tr>
      <w:tr>
        <w:trPr>
          <w:cantSplit/>
        </w:trPr>
        <w:tc>
          <w:tcPr>
            <w:tcW w:w="2331" w:type="dxa"/>
          </w:tcPr>
          <w:p>
            <w:pPr>
              <w:pStyle w:val="Compact"/>
              <w:keepNext/>
              <w:spacing w:before="0" w:after="0" w:lineRule="exact" w:line="200"/>
              <w:jc w:val="left"/>
            </w:pPr>
            <w:r>
              <w:rPr>
                <w:sz w:val="16"/>
              </w:rPr>
              <w:t xml:space="preserve">GDP growth, percent</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4.20</w:t>
            </w:r>
          </w:p>
        </w:tc>
        <w:tc>
          <w:tcPr>
            <w:tcW w:w="816" w:type="dxa"/>
          </w:tcPr>
          <w:p>
            <w:pPr>
              <w:pStyle w:val="Compact"/>
              <w:keepNext/>
              <w:spacing w:before="0" w:after="0" w:lineRule="exact" w:line="200"/>
              <w:jc w:val="left"/>
            </w:pPr>
            <w:r>
              <w:rPr>
                <w:sz w:val="16"/>
              </w:rPr>
              <w:t xml:space="preserve">5.05</w:t>
            </w:r>
          </w:p>
        </w:tc>
        <w:tc>
          <w:tcPr>
            <w:tcW w:w="816" w:type="dxa"/>
          </w:tcPr>
          <w:p>
            <w:pPr>
              <w:pStyle w:val="Compact"/>
              <w:keepNext/>
              <w:spacing w:before="0" w:after="0" w:lineRule="exact" w:line="200"/>
              <w:jc w:val="left"/>
            </w:pPr>
            <w:r>
              <w:rPr>
                <w:sz w:val="16"/>
              </w:rPr>
              <w:t xml:space="preserve">2.21</w:t>
            </w:r>
          </w:p>
        </w:tc>
        <w:tc>
          <w:tcPr>
            <w:tcW w:w="990" w:type="dxa"/>
          </w:tcPr>
          <w:p>
            <w:pPr>
              <w:pStyle w:val="Compact"/>
              <w:keepNext/>
              <w:spacing w:before="0" w:after="0" w:lineRule="exact" w:line="200"/>
              <w:jc w:val="left"/>
            </w:pPr>
            <w:r>
              <w:rPr>
                <w:sz w:val="16"/>
              </w:rPr>
              <w:t xml:space="preserve">193</w:t>
            </w:r>
          </w:p>
        </w:tc>
        <w:tc>
          <w:tcPr>
            <w:tcW w:w="932" w:type="dxa"/>
          </w:tcPr>
          <w:p>
            <w:pPr>
              <w:pStyle w:val="Compact"/>
              <w:keepNext/>
              <w:spacing w:before="0" w:after="0" w:lineRule="exact" w:line="200"/>
              <w:jc w:val="left"/>
            </w:pPr>
            <w:r>
              <w:rPr>
                <w:sz w:val="16"/>
              </w:rPr>
              <w:t xml:space="preserve">3.06</w:t>
            </w:r>
          </w:p>
        </w:tc>
        <w:tc>
          <w:tcPr>
            <w:tcW w:w="816" w:type="dxa"/>
          </w:tcPr>
          <w:p>
            <w:pPr>
              <w:pStyle w:val="Compact"/>
              <w:keepNext/>
              <w:spacing w:before="0" w:after="0" w:lineRule="exact" w:line="200"/>
              <w:jc w:val="left"/>
            </w:pPr>
            <w:r>
              <w:rPr>
                <w:sz w:val="16"/>
              </w:rPr>
              <w:t xml:space="preserve">2.79</w:t>
            </w:r>
          </w:p>
        </w:tc>
        <w:tc>
          <w:tcPr>
            <w:tcW w:w="990" w:type="dxa"/>
          </w:tcPr>
          <w:p>
            <w:pPr>
              <w:pStyle w:val="Compact"/>
              <w:keepNext/>
              <w:spacing w:before="0" w:after="0" w:lineRule="exact" w:line="200"/>
              <w:jc w:val="left"/>
            </w:pPr>
            <w:r>
              <w:rPr>
                <w:sz w:val="16"/>
              </w:rPr>
              <w:t xml:space="preserve">3.00</w:t>
            </w:r>
          </w:p>
        </w:tc>
      </w:tr>
      <w:tr>
        <w:trPr>
          <w:cantSplit/>
        </w:trPr>
        <w:tc>
          <w:tcPr>
            <w:tcW w:w="2331" w:type="dxa"/>
          </w:tcPr>
          <w:p>
            <w:pPr>
              <w:pStyle w:val="Compact"/>
              <w:keepNext/>
              <w:spacing w:before="0" w:after="0" w:lineRule="exact" w:line="200"/>
              <w:jc w:val="left"/>
            </w:pPr>
            <w:r>
              <w:rPr>
                <w:sz w:val="16"/>
              </w:rPr>
              <w:t xml:space="preserve">Inflation, percent</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2.91</w:t>
            </w:r>
          </w:p>
        </w:tc>
        <w:tc>
          <w:tcPr>
            <w:tcW w:w="816" w:type="dxa"/>
          </w:tcPr>
          <w:p>
            <w:pPr>
              <w:pStyle w:val="Compact"/>
              <w:keepNext/>
              <w:spacing w:before="0" w:after="0" w:lineRule="exact" w:line="200"/>
              <w:jc w:val="left"/>
            </w:pPr>
            <w:r>
              <w:rPr>
                <w:sz w:val="16"/>
              </w:rPr>
              <w:t xml:space="preserve">2.93</w:t>
            </w:r>
          </w:p>
        </w:tc>
        <w:tc>
          <w:tcPr>
            <w:tcW w:w="816" w:type="dxa"/>
          </w:tcPr>
          <w:p>
            <w:pPr>
              <w:pStyle w:val="Compact"/>
              <w:keepNext/>
              <w:spacing w:before="0" w:after="0" w:lineRule="exact" w:line="200"/>
              <w:jc w:val="left"/>
            </w:pPr>
            <w:r>
              <w:rPr>
                <w:sz w:val="16"/>
              </w:rPr>
              <w:t xml:space="preserve">1.08</w:t>
            </w:r>
          </w:p>
        </w:tc>
        <w:tc>
          <w:tcPr>
            <w:tcW w:w="990" w:type="dxa"/>
          </w:tcPr>
          <w:p>
            <w:pPr>
              <w:pStyle w:val="Compact"/>
              <w:keepNext/>
              <w:spacing w:before="0" w:after="0" w:lineRule="exact" w:line="200"/>
              <w:jc w:val="left"/>
            </w:pPr>
            <w:r>
              <w:rPr>
                <w:sz w:val="16"/>
              </w:rPr>
              <w:t xml:space="preserve">179</w:t>
            </w:r>
          </w:p>
        </w:tc>
        <w:tc>
          <w:tcPr>
            <w:tcW w:w="932" w:type="dxa"/>
          </w:tcPr>
          <w:p>
            <w:pPr>
              <w:pStyle w:val="Compact"/>
              <w:keepNext/>
              <w:spacing w:before="0" w:after="0" w:lineRule="exact" w:line="200"/>
              <w:jc w:val="left"/>
            </w:pPr>
            <w:r>
              <w:rPr>
                <w:sz w:val="16"/>
              </w:rPr>
              <w:t xml:space="preserve">8.55</w:t>
            </w:r>
          </w:p>
        </w:tc>
        <w:tc>
          <w:tcPr>
            <w:tcW w:w="816" w:type="dxa"/>
          </w:tcPr>
          <w:p>
            <w:pPr>
              <w:pStyle w:val="Compact"/>
              <w:keepNext/>
              <w:spacing w:before="0" w:after="0" w:lineRule="exact" w:line="200"/>
              <w:jc w:val="left"/>
            </w:pPr>
            <w:r>
              <w:rPr>
                <w:sz w:val="16"/>
              </w:rPr>
              <w:t xml:space="preserve">2.95</w:t>
            </w:r>
          </w:p>
        </w:tc>
        <w:tc>
          <w:tcPr>
            <w:tcW w:w="990" w:type="dxa"/>
          </w:tcPr>
          <w:p>
            <w:pPr>
              <w:pStyle w:val="Compact"/>
              <w:keepNext/>
              <w:spacing w:before="0" w:after="0" w:lineRule="exact" w:line="200"/>
              <w:jc w:val="left"/>
            </w:pPr>
            <w:r>
              <w:rPr>
                <w:sz w:val="16"/>
              </w:rPr>
              <w:t xml:space="preserve">21.84</w:t>
            </w:r>
          </w:p>
        </w:tc>
      </w:tr>
      <w:tr>
        <w:trPr>
          <w:cantSplit/>
        </w:trPr>
        <w:tc>
          <w:tcPr>
            <w:tcW w:w="2331" w:type="dxa"/>
          </w:tcPr>
          <w:p>
            <w:pPr>
              <w:pStyle w:val="Compact"/>
              <w:keepNext/>
              <w:spacing w:before="0" w:after="0" w:lineRule="exact" w:line="200"/>
              <w:jc w:val="left"/>
            </w:pPr>
            <w:r>
              <w:rPr>
                <w:sz w:val="16"/>
              </w:rPr>
              <w:t xml:space="preserve">Household spending growth, percent</w:t>
            </w:r>
          </w:p>
        </w:tc>
        <w:tc>
          <w:tcPr>
            <w:tcW w:w="1690" w:type="dxa"/>
          </w:tcPr>
          <w:p>
            <w:pPr>
              <w:pStyle w:val="Compact"/>
              <w:keepNext/>
              <w:spacing w:before="0" w:after="0" w:lineRule="exact" w:line="200"/>
              <w:jc w:val="left"/>
            </w:pPr>
            <w:r>
              <w:rPr>
                <w:sz w:val="16"/>
              </w:rPr>
              <w:t xml:space="preserve">20</w:t>
            </w:r>
          </w:p>
        </w:tc>
        <w:tc>
          <w:tcPr>
            <w:tcW w:w="816" w:type="dxa"/>
          </w:tcPr>
          <w:p>
            <w:pPr>
              <w:pStyle w:val="Compact"/>
              <w:keepNext/>
              <w:spacing w:before="0" w:after="0" w:lineRule="exact" w:line="200"/>
              <w:jc w:val="left"/>
            </w:pPr>
            <w:r>
              <w:rPr>
                <w:sz w:val="16"/>
              </w:rPr>
              <w:t xml:space="preserve">3.77</w:t>
            </w:r>
          </w:p>
        </w:tc>
        <w:tc>
          <w:tcPr>
            <w:tcW w:w="816" w:type="dxa"/>
          </w:tcPr>
          <w:p>
            <w:pPr>
              <w:pStyle w:val="Compact"/>
              <w:keepNext/>
              <w:spacing w:before="0" w:after="0" w:lineRule="exact" w:line="200"/>
              <w:jc w:val="left"/>
            </w:pPr>
            <w:r>
              <w:rPr>
                <w:sz w:val="16"/>
              </w:rPr>
              <w:t xml:space="preserve">4.95</w:t>
            </w:r>
          </w:p>
        </w:tc>
        <w:tc>
          <w:tcPr>
            <w:tcW w:w="816" w:type="dxa"/>
          </w:tcPr>
          <w:p>
            <w:pPr>
              <w:pStyle w:val="Compact"/>
              <w:keepNext/>
              <w:spacing w:before="0" w:after="0" w:lineRule="exact" w:line="200"/>
              <w:jc w:val="left"/>
            </w:pPr>
            <w:r>
              <w:rPr>
                <w:sz w:val="16"/>
              </w:rPr>
              <w:t xml:space="preserve">2.45</w:t>
            </w:r>
          </w:p>
        </w:tc>
        <w:tc>
          <w:tcPr>
            <w:tcW w:w="990" w:type="dxa"/>
          </w:tcPr>
          <w:p>
            <w:pPr>
              <w:pStyle w:val="Compact"/>
              <w:keepNext/>
              <w:spacing w:before="0" w:after="0" w:lineRule="exact" w:line="200"/>
              <w:jc w:val="left"/>
            </w:pPr>
            <w:r>
              <w:rPr>
                <w:sz w:val="16"/>
              </w:rPr>
              <w:t xml:space="preserve">174</w:t>
            </w:r>
          </w:p>
        </w:tc>
        <w:tc>
          <w:tcPr>
            <w:tcW w:w="932" w:type="dxa"/>
          </w:tcPr>
          <w:p>
            <w:pPr>
              <w:pStyle w:val="Compact"/>
              <w:keepNext/>
              <w:spacing w:before="0" w:after="0" w:lineRule="exact" w:line="200"/>
              <w:jc w:val="left"/>
            </w:pPr>
            <w:r>
              <w:rPr>
                <w:sz w:val="16"/>
              </w:rPr>
              <w:t xml:space="preserve">3.55</w:t>
            </w:r>
          </w:p>
        </w:tc>
        <w:tc>
          <w:tcPr>
            <w:tcW w:w="816" w:type="dxa"/>
          </w:tcPr>
          <w:p>
            <w:pPr>
              <w:pStyle w:val="Compact"/>
              <w:keepNext/>
              <w:spacing w:before="0" w:after="0" w:lineRule="exact" w:line="200"/>
              <w:jc w:val="left"/>
            </w:pPr>
            <w:r>
              <w:rPr>
                <w:sz w:val="16"/>
              </w:rPr>
              <w:t xml:space="preserve">2.95</w:t>
            </w:r>
          </w:p>
        </w:tc>
        <w:tc>
          <w:tcPr>
            <w:tcW w:w="990" w:type="dxa"/>
          </w:tcPr>
          <w:p>
            <w:pPr>
              <w:pStyle w:val="Compact"/>
              <w:keepNext/>
              <w:spacing w:before="0" w:after="0" w:lineRule="exact" w:line="200"/>
              <w:jc w:val="left"/>
            </w:pPr>
            <w:r>
              <w:rPr>
                <w:sz w:val="16"/>
              </w:rPr>
              <w:t xml:space="preserve">4.21</w:t>
            </w:r>
          </w:p>
        </w:tc>
      </w:tr>
      <w:tr>
        <w:trPr>
          <w:cantSplit/>
        </w:trPr>
        <w:tc>
          <w:tcPr>
            <w:tcW w:w="2331" w:type="dxa"/>
          </w:tcPr>
          <w:p>
            <w:pPr>
              <w:pStyle w:val="Compact"/>
              <w:spacing w:before="0" w:after="0" w:lineRule="exact" w:line="200"/>
              <w:jc w:val="left"/>
            </w:pPr>
            <w:r>
              <w:rPr>
                <w:sz w:val="16"/>
              </w:rPr>
              <w:t xml:space="preserve">Policy rate, percent</w:t>
            </w:r>
          </w:p>
        </w:tc>
        <w:tc>
          <w:tcPr>
            <w:tcW w:w="1690" w:type="dxa"/>
          </w:tcPr>
          <w:p>
            <w:pPr>
              <w:pStyle w:val="Compact"/>
              <w:spacing w:before="0" w:after="0" w:lineRule="exact" w:line="200"/>
              <w:jc w:val="left"/>
            </w:pPr>
            <w:r>
              <w:rPr>
                <w:sz w:val="16"/>
              </w:rPr>
              <w:t xml:space="preserve">20</w:t>
            </w:r>
          </w:p>
        </w:tc>
        <w:tc>
          <w:tcPr>
            <w:tcW w:w="816" w:type="dxa"/>
          </w:tcPr>
          <w:p>
            <w:pPr>
              <w:pStyle w:val="Compact"/>
              <w:spacing w:before="0" w:after="0" w:lineRule="exact" w:line="200"/>
              <w:jc w:val="left"/>
            </w:pPr>
            <w:r>
              <w:rPr>
                <w:sz w:val="16"/>
              </w:rPr>
              <w:t xml:space="preserve">4.85</w:t>
            </w:r>
          </w:p>
        </w:tc>
        <w:tc>
          <w:tcPr>
            <w:tcW w:w="816" w:type="dxa"/>
          </w:tcPr>
          <w:p>
            <w:pPr>
              <w:pStyle w:val="Compact"/>
              <w:spacing w:before="0" w:after="0" w:lineRule="exact" w:line="200"/>
              <w:jc w:val="left"/>
            </w:pPr>
            <w:r>
              <w:rPr>
                <w:sz w:val="16"/>
              </w:rPr>
              <w:t xml:space="preserve">4.76</w:t>
            </w:r>
          </w:p>
        </w:tc>
        <w:tc>
          <w:tcPr>
            <w:tcW w:w="816" w:type="dxa"/>
          </w:tcPr>
          <w:p>
            <w:pPr>
              <w:pStyle w:val="Compact"/>
              <w:spacing w:before="0" w:after="0" w:lineRule="exact" w:line="200"/>
              <w:jc w:val="left"/>
            </w:pPr>
            <w:r>
              <w:rPr>
                <w:sz w:val="16"/>
              </w:rPr>
              <w:t xml:space="preserve">1.01</w:t>
            </w:r>
          </w:p>
        </w:tc>
        <w:tc>
          <w:tcPr>
            <w:tcW w:w="990" w:type="dxa"/>
          </w:tcPr>
          <w:p>
            <w:pPr>
              <w:pStyle w:val="Compact"/>
              <w:spacing w:before="0" w:after="0" w:lineRule="exact" w:line="200"/>
              <w:jc w:val="left"/>
            </w:pPr>
            <w:r>
              <w:rPr>
                <w:sz w:val="16"/>
              </w:rPr>
              <w:t xml:space="preserve">183</w:t>
            </w:r>
          </w:p>
        </w:tc>
        <w:tc>
          <w:tcPr>
            <w:tcW w:w="932" w:type="dxa"/>
          </w:tcPr>
          <w:p>
            <w:pPr>
              <w:pStyle w:val="Compact"/>
              <w:spacing w:before="0" w:after="0" w:lineRule="exact" w:line="200"/>
              <w:jc w:val="left"/>
            </w:pPr>
            <w:r>
              <w:rPr>
                <w:sz w:val="16"/>
              </w:rPr>
              <w:t xml:space="preserve">6.24</w:t>
            </w:r>
          </w:p>
        </w:tc>
        <w:tc>
          <w:tcPr>
            <w:tcW w:w="816" w:type="dxa"/>
          </w:tcPr>
          <w:p>
            <w:pPr>
              <w:pStyle w:val="Compact"/>
              <w:spacing w:before="0" w:after="0" w:lineRule="exact" w:line="200"/>
              <w:jc w:val="left"/>
            </w:pPr>
            <w:r>
              <w:rPr>
                <w:sz w:val="16"/>
              </w:rPr>
              <w:t xml:space="preserve">3.91</w:t>
            </w:r>
          </w:p>
        </w:tc>
        <w:tc>
          <w:tcPr>
            <w:tcW w:w="990" w:type="dxa"/>
          </w:tcPr>
          <w:p>
            <w:pPr>
              <w:pStyle w:val="Compact"/>
              <w:spacing w:before="0" w:after="0" w:lineRule="exact" w:line="200"/>
              <w:jc w:val="left"/>
            </w:pPr>
            <w:r>
              <w:rPr>
                <w:sz w:val="16"/>
              </w:rPr>
              <w:t xml:space="preserve">12.34</w:t>
            </w:r>
          </w:p>
        </w:tc>
      </w:tr>
    </w:tbl>
    <w:p>
      <w:pPr>
        <w:pStyle w:val="BodyText"/>
        <w:keepNext/>
        <w:spacing w:before="40" w:after="70" w:lineRule="exact" w:line="220"/>
        <w:jc w:val="left"/>
      </w:pPr>
      <w:r>
        <w:rPr>
          <w:iCs/>
          <w:i/>
          <w:color w:val="222222"/>
          <w:sz w:val="16"/>
        </w:rPr>
        <w:t xml:space="preserve">Panel B. Pairwise correlations</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1864"/>
        <w:gridCol w:w="932"/>
        <w:gridCol w:w="1041"/>
        <w:gridCol w:w="1041"/>
        <w:gridCol w:w="1041"/>
        <w:gridCol w:w="932"/>
        <w:gridCol w:w="1041"/>
        <w:gridCol w:w="767"/>
        <w:gridCol w:w="932"/>
        <w:gridCol w:w="603"/>
      </w:tblGrid>
      <w:tr>
        <w:trPr>
          <w:tblHeader w:val="true"/>
          <w:cantSplit/>
          <w:tblHeader/>
        </w:trPr>
        <w:tc>
          <w:tcPr>
            <w:tcW w:w="1864" w:type="dxa"/>
            <w:tcBorders>
              <w:bottom w:val="single" w:sz="4" w:space="0" w:color="111111"/>
            </w:tcBorders>
          </w:tcPr>
          <w:p>
            <w:pPr>
              <w:pStyle w:val="Compact"/>
              <w:keepNext/>
              <w:spacing w:before="0" w:after="0" w:lineRule="exact" w:line="200"/>
              <w:jc w:val="left"/>
            </w:pPr>
            <w:r>
              <w:rPr>
                <w:b/>
                <w:sz w:val="16"/>
              </w:rPr>
              <w:t xml:space="preserve">Variables</w:t>
            </w:r>
          </w:p>
        </w:tc>
        <w:tc>
          <w:tcPr>
            <w:tcW w:w="932" w:type="dxa"/>
            <w:tcBorders>
              <w:bottom w:val="single" w:sz="4" w:space="0" w:color="111111"/>
            </w:tcBorders>
          </w:tcPr>
          <w:p>
            <w:pPr>
              <w:pStyle w:val="Compact"/>
              <w:keepNext/>
              <w:spacing w:before="0" w:after="0" w:lineRule="exact" w:line="200"/>
              <w:jc w:val="left"/>
            </w:pPr>
            <w:r>
              <w:rPr>
                <w:b/>
                <w:sz w:val="16"/>
              </w:rPr>
              <w:t xml:space="preserve">(1)</w:t>
            </w:r>
          </w:p>
        </w:tc>
        <w:tc>
          <w:tcPr>
            <w:tcW w:w="1041" w:type="dxa"/>
            <w:tcBorders>
              <w:bottom w:val="single" w:sz="4" w:space="0" w:color="111111"/>
            </w:tcBorders>
          </w:tcPr>
          <w:p>
            <w:pPr>
              <w:pStyle w:val="Compact"/>
              <w:keepNext/>
              <w:spacing w:before="0" w:after="0" w:lineRule="exact" w:line="200"/>
              <w:jc w:val="left"/>
            </w:pPr>
            <w:r>
              <w:rPr>
                <w:b/>
                <w:sz w:val="16"/>
              </w:rPr>
              <w:t xml:space="preserve">(2)</w:t>
            </w:r>
          </w:p>
        </w:tc>
        <w:tc>
          <w:tcPr>
            <w:tcW w:w="1041" w:type="dxa"/>
            <w:tcBorders>
              <w:bottom w:val="single" w:sz="4" w:space="0" w:color="111111"/>
            </w:tcBorders>
          </w:tcPr>
          <w:p>
            <w:pPr>
              <w:pStyle w:val="Compact"/>
              <w:keepNext/>
              <w:spacing w:before="0" w:after="0" w:lineRule="exact" w:line="200"/>
              <w:jc w:val="left"/>
            </w:pPr>
            <w:r>
              <w:rPr>
                <w:b/>
                <w:sz w:val="16"/>
              </w:rPr>
              <w:t xml:space="preserve">(3)</w:t>
            </w:r>
          </w:p>
        </w:tc>
        <w:tc>
          <w:tcPr>
            <w:tcW w:w="1041" w:type="dxa"/>
            <w:tcBorders>
              <w:bottom w:val="single" w:sz="4" w:space="0" w:color="111111"/>
            </w:tcBorders>
          </w:tcPr>
          <w:p>
            <w:pPr>
              <w:pStyle w:val="Compact"/>
              <w:keepNext/>
              <w:spacing w:before="0" w:after="0" w:lineRule="exact" w:line="200"/>
              <w:jc w:val="left"/>
            </w:pPr>
            <w:r>
              <w:rPr>
                <w:b/>
                <w:sz w:val="16"/>
              </w:rPr>
              <w:t xml:space="preserve">(4)</w:t>
            </w:r>
          </w:p>
        </w:tc>
        <w:tc>
          <w:tcPr>
            <w:tcW w:w="932" w:type="dxa"/>
            <w:tcBorders>
              <w:bottom w:val="single" w:sz="4" w:space="0" w:color="111111"/>
            </w:tcBorders>
          </w:tcPr>
          <w:p>
            <w:pPr>
              <w:pStyle w:val="Compact"/>
              <w:keepNext/>
              <w:spacing w:before="0" w:after="0" w:lineRule="exact" w:line="200"/>
              <w:jc w:val="left"/>
            </w:pPr>
            <w:r>
              <w:rPr>
                <w:b/>
                <w:sz w:val="16"/>
              </w:rPr>
              <w:t xml:space="preserve">(5)</w:t>
            </w:r>
          </w:p>
        </w:tc>
        <w:tc>
          <w:tcPr>
            <w:tcW w:w="1041" w:type="dxa"/>
            <w:tcBorders>
              <w:bottom w:val="single" w:sz="4" w:space="0" w:color="111111"/>
            </w:tcBorders>
          </w:tcPr>
          <w:p>
            <w:pPr>
              <w:pStyle w:val="Compact"/>
              <w:keepNext/>
              <w:spacing w:before="0" w:after="0" w:lineRule="exact" w:line="200"/>
              <w:jc w:val="left"/>
            </w:pPr>
            <w:r>
              <w:rPr>
                <w:b/>
                <w:sz w:val="16"/>
              </w:rPr>
              <w:t xml:space="preserve">(6)</w:t>
            </w:r>
          </w:p>
        </w:tc>
        <w:tc>
          <w:tcPr>
            <w:tcW w:w="767" w:type="dxa"/>
            <w:tcBorders>
              <w:bottom w:val="single" w:sz="4" w:space="0" w:color="111111"/>
            </w:tcBorders>
          </w:tcPr>
          <w:p>
            <w:pPr>
              <w:pStyle w:val="Compact"/>
              <w:keepNext/>
              <w:spacing w:before="0" w:after="0" w:lineRule="exact" w:line="200"/>
              <w:jc w:val="left"/>
            </w:pPr>
            <w:r>
              <w:rPr>
                <w:b/>
                <w:sz w:val="16"/>
              </w:rPr>
              <w:t xml:space="preserve">(7)</w:t>
            </w:r>
          </w:p>
        </w:tc>
        <w:tc>
          <w:tcPr>
            <w:tcW w:w="932" w:type="dxa"/>
            <w:tcBorders>
              <w:bottom w:val="single" w:sz="4" w:space="0" w:color="111111"/>
            </w:tcBorders>
          </w:tcPr>
          <w:p>
            <w:pPr>
              <w:pStyle w:val="Compact"/>
              <w:keepNext/>
              <w:spacing w:before="0" w:after="0" w:lineRule="exact" w:line="200"/>
              <w:jc w:val="left"/>
            </w:pPr>
            <w:r>
              <w:rPr>
                <w:b/>
                <w:sz w:val="16"/>
              </w:rPr>
              <w:t xml:space="preserve">(8)</w:t>
            </w:r>
          </w:p>
        </w:tc>
        <w:tc>
          <w:tcPr>
            <w:tcW w:w="603" w:type="dxa"/>
            <w:tcBorders>
              <w:bottom w:val="single" w:sz="4" w:space="0" w:color="111111"/>
            </w:tcBorders>
          </w:tcPr>
          <w:p>
            <w:pPr>
              <w:pStyle w:val="Compact"/>
              <w:keepNext/>
              <w:spacing w:before="0" w:after="0" w:lineRule="exact" w:line="200"/>
              <w:jc w:val="left"/>
            </w:pPr>
            <w:r>
              <w:rPr>
                <w:b/>
                <w:sz w:val="16"/>
              </w:rPr>
              <w:t xml:space="preserve">(9)</w:t>
            </w:r>
          </w:p>
        </w:tc>
      </w:tr>
      <w:tr>
        <w:trPr>
          <w:cantSplit/>
        </w:trPr>
        <w:tc>
          <w:tcPr>
            <w:tcW w:w="1864" w:type="dxa"/>
          </w:tcPr>
          <w:p>
            <w:pPr>
              <w:pStyle w:val="Compact"/>
              <w:keepNext/>
              <w:spacing w:before="0" w:after="0" w:lineRule="exact" w:line="200"/>
              <w:jc w:val="left"/>
            </w:pPr>
            <w:r>
              <w:rPr>
                <w:sz w:val="16"/>
              </w:rPr>
              <w:t xml:space="preserve">(1) ln(Wedge)</w:t>
            </w:r>
          </w:p>
        </w:tc>
        <w:tc>
          <w:tcPr>
            <w:tcW w:w="932" w:type="dxa"/>
          </w:tcPr>
          <w:p>
            <w:pPr>
              <w:pStyle w:val="Compact"/>
              <w:keepNext/>
              <w:spacing w:before="0" w:after="0" w:lineRule="exact" w:line="200"/>
              <w:jc w:val="left"/>
            </w:pPr>
            <w:r>
              <w:rPr>
                <w:sz w:val="16"/>
              </w:rPr>
              <w:t xml:space="preserve">1</w:t>
            </w:r>
          </w:p>
        </w:tc>
        <w:tc>
          <w:tcPr>
            <w:tcW w:w="1041"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(2) Ecosystem ratio</w:t>
            </w:r>
          </w:p>
        </w:tc>
        <w:tc>
          <w:tcPr>
            <w:tcW w:w="932" w:type="dxa"/>
          </w:tcPr>
          <w:p>
            <w:pPr>
              <w:pStyle w:val="Compact"/>
              <w:keepNext/>
              <w:spacing w:before="0" w:after="0" w:lineRule="exact" w:line="200"/>
              <w:jc w:val="left"/>
            </w:pPr>
            <w:r>
              <w:rPr>
                <w:sz w:val="16"/>
              </w:rPr>
              <w:t xml:space="preserve">0.37∗∗∗</w:t>
            </w:r>
          </w:p>
        </w:tc>
        <w:tc>
          <w:tcPr>
            <w:tcW w:w="1041" w:type="dxa"/>
          </w:tcPr>
          <w:p>
            <w:pPr>
              <w:pStyle w:val="Compact"/>
              <w:keepNext/>
              <w:spacing w:before="0" w:after="0" w:lineRule="exact" w:line="200"/>
              <w:jc w:val="left"/>
            </w:pPr>
            <w:r>
              <w:rPr>
                <w:sz w:val="16"/>
              </w:rPr>
              <w:t xml:space="preserve">1</w:t>
            </w:r>
          </w:p>
        </w:tc>
        <w:tc>
          <w:tcPr>
            <w:tcW w:w="1041"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(3) g(R)</w:t>
            </w:r>
          </w:p>
        </w:tc>
        <w:tc>
          <w:tcPr>
            <w:tcW w:w="932" w:type="dxa"/>
          </w:tcPr>
          <w:p>
            <w:pPr>
              <w:pStyle w:val="Compact"/>
              <w:keepNext/>
              <w:spacing w:before="0" w:after="0" w:lineRule="exact" w:line="200"/>
              <w:jc w:val="left"/>
            </w:pPr>
            <w:r>
              <w:rPr>
                <w:sz w:val="16"/>
              </w:rPr>
              <w:t xml:space="preserve">0.13∗</w:t>
            </w:r>
          </w:p>
        </w:tc>
        <w:tc>
          <w:tcPr>
            <w:tcW w:w="1041" w:type="dxa"/>
          </w:tcPr>
          <w:p>
            <w:pPr>
              <w:pStyle w:val="Compact"/>
              <w:keepNext/>
              <w:spacing w:before="0" w:after="0" w:lineRule="exact" w:line="200"/>
              <w:jc w:val="left"/>
            </w:pPr>
            <w:r>
              <w:rPr>
                <w:sz w:val="16"/>
              </w:rPr>
              <w:t xml:space="preserve">0.18∗∗</w:t>
            </w:r>
          </w:p>
        </w:tc>
        <w:tc>
          <w:tcPr>
            <w:tcW w:w="1041" w:type="dxa"/>
          </w:tcPr>
          <w:p>
            <w:pPr>
              <w:pStyle w:val="Compact"/>
              <w:keepNext/>
              <w:spacing w:before="0" w:after="0" w:lineRule="exact" w:line="200"/>
              <w:jc w:val="left"/>
            </w:pPr>
            <w:r>
              <w:rPr>
                <w:sz w:val="16"/>
              </w:rPr>
              <w:t xml:space="preserve">1</w:t>
            </w:r>
          </w:p>
        </w:tc>
        <w:tc>
          <w:tcPr>
            <w:tcW w:w="1041"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(4) g(V)</w:t>
            </w:r>
          </w:p>
        </w:tc>
        <w:tc>
          <w:tcPr>
            <w:tcW w:w="932" w:type="dxa"/>
          </w:tcPr>
          <w:p>
            <w:pPr>
              <w:pStyle w:val="Compact"/>
              <w:keepNext/>
              <w:spacing w:before="0" w:after="0" w:lineRule="exact" w:line="200"/>
              <w:jc w:val="left"/>
            </w:pPr>
            <w:r>
              <w:rPr>
                <w:sz w:val="16"/>
              </w:rPr>
              <w:t xml:space="preserve">0.05</w:t>
            </w:r>
          </w:p>
        </w:tc>
        <w:tc>
          <w:tcPr>
            <w:tcW w:w="1041" w:type="dxa"/>
          </w:tcPr>
          <w:p>
            <w:pPr>
              <w:pStyle w:val="Compact"/>
              <w:keepNext/>
              <w:spacing w:before="0" w:after="0" w:lineRule="exact" w:line="200"/>
              <w:jc w:val="left"/>
            </w:pPr>
            <w:r>
              <w:rPr>
                <w:sz w:val="16"/>
              </w:rPr>
              <w:t xml:space="preserve">0.15∗</w:t>
            </w:r>
          </w:p>
        </w:tc>
        <w:tc>
          <w:tcPr>
            <w:tcW w:w="1041" w:type="dxa"/>
          </w:tcPr>
          <w:p>
            <w:pPr>
              <w:pStyle w:val="Compact"/>
              <w:keepNext/>
              <w:spacing w:before="0" w:after="0" w:lineRule="exact" w:line="200"/>
              <w:jc w:val="left"/>
            </w:pPr>
            <w:r>
              <w:rPr>
                <w:sz w:val="16"/>
              </w:rPr>
              <w:t xml:space="preserve">0.84∗∗∗</w:t>
            </w:r>
          </w:p>
        </w:tc>
        <w:tc>
          <w:tcPr>
            <w:tcW w:w="1041" w:type="dxa"/>
          </w:tcPr>
          <w:p>
            <w:pPr>
              <w:pStyle w:val="Compact"/>
              <w:keepNext/>
              <w:spacing w:before="0" w:after="0" w:lineRule="exact" w:line="200"/>
              <w:jc w:val="left"/>
            </w:pPr>
            <w:r>
              <w:rPr>
                <w:sz w:val="16"/>
              </w:rPr>
              <w:t xml:space="preserve">1</w:t>
            </w:r>
          </w:p>
        </w:tc>
        <w:tc>
          <w:tcPr>
            <w:tcW w:w="932" w:type="dxa"/>
          </w:tcPr>
          <w:p>
            <w:pPr>
              <w:pStyle w:val="Compact"/>
              <w:keepNext/>
              <w:spacing w:before="0" w:after="0" w:lineRule="exact" w:line="200"/>
              <w:jc w:val="left"/>
            </w:pP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(5) ln(Assets)</w:t>
            </w:r>
          </w:p>
        </w:tc>
        <w:tc>
          <w:tcPr>
            <w:tcW w:w="932" w:type="dxa"/>
          </w:tcPr>
          <w:p>
            <w:pPr>
              <w:pStyle w:val="Compact"/>
              <w:keepNext/>
              <w:spacing w:before="0" w:after="0" w:lineRule="exact" w:line="200"/>
              <w:jc w:val="left"/>
            </w:pPr>
            <w:r>
              <w:rPr>
                <w:sz w:val="16"/>
              </w:rPr>
              <w:t xml:space="preserve">0.88∗∗∗</w:t>
            </w:r>
          </w:p>
        </w:tc>
        <w:tc>
          <w:tcPr>
            <w:tcW w:w="1041" w:type="dxa"/>
          </w:tcPr>
          <w:p>
            <w:pPr>
              <w:pStyle w:val="Compact"/>
              <w:keepNext/>
              <w:spacing w:before="0" w:after="0" w:lineRule="exact" w:line="200"/>
              <w:jc w:val="left"/>
            </w:pPr>
            <w:r>
              <w:rPr>
                <w:sz w:val="16"/>
              </w:rPr>
              <w:t xml:space="preserve">0.10</w:t>
            </w:r>
          </w:p>
        </w:tc>
        <w:tc>
          <w:tcPr>
            <w:tcW w:w="1041" w:type="dxa"/>
          </w:tcPr>
          <w:p>
            <w:pPr>
              <w:pStyle w:val="Compact"/>
              <w:keepNext/>
              <w:spacing w:before="0" w:after="0" w:lineRule="exact" w:line="200"/>
              <w:jc w:val="left"/>
            </w:pPr>
            <w:r>
              <w:rPr>
                <w:sz w:val="16"/>
              </w:rPr>
              <w:t xml:space="preserve">0.10</w:t>
            </w:r>
          </w:p>
        </w:tc>
        <w:tc>
          <w:tcPr>
            <w:tcW w:w="1041" w:type="dxa"/>
          </w:tcPr>
          <w:p>
            <w:pPr>
              <w:pStyle w:val="Compact"/>
              <w:keepNext/>
              <w:spacing w:before="0" w:after="0" w:lineRule="exact" w:line="200"/>
              <w:jc w:val="left"/>
            </w:pPr>
            <w:r>
              <w:rPr>
                <w:sz w:val="16"/>
              </w:rPr>
              <w:t xml:space="preserve">0.01</w:t>
            </w:r>
          </w:p>
        </w:tc>
        <w:tc>
          <w:tcPr>
            <w:tcW w:w="932" w:type="dxa"/>
          </w:tcPr>
          <w:p>
            <w:pPr>
              <w:pStyle w:val="Compact"/>
              <w:keepNext/>
              <w:spacing w:before="0" w:after="0" w:lineRule="exact" w:line="200"/>
              <w:jc w:val="left"/>
            </w:pPr>
            <w:r>
              <w:rPr>
                <w:sz w:val="16"/>
              </w:rPr>
              <w:t xml:space="preserve">1</w:t>
            </w:r>
          </w:p>
        </w:tc>
        <w:tc>
          <w:tcPr>
            <w:tcW w:w="1041" w:type="dxa"/>
          </w:tcPr>
          <w:p>
            <w:pPr>
              <w:pStyle w:val="Compact"/>
              <w:keepNext/>
              <w:spacing w:before="0" w:after="0" w:lineRule="exact" w:line="200"/>
              <w:jc w:val="left"/>
            </w:pP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(6) ln(1+YearsListed)</w:t>
            </w:r>
          </w:p>
        </w:tc>
        <w:tc>
          <w:tcPr>
            <w:tcW w:w="932" w:type="dxa"/>
          </w:tcPr>
          <w:p>
            <w:pPr>
              <w:pStyle w:val="Compact"/>
              <w:keepNext/>
              <w:spacing w:before="0" w:after="0" w:lineRule="exact" w:line="200"/>
              <w:jc w:val="left"/>
            </w:pPr>
            <w:r>
              <w:rPr>
                <w:sz w:val="16"/>
              </w:rPr>
              <w:t xml:space="preserve">0.44∗∗∗</w:t>
            </w:r>
          </w:p>
        </w:tc>
        <w:tc>
          <w:tcPr>
            <w:tcW w:w="1041" w:type="dxa"/>
          </w:tcPr>
          <w:p>
            <w:pPr>
              <w:pStyle w:val="Compact"/>
              <w:keepNext/>
              <w:spacing w:before="0" w:after="0" w:lineRule="exact" w:line="200"/>
              <w:jc w:val="left"/>
            </w:pPr>
            <w:r>
              <w:rPr>
                <w:sz w:val="16"/>
              </w:rPr>
              <w:t xml:space="preserve">-0.20∗∗∗</w:t>
            </w:r>
          </w:p>
        </w:tc>
        <w:tc>
          <w:tcPr>
            <w:tcW w:w="1041" w:type="dxa"/>
          </w:tcPr>
          <w:p>
            <w:pPr>
              <w:pStyle w:val="Compact"/>
              <w:keepNext/>
              <w:spacing w:before="0" w:after="0" w:lineRule="exact" w:line="200"/>
              <w:jc w:val="left"/>
            </w:pPr>
            <w:r>
              <w:rPr>
                <w:sz w:val="16"/>
              </w:rPr>
              <w:t xml:space="preserve">-0.30∗∗∗</w:t>
            </w:r>
          </w:p>
        </w:tc>
        <w:tc>
          <w:tcPr>
            <w:tcW w:w="1041" w:type="dxa"/>
          </w:tcPr>
          <w:p>
            <w:pPr>
              <w:pStyle w:val="Compact"/>
              <w:keepNext/>
              <w:spacing w:before="0" w:after="0" w:lineRule="exact" w:line="200"/>
              <w:jc w:val="left"/>
            </w:pPr>
            <w:r>
              <w:rPr>
                <w:sz w:val="16"/>
              </w:rPr>
              <w:t xml:space="preserve">-0.35∗∗∗</w:t>
            </w:r>
          </w:p>
        </w:tc>
        <w:tc>
          <w:tcPr>
            <w:tcW w:w="932" w:type="dxa"/>
          </w:tcPr>
          <w:p>
            <w:pPr>
              <w:pStyle w:val="Compact"/>
              <w:keepNext/>
              <w:spacing w:before="0" w:after="0" w:lineRule="exact" w:line="200"/>
              <w:jc w:val="left"/>
            </w:pPr>
            <w:r>
              <w:rPr>
                <w:sz w:val="16"/>
              </w:rPr>
              <w:t xml:space="preserve">0.46∗∗∗</w:t>
            </w:r>
          </w:p>
        </w:tc>
        <w:tc>
          <w:tcPr>
            <w:tcW w:w="1041" w:type="dxa"/>
          </w:tcPr>
          <w:p>
            <w:pPr>
              <w:pStyle w:val="Compact"/>
              <w:keepNext/>
              <w:spacing w:before="0" w:after="0" w:lineRule="exact" w:line="200"/>
              <w:jc w:val="left"/>
            </w:pPr>
            <w:r>
              <w:rPr>
                <w:sz w:val="16"/>
              </w:rPr>
              <w:t xml:space="preserve">1</w:t>
            </w:r>
          </w:p>
        </w:tc>
        <w:tc>
          <w:tcPr>
            <w:tcW w:w="767" w:type="dxa"/>
          </w:tcPr>
          <w:p>
            <w:pPr>
              <w:pStyle w:val="Compact"/>
              <w:keepNext/>
              <w:spacing w:before="0" w:after="0" w:lineRule="exact" w:line="200"/>
              <w:jc w:val="left"/>
            </w:pP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(7) IndonesiaRegion</w:t>
            </w:r>
          </w:p>
        </w:tc>
        <w:tc>
          <w:tcPr>
            <w:tcW w:w="932" w:type="dxa"/>
          </w:tcPr>
          <w:p>
            <w:pPr>
              <w:pStyle w:val="Compact"/>
              <w:keepNext/>
              <w:spacing w:before="0" w:after="0" w:lineRule="exact" w:line="200"/>
              <w:jc w:val="left"/>
            </w:pPr>
            <w:r>
              <w:rPr>
                <w:sz w:val="16"/>
              </w:rPr>
              <w:t xml:space="preserve">0.02</w:t>
            </w:r>
          </w:p>
        </w:tc>
        <w:tc>
          <w:tcPr>
            <w:tcW w:w="1041" w:type="dxa"/>
          </w:tcPr>
          <w:p>
            <w:pPr>
              <w:pStyle w:val="Compact"/>
              <w:keepNext/>
              <w:spacing w:before="0" w:after="0" w:lineRule="exact" w:line="200"/>
              <w:jc w:val="left"/>
            </w:pPr>
            <w:r>
              <w:rPr>
                <w:sz w:val="16"/>
              </w:rPr>
              <w:t xml:space="preserve">0.42∗∗∗</w:t>
            </w:r>
          </w:p>
        </w:tc>
        <w:tc>
          <w:tcPr>
            <w:tcW w:w="1041" w:type="dxa"/>
          </w:tcPr>
          <w:p>
            <w:pPr>
              <w:pStyle w:val="Compact"/>
              <w:keepNext/>
              <w:spacing w:before="0" w:after="0" w:lineRule="exact" w:line="200"/>
              <w:jc w:val="left"/>
            </w:pPr>
            <w:r>
              <w:rPr>
                <w:sz w:val="16"/>
              </w:rPr>
              <w:t xml:space="preserve">0.13∗</w:t>
            </w:r>
          </w:p>
        </w:tc>
        <w:tc>
          <w:tcPr>
            <w:tcW w:w="1041" w:type="dxa"/>
          </w:tcPr>
          <w:p>
            <w:pPr>
              <w:pStyle w:val="Compact"/>
              <w:keepNext/>
              <w:spacing w:before="0" w:after="0" w:lineRule="exact" w:line="200"/>
              <w:jc w:val="left"/>
            </w:pPr>
            <w:r>
              <w:rPr>
                <w:sz w:val="16"/>
              </w:rPr>
              <w:t xml:space="preserve">-0.03</w:t>
            </w:r>
          </w:p>
        </w:tc>
        <w:tc>
          <w:tcPr>
            <w:tcW w:w="932" w:type="dxa"/>
          </w:tcPr>
          <w:p>
            <w:pPr>
              <w:pStyle w:val="Compact"/>
              <w:keepNext/>
              <w:spacing w:before="0" w:after="0" w:lineRule="exact" w:line="200"/>
              <w:jc w:val="left"/>
            </w:pPr>
            <w:r>
              <w:rPr>
                <w:sz w:val="16"/>
              </w:rPr>
              <w:t xml:space="preserve">0.04</w:t>
            </w:r>
          </w:p>
        </w:tc>
        <w:tc>
          <w:tcPr>
            <w:tcW w:w="1041" w:type="dxa"/>
          </w:tcPr>
          <w:p>
            <w:pPr>
              <w:pStyle w:val="Compact"/>
              <w:keepNext/>
              <w:spacing w:before="0" w:after="0" w:lineRule="exact" w:line="200"/>
              <w:jc w:val="left"/>
            </w:pPr>
            <w:r>
              <w:rPr>
                <w:sz w:val="16"/>
              </w:rPr>
              <w:t xml:space="preserve">-0.27∗∗∗</w:t>
            </w:r>
          </w:p>
        </w:tc>
        <w:tc>
          <w:tcPr>
            <w:tcW w:w="767" w:type="dxa"/>
          </w:tcPr>
          <w:p>
            <w:pPr>
              <w:pStyle w:val="Compact"/>
              <w:keepNext/>
              <w:spacing w:before="0" w:after="0" w:lineRule="exact" w:line="200"/>
              <w:jc w:val="left"/>
            </w:pPr>
            <w:r>
              <w:rPr>
                <w:sz w:val="16"/>
              </w:rPr>
              <w:t xml:space="preserve">1</w:t>
            </w:r>
          </w:p>
        </w:tc>
        <w:tc>
          <w:tcPr>
            <w:tcW w:w="932" w:type="dxa"/>
          </w:tcPr>
          <w:p>
            <w:pPr>
              <w:pStyle w:val="Compact"/>
              <w:keepNext/>
              <w:spacing w:before="0" w:after="0" w:lineRule="exact" w:line="200"/>
              <w:jc w:val="left"/>
            </w:pPr>
          </w:p>
        </w:tc>
        <w:tc>
          <w:tcPr>
            <w:tcW w:w="603" w:type="dxa"/>
          </w:tcPr>
          <w:p>
            <w:pPr>
              <w:pStyle w:val="Compact"/>
              <w:keepNext/>
              <w:spacing w:before="0" w:after="0" w:lineRule="exact" w:line="200"/>
              <w:jc w:val="left"/>
            </w:pPr>
          </w:p>
        </w:tc>
      </w:tr>
      <w:tr>
        <w:trPr>
          <w:cantSplit/>
        </w:trPr>
        <w:tc>
          <w:tcPr>
            <w:tcW w:w="1864" w:type="dxa"/>
          </w:tcPr>
          <w:p>
            <w:pPr>
              <w:pStyle w:val="Compact"/>
              <w:keepNext/>
              <w:spacing w:before="0" w:after="0" w:lineRule="exact" w:line="200"/>
              <w:jc w:val="left"/>
            </w:pPr>
            <w:r>
              <w:rPr>
                <w:sz w:val="16"/>
              </w:rPr>
              <w:t xml:space="preserve">(8) GDPGrowth</w:t>
            </w:r>
          </w:p>
        </w:tc>
        <w:tc>
          <w:tcPr>
            <w:tcW w:w="932" w:type="dxa"/>
          </w:tcPr>
          <w:p>
            <w:pPr>
              <w:pStyle w:val="Compact"/>
              <w:keepNext/>
              <w:spacing w:before="0" w:after="0" w:lineRule="exact" w:line="200"/>
              <w:jc w:val="left"/>
            </w:pPr>
            <w:r>
              <w:rPr>
                <w:sz w:val="16"/>
              </w:rPr>
              <w:t xml:space="preserve">0.10</w:t>
            </w:r>
          </w:p>
        </w:tc>
        <w:tc>
          <w:tcPr>
            <w:tcW w:w="1041" w:type="dxa"/>
          </w:tcPr>
          <w:p>
            <w:pPr>
              <w:pStyle w:val="Compact"/>
              <w:keepNext/>
              <w:spacing w:before="0" w:after="0" w:lineRule="exact" w:line="200"/>
              <w:jc w:val="left"/>
            </w:pPr>
            <w:r>
              <w:rPr>
                <w:sz w:val="16"/>
              </w:rPr>
              <w:t xml:space="preserve">0.23∗∗∗</w:t>
            </w:r>
          </w:p>
        </w:tc>
        <w:tc>
          <w:tcPr>
            <w:tcW w:w="1041" w:type="dxa"/>
          </w:tcPr>
          <w:p>
            <w:pPr>
              <w:pStyle w:val="Compact"/>
              <w:keepNext/>
              <w:spacing w:before="0" w:after="0" w:lineRule="exact" w:line="200"/>
              <w:jc w:val="left"/>
            </w:pPr>
            <w:r>
              <w:rPr>
                <w:sz w:val="16"/>
              </w:rPr>
              <w:t xml:space="preserve">0.23∗∗∗</w:t>
            </w:r>
          </w:p>
        </w:tc>
        <w:tc>
          <w:tcPr>
            <w:tcW w:w="1041" w:type="dxa"/>
          </w:tcPr>
          <w:p>
            <w:pPr>
              <w:pStyle w:val="Compact"/>
              <w:keepNext/>
              <w:spacing w:before="0" w:after="0" w:lineRule="exact" w:line="200"/>
              <w:jc w:val="left"/>
            </w:pPr>
            <w:r>
              <w:rPr>
                <w:sz w:val="16"/>
              </w:rPr>
              <w:t xml:space="preserve">0.21∗∗∗</w:t>
            </w:r>
          </w:p>
        </w:tc>
        <w:tc>
          <w:tcPr>
            <w:tcW w:w="932" w:type="dxa"/>
          </w:tcPr>
          <w:p>
            <w:pPr>
              <w:pStyle w:val="Compact"/>
              <w:keepNext/>
              <w:spacing w:before="0" w:after="0" w:lineRule="exact" w:line="200"/>
              <w:jc w:val="left"/>
            </w:pPr>
            <w:r>
              <w:rPr>
                <w:sz w:val="16"/>
              </w:rPr>
              <w:t xml:space="preserve">0.06</w:t>
            </w:r>
          </w:p>
        </w:tc>
        <w:tc>
          <w:tcPr>
            <w:tcW w:w="1041" w:type="dxa"/>
          </w:tcPr>
          <w:p>
            <w:pPr>
              <w:pStyle w:val="Compact"/>
              <w:keepNext/>
              <w:spacing w:before="0" w:after="0" w:lineRule="exact" w:line="200"/>
              <w:jc w:val="left"/>
            </w:pPr>
            <w:r>
              <w:rPr>
                <w:sz w:val="16"/>
              </w:rPr>
              <w:t xml:space="preserve">-0.11</w:t>
            </w:r>
          </w:p>
        </w:tc>
        <w:tc>
          <w:tcPr>
            <w:tcW w:w="767" w:type="dxa"/>
          </w:tcPr>
          <w:p>
            <w:pPr>
              <w:pStyle w:val="Compact"/>
              <w:keepNext/>
              <w:spacing w:before="0" w:after="0" w:lineRule="exact" w:line="200"/>
              <w:jc w:val="left"/>
            </w:pPr>
            <w:r>
              <w:rPr>
                <w:sz w:val="16"/>
              </w:rPr>
              <w:t xml:space="preserve">0.11</w:t>
            </w:r>
          </w:p>
        </w:tc>
        <w:tc>
          <w:tcPr>
            <w:tcW w:w="932" w:type="dxa"/>
          </w:tcPr>
          <w:p>
            <w:pPr>
              <w:pStyle w:val="Compact"/>
              <w:keepNext/>
              <w:spacing w:before="0" w:after="0" w:lineRule="exact" w:line="200"/>
              <w:jc w:val="left"/>
            </w:pPr>
            <w:r>
              <w:rPr>
                <w:sz w:val="16"/>
              </w:rPr>
              <w:t xml:space="preserve">1</w:t>
            </w:r>
          </w:p>
        </w:tc>
        <w:tc>
          <w:tcPr>
            <w:tcW w:w="603" w:type="dxa"/>
          </w:tcPr>
          <w:p>
            <w:pPr>
              <w:pStyle w:val="Compact"/>
              <w:keepNext/>
              <w:spacing w:before="0" w:after="0" w:lineRule="exact" w:line="200"/>
              <w:jc w:val="left"/>
            </w:pPr>
          </w:p>
        </w:tc>
      </w:tr>
      <w:tr>
        <w:trPr>
          <w:cantSplit/>
        </w:trPr>
        <w:tc>
          <w:tcPr>
            <w:tcW w:w="1864" w:type="dxa"/>
          </w:tcPr>
          <w:p>
            <w:pPr>
              <w:pStyle w:val="Compact"/>
              <w:spacing w:before="0" w:after="0" w:lineRule="exact" w:line="200"/>
              <w:jc w:val="left"/>
            </w:pPr>
            <w:r>
              <w:rPr>
                <w:sz w:val="16"/>
              </w:rPr>
              <w:t xml:space="preserve">(9) PolicyRate</w:t>
            </w:r>
          </w:p>
        </w:tc>
        <w:tc>
          <w:tcPr>
            <w:tcW w:w="932" w:type="dxa"/>
          </w:tcPr>
          <w:p>
            <w:pPr>
              <w:pStyle w:val="Compact"/>
              <w:spacing w:before="0" w:after="0" w:lineRule="exact" w:line="200"/>
              <w:jc w:val="left"/>
            </w:pPr>
            <w:r>
              <w:rPr>
                <w:sz w:val="16"/>
              </w:rPr>
              <w:t xml:space="preserve">-0.02</w:t>
            </w:r>
          </w:p>
        </w:tc>
        <w:tc>
          <w:tcPr>
            <w:tcW w:w="1041" w:type="dxa"/>
          </w:tcPr>
          <w:p>
            <w:pPr>
              <w:pStyle w:val="Compact"/>
              <w:spacing w:before="0" w:after="0" w:lineRule="exact" w:line="200"/>
              <w:jc w:val="left"/>
            </w:pPr>
            <w:r>
              <w:rPr>
                <w:sz w:val="16"/>
              </w:rPr>
              <w:t xml:space="preserve">-0.06</w:t>
            </w:r>
          </w:p>
        </w:tc>
        <w:tc>
          <w:tcPr>
            <w:tcW w:w="1041" w:type="dxa"/>
          </w:tcPr>
          <w:p>
            <w:pPr>
              <w:pStyle w:val="Compact"/>
              <w:spacing w:before="0" w:after="0" w:lineRule="exact" w:line="200"/>
              <w:jc w:val="left"/>
            </w:pPr>
            <w:r>
              <w:rPr>
                <w:sz w:val="16"/>
              </w:rPr>
              <w:t xml:space="preserve">0.01</w:t>
            </w:r>
          </w:p>
        </w:tc>
        <w:tc>
          <w:tcPr>
            <w:tcW w:w="1041" w:type="dxa"/>
          </w:tcPr>
          <w:p>
            <w:pPr>
              <w:pStyle w:val="Compact"/>
              <w:spacing w:before="0" w:after="0" w:lineRule="exact" w:line="200"/>
              <w:jc w:val="left"/>
            </w:pPr>
            <w:r>
              <w:rPr>
                <w:sz w:val="16"/>
              </w:rPr>
              <w:t xml:space="preserve">0.02</w:t>
            </w:r>
          </w:p>
        </w:tc>
        <w:tc>
          <w:tcPr>
            <w:tcW w:w="932" w:type="dxa"/>
          </w:tcPr>
          <w:p>
            <w:pPr>
              <w:pStyle w:val="Compact"/>
              <w:spacing w:before="0" w:after="0" w:lineRule="exact" w:line="200"/>
              <w:jc w:val="left"/>
            </w:pPr>
            <w:r>
              <w:rPr>
                <w:sz w:val="16"/>
              </w:rPr>
              <w:t xml:space="preserve">-0.09</w:t>
            </w:r>
          </w:p>
        </w:tc>
        <w:tc>
          <w:tcPr>
            <w:tcW w:w="1041" w:type="dxa"/>
          </w:tcPr>
          <w:p>
            <w:pPr>
              <w:pStyle w:val="Compact"/>
              <w:spacing w:before="0" w:after="0" w:lineRule="exact" w:line="200"/>
              <w:jc w:val="left"/>
            </w:pPr>
            <w:r>
              <w:rPr>
                <w:sz w:val="16"/>
              </w:rPr>
              <w:t xml:space="preserve">-0.04</w:t>
            </w:r>
          </w:p>
        </w:tc>
        <w:tc>
          <w:tcPr>
            <w:tcW w:w="767" w:type="dxa"/>
          </w:tcPr>
          <w:p>
            <w:pPr>
              <w:pStyle w:val="Compact"/>
              <w:spacing w:before="0" w:after="0" w:lineRule="exact" w:line="200"/>
              <w:jc w:val="left"/>
            </w:pPr>
            <w:r>
              <w:rPr>
                <w:sz w:val="16"/>
              </w:rPr>
              <w:t xml:space="preserve">-0.04</w:t>
            </w:r>
          </w:p>
        </w:tc>
        <w:tc>
          <w:tcPr>
            <w:tcW w:w="932" w:type="dxa"/>
          </w:tcPr>
          <w:p>
            <w:pPr>
              <w:pStyle w:val="Compact"/>
              <w:spacing w:before="0" w:after="0" w:lineRule="exact" w:line="200"/>
              <w:jc w:val="left"/>
            </w:pPr>
            <w:r>
              <w:rPr>
                <w:sz w:val="16"/>
              </w:rPr>
              <w:t xml:space="preserve">-0.14∗∗</w:t>
            </w:r>
          </w:p>
        </w:tc>
        <w:tc>
          <w:tcPr>
            <w:tcW w:w="603" w:type="dxa"/>
          </w:tcPr>
          <w:p>
            <w:pPr>
              <w:pStyle w:val="Compact"/>
              <w:spacing w:before="0" w:after="0" w:lineRule="exact" w:line="200"/>
              <w:jc w:val="left"/>
            </w:pPr>
            <w:r>
              <w:rPr>
                <w:sz w:val="16"/>
              </w:rPr>
              <w:t xml:space="preserve">1</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Inflation and household spending growth are left out of Panel B to fit the page; they correlate 0.80 with the policy rate and 0.92 with GDP growth. The policy rate is missing for Kazakhstan and Nigeria, and some growth and macroeconomic values are missing for the first year of a platform or for 2025. Source: company filings; World Bank; Bank for International Settlements; author’s calculations. Exploratory.</w:t>
      </w:r>
    </w:p>
    <w:p>
      <w:pPr>
        <w:pStyle w:val="BodyText"/>
      </w:pPr>
      <w:r>
        <w:t xml:space="preserve">Across all platforms, revenue growth and transaction value growth have a correlation of 0.84 (Panel B). The wedge and transaction value correlate at 0.9994 in levels, as they must, because the wedge is transaction value minus revenue and revenue is a small part of it. So the test of H1 uses growth rates.</w:t>
      </w:r>
    </w:p>
    <w:p>
      <w:pPr>
        <w:pStyle w:val="BodyText"/>
      </w:pPr>
      <w:r>
        <w:t xml:space="preserve">Table 5.3 tests H1 in growth rates. Abroad, a rise of 1 percentage point in the growth of transaction value goes with a rise of 0.99 points in the growth of revenue (standard error 0.07), which cannot be told from the 1 that proportional growth requires (p = 0.84). The two growth rates correlate at 0.90.</w:t>
      </w:r>
      <w:r>
        <w:t xml:space="preserve"> </w:t>
      </w:r>
      <w:r>
        <w:rPr>
          <w:bCs/>
          <w:b/>
        </w:rPr>
        <w:t xml:space="preserve">In Indonesia and the region the slope is 0.40 (standard error 0.16) and differs from 1 (p = 0.02).</w:t>
      </w:r>
      <w:r>
        <w:t xml:space="preserve"> </w:t>
      </w:r>
      <w:r>
        <w:t xml:space="preserve">The correlation is 0.31, and the constant is 0.44: revenue grew by about 44 percent a year whatever transaction value did. In the regression on all platforms, the slope of the Indonesian and regional group is 0.59 below the foreign slope. The Indonesian and regional result rests on 15 pairs from five platforms, so its standard errors are less reliable than those abroad.</w:t>
      </w:r>
    </w:p>
    <w:p>
      <w:pPr>
        <w:pStyle w:val="BodyText"/>
        <w:keepNext/>
        <w:spacing w:before="140" w:after="56" w:lineRule="exact" w:line="246"/>
        <w:jc w:val="left"/>
      </w:pPr>
      <w:r>
        <w:rPr>
          <w:b/>
          <w:sz w:val="17"/>
        </w:rPr>
        <w:t>Table 5.3.</w:t>
      </w:r>
      <w:r>
        <w:rPr>
          <w:b w:val="0"/>
          <w:sz w:val="17"/>
        </w:rPr>
        <w:t xml:space="preserve"> Revenue growth and transaction value growth</w:t>
      </w:r>
    </w:p>
    <w:p>
      <w:pPr>
        <w:pStyle w:val="BodyText"/>
        <w:keepNext/>
        <w:spacing w:before="40" w:after="70" w:lineRule="exact" w:line="220"/>
        <w:jc w:val="left"/>
      </w:pPr>
      <w:r>
        <w:rPr>
          <w:color w:val="222222"/>
          <w:sz w:val="16"/>
        </w:rPr>
        <w:t xml:space="preserve">This table reports OLS estimates of equation (6). The dependent variable is the growth of revenue, g(R), the simple percentage change from the previous year. Column (1) uses all platforms, with an interaction between transaction value growth and the Indonesia and region dummy, so the coefficient on g(V) in that column is the slope of the foreign platforms. Column (2) uses the 26 foreign platforms with a pair of consecutive years, and column (3) the five Indonesian and regional platforms. Growth rates are capped at their 5th and 95th percentiles. Appendix A defines the variables. Standard errors (in parentheses) are clustered at the platform level. ∗∗∗, ∗∗ and ∗ correspond to statistical significance at the 1%, 5% and 10% levels.</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3743"/>
        <w:gridCol w:w="1965"/>
        <w:gridCol w:w="1777"/>
        <w:gridCol w:w="2713"/>
      </w:tblGrid>
      <w:tr>
        <w:trPr>
          <w:tblHeader w:val="true"/>
          <w:cantSplit/>
          <w:tblHeader/>
        </w:trPr>
        <w:tc>
          <w:tcPr>
            <w:tcW w:w="3743" w:type="dxa"/>
            <w:tcBorders>
              <w:bottom w:val="single" w:sz="4" w:space="0" w:color="111111"/>
            </w:tcBorders>
          </w:tcPr>
          <w:p>
            <w:pPr>
              <w:pStyle w:val="Compact"/>
              <w:spacing w:before="0" w:after="0" w:lineRule="exact" w:line="200"/>
              <w:jc w:val="left"/>
            </w:pPr>
            <w:r>
              <w:rPr>
                <w:iCs/>
                <w:b/>
                <w:i/>
                <w:sz w:val="16"/>
              </w:rPr>
              <w:t xml:space="preserve">Dependent variable</w:t>
            </w:r>
          </w:p>
        </w:tc>
        <w:tc>
          <w:tcPr>
            <w:tcW w:w="1965" w:type="dxa"/>
            <w:tcBorders>
              <w:bottom w:val="single" w:sz="4" w:space="0" w:color="111111"/>
            </w:tcBorders>
          </w:tcPr>
          <w:p>
            <w:pPr>
              <w:pStyle w:val="Compact"/>
              <w:spacing w:before="0" w:after="0" w:lineRule="exact" w:line="200"/>
              <w:jc w:val="left"/>
            </w:pPr>
            <w:r>
              <w:rPr>
                <w:b/>
                <w:sz w:val="16"/>
              </w:rPr>
              <w:t xml:space="preserve">g(R)</w:t>
            </w:r>
          </w:p>
        </w:tc>
        <w:tc>
          <w:tcPr>
            <w:tcW w:w="1777" w:type="dxa"/>
            <w:tcBorders>
              <w:bottom w:val="single" w:sz="4" w:space="0" w:color="111111"/>
            </w:tcBorders>
          </w:tcPr>
          <w:p>
            <w:pPr>
              <w:pStyle w:val="Compact"/>
              <w:spacing w:before="0" w:after="0" w:lineRule="exact" w:line="200"/>
              <w:jc w:val="left"/>
            </w:pPr>
            <w:r>
              <w:rPr>
                <w:b/>
                <w:sz w:val="16"/>
              </w:rPr>
              <w:t xml:space="preserve">g(R)</w:t>
            </w:r>
          </w:p>
        </w:tc>
        <w:tc>
          <w:tcPr>
            <w:tcW w:w="2713" w:type="dxa"/>
            <w:tcBorders>
              <w:bottom w:val="single" w:sz="4" w:space="0" w:color="111111"/>
            </w:tcBorders>
          </w:tcPr>
          <w:p>
            <w:pPr>
              <w:pStyle w:val="Compact"/>
              <w:spacing w:before="0" w:after="0" w:lineRule="exact" w:line="200"/>
              <w:jc w:val="left"/>
            </w:pPr>
            <w:r>
              <w:rPr>
                <w:b/>
                <w:sz w:val="16"/>
              </w:rPr>
              <w:t xml:space="preserve">g(R)</w:t>
            </w:r>
          </w:p>
        </w:tc>
      </w:tr>
      <w:tr>
        <w:trPr>
          <w:cantSplit/>
        </w:trPr>
        <w:tc>
          <w:tcPr>
            <w:tcW w:w="3743" w:type="dxa"/>
          </w:tcPr>
          <w:p>
            <w:pPr>
              <w:pStyle w:val="Compact"/>
              <w:spacing w:before="0" w:after="0" w:lineRule="exact" w:line="200"/>
              <w:jc w:val="left"/>
            </w:pPr>
            <w:r>
              <w:rPr>
                <w:sz w:val="16"/>
              </w:rPr>
              <w:t xml:space="preserve">Sample</w:t>
            </w:r>
          </w:p>
        </w:tc>
        <w:tc>
          <w:tcPr>
            <w:tcW w:w="1965" w:type="dxa"/>
          </w:tcPr>
          <w:p>
            <w:pPr>
              <w:pStyle w:val="Compact"/>
              <w:spacing w:before="0" w:after="0" w:lineRule="exact" w:line="200"/>
              <w:jc w:val="left"/>
            </w:pPr>
            <w:r>
              <w:rPr>
                <w:sz w:val="16"/>
              </w:rPr>
              <w:t xml:space="preserve">All platforms</w:t>
            </w:r>
          </w:p>
        </w:tc>
        <w:tc>
          <w:tcPr>
            <w:tcW w:w="1777" w:type="dxa"/>
          </w:tcPr>
          <w:p>
            <w:pPr>
              <w:pStyle w:val="Compact"/>
              <w:spacing w:before="0" w:after="0" w:lineRule="exact" w:line="200"/>
              <w:jc w:val="left"/>
            </w:pPr>
            <w:r>
              <w:rPr>
                <w:sz w:val="16"/>
              </w:rPr>
              <w:t xml:space="preserve">Foreign</w:t>
            </w:r>
          </w:p>
        </w:tc>
        <w:tc>
          <w:tcPr>
            <w:tcW w:w="2713" w:type="dxa"/>
          </w:tcPr>
          <w:p>
            <w:pPr>
              <w:pStyle w:val="Compact"/>
              <w:spacing w:before="0" w:after="0" w:lineRule="exact" w:line="200"/>
              <w:jc w:val="left"/>
            </w:pPr>
            <w:r>
              <w:rPr>
                <w:sz w:val="16"/>
              </w:rPr>
              <w:t xml:space="preserve">Indonesian and regional</w:t>
            </w: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(1)</w:t>
            </w:r>
          </w:p>
        </w:tc>
        <w:tc>
          <w:tcPr>
            <w:tcW w:w="1777" w:type="dxa"/>
          </w:tcPr>
          <w:p>
            <w:pPr>
              <w:pStyle w:val="Compact"/>
              <w:spacing w:before="0" w:after="0" w:lineRule="exact" w:line="200"/>
              <w:jc w:val="left"/>
            </w:pPr>
            <w:r>
              <w:rPr>
                <w:sz w:val="16"/>
              </w:rPr>
              <w:t xml:space="preserve">(2)</w:t>
            </w:r>
          </w:p>
        </w:tc>
        <w:tc>
          <w:tcPr>
            <w:tcW w:w="2713" w:type="dxa"/>
          </w:tcPr>
          <w:p>
            <w:pPr>
              <w:pStyle w:val="Compact"/>
              <w:spacing w:before="0" w:after="0" w:lineRule="exact" w:line="200"/>
              <w:jc w:val="left"/>
            </w:pPr>
            <w:r>
              <w:rPr>
                <w:sz w:val="16"/>
              </w:rPr>
              <w:t xml:space="preserve">(3)</w:t>
            </w:r>
          </w:p>
        </w:tc>
      </w:tr>
      <w:tr>
        <w:trPr>
          <w:cantSplit/>
        </w:trPr>
        <w:tc>
          <w:tcPr>
            <w:tcW w:w="3743" w:type="dxa"/>
          </w:tcPr>
          <w:p>
            <w:pPr>
              <w:pStyle w:val="Compact"/>
              <w:spacing w:before="0" w:after="0" w:lineRule="exact" w:line="200"/>
              <w:jc w:val="left"/>
            </w:pPr>
            <w:r>
              <w:rPr>
                <w:sz w:val="16"/>
              </w:rPr>
              <w:t xml:space="preserve">g(V)</w:t>
            </w:r>
          </w:p>
        </w:tc>
        <w:tc>
          <w:tcPr>
            <w:tcW w:w="1965" w:type="dxa"/>
          </w:tcPr>
          <w:p>
            <w:pPr>
              <w:pStyle w:val="Compact"/>
              <w:spacing w:before="0" w:after="0" w:lineRule="exact" w:line="200"/>
              <w:jc w:val="left"/>
            </w:pPr>
            <w:r>
              <w:rPr>
                <w:sz w:val="16"/>
              </w:rPr>
              <w:t xml:space="preserve">0.986∗∗∗</w:t>
            </w:r>
          </w:p>
        </w:tc>
        <w:tc>
          <w:tcPr>
            <w:tcW w:w="1777" w:type="dxa"/>
          </w:tcPr>
          <w:p>
            <w:pPr>
              <w:pStyle w:val="Compact"/>
              <w:spacing w:before="0" w:after="0" w:lineRule="exact" w:line="200"/>
              <w:jc w:val="left"/>
            </w:pPr>
            <w:r>
              <w:rPr>
                <w:sz w:val="16"/>
              </w:rPr>
              <w:t xml:space="preserve">0.986∗∗∗</w:t>
            </w:r>
          </w:p>
        </w:tc>
        <w:tc>
          <w:tcPr>
            <w:tcW w:w="2713" w:type="dxa"/>
          </w:tcPr>
          <w:p>
            <w:pPr>
              <w:pStyle w:val="Compact"/>
              <w:spacing w:before="0" w:after="0" w:lineRule="exact" w:line="200"/>
              <w:jc w:val="left"/>
            </w:pPr>
            <w:r>
              <w:rPr>
                <w:sz w:val="16"/>
              </w:rPr>
              <w:t xml:space="preserve">0.399∗</w:t>
            </w: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(0.072)</w:t>
            </w:r>
          </w:p>
        </w:tc>
        <w:tc>
          <w:tcPr>
            <w:tcW w:w="1777" w:type="dxa"/>
          </w:tcPr>
          <w:p>
            <w:pPr>
              <w:pStyle w:val="Compact"/>
              <w:spacing w:before="0" w:after="0" w:lineRule="exact" w:line="200"/>
              <w:jc w:val="left"/>
            </w:pPr>
            <w:r>
              <w:rPr>
                <w:sz w:val="16"/>
              </w:rPr>
              <w:t xml:space="preserve">(0.072)</w:t>
            </w:r>
          </w:p>
        </w:tc>
        <w:tc>
          <w:tcPr>
            <w:tcW w:w="2713" w:type="dxa"/>
          </w:tcPr>
          <w:p>
            <w:pPr>
              <w:pStyle w:val="Compact"/>
              <w:spacing w:before="0" w:after="0" w:lineRule="exact" w:line="200"/>
              <w:jc w:val="left"/>
            </w:pPr>
            <w:r>
              <w:rPr>
                <w:sz w:val="16"/>
              </w:rPr>
              <w:t xml:space="preserve">(0.159)</w:t>
            </w:r>
          </w:p>
        </w:tc>
      </w:tr>
      <w:tr>
        <w:trPr>
          <w:cantSplit/>
        </w:trPr>
        <w:tc>
          <w:tcPr>
            <w:tcW w:w="3743" w:type="dxa"/>
          </w:tcPr>
          <w:p>
            <w:pPr>
              <w:pStyle w:val="Compact"/>
              <w:spacing w:before="0" w:after="0" w:lineRule="exact" w:line="200"/>
              <w:jc w:val="left"/>
            </w:pPr>
            <w:r>
              <w:rPr>
                <w:sz w:val="16"/>
              </w:rPr>
              <w:t xml:space="preserve">IndonesiaRegion</w:t>
            </w:r>
          </w:p>
        </w:tc>
        <w:tc>
          <w:tcPr>
            <w:tcW w:w="1965" w:type="dxa"/>
          </w:tcPr>
          <w:p>
            <w:pPr>
              <w:pStyle w:val="Compact"/>
              <w:spacing w:before="0" w:after="0" w:lineRule="exact" w:line="200"/>
              <w:jc w:val="left"/>
            </w:pPr>
            <w:r>
              <w:rPr>
                <w:sz w:val="16"/>
              </w:rPr>
              <w:t xml:space="preserve">0.379∗∗∗</w:t>
            </w:r>
          </w:p>
        </w:tc>
        <w:tc>
          <w:tcPr>
            <w:tcW w:w="1777" w:type="dxa"/>
          </w:tcPr>
          <w:p>
            <w:pPr>
              <w:pStyle w:val="Compact"/>
              <w:spacing w:before="0" w:after="0" w:lineRule="exact" w:line="200"/>
              <w:jc w:val="left"/>
            </w:pPr>
          </w:p>
        </w:tc>
        <w:tc>
          <w:tcPr>
            <w:tcW w:w="2713" w:type="dxa"/>
          </w:tcPr>
          <w:p>
            <w:pPr>
              <w:pStyle w:val="Compact"/>
              <w:spacing w:before="0" w:after="0" w:lineRule="exact" w:line="200"/>
              <w:jc w:val="left"/>
            </w:pP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(0.060)</w:t>
            </w:r>
          </w:p>
        </w:tc>
        <w:tc>
          <w:tcPr>
            <w:tcW w:w="1777" w:type="dxa"/>
          </w:tcPr>
          <w:p>
            <w:pPr>
              <w:pStyle w:val="Compact"/>
              <w:spacing w:before="0" w:after="0" w:lineRule="exact" w:line="200"/>
              <w:jc w:val="left"/>
            </w:pPr>
          </w:p>
        </w:tc>
        <w:tc>
          <w:tcPr>
            <w:tcW w:w="2713" w:type="dxa"/>
          </w:tcPr>
          <w:p>
            <w:pPr>
              <w:pStyle w:val="Compact"/>
              <w:spacing w:before="0" w:after="0" w:lineRule="exact" w:line="200"/>
              <w:jc w:val="left"/>
            </w:pPr>
          </w:p>
        </w:tc>
      </w:tr>
      <w:tr>
        <w:trPr>
          <w:cantSplit/>
        </w:trPr>
        <w:tc>
          <w:tcPr>
            <w:tcW w:w="3743" w:type="dxa"/>
          </w:tcPr>
          <w:p>
            <w:pPr>
              <w:pStyle w:val="Compact"/>
              <w:spacing w:before="0" w:after="0" w:lineRule="exact" w:line="200"/>
              <w:jc w:val="left"/>
            </w:pPr>
            <w:r>
              <w:rPr>
                <w:sz w:val="16"/>
              </w:rPr>
              <w:t xml:space="preserve">IndonesiaRegion × g(V)</w:t>
            </w:r>
          </w:p>
        </w:tc>
        <w:tc>
          <w:tcPr>
            <w:tcW w:w="1965" w:type="dxa"/>
          </w:tcPr>
          <w:p>
            <w:pPr>
              <w:pStyle w:val="Compact"/>
              <w:spacing w:before="0" w:after="0" w:lineRule="exact" w:line="200"/>
              <w:jc w:val="left"/>
            </w:pPr>
            <w:r>
              <w:rPr>
                <w:sz w:val="16"/>
              </w:rPr>
              <w:t xml:space="preserve">-0.587∗∗∗</w:t>
            </w:r>
          </w:p>
        </w:tc>
        <w:tc>
          <w:tcPr>
            <w:tcW w:w="1777" w:type="dxa"/>
          </w:tcPr>
          <w:p>
            <w:pPr>
              <w:pStyle w:val="Compact"/>
              <w:spacing w:before="0" w:after="0" w:lineRule="exact" w:line="200"/>
              <w:jc w:val="left"/>
            </w:pPr>
          </w:p>
        </w:tc>
        <w:tc>
          <w:tcPr>
            <w:tcW w:w="2713" w:type="dxa"/>
          </w:tcPr>
          <w:p>
            <w:pPr>
              <w:pStyle w:val="Compact"/>
              <w:spacing w:before="0" w:after="0" w:lineRule="exact" w:line="200"/>
              <w:jc w:val="left"/>
            </w:pP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(0.158)</w:t>
            </w:r>
          </w:p>
        </w:tc>
        <w:tc>
          <w:tcPr>
            <w:tcW w:w="1777" w:type="dxa"/>
          </w:tcPr>
          <w:p>
            <w:pPr>
              <w:pStyle w:val="Compact"/>
              <w:spacing w:before="0" w:after="0" w:lineRule="exact" w:line="200"/>
              <w:jc w:val="left"/>
            </w:pPr>
          </w:p>
        </w:tc>
        <w:tc>
          <w:tcPr>
            <w:tcW w:w="2713" w:type="dxa"/>
          </w:tcPr>
          <w:p>
            <w:pPr>
              <w:pStyle w:val="Compact"/>
              <w:spacing w:before="0" w:after="0" w:lineRule="exact" w:line="200"/>
              <w:jc w:val="left"/>
            </w:pPr>
          </w:p>
        </w:tc>
      </w:tr>
      <w:tr>
        <w:trPr>
          <w:cantSplit/>
        </w:trPr>
        <w:tc>
          <w:tcPr>
            <w:tcW w:w="3743" w:type="dxa"/>
          </w:tcPr>
          <w:p>
            <w:pPr>
              <w:pStyle w:val="Compact"/>
              <w:spacing w:before="0" w:after="0" w:lineRule="exact" w:line="200"/>
              <w:jc w:val="left"/>
            </w:pPr>
            <w:r>
              <w:rPr>
                <w:sz w:val="16"/>
              </w:rPr>
              <w:t xml:space="preserve">Constant</w:t>
            </w:r>
          </w:p>
        </w:tc>
        <w:tc>
          <w:tcPr>
            <w:tcW w:w="1965" w:type="dxa"/>
          </w:tcPr>
          <w:p>
            <w:pPr>
              <w:pStyle w:val="Compact"/>
              <w:spacing w:before="0" w:after="0" w:lineRule="exact" w:line="200"/>
              <w:jc w:val="left"/>
            </w:pPr>
            <w:r>
              <w:rPr>
                <w:sz w:val="16"/>
              </w:rPr>
              <w:t xml:space="preserve">0.059∗∗∗</w:t>
            </w:r>
          </w:p>
        </w:tc>
        <w:tc>
          <w:tcPr>
            <w:tcW w:w="1777" w:type="dxa"/>
          </w:tcPr>
          <w:p>
            <w:pPr>
              <w:pStyle w:val="Compact"/>
              <w:spacing w:before="0" w:after="0" w:lineRule="exact" w:line="200"/>
              <w:jc w:val="left"/>
            </w:pPr>
            <w:r>
              <w:rPr>
                <w:sz w:val="16"/>
              </w:rPr>
              <w:t xml:space="preserve">0.059∗∗∗</w:t>
            </w:r>
          </w:p>
        </w:tc>
        <w:tc>
          <w:tcPr>
            <w:tcW w:w="2713" w:type="dxa"/>
          </w:tcPr>
          <w:p>
            <w:pPr>
              <w:pStyle w:val="Compact"/>
              <w:spacing w:before="0" w:after="0" w:lineRule="exact" w:line="200"/>
              <w:jc w:val="left"/>
            </w:pPr>
            <w:r>
              <w:rPr>
                <w:sz w:val="16"/>
              </w:rPr>
              <w:t xml:space="preserve">0.439∗∗∗</w:t>
            </w:r>
          </w:p>
        </w:tc>
      </w:tr>
      <w:tr>
        <w:trPr>
          <w:cantSplit/>
        </w:trPr>
        <w:tc>
          <w:tcPr>
            <w:tcW w:w="3743" w:type="dxa"/>
          </w:tcPr>
          <w:p>
            <w:pPr>
              <w:pStyle w:val="Compact"/>
              <w:spacing w:before="0" w:after="0" w:lineRule="exact" w:line="200"/>
              <w:jc w:val="left"/>
            </w:pPr>
          </w:p>
        </w:tc>
        <w:tc>
          <w:tcPr>
            <w:tcW w:w="1965" w:type="dxa"/>
          </w:tcPr>
          <w:p>
            <w:pPr>
              <w:pStyle w:val="Compact"/>
              <w:spacing w:before="0" w:after="0" w:lineRule="exact" w:line="200"/>
              <w:jc w:val="left"/>
            </w:pPr>
            <w:r>
              <w:rPr>
                <w:sz w:val="16"/>
              </w:rPr>
              <w:t xml:space="preserve">(0.019)</w:t>
            </w:r>
          </w:p>
        </w:tc>
        <w:tc>
          <w:tcPr>
            <w:tcW w:w="1777" w:type="dxa"/>
          </w:tcPr>
          <w:p>
            <w:pPr>
              <w:pStyle w:val="Compact"/>
              <w:spacing w:before="0" w:after="0" w:lineRule="exact" w:line="200"/>
              <w:jc w:val="left"/>
            </w:pPr>
            <w:r>
              <w:rPr>
                <w:sz w:val="16"/>
              </w:rPr>
              <w:t xml:space="preserve">(0.019)</w:t>
            </w:r>
          </w:p>
        </w:tc>
        <w:tc>
          <w:tcPr>
            <w:tcW w:w="2713" w:type="dxa"/>
          </w:tcPr>
          <w:p>
            <w:pPr>
              <w:pStyle w:val="Compact"/>
              <w:spacing w:before="0" w:after="0" w:lineRule="exact" w:line="200"/>
              <w:jc w:val="left"/>
            </w:pPr>
            <w:r>
              <w:rPr>
                <w:sz w:val="16"/>
              </w:rPr>
              <w:t xml:space="preserve">(0.065)</w:t>
            </w:r>
          </w:p>
        </w:tc>
      </w:tr>
      <w:tr>
        <w:trPr>
          <w:cantSplit/>
        </w:trPr>
        <w:tc>
          <w:tcPr>
            <w:tcW w:w="3743" w:type="dxa"/>
          </w:tcPr>
          <w:p>
            <w:pPr>
              <w:pStyle w:val="Compact"/>
              <w:spacing w:before="0" w:after="0" w:lineRule="exact" w:line="200"/>
              <w:jc w:val="left"/>
            </w:pPr>
            <w:r>
              <w:rPr>
                <w:sz w:val="16"/>
              </w:rPr>
              <w:t xml:space="preserve">Observations</w:t>
            </w:r>
          </w:p>
        </w:tc>
        <w:tc>
          <w:tcPr>
            <w:tcW w:w="1965" w:type="dxa"/>
          </w:tcPr>
          <w:p>
            <w:pPr>
              <w:pStyle w:val="Compact"/>
              <w:spacing w:before="0" w:after="0" w:lineRule="exact" w:line="200"/>
              <w:jc w:val="left"/>
            </w:pPr>
            <w:r>
              <w:rPr>
                <w:sz w:val="16"/>
              </w:rPr>
              <w:t xml:space="preserve">181</w:t>
            </w:r>
          </w:p>
        </w:tc>
        <w:tc>
          <w:tcPr>
            <w:tcW w:w="1777" w:type="dxa"/>
          </w:tcPr>
          <w:p>
            <w:pPr>
              <w:pStyle w:val="Compact"/>
              <w:spacing w:before="0" w:after="0" w:lineRule="exact" w:line="200"/>
              <w:jc w:val="left"/>
            </w:pPr>
            <w:r>
              <w:rPr>
                <w:sz w:val="16"/>
              </w:rPr>
              <w:t xml:space="preserve">166</w:t>
            </w:r>
          </w:p>
        </w:tc>
        <w:tc>
          <w:tcPr>
            <w:tcW w:w="2713" w:type="dxa"/>
          </w:tcPr>
          <w:p>
            <w:pPr>
              <w:pStyle w:val="Compact"/>
              <w:spacing w:before="0" w:after="0" w:lineRule="exact" w:line="200"/>
              <w:jc w:val="left"/>
            </w:pPr>
            <w:r>
              <w:rPr>
                <w:sz w:val="16"/>
              </w:rPr>
              <w:t xml:space="preserve">15</w:t>
            </w:r>
          </w:p>
        </w:tc>
      </w:tr>
      <w:tr>
        <w:trPr>
          <w:cantSplit/>
        </w:trPr>
        <w:tc>
          <w:tcPr>
            <w:tcW w:w="3743" w:type="dxa"/>
          </w:tcPr>
          <w:p>
            <w:pPr>
              <w:pStyle w:val="Compact"/>
              <w:spacing w:before="0" w:after="0" w:lineRule="exact" w:line="200"/>
              <w:jc w:val="left"/>
            </w:pPr>
            <w:r>
              <w:rPr>
                <w:sz w:val="16"/>
              </w:rPr>
              <w:t xml:space="preserve">Platforms (clusters)</w:t>
            </w:r>
          </w:p>
        </w:tc>
        <w:tc>
          <w:tcPr>
            <w:tcW w:w="1965" w:type="dxa"/>
          </w:tcPr>
          <w:p>
            <w:pPr>
              <w:pStyle w:val="Compact"/>
              <w:spacing w:before="0" w:after="0" w:lineRule="exact" w:line="200"/>
              <w:jc w:val="left"/>
            </w:pPr>
            <w:r>
              <w:rPr>
                <w:sz w:val="16"/>
              </w:rPr>
              <w:t xml:space="preserve">31</w:t>
            </w:r>
          </w:p>
        </w:tc>
        <w:tc>
          <w:tcPr>
            <w:tcW w:w="1777" w:type="dxa"/>
          </w:tcPr>
          <w:p>
            <w:pPr>
              <w:pStyle w:val="Compact"/>
              <w:spacing w:before="0" w:after="0" w:lineRule="exact" w:line="200"/>
              <w:jc w:val="left"/>
            </w:pPr>
            <w:r>
              <w:rPr>
                <w:sz w:val="16"/>
              </w:rPr>
              <w:t xml:space="preserve">26</w:t>
            </w:r>
          </w:p>
        </w:tc>
        <w:tc>
          <w:tcPr>
            <w:tcW w:w="2713" w:type="dxa"/>
          </w:tcPr>
          <w:p>
            <w:pPr>
              <w:pStyle w:val="Compact"/>
              <w:spacing w:before="0" w:after="0" w:lineRule="exact" w:line="200"/>
              <w:jc w:val="left"/>
            </w:pPr>
            <w:r>
              <w:rPr>
                <w:sz w:val="16"/>
              </w:rPr>
              <w:t xml:space="preserve">5</w:t>
            </w:r>
          </w:p>
        </w:tc>
      </w:tr>
      <w:tr>
        <w:trPr>
          <w:cantSplit/>
        </w:trPr>
        <w:tc>
          <w:tcPr>
            <w:tcW w:w="3743" w:type="dxa"/>
          </w:tcPr>
          <w:p>
            <w:pPr>
              <w:pStyle w:val="Compact"/>
              <w:spacing w:before="0" w:after="0" w:lineRule="exact" w:line="200"/>
              <w:jc w:val="left"/>
            </w:pPr>
            <w:r>
              <w:rPr>
                <w:iCs/>
                <w:i/>
                <w:sz w:val="16"/>
              </w:rPr>
              <w:t xml:space="preserve">R</w:t>
            </w:r>
            <w:r>
              <w:rPr>
                <w:sz w:val="16"/>
                <w:vertAlign w:val="superscript"/>
              </w:rPr>
              <w:t xml:space="preserve">2</w:t>
            </w:r>
          </w:p>
        </w:tc>
        <w:tc>
          <w:tcPr>
            <w:tcW w:w="1965" w:type="dxa"/>
          </w:tcPr>
          <w:p>
            <w:pPr>
              <w:pStyle w:val="Compact"/>
              <w:spacing w:before="0" w:after="0" w:lineRule="exact" w:line="200"/>
              <w:jc w:val="left"/>
            </w:pPr>
            <w:r>
              <w:rPr>
                <w:sz w:val="16"/>
              </w:rPr>
              <w:t xml:space="preserve">0.750</w:t>
            </w:r>
          </w:p>
        </w:tc>
        <w:tc>
          <w:tcPr>
            <w:tcW w:w="1777" w:type="dxa"/>
          </w:tcPr>
          <w:p>
            <w:pPr>
              <w:pStyle w:val="Compact"/>
              <w:spacing w:before="0" w:after="0" w:lineRule="exact" w:line="200"/>
              <w:jc w:val="left"/>
            </w:pPr>
            <w:r>
              <w:rPr>
                <w:sz w:val="16"/>
              </w:rPr>
              <w:t xml:space="preserve">0.802</w:t>
            </w:r>
          </w:p>
        </w:tc>
        <w:tc>
          <w:tcPr>
            <w:tcW w:w="2713" w:type="dxa"/>
          </w:tcPr>
          <w:p>
            <w:pPr>
              <w:pStyle w:val="Compact"/>
              <w:spacing w:before="0" w:after="0" w:lineRule="exact" w:line="200"/>
              <w:jc w:val="left"/>
            </w:pPr>
            <w:r>
              <w:rPr>
                <w:sz w:val="16"/>
              </w:rPr>
              <w:t xml:space="preserve">0.094</w:t>
            </w:r>
          </w:p>
        </w:tc>
      </w:tr>
      <w:tr>
        <w:trPr>
          <w:cantSplit/>
        </w:trPr>
        <w:tc>
          <w:tcPr>
            <w:tcW w:w="3743" w:type="dxa"/>
          </w:tcPr>
          <w:p>
            <w:pPr>
              <w:pStyle w:val="Compact"/>
              <w:spacing w:before="0" w:after="0" w:lineRule="exact" w:line="200"/>
              <w:jc w:val="left"/>
            </w:pPr>
            <w:r>
              <w:rPr>
                <w:iCs/>
                <w:i/>
                <w:sz w:val="16"/>
              </w:rPr>
              <w:t xml:space="preserve">p</w:t>
            </w:r>
            <w:r>
              <w:rPr>
                <w:sz w:val="16"/>
              </w:rPr>
              <w:t xml:space="preserve">-value, slope on g(V) equal to 1</w:t>
            </w:r>
          </w:p>
        </w:tc>
        <w:tc>
          <w:tcPr>
            <w:tcW w:w="1965" w:type="dxa"/>
          </w:tcPr>
          <w:p>
            <w:pPr>
              <w:pStyle w:val="Compact"/>
              <w:spacing w:before="0" w:after="0" w:lineRule="exact" w:line="200"/>
              <w:jc w:val="left"/>
            </w:pPr>
            <w:r>
              <w:rPr>
                <w:sz w:val="16"/>
              </w:rPr>
              <w:t xml:space="preserve">0.845</w:t>
            </w:r>
          </w:p>
        </w:tc>
        <w:tc>
          <w:tcPr>
            <w:tcW w:w="1777" w:type="dxa"/>
          </w:tcPr>
          <w:p>
            <w:pPr>
              <w:pStyle w:val="Compact"/>
              <w:spacing w:before="0" w:after="0" w:lineRule="exact" w:line="200"/>
              <w:jc w:val="left"/>
            </w:pPr>
            <w:r>
              <w:rPr>
                <w:sz w:val="16"/>
              </w:rPr>
              <w:t xml:space="preserve">0.845</w:t>
            </w:r>
          </w:p>
        </w:tc>
        <w:tc>
          <w:tcPr>
            <w:tcW w:w="2713" w:type="dxa"/>
          </w:tcPr>
          <w:p>
            <w:pPr>
              <w:pStyle w:val="Compact"/>
              <w:spacing w:before="0" w:after="0" w:lineRule="exact" w:line="200"/>
              <w:jc w:val="left"/>
            </w:pPr>
            <w:r>
              <w:rPr>
                <w:sz w:val="16"/>
              </w:rPr>
              <w:t xml:space="preserve">0.019</w:t>
            </w:r>
          </w:p>
        </w:tc>
      </w:tr>
      <w:tr>
        <w:trPr>
          <w:cantSplit/>
        </w:trPr>
        <w:tc>
          <w:tcPr>
            <w:tcW w:w="3743" w:type="dxa"/>
          </w:tcPr>
          <w:p>
            <w:pPr>
              <w:pStyle w:val="Compact"/>
              <w:spacing w:before="0" w:after="0" w:lineRule="exact" w:line="200"/>
              <w:jc w:val="left"/>
            </w:pPr>
            <w:r>
              <w:rPr>
                <w:sz w:val="16"/>
              </w:rPr>
              <w:t xml:space="preserve">Pearson correlation, g(R) and g(V)</w:t>
            </w:r>
          </w:p>
        </w:tc>
        <w:tc>
          <w:tcPr>
            <w:tcW w:w="1965" w:type="dxa"/>
          </w:tcPr>
          <w:p>
            <w:pPr>
              <w:pStyle w:val="Compact"/>
              <w:spacing w:before="0" w:after="0" w:lineRule="exact" w:line="200"/>
              <w:jc w:val="left"/>
            </w:pPr>
            <w:r>
              <w:rPr>
                <w:sz w:val="16"/>
              </w:rPr>
              <w:t xml:space="preserve">0.843</w:t>
            </w:r>
          </w:p>
        </w:tc>
        <w:tc>
          <w:tcPr>
            <w:tcW w:w="1777" w:type="dxa"/>
          </w:tcPr>
          <w:p>
            <w:pPr>
              <w:pStyle w:val="Compact"/>
              <w:spacing w:before="0" w:after="0" w:lineRule="exact" w:line="200"/>
              <w:jc w:val="left"/>
            </w:pPr>
            <w:r>
              <w:rPr>
                <w:sz w:val="16"/>
              </w:rPr>
              <w:t xml:space="preserve">0.896</w:t>
            </w:r>
          </w:p>
        </w:tc>
        <w:tc>
          <w:tcPr>
            <w:tcW w:w="2713" w:type="dxa"/>
          </w:tcPr>
          <w:p>
            <w:pPr>
              <w:pStyle w:val="Compact"/>
              <w:spacing w:before="0" w:after="0" w:lineRule="exact" w:line="200"/>
              <w:jc w:val="left"/>
            </w:pPr>
            <w:r>
              <w:rPr>
                <w:sz w:val="16"/>
              </w:rPr>
              <w:t xml:space="preserve">0.307</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The slope on g(V) is 1 if revenue grows in proportion to transaction value. Source: company filings; author’s calculations. Exploratory.</w:t>
      </w:r>
    </w:p>
    <w:p>
      <w:pPr>
        <w:pStyle w:val="BodyText"/>
      </w:pPr>
      <w:r>
        <w:t xml:space="preserve">The earlier test of the size of take-rate moves points the same way. At the typical Indonesian and regional platform the take rate moved by 22 percent a year, up or down. At the typical foreign platform it moved by 6 percent, so the moves were about 3.6 times as large (Mann–Whitney p = 0.003; shuffling the group labels, p = 0.01). Measured in logs, as in an earlier version of this test, the medians are 0.20 and 0.06 (p = 0.004), and exact versions that list every possible split of the 32 platforms agree (p = 0.004 and 0.021). No single platform carries that result: dropping any one, or treating Tokopedia and GoTo as one company, keeps p at 0.016 or below. Dropping the two largest movers, Blibli and Tokopedia, weakens it to p = 0.058 (Appendix C).</w:t>
      </w:r>
    </w:p>
    <w:p>
      <w:pPr>
        <w:pStyle w:val="BodyText"/>
      </w:pPr>
      <w:r>
        <w:rPr>
          <w:bCs/>
          <w:b/>
        </w:rPr>
        <w:t xml:space="preserve">The test of the size of moves was set up after a first, narrower test, so it is exploratory.</w:t>
      </w:r>
      <w:r>
        <w:t xml:space="preserve"> </w:t>
      </w:r>
      <w:r>
        <w:t xml:space="preserve">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of the size of moves ask about their size,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w:t>
      </w:r>
      <w:r>
        <w:t xml:space="preserve"> </w:t>
      </w:r>
      <w:r>
        <w:rPr>
          <w:bCs/>
          <w:b/>
        </w:rPr>
        <w:t xml:space="preserve">So the rejection of H1 describes that period.</w:t>
      </w:r>
    </w:p>
    <w:p>
      <w:pPr>
        <w:pStyle w:val="BodyText"/>
      </w:pPr>
      <w:r>
        <w:t xml:space="preserve">Age does not explain the result. The Indonesian and regional platforms made their largest moves one or two years after listing on the stock market, but foreign platforms did not move their take rates more in their first three years after listing than later (median 0.07 against 0.08 in logs, p = 0.24, an exploratory check), and Table 5.4 shows that years since listing explains neither the wedge nor the ecosystem ratio.</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 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in its Panels A, B and C. The test shows that take rates moved, but not what the platforms changed to move them.</w:t>
      </w:r>
    </w:p>
    <w:p>
      <w:pPr>
        <w:pStyle w:val="BodyText"/>
        <w:keepNext/>
        <w:spacing w:before="114" w:after="0" w:line="240" w:lineRule="auto"/>
        <w:jc w:val="center"/>
      </w:pPr>
      <w:r>
        <w:drawing>
          <wp:inline>
            <wp:extent cx="4970429" cy="1800000"/>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4970429" cy="1800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5.1. The thin take rate.</w:t>
      </w:r>
      <w:r>
        <w:rPr>
          <w:sz w:val="16"/>
        </w:rPr>
        <w:t xml:space="preserve"> </w:t>
      </w:r>
      <w:r>
        <w:rPr>
          <w:sz w:val="16"/>
        </w:rPr>
        <w:t xml:space="preserve">Each dot is one platform’s median over its years. Panel A: the share of each sale that the platform keeps, on a log scale. Panel B: the yearly change in that share, in percentage points. Panel C: the same change relative to the share itself, as a simple percentage change. Black bars mark group medians. The foreign group has 26 platforms here and 27 in the main test, because one platform has no pair of usable years for the change in points. Source: company filings; author’s calculations. Exploratory.</w:t>
      </w:r>
    </w:p>
    <w:bookmarkEnd w:id="56"/>
    <w:bookmarkStart w:id="60" w:name="X56de9ba7770ef3105b879e5bfcd70c78553d119"/>
    <w:p>
      <w:pPr>
        <w:pStyle w:val="Heading2"/>
      </w:pPr>
      <w:r>
        <w:t xml:space="preserve">5.3 What explains the wedge and the ecosystem ratio</w:t>
      </w:r>
    </w:p>
    <w:p>
      <w:pPr>
        <w:pStyle w:val="FirstParagraph"/>
      </w:pPr>
      <w:r>
        <w:rPr>
          <w:bCs/>
          <w:b/>
        </w:rPr>
        <w:t xml:space="preserve">Size explains the wedge, and pricing explains the ecosystem ratio.</w:t>
      </w:r>
      <w:r>
        <w:t xml:space="preserve"> </w:t>
      </w:r>
      <w:r>
        <w:t xml:space="preserve">Table 5.4 regresses each on the features of the platform and of its home market.</w:t>
      </w:r>
    </w:p>
    <w:p>
      <w:pPr>
        <w:pStyle w:val="BodyText"/>
        <w:keepNext/>
        <w:spacing w:before="140" w:after="56" w:lineRule="exact" w:line="246"/>
        <w:jc w:val="left"/>
      </w:pPr>
      <w:r>
        <w:rPr>
          <w:b/>
          <w:sz w:val="17"/>
        </w:rPr>
        <w:t>Table 5.4.</w:t>
      </w:r>
      <w:r>
        <w:rPr>
          <w:b w:val="0"/>
          <w:sz w:val="17"/>
        </w:rPr>
        <w:t xml:space="preserve"> What explains the wedge and the ecosystem ratio</w:t>
      </w:r>
    </w:p>
    <w:p>
      <w:pPr>
        <w:pStyle w:val="BodyText"/>
        <w:keepNext/>
        <w:spacing w:before="40" w:after="70" w:lineRule="exact" w:line="220"/>
        <w:jc w:val="left"/>
      </w:pPr>
      <w:r>
        <w:rPr>
          <w:color w:val="222222"/>
          <w:sz w:val="16"/>
        </w:rPr>
        <w:t xml:space="preserve">This table reports OLS estimates of equation (7). The dependent variable is the natural logarithm of the wedge in US dollars in columns (1) to (3) and the ecosystem ratio, capped at its 5th and 95th percentiles, in columns (4) to (6). IndonesiaRegion equals one for the Indonesian and regional platforms. Size is total assets in US dollars. The base type is marketplace. Columns (2), (3), (5) and (6) add the GDP growth, inflation, household spending growth and policy rate of the platform’s main market, and columns (3) and (6) add year dummies. Appendix A defines the variables. Standard errors (in parentheses) are clustered at the platform level. ∗∗∗, ∗∗ and ∗ correspond to statistical significance at the 1%, 5% and 10% levels. The last row gives the p-value of a wild cluster bootstrap with 2,999 replications for IndonesiaRegion.</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2326"/>
        <w:gridCol w:w="1252"/>
        <w:gridCol w:w="1252"/>
        <w:gridCol w:w="1252"/>
        <w:gridCol w:w="1371"/>
        <w:gridCol w:w="1371"/>
        <w:gridCol w:w="1371"/>
      </w:tblGrid>
      <w:tr>
        <w:trPr>
          <w:tblHeader w:val="true"/>
          <w:cantSplit/>
          <w:tblHeader/>
        </w:trPr>
        <w:tc>
          <w:tcPr>
            <w:tcW w:w="2326" w:type="dxa"/>
            <w:tcBorders>
              <w:bottom w:val="single" w:sz="4" w:space="0" w:color="111111"/>
            </w:tcBorders>
          </w:tcPr>
          <w:p>
            <w:pPr>
              <w:pStyle w:val="Compact"/>
              <w:spacing w:before="0" w:after="0" w:lineRule="exact" w:line="200"/>
              <w:jc w:val="left"/>
            </w:pPr>
            <w:r>
              <w:rPr>
                <w:iCs/>
                <w:b/>
                <w:i/>
                <w:sz w:val="16"/>
              </w:rPr>
              <w:t xml:space="preserve">Dependent variable</w:t>
            </w:r>
          </w:p>
        </w:tc>
        <w:tc>
          <w:tcPr>
            <w:tcW w:w="1252" w:type="dxa"/>
            <w:tcBorders>
              <w:bottom w:val="single" w:sz="4" w:space="0" w:color="111111"/>
            </w:tcBorders>
          </w:tcPr>
          <w:p>
            <w:pPr>
              <w:pStyle w:val="Compact"/>
              <w:spacing w:before="0" w:after="0" w:lineRule="exact" w:line="200"/>
              <w:jc w:val="left"/>
            </w:pPr>
            <w:r>
              <w:rPr>
                <w:b/>
                <w:sz w:val="16"/>
              </w:rPr>
              <w:t xml:space="preserve">ln(Wedge)</w:t>
            </w:r>
          </w:p>
        </w:tc>
        <w:tc>
          <w:tcPr>
            <w:tcW w:w="1252" w:type="dxa"/>
            <w:tcBorders>
              <w:bottom w:val="single" w:sz="4" w:space="0" w:color="111111"/>
            </w:tcBorders>
          </w:tcPr>
          <w:p>
            <w:pPr>
              <w:pStyle w:val="Compact"/>
              <w:spacing w:before="0" w:after="0" w:lineRule="exact" w:line="200"/>
              <w:jc w:val="left"/>
            </w:pPr>
            <w:r>
              <w:rPr>
                <w:b/>
                <w:sz w:val="16"/>
              </w:rPr>
              <w:t xml:space="preserve">ln(Wedge)</w:t>
            </w:r>
          </w:p>
        </w:tc>
        <w:tc>
          <w:tcPr>
            <w:tcW w:w="1252" w:type="dxa"/>
            <w:tcBorders>
              <w:bottom w:val="single" w:sz="4" w:space="0" w:color="111111"/>
            </w:tcBorders>
          </w:tcPr>
          <w:p>
            <w:pPr>
              <w:pStyle w:val="Compact"/>
              <w:spacing w:before="0" w:after="0" w:lineRule="exact" w:line="200"/>
              <w:jc w:val="left"/>
            </w:pPr>
            <w:r>
              <w:rPr>
                <w:b/>
                <w:sz w:val="16"/>
              </w:rPr>
              <w:t xml:space="preserve">ln(Wedge)</w:t>
            </w:r>
          </w:p>
        </w:tc>
        <w:tc>
          <w:tcPr>
            <w:tcW w:w="1371" w:type="dxa"/>
            <w:tcBorders>
              <w:bottom w:val="single" w:sz="4" w:space="0" w:color="111111"/>
            </w:tcBorders>
          </w:tcPr>
          <w:p>
            <w:pPr>
              <w:pStyle w:val="Compact"/>
              <w:spacing w:before="0" w:after="0" w:lineRule="exact" w:line="200"/>
              <w:jc w:val="left"/>
            </w:pPr>
            <w:r>
              <w:rPr>
                <w:b/>
                <w:sz w:val="16"/>
              </w:rPr>
              <w:t xml:space="preserve">Ecosystem ratio</w:t>
            </w:r>
          </w:p>
        </w:tc>
        <w:tc>
          <w:tcPr>
            <w:tcW w:w="1371" w:type="dxa"/>
            <w:tcBorders>
              <w:bottom w:val="single" w:sz="4" w:space="0" w:color="111111"/>
            </w:tcBorders>
          </w:tcPr>
          <w:p>
            <w:pPr>
              <w:pStyle w:val="Compact"/>
              <w:spacing w:before="0" w:after="0" w:lineRule="exact" w:line="200"/>
              <w:jc w:val="left"/>
            </w:pPr>
            <w:r>
              <w:rPr>
                <w:b/>
                <w:sz w:val="16"/>
              </w:rPr>
              <w:t xml:space="preserve">Ecosystem ratio</w:t>
            </w:r>
          </w:p>
        </w:tc>
        <w:tc>
          <w:tcPr>
            <w:tcW w:w="1371" w:type="dxa"/>
            <w:tcBorders>
              <w:bottom w:val="single" w:sz="4" w:space="0" w:color="111111"/>
            </w:tcBorders>
          </w:tcPr>
          <w:p>
            <w:pPr>
              <w:pStyle w:val="Compact"/>
              <w:spacing w:before="0" w:after="0" w:lineRule="exact" w:line="200"/>
              <w:jc w:val="left"/>
            </w:pPr>
            <w:r>
              <w:rPr>
                <w:b/>
                <w:sz w:val="16"/>
              </w:rPr>
              <w:t xml:space="preserve">Ecosystem ratio</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(1)</w:t>
            </w:r>
          </w:p>
        </w:tc>
        <w:tc>
          <w:tcPr>
            <w:tcW w:w="1252" w:type="dxa"/>
          </w:tcPr>
          <w:p>
            <w:pPr>
              <w:pStyle w:val="Compact"/>
              <w:spacing w:before="0" w:after="0" w:lineRule="exact" w:line="200"/>
              <w:jc w:val="left"/>
            </w:pPr>
            <w:r>
              <w:rPr>
                <w:sz w:val="16"/>
              </w:rPr>
              <w:t xml:space="preserve">(2)</w:t>
            </w:r>
          </w:p>
        </w:tc>
        <w:tc>
          <w:tcPr>
            <w:tcW w:w="1252" w:type="dxa"/>
          </w:tcPr>
          <w:p>
            <w:pPr>
              <w:pStyle w:val="Compact"/>
              <w:spacing w:before="0" w:after="0" w:lineRule="exact" w:line="200"/>
              <w:jc w:val="left"/>
            </w:pPr>
            <w:r>
              <w:rPr>
                <w:sz w:val="16"/>
              </w:rPr>
              <w:t xml:space="preserve">(3)</w:t>
            </w:r>
          </w:p>
        </w:tc>
        <w:tc>
          <w:tcPr>
            <w:tcW w:w="1371" w:type="dxa"/>
          </w:tcPr>
          <w:p>
            <w:pPr>
              <w:pStyle w:val="Compact"/>
              <w:spacing w:before="0" w:after="0" w:lineRule="exact" w:line="200"/>
              <w:jc w:val="left"/>
            </w:pPr>
            <w:r>
              <w:rPr>
                <w:sz w:val="16"/>
              </w:rPr>
              <w:t xml:space="preserve">(4)</w:t>
            </w:r>
          </w:p>
        </w:tc>
        <w:tc>
          <w:tcPr>
            <w:tcW w:w="1371" w:type="dxa"/>
          </w:tcPr>
          <w:p>
            <w:pPr>
              <w:pStyle w:val="Compact"/>
              <w:spacing w:before="0" w:after="0" w:lineRule="exact" w:line="200"/>
              <w:jc w:val="left"/>
            </w:pPr>
            <w:r>
              <w:rPr>
                <w:sz w:val="16"/>
              </w:rPr>
              <w:t xml:space="preserve">(5)</w:t>
            </w:r>
          </w:p>
        </w:tc>
        <w:tc>
          <w:tcPr>
            <w:tcW w:w="1371" w:type="dxa"/>
          </w:tcPr>
          <w:p>
            <w:pPr>
              <w:pStyle w:val="Compact"/>
              <w:spacing w:before="0" w:after="0" w:lineRule="exact" w:line="200"/>
              <w:jc w:val="left"/>
            </w:pPr>
            <w:r>
              <w:rPr>
                <w:sz w:val="16"/>
              </w:rPr>
              <w:t xml:space="preserve">(6)</w:t>
            </w:r>
          </w:p>
        </w:tc>
      </w:tr>
      <w:tr>
        <w:trPr>
          <w:cantSplit/>
        </w:trPr>
        <w:tc>
          <w:tcPr>
            <w:tcW w:w="2326" w:type="dxa"/>
          </w:tcPr>
          <w:p>
            <w:pPr>
              <w:pStyle w:val="Compact"/>
              <w:spacing w:before="0" w:after="0" w:lineRule="exact" w:line="200"/>
              <w:jc w:val="left"/>
            </w:pPr>
            <w:r>
              <w:rPr>
                <w:sz w:val="16"/>
              </w:rPr>
              <w:t xml:space="preserve">IndonesiaRegion</w:t>
            </w:r>
          </w:p>
        </w:tc>
        <w:tc>
          <w:tcPr>
            <w:tcW w:w="1252" w:type="dxa"/>
          </w:tcPr>
          <w:p>
            <w:pPr>
              <w:pStyle w:val="Compact"/>
              <w:spacing w:before="0" w:after="0" w:lineRule="exact" w:line="200"/>
              <w:jc w:val="left"/>
            </w:pPr>
            <w:r>
              <w:rPr>
                <w:sz w:val="16"/>
              </w:rPr>
              <w:t xml:space="preserve">-0.075</w:t>
            </w:r>
          </w:p>
        </w:tc>
        <w:tc>
          <w:tcPr>
            <w:tcW w:w="1252" w:type="dxa"/>
          </w:tcPr>
          <w:p>
            <w:pPr>
              <w:pStyle w:val="Compact"/>
              <w:spacing w:before="0" w:after="0" w:lineRule="exact" w:line="200"/>
              <w:jc w:val="left"/>
            </w:pPr>
            <w:r>
              <w:rPr>
                <w:sz w:val="16"/>
              </w:rPr>
              <w:t xml:space="preserve">-0.302</w:t>
            </w:r>
          </w:p>
        </w:tc>
        <w:tc>
          <w:tcPr>
            <w:tcW w:w="1252" w:type="dxa"/>
          </w:tcPr>
          <w:p>
            <w:pPr>
              <w:pStyle w:val="Compact"/>
              <w:spacing w:before="0" w:after="0" w:lineRule="exact" w:line="200"/>
              <w:jc w:val="left"/>
            </w:pPr>
            <w:r>
              <w:rPr>
                <w:sz w:val="16"/>
              </w:rPr>
              <w:t xml:space="preserve">0.080</w:t>
            </w:r>
          </w:p>
        </w:tc>
        <w:tc>
          <w:tcPr>
            <w:tcW w:w="1371" w:type="dxa"/>
          </w:tcPr>
          <w:p>
            <w:pPr>
              <w:pStyle w:val="Compact"/>
              <w:spacing w:before="0" w:after="0" w:lineRule="exact" w:line="200"/>
              <w:jc w:val="left"/>
            </w:pPr>
            <w:r>
              <w:rPr>
                <w:sz w:val="16"/>
              </w:rPr>
              <w:t xml:space="preserve">15.214∗∗∗</w:t>
            </w:r>
          </w:p>
        </w:tc>
        <w:tc>
          <w:tcPr>
            <w:tcW w:w="1371" w:type="dxa"/>
          </w:tcPr>
          <w:p>
            <w:pPr>
              <w:pStyle w:val="Compact"/>
              <w:spacing w:before="0" w:after="0" w:lineRule="exact" w:line="200"/>
              <w:jc w:val="left"/>
            </w:pPr>
            <w:r>
              <w:rPr>
                <w:sz w:val="16"/>
              </w:rPr>
              <w:t xml:space="preserve">12.939∗∗∗</w:t>
            </w:r>
          </w:p>
        </w:tc>
        <w:tc>
          <w:tcPr>
            <w:tcW w:w="1371" w:type="dxa"/>
          </w:tcPr>
          <w:p>
            <w:pPr>
              <w:pStyle w:val="Compact"/>
              <w:spacing w:before="0" w:after="0" w:lineRule="exact" w:line="200"/>
              <w:jc w:val="left"/>
            </w:pPr>
            <w:r>
              <w:rPr>
                <w:sz w:val="16"/>
              </w:rPr>
              <w:t xml:space="preserve">17.092∗∗∗</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(0.361)</w:t>
            </w:r>
          </w:p>
        </w:tc>
        <w:tc>
          <w:tcPr>
            <w:tcW w:w="1252" w:type="dxa"/>
          </w:tcPr>
          <w:p>
            <w:pPr>
              <w:pStyle w:val="Compact"/>
              <w:spacing w:before="0" w:after="0" w:lineRule="exact" w:line="200"/>
              <w:jc w:val="left"/>
            </w:pPr>
            <w:r>
              <w:rPr>
                <w:sz w:val="16"/>
              </w:rPr>
              <w:t xml:space="preserve">(0.349)</w:t>
            </w:r>
          </w:p>
        </w:tc>
        <w:tc>
          <w:tcPr>
            <w:tcW w:w="1252" w:type="dxa"/>
          </w:tcPr>
          <w:p>
            <w:pPr>
              <w:pStyle w:val="Compact"/>
              <w:spacing w:before="0" w:after="0" w:lineRule="exact" w:line="200"/>
              <w:jc w:val="left"/>
            </w:pPr>
            <w:r>
              <w:rPr>
                <w:sz w:val="16"/>
              </w:rPr>
              <w:t xml:space="preserve">(0.396)</w:t>
            </w:r>
          </w:p>
        </w:tc>
        <w:tc>
          <w:tcPr>
            <w:tcW w:w="1371" w:type="dxa"/>
          </w:tcPr>
          <w:p>
            <w:pPr>
              <w:pStyle w:val="Compact"/>
              <w:spacing w:before="0" w:after="0" w:lineRule="exact" w:line="200"/>
              <w:jc w:val="left"/>
            </w:pPr>
            <w:r>
              <w:rPr>
                <w:sz w:val="16"/>
              </w:rPr>
              <w:t xml:space="preserve">(3.857)</w:t>
            </w:r>
          </w:p>
        </w:tc>
        <w:tc>
          <w:tcPr>
            <w:tcW w:w="1371" w:type="dxa"/>
          </w:tcPr>
          <w:p>
            <w:pPr>
              <w:pStyle w:val="Compact"/>
              <w:spacing w:before="0" w:after="0" w:lineRule="exact" w:line="200"/>
              <w:jc w:val="left"/>
            </w:pPr>
            <w:r>
              <w:rPr>
                <w:sz w:val="16"/>
              </w:rPr>
              <w:t xml:space="preserve">(3.290)</w:t>
            </w:r>
          </w:p>
        </w:tc>
        <w:tc>
          <w:tcPr>
            <w:tcW w:w="1371" w:type="dxa"/>
          </w:tcPr>
          <w:p>
            <w:pPr>
              <w:pStyle w:val="Compact"/>
              <w:spacing w:before="0" w:after="0" w:lineRule="exact" w:line="200"/>
              <w:jc w:val="left"/>
            </w:pPr>
            <w:r>
              <w:rPr>
                <w:sz w:val="16"/>
              </w:rPr>
              <w:t xml:space="preserve">(3.168)</w:t>
            </w:r>
          </w:p>
        </w:tc>
      </w:tr>
      <w:tr>
        <w:trPr>
          <w:cantSplit/>
        </w:trPr>
        <w:tc>
          <w:tcPr>
            <w:tcW w:w="2326" w:type="dxa"/>
          </w:tcPr>
          <w:p>
            <w:pPr>
              <w:pStyle w:val="Compact"/>
              <w:spacing w:before="0" w:after="0" w:lineRule="exact" w:line="200"/>
              <w:jc w:val="left"/>
            </w:pPr>
            <w:r>
              <w:rPr>
                <w:sz w:val="16"/>
              </w:rPr>
              <w:t xml:space="preserve">ln(1+YearsListed)</w:t>
            </w:r>
          </w:p>
        </w:tc>
        <w:tc>
          <w:tcPr>
            <w:tcW w:w="1252" w:type="dxa"/>
          </w:tcPr>
          <w:p>
            <w:pPr>
              <w:pStyle w:val="Compact"/>
              <w:spacing w:before="0" w:after="0" w:lineRule="exact" w:line="200"/>
              <w:jc w:val="left"/>
            </w:pPr>
            <w:r>
              <w:rPr>
                <w:sz w:val="16"/>
              </w:rPr>
              <w:t xml:space="preserve">-0.066</w:t>
            </w:r>
          </w:p>
        </w:tc>
        <w:tc>
          <w:tcPr>
            <w:tcW w:w="1252" w:type="dxa"/>
          </w:tcPr>
          <w:p>
            <w:pPr>
              <w:pStyle w:val="Compact"/>
              <w:spacing w:before="0" w:after="0" w:lineRule="exact" w:line="200"/>
              <w:jc w:val="left"/>
            </w:pPr>
            <w:r>
              <w:rPr>
                <w:sz w:val="16"/>
              </w:rPr>
              <w:t xml:space="preserve">-0.068</w:t>
            </w:r>
          </w:p>
        </w:tc>
        <w:tc>
          <w:tcPr>
            <w:tcW w:w="1252" w:type="dxa"/>
          </w:tcPr>
          <w:p>
            <w:pPr>
              <w:pStyle w:val="Compact"/>
              <w:spacing w:before="0" w:after="0" w:lineRule="exact" w:line="200"/>
              <w:jc w:val="left"/>
            </w:pPr>
            <w:r>
              <w:rPr>
                <w:sz w:val="16"/>
              </w:rPr>
              <w:t xml:space="preserve">0.093</w:t>
            </w:r>
          </w:p>
        </w:tc>
        <w:tc>
          <w:tcPr>
            <w:tcW w:w="1371" w:type="dxa"/>
          </w:tcPr>
          <w:p>
            <w:pPr>
              <w:pStyle w:val="Compact"/>
              <w:spacing w:before="0" w:after="0" w:lineRule="exact" w:line="200"/>
              <w:jc w:val="left"/>
            </w:pPr>
            <w:r>
              <w:rPr>
                <w:sz w:val="16"/>
              </w:rPr>
              <w:t xml:space="preserve">-2.722</w:t>
            </w:r>
          </w:p>
        </w:tc>
        <w:tc>
          <w:tcPr>
            <w:tcW w:w="1371" w:type="dxa"/>
          </w:tcPr>
          <w:p>
            <w:pPr>
              <w:pStyle w:val="Compact"/>
              <w:spacing w:before="0" w:after="0" w:lineRule="exact" w:line="200"/>
              <w:jc w:val="left"/>
            </w:pPr>
            <w:r>
              <w:rPr>
                <w:sz w:val="16"/>
              </w:rPr>
              <w:t xml:space="preserve">-2.719∗</w:t>
            </w:r>
          </w:p>
        </w:tc>
        <w:tc>
          <w:tcPr>
            <w:tcW w:w="1371" w:type="dxa"/>
          </w:tcPr>
          <w:p>
            <w:pPr>
              <w:pStyle w:val="Compact"/>
              <w:spacing w:before="0" w:after="0" w:lineRule="exact" w:line="200"/>
              <w:jc w:val="left"/>
            </w:pPr>
            <w:r>
              <w:rPr>
                <w:sz w:val="16"/>
              </w:rPr>
              <w:t xml:space="preserve">-1.274</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(0.156)</w:t>
            </w:r>
          </w:p>
        </w:tc>
        <w:tc>
          <w:tcPr>
            <w:tcW w:w="1252" w:type="dxa"/>
          </w:tcPr>
          <w:p>
            <w:pPr>
              <w:pStyle w:val="Compact"/>
              <w:spacing w:before="0" w:after="0" w:lineRule="exact" w:line="200"/>
              <w:jc w:val="left"/>
            </w:pPr>
            <w:r>
              <w:rPr>
                <w:sz w:val="16"/>
              </w:rPr>
              <w:t xml:space="preserve">(0.141)</w:t>
            </w:r>
          </w:p>
        </w:tc>
        <w:tc>
          <w:tcPr>
            <w:tcW w:w="1252" w:type="dxa"/>
          </w:tcPr>
          <w:p>
            <w:pPr>
              <w:pStyle w:val="Compact"/>
              <w:spacing w:before="0" w:after="0" w:lineRule="exact" w:line="200"/>
              <w:jc w:val="left"/>
            </w:pPr>
            <w:r>
              <w:rPr>
                <w:sz w:val="16"/>
              </w:rPr>
              <w:t xml:space="preserve">(0.169)</w:t>
            </w:r>
          </w:p>
        </w:tc>
        <w:tc>
          <w:tcPr>
            <w:tcW w:w="1371" w:type="dxa"/>
          </w:tcPr>
          <w:p>
            <w:pPr>
              <w:pStyle w:val="Compact"/>
              <w:spacing w:before="0" w:after="0" w:lineRule="exact" w:line="200"/>
              <w:jc w:val="left"/>
            </w:pPr>
            <w:r>
              <w:rPr>
                <w:sz w:val="16"/>
              </w:rPr>
              <w:t xml:space="preserve">(1.623)</w:t>
            </w:r>
          </w:p>
        </w:tc>
        <w:tc>
          <w:tcPr>
            <w:tcW w:w="1371" w:type="dxa"/>
          </w:tcPr>
          <w:p>
            <w:pPr>
              <w:pStyle w:val="Compact"/>
              <w:spacing w:before="0" w:after="0" w:lineRule="exact" w:line="200"/>
              <w:jc w:val="left"/>
            </w:pPr>
            <w:r>
              <w:rPr>
                <w:sz w:val="16"/>
              </w:rPr>
              <w:t xml:space="preserve">(1.531)</w:t>
            </w:r>
          </w:p>
        </w:tc>
        <w:tc>
          <w:tcPr>
            <w:tcW w:w="1371" w:type="dxa"/>
          </w:tcPr>
          <w:p>
            <w:pPr>
              <w:pStyle w:val="Compact"/>
              <w:spacing w:before="0" w:after="0" w:lineRule="exact" w:line="200"/>
              <w:jc w:val="left"/>
            </w:pPr>
            <w:r>
              <w:rPr>
                <w:sz w:val="16"/>
              </w:rPr>
              <w:t xml:space="preserve">(1.516)</w:t>
            </w:r>
          </w:p>
        </w:tc>
      </w:tr>
      <w:tr>
        <w:trPr>
          <w:cantSplit/>
        </w:trPr>
        <w:tc>
          <w:tcPr>
            <w:tcW w:w="2326" w:type="dxa"/>
          </w:tcPr>
          <w:p>
            <w:pPr>
              <w:pStyle w:val="Compact"/>
              <w:spacing w:before="0" w:after="0" w:lineRule="exact" w:line="200"/>
              <w:jc w:val="left"/>
            </w:pPr>
            <w:r>
              <w:rPr>
                <w:sz w:val="16"/>
              </w:rPr>
              <w:t xml:space="preserve">ln(Assets)</w:t>
            </w:r>
          </w:p>
        </w:tc>
        <w:tc>
          <w:tcPr>
            <w:tcW w:w="1252" w:type="dxa"/>
          </w:tcPr>
          <w:p>
            <w:pPr>
              <w:pStyle w:val="Compact"/>
              <w:spacing w:before="0" w:after="0" w:lineRule="exact" w:line="200"/>
              <w:jc w:val="left"/>
            </w:pPr>
            <w:r>
              <w:rPr>
                <w:sz w:val="16"/>
              </w:rPr>
              <w:t xml:space="preserve">0.898∗∗∗</w:t>
            </w:r>
          </w:p>
        </w:tc>
        <w:tc>
          <w:tcPr>
            <w:tcW w:w="1252" w:type="dxa"/>
          </w:tcPr>
          <w:p>
            <w:pPr>
              <w:pStyle w:val="Compact"/>
              <w:spacing w:before="0" w:after="0" w:lineRule="exact" w:line="200"/>
              <w:jc w:val="left"/>
            </w:pPr>
            <w:r>
              <w:rPr>
                <w:sz w:val="16"/>
              </w:rPr>
              <w:t xml:space="preserve">0.917∗∗∗</w:t>
            </w:r>
          </w:p>
        </w:tc>
        <w:tc>
          <w:tcPr>
            <w:tcW w:w="1252" w:type="dxa"/>
          </w:tcPr>
          <w:p>
            <w:pPr>
              <w:pStyle w:val="Compact"/>
              <w:spacing w:before="0" w:after="0" w:lineRule="exact" w:line="200"/>
              <w:jc w:val="left"/>
            </w:pPr>
            <w:r>
              <w:rPr>
                <w:sz w:val="16"/>
              </w:rPr>
              <w:t xml:space="preserve">0.900∗∗∗</w:t>
            </w:r>
          </w:p>
        </w:tc>
        <w:tc>
          <w:tcPr>
            <w:tcW w:w="1371" w:type="dxa"/>
          </w:tcPr>
          <w:p>
            <w:pPr>
              <w:pStyle w:val="Compact"/>
              <w:spacing w:before="0" w:after="0" w:lineRule="exact" w:line="200"/>
              <w:jc w:val="left"/>
            </w:pPr>
            <w:r>
              <w:rPr>
                <w:sz w:val="16"/>
              </w:rPr>
              <w:t xml:space="preserve">0.016</w:t>
            </w:r>
          </w:p>
        </w:tc>
        <w:tc>
          <w:tcPr>
            <w:tcW w:w="1371" w:type="dxa"/>
          </w:tcPr>
          <w:p>
            <w:pPr>
              <w:pStyle w:val="Compact"/>
              <w:spacing w:before="0" w:after="0" w:lineRule="exact" w:line="200"/>
              <w:jc w:val="left"/>
            </w:pPr>
            <w:r>
              <w:rPr>
                <w:sz w:val="16"/>
              </w:rPr>
              <w:t xml:space="preserve">-0.281</w:t>
            </w:r>
          </w:p>
        </w:tc>
        <w:tc>
          <w:tcPr>
            <w:tcW w:w="1371" w:type="dxa"/>
          </w:tcPr>
          <w:p>
            <w:pPr>
              <w:pStyle w:val="Compact"/>
              <w:spacing w:before="0" w:after="0" w:lineRule="exact" w:line="200"/>
              <w:jc w:val="left"/>
            </w:pPr>
            <w:r>
              <w:rPr>
                <w:sz w:val="16"/>
              </w:rPr>
              <w:t xml:space="preserve">-0.621</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(0.086)</w:t>
            </w:r>
          </w:p>
        </w:tc>
        <w:tc>
          <w:tcPr>
            <w:tcW w:w="1252" w:type="dxa"/>
          </w:tcPr>
          <w:p>
            <w:pPr>
              <w:pStyle w:val="Compact"/>
              <w:spacing w:before="0" w:after="0" w:lineRule="exact" w:line="200"/>
              <w:jc w:val="left"/>
            </w:pPr>
            <w:r>
              <w:rPr>
                <w:sz w:val="16"/>
              </w:rPr>
              <w:t xml:space="preserve">(0.073)</w:t>
            </w:r>
          </w:p>
        </w:tc>
        <w:tc>
          <w:tcPr>
            <w:tcW w:w="1252" w:type="dxa"/>
          </w:tcPr>
          <w:p>
            <w:pPr>
              <w:pStyle w:val="Compact"/>
              <w:spacing w:before="0" w:after="0" w:lineRule="exact" w:line="200"/>
              <w:jc w:val="left"/>
            </w:pPr>
            <w:r>
              <w:rPr>
                <w:sz w:val="16"/>
              </w:rPr>
              <w:t xml:space="preserve">(0.060)</w:t>
            </w:r>
          </w:p>
        </w:tc>
        <w:tc>
          <w:tcPr>
            <w:tcW w:w="1371" w:type="dxa"/>
          </w:tcPr>
          <w:p>
            <w:pPr>
              <w:pStyle w:val="Compact"/>
              <w:spacing w:before="0" w:after="0" w:lineRule="exact" w:line="200"/>
              <w:jc w:val="left"/>
            </w:pPr>
            <w:r>
              <w:rPr>
                <w:sz w:val="16"/>
              </w:rPr>
              <w:t xml:space="preserve">(0.897)</w:t>
            </w:r>
          </w:p>
        </w:tc>
        <w:tc>
          <w:tcPr>
            <w:tcW w:w="1371" w:type="dxa"/>
          </w:tcPr>
          <w:p>
            <w:pPr>
              <w:pStyle w:val="Compact"/>
              <w:spacing w:before="0" w:after="0" w:lineRule="exact" w:line="200"/>
              <w:jc w:val="left"/>
            </w:pPr>
            <w:r>
              <w:rPr>
                <w:sz w:val="16"/>
              </w:rPr>
              <w:t xml:space="preserve">(0.676)</w:t>
            </w:r>
          </w:p>
        </w:tc>
        <w:tc>
          <w:tcPr>
            <w:tcW w:w="1371" w:type="dxa"/>
          </w:tcPr>
          <w:p>
            <w:pPr>
              <w:pStyle w:val="Compact"/>
              <w:spacing w:before="0" w:after="0" w:lineRule="exact" w:line="200"/>
              <w:jc w:val="left"/>
            </w:pPr>
            <w:r>
              <w:rPr>
                <w:sz w:val="16"/>
              </w:rPr>
              <w:t xml:space="preserve">(0.662)</w:t>
            </w:r>
          </w:p>
        </w:tc>
      </w:tr>
      <w:tr>
        <w:trPr>
          <w:cantSplit/>
        </w:trPr>
        <w:tc>
          <w:tcPr>
            <w:tcW w:w="2326" w:type="dxa"/>
          </w:tcPr>
          <w:p>
            <w:pPr>
              <w:pStyle w:val="Compact"/>
              <w:spacing w:before="0" w:after="0" w:lineRule="exact" w:line="200"/>
              <w:jc w:val="left"/>
            </w:pPr>
            <w:r>
              <w:rPr>
                <w:sz w:val="16"/>
              </w:rPr>
              <w:t xml:space="preserve">OnDemand</w:t>
            </w:r>
          </w:p>
        </w:tc>
        <w:tc>
          <w:tcPr>
            <w:tcW w:w="1252" w:type="dxa"/>
          </w:tcPr>
          <w:p>
            <w:pPr>
              <w:pStyle w:val="Compact"/>
              <w:spacing w:before="0" w:after="0" w:lineRule="exact" w:line="200"/>
              <w:jc w:val="left"/>
            </w:pPr>
            <w:r>
              <w:rPr>
                <w:sz w:val="16"/>
              </w:rPr>
              <w:t xml:space="preserve">-0.950∗∗∗</w:t>
            </w:r>
          </w:p>
        </w:tc>
        <w:tc>
          <w:tcPr>
            <w:tcW w:w="1252" w:type="dxa"/>
          </w:tcPr>
          <w:p>
            <w:pPr>
              <w:pStyle w:val="Compact"/>
              <w:spacing w:before="0" w:after="0" w:lineRule="exact" w:line="200"/>
              <w:jc w:val="left"/>
            </w:pPr>
            <w:r>
              <w:rPr>
                <w:sz w:val="16"/>
              </w:rPr>
              <w:t xml:space="preserve">-0.975∗∗∗</w:t>
            </w:r>
          </w:p>
        </w:tc>
        <w:tc>
          <w:tcPr>
            <w:tcW w:w="1252" w:type="dxa"/>
          </w:tcPr>
          <w:p>
            <w:pPr>
              <w:pStyle w:val="Compact"/>
              <w:spacing w:before="0" w:after="0" w:lineRule="exact" w:line="200"/>
              <w:jc w:val="left"/>
            </w:pPr>
            <w:r>
              <w:rPr>
                <w:sz w:val="16"/>
              </w:rPr>
              <w:t xml:space="preserve">-1.011∗∗∗</w:t>
            </w:r>
          </w:p>
        </w:tc>
        <w:tc>
          <w:tcPr>
            <w:tcW w:w="1371" w:type="dxa"/>
          </w:tcPr>
          <w:p>
            <w:pPr>
              <w:pStyle w:val="Compact"/>
              <w:spacing w:before="0" w:after="0" w:lineRule="exact" w:line="200"/>
              <w:jc w:val="left"/>
            </w:pPr>
            <w:r>
              <w:rPr>
                <w:sz w:val="16"/>
              </w:rPr>
              <w:t xml:space="preserve">-16.597∗∗∗</w:t>
            </w:r>
          </w:p>
        </w:tc>
        <w:tc>
          <w:tcPr>
            <w:tcW w:w="1371" w:type="dxa"/>
          </w:tcPr>
          <w:p>
            <w:pPr>
              <w:pStyle w:val="Compact"/>
              <w:spacing w:before="0" w:after="0" w:lineRule="exact" w:line="200"/>
              <w:jc w:val="left"/>
            </w:pPr>
            <w:r>
              <w:rPr>
                <w:sz w:val="16"/>
              </w:rPr>
              <w:t xml:space="preserve">-17.876∗∗∗</w:t>
            </w:r>
          </w:p>
        </w:tc>
        <w:tc>
          <w:tcPr>
            <w:tcW w:w="1371" w:type="dxa"/>
          </w:tcPr>
          <w:p>
            <w:pPr>
              <w:pStyle w:val="Compact"/>
              <w:spacing w:before="0" w:after="0" w:lineRule="exact" w:line="200"/>
              <w:jc w:val="left"/>
            </w:pPr>
            <w:r>
              <w:rPr>
                <w:sz w:val="16"/>
              </w:rPr>
              <w:t xml:space="preserve">-19.787∗∗∗</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(0.267)</w:t>
            </w:r>
          </w:p>
        </w:tc>
        <w:tc>
          <w:tcPr>
            <w:tcW w:w="1252" w:type="dxa"/>
          </w:tcPr>
          <w:p>
            <w:pPr>
              <w:pStyle w:val="Compact"/>
              <w:spacing w:before="0" w:after="0" w:lineRule="exact" w:line="200"/>
              <w:jc w:val="left"/>
            </w:pPr>
            <w:r>
              <w:rPr>
                <w:sz w:val="16"/>
              </w:rPr>
              <w:t xml:space="preserve">(0.305)</w:t>
            </w:r>
          </w:p>
        </w:tc>
        <w:tc>
          <w:tcPr>
            <w:tcW w:w="1252" w:type="dxa"/>
          </w:tcPr>
          <w:p>
            <w:pPr>
              <w:pStyle w:val="Compact"/>
              <w:spacing w:before="0" w:after="0" w:lineRule="exact" w:line="200"/>
              <w:jc w:val="left"/>
            </w:pPr>
            <w:r>
              <w:rPr>
                <w:sz w:val="16"/>
              </w:rPr>
              <w:t xml:space="preserve">(0.273)</w:t>
            </w:r>
          </w:p>
        </w:tc>
        <w:tc>
          <w:tcPr>
            <w:tcW w:w="1371" w:type="dxa"/>
          </w:tcPr>
          <w:p>
            <w:pPr>
              <w:pStyle w:val="Compact"/>
              <w:spacing w:before="0" w:after="0" w:lineRule="exact" w:line="200"/>
              <w:jc w:val="left"/>
            </w:pPr>
            <w:r>
              <w:rPr>
                <w:sz w:val="16"/>
              </w:rPr>
              <w:t xml:space="preserve">(3.837)</w:t>
            </w:r>
          </w:p>
        </w:tc>
        <w:tc>
          <w:tcPr>
            <w:tcW w:w="1371" w:type="dxa"/>
          </w:tcPr>
          <w:p>
            <w:pPr>
              <w:pStyle w:val="Compact"/>
              <w:spacing w:before="0" w:after="0" w:lineRule="exact" w:line="200"/>
              <w:jc w:val="left"/>
            </w:pPr>
            <w:r>
              <w:rPr>
                <w:sz w:val="16"/>
              </w:rPr>
              <w:t xml:space="preserve">(3.640)</w:t>
            </w:r>
          </w:p>
        </w:tc>
        <w:tc>
          <w:tcPr>
            <w:tcW w:w="1371" w:type="dxa"/>
          </w:tcPr>
          <w:p>
            <w:pPr>
              <w:pStyle w:val="Compact"/>
              <w:spacing w:before="0" w:after="0" w:lineRule="exact" w:line="200"/>
              <w:jc w:val="left"/>
            </w:pPr>
            <w:r>
              <w:rPr>
                <w:sz w:val="16"/>
              </w:rPr>
              <w:t xml:space="preserve">(3.251)</w:t>
            </w:r>
          </w:p>
        </w:tc>
      </w:tr>
      <w:tr>
        <w:trPr>
          <w:cantSplit/>
        </w:trPr>
        <w:tc>
          <w:tcPr>
            <w:tcW w:w="2326" w:type="dxa"/>
          </w:tcPr>
          <w:p>
            <w:pPr>
              <w:pStyle w:val="Compact"/>
              <w:spacing w:before="0" w:after="0" w:lineRule="exact" w:line="200"/>
              <w:jc w:val="left"/>
            </w:pPr>
            <w:r>
              <w:rPr>
                <w:sz w:val="16"/>
              </w:rPr>
              <w:t xml:space="preserve">Travel</w:t>
            </w:r>
          </w:p>
        </w:tc>
        <w:tc>
          <w:tcPr>
            <w:tcW w:w="1252" w:type="dxa"/>
          </w:tcPr>
          <w:p>
            <w:pPr>
              <w:pStyle w:val="Compact"/>
              <w:spacing w:before="0" w:after="0" w:lineRule="exact" w:line="200"/>
              <w:jc w:val="left"/>
            </w:pPr>
            <w:r>
              <w:rPr>
                <w:sz w:val="16"/>
              </w:rPr>
              <w:t xml:space="preserve">-0.053</w:t>
            </w:r>
          </w:p>
        </w:tc>
        <w:tc>
          <w:tcPr>
            <w:tcW w:w="1252" w:type="dxa"/>
          </w:tcPr>
          <w:p>
            <w:pPr>
              <w:pStyle w:val="Compact"/>
              <w:spacing w:before="0" w:after="0" w:lineRule="exact" w:line="200"/>
              <w:jc w:val="left"/>
            </w:pPr>
            <w:r>
              <w:rPr>
                <w:sz w:val="16"/>
              </w:rPr>
              <w:t xml:space="preserve">-0.261</w:t>
            </w:r>
          </w:p>
        </w:tc>
        <w:tc>
          <w:tcPr>
            <w:tcW w:w="1252" w:type="dxa"/>
          </w:tcPr>
          <w:p>
            <w:pPr>
              <w:pStyle w:val="Compact"/>
              <w:spacing w:before="0" w:after="0" w:lineRule="exact" w:line="200"/>
              <w:jc w:val="left"/>
            </w:pPr>
            <w:r>
              <w:rPr>
                <w:sz w:val="16"/>
              </w:rPr>
              <w:t xml:space="preserve">-0.266</w:t>
            </w:r>
          </w:p>
        </w:tc>
        <w:tc>
          <w:tcPr>
            <w:tcW w:w="1371" w:type="dxa"/>
          </w:tcPr>
          <w:p>
            <w:pPr>
              <w:pStyle w:val="Compact"/>
              <w:spacing w:before="0" w:after="0" w:lineRule="exact" w:line="200"/>
              <w:jc w:val="left"/>
            </w:pPr>
            <w:r>
              <w:rPr>
                <w:sz w:val="16"/>
              </w:rPr>
              <w:t xml:space="preserve">-7.313∗</w:t>
            </w:r>
          </w:p>
        </w:tc>
        <w:tc>
          <w:tcPr>
            <w:tcW w:w="1371" w:type="dxa"/>
          </w:tcPr>
          <w:p>
            <w:pPr>
              <w:pStyle w:val="Compact"/>
              <w:spacing w:before="0" w:after="0" w:lineRule="exact" w:line="200"/>
              <w:jc w:val="left"/>
            </w:pPr>
            <w:r>
              <w:rPr>
                <w:sz w:val="16"/>
              </w:rPr>
              <w:t xml:space="preserve">-8.346∗∗</w:t>
            </w:r>
          </w:p>
        </w:tc>
        <w:tc>
          <w:tcPr>
            <w:tcW w:w="1371" w:type="dxa"/>
          </w:tcPr>
          <w:p>
            <w:pPr>
              <w:pStyle w:val="Compact"/>
              <w:spacing w:before="0" w:after="0" w:lineRule="exact" w:line="200"/>
              <w:jc w:val="left"/>
            </w:pPr>
            <w:r>
              <w:rPr>
                <w:sz w:val="16"/>
              </w:rPr>
              <w:t xml:space="preserve">-9.250∗∗</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(0.346)</w:t>
            </w:r>
          </w:p>
        </w:tc>
        <w:tc>
          <w:tcPr>
            <w:tcW w:w="1252" w:type="dxa"/>
          </w:tcPr>
          <w:p>
            <w:pPr>
              <w:pStyle w:val="Compact"/>
              <w:spacing w:before="0" w:after="0" w:lineRule="exact" w:line="200"/>
              <w:jc w:val="left"/>
            </w:pPr>
            <w:r>
              <w:rPr>
                <w:sz w:val="16"/>
              </w:rPr>
              <w:t xml:space="preserve">(0.397)</w:t>
            </w:r>
          </w:p>
        </w:tc>
        <w:tc>
          <w:tcPr>
            <w:tcW w:w="1252" w:type="dxa"/>
          </w:tcPr>
          <w:p>
            <w:pPr>
              <w:pStyle w:val="Compact"/>
              <w:spacing w:before="0" w:after="0" w:lineRule="exact" w:line="200"/>
              <w:jc w:val="left"/>
            </w:pPr>
            <w:r>
              <w:rPr>
                <w:sz w:val="16"/>
              </w:rPr>
              <w:t xml:space="preserve">(0.317)</w:t>
            </w:r>
          </w:p>
        </w:tc>
        <w:tc>
          <w:tcPr>
            <w:tcW w:w="1371" w:type="dxa"/>
          </w:tcPr>
          <w:p>
            <w:pPr>
              <w:pStyle w:val="Compact"/>
              <w:spacing w:before="0" w:after="0" w:lineRule="exact" w:line="200"/>
              <w:jc w:val="left"/>
            </w:pPr>
            <w:r>
              <w:rPr>
                <w:sz w:val="16"/>
              </w:rPr>
              <w:t xml:space="preserve">(3.795)</w:t>
            </w:r>
          </w:p>
        </w:tc>
        <w:tc>
          <w:tcPr>
            <w:tcW w:w="1371" w:type="dxa"/>
          </w:tcPr>
          <w:p>
            <w:pPr>
              <w:pStyle w:val="Compact"/>
              <w:spacing w:before="0" w:after="0" w:lineRule="exact" w:line="200"/>
              <w:jc w:val="left"/>
            </w:pPr>
            <w:r>
              <w:rPr>
                <w:sz w:val="16"/>
              </w:rPr>
              <w:t xml:space="preserve">(3.937)</w:t>
            </w:r>
          </w:p>
        </w:tc>
        <w:tc>
          <w:tcPr>
            <w:tcW w:w="1371" w:type="dxa"/>
          </w:tcPr>
          <w:p>
            <w:pPr>
              <w:pStyle w:val="Compact"/>
              <w:spacing w:before="0" w:after="0" w:lineRule="exact" w:line="200"/>
              <w:jc w:val="left"/>
            </w:pPr>
            <w:r>
              <w:rPr>
                <w:sz w:val="16"/>
              </w:rPr>
              <w:t xml:space="preserve">(3.429)</w:t>
            </w:r>
          </w:p>
        </w:tc>
      </w:tr>
      <w:tr>
        <w:trPr>
          <w:cantSplit/>
        </w:trPr>
        <w:tc>
          <w:tcPr>
            <w:tcW w:w="2326" w:type="dxa"/>
          </w:tcPr>
          <w:p>
            <w:pPr>
              <w:pStyle w:val="Compact"/>
              <w:spacing w:before="0" w:after="0" w:lineRule="exact" w:line="200"/>
              <w:jc w:val="left"/>
            </w:pPr>
            <w:r>
              <w:rPr>
                <w:sz w:val="16"/>
              </w:rPr>
              <w:t xml:space="preserve">Freelance</w:t>
            </w:r>
          </w:p>
        </w:tc>
        <w:tc>
          <w:tcPr>
            <w:tcW w:w="1252" w:type="dxa"/>
          </w:tcPr>
          <w:p>
            <w:pPr>
              <w:pStyle w:val="Compact"/>
              <w:spacing w:before="0" w:after="0" w:lineRule="exact" w:line="200"/>
              <w:jc w:val="left"/>
            </w:pPr>
            <w:r>
              <w:rPr>
                <w:sz w:val="16"/>
              </w:rPr>
              <w:t xml:space="preserve">-0.822</w:t>
            </w:r>
          </w:p>
        </w:tc>
        <w:tc>
          <w:tcPr>
            <w:tcW w:w="1252" w:type="dxa"/>
          </w:tcPr>
          <w:p>
            <w:pPr>
              <w:pStyle w:val="Compact"/>
              <w:spacing w:before="0" w:after="0" w:lineRule="exact" w:line="200"/>
              <w:jc w:val="left"/>
            </w:pPr>
            <w:r>
              <w:rPr>
                <w:sz w:val="16"/>
              </w:rPr>
              <w:t xml:space="preserve">-0.878</w:t>
            </w:r>
          </w:p>
        </w:tc>
        <w:tc>
          <w:tcPr>
            <w:tcW w:w="1252" w:type="dxa"/>
          </w:tcPr>
          <w:p>
            <w:pPr>
              <w:pStyle w:val="Compact"/>
              <w:spacing w:before="0" w:after="0" w:lineRule="exact" w:line="200"/>
              <w:jc w:val="left"/>
            </w:pPr>
            <w:r>
              <w:rPr>
                <w:sz w:val="16"/>
              </w:rPr>
              <w:t xml:space="preserve">-0.741</w:t>
            </w:r>
          </w:p>
        </w:tc>
        <w:tc>
          <w:tcPr>
            <w:tcW w:w="1371" w:type="dxa"/>
          </w:tcPr>
          <w:p>
            <w:pPr>
              <w:pStyle w:val="Compact"/>
              <w:spacing w:before="0" w:after="0" w:lineRule="exact" w:line="200"/>
              <w:jc w:val="left"/>
            </w:pPr>
            <w:r>
              <w:rPr>
                <w:sz w:val="16"/>
              </w:rPr>
              <w:t xml:space="preserve">-11.946∗∗∗</w:t>
            </w:r>
          </w:p>
        </w:tc>
        <w:tc>
          <w:tcPr>
            <w:tcW w:w="1371" w:type="dxa"/>
          </w:tcPr>
          <w:p>
            <w:pPr>
              <w:pStyle w:val="Compact"/>
              <w:spacing w:before="0" w:after="0" w:lineRule="exact" w:line="200"/>
              <w:jc w:val="left"/>
            </w:pPr>
            <w:r>
              <w:rPr>
                <w:sz w:val="16"/>
              </w:rPr>
              <w:t xml:space="preserve">-14.088∗∗∗</w:t>
            </w:r>
          </w:p>
        </w:tc>
        <w:tc>
          <w:tcPr>
            <w:tcW w:w="1371" w:type="dxa"/>
          </w:tcPr>
          <w:p>
            <w:pPr>
              <w:pStyle w:val="Compact"/>
              <w:spacing w:before="0" w:after="0" w:lineRule="exact" w:line="200"/>
              <w:jc w:val="left"/>
            </w:pPr>
            <w:r>
              <w:rPr>
                <w:sz w:val="16"/>
              </w:rPr>
              <w:t xml:space="preserve">-13.658∗∗∗</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(0.540)</w:t>
            </w:r>
          </w:p>
        </w:tc>
        <w:tc>
          <w:tcPr>
            <w:tcW w:w="1252" w:type="dxa"/>
          </w:tcPr>
          <w:p>
            <w:pPr>
              <w:pStyle w:val="Compact"/>
              <w:spacing w:before="0" w:after="0" w:lineRule="exact" w:line="200"/>
              <w:jc w:val="left"/>
            </w:pPr>
            <w:r>
              <w:rPr>
                <w:sz w:val="16"/>
              </w:rPr>
              <w:t xml:space="preserve">(0.576)</w:t>
            </w:r>
          </w:p>
        </w:tc>
        <w:tc>
          <w:tcPr>
            <w:tcW w:w="1252" w:type="dxa"/>
          </w:tcPr>
          <w:p>
            <w:pPr>
              <w:pStyle w:val="Compact"/>
              <w:spacing w:before="0" w:after="0" w:lineRule="exact" w:line="200"/>
              <w:jc w:val="left"/>
            </w:pPr>
            <w:r>
              <w:rPr>
                <w:sz w:val="16"/>
              </w:rPr>
              <w:t xml:space="preserve">(0.580)</w:t>
            </w:r>
          </w:p>
        </w:tc>
        <w:tc>
          <w:tcPr>
            <w:tcW w:w="1371" w:type="dxa"/>
          </w:tcPr>
          <w:p>
            <w:pPr>
              <w:pStyle w:val="Compact"/>
              <w:spacing w:before="0" w:after="0" w:lineRule="exact" w:line="200"/>
              <w:jc w:val="left"/>
            </w:pPr>
            <w:r>
              <w:rPr>
                <w:sz w:val="16"/>
              </w:rPr>
              <w:t xml:space="preserve">(3.706)</w:t>
            </w:r>
          </w:p>
        </w:tc>
        <w:tc>
          <w:tcPr>
            <w:tcW w:w="1371" w:type="dxa"/>
          </w:tcPr>
          <w:p>
            <w:pPr>
              <w:pStyle w:val="Compact"/>
              <w:spacing w:before="0" w:after="0" w:lineRule="exact" w:line="200"/>
              <w:jc w:val="left"/>
            </w:pPr>
            <w:r>
              <w:rPr>
                <w:sz w:val="16"/>
              </w:rPr>
              <w:t xml:space="preserve">(3.599)</w:t>
            </w:r>
          </w:p>
        </w:tc>
        <w:tc>
          <w:tcPr>
            <w:tcW w:w="1371" w:type="dxa"/>
          </w:tcPr>
          <w:p>
            <w:pPr>
              <w:pStyle w:val="Compact"/>
              <w:spacing w:before="0" w:after="0" w:lineRule="exact" w:line="200"/>
              <w:jc w:val="left"/>
            </w:pPr>
            <w:r>
              <w:rPr>
                <w:sz w:val="16"/>
              </w:rPr>
              <w:t xml:space="preserve">(3.581)</w:t>
            </w:r>
          </w:p>
        </w:tc>
      </w:tr>
      <w:tr>
        <w:trPr>
          <w:cantSplit/>
        </w:trPr>
        <w:tc>
          <w:tcPr>
            <w:tcW w:w="2326" w:type="dxa"/>
          </w:tcPr>
          <w:p>
            <w:pPr>
              <w:pStyle w:val="Compact"/>
              <w:spacing w:before="0" w:after="0" w:lineRule="exact" w:line="200"/>
              <w:jc w:val="left"/>
            </w:pPr>
            <w:r>
              <w:rPr>
                <w:sz w:val="16"/>
              </w:rPr>
              <w:t xml:space="preserve">Resale</w:t>
            </w:r>
          </w:p>
        </w:tc>
        <w:tc>
          <w:tcPr>
            <w:tcW w:w="1252" w:type="dxa"/>
          </w:tcPr>
          <w:p>
            <w:pPr>
              <w:pStyle w:val="Compact"/>
              <w:spacing w:before="0" w:after="0" w:lineRule="exact" w:line="200"/>
              <w:jc w:val="left"/>
            </w:pPr>
            <w:r>
              <w:rPr>
                <w:sz w:val="16"/>
              </w:rPr>
              <w:t xml:space="preserve">-0.444</w:t>
            </w:r>
          </w:p>
        </w:tc>
        <w:tc>
          <w:tcPr>
            <w:tcW w:w="1252" w:type="dxa"/>
          </w:tcPr>
          <w:p>
            <w:pPr>
              <w:pStyle w:val="Compact"/>
              <w:spacing w:before="0" w:after="0" w:lineRule="exact" w:line="200"/>
              <w:jc w:val="left"/>
            </w:pPr>
            <w:r>
              <w:rPr>
                <w:sz w:val="16"/>
              </w:rPr>
              <w:t xml:space="preserve">-0.527</w:t>
            </w:r>
          </w:p>
        </w:tc>
        <w:tc>
          <w:tcPr>
            <w:tcW w:w="1252" w:type="dxa"/>
          </w:tcPr>
          <w:p>
            <w:pPr>
              <w:pStyle w:val="Compact"/>
              <w:spacing w:before="0" w:after="0" w:lineRule="exact" w:line="200"/>
              <w:jc w:val="left"/>
            </w:pPr>
            <w:r>
              <w:rPr>
                <w:sz w:val="16"/>
              </w:rPr>
              <w:t xml:space="preserve">-0.477</w:t>
            </w:r>
          </w:p>
        </w:tc>
        <w:tc>
          <w:tcPr>
            <w:tcW w:w="1371" w:type="dxa"/>
          </w:tcPr>
          <w:p>
            <w:pPr>
              <w:pStyle w:val="Compact"/>
              <w:spacing w:before="0" w:after="0" w:lineRule="exact" w:line="200"/>
              <w:jc w:val="left"/>
            </w:pPr>
            <w:r>
              <w:rPr>
                <w:sz w:val="16"/>
              </w:rPr>
              <w:t xml:space="preserve">-8.393∗</w:t>
            </w:r>
          </w:p>
        </w:tc>
        <w:tc>
          <w:tcPr>
            <w:tcW w:w="1371" w:type="dxa"/>
          </w:tcPr>
          <w:p>
            <w:pPr>
              <w:pStyle w:val="Compact"/>
              <w:spacing w:before="0" w:after="0" w:lineRule="exact" w:line="200"/>
              <w:jc w:val="left"/>
            </w:pPr>
            <w:r>
              <w:rPr>
                <w:sz w:val="16"/>
              </w:rPr>
              <w:t xml:space="preserve">-10.223∗∗</w:t>
            </w:r>
          </w:p>
        </w:tc>
        <w:tc>
          <w:tcPr>
            <w:tcW w:w="1371" w:type="dxa"/>
          </w:tcPr>
          <w:p>
            <w:pPr>
              <w:pStyle w:val="Compact"/>
              <w:spacing w:before="0" w:after="0" w:lineRule="exact" w:line="200"/>
              <w:jc w:val="left"/>
            </w:pPr>
            <w:r>
              <w:rPr>
                <w:sz w:val="16"/>
              </w:rPr>
              <w:t xml:space="preserve">-10.912∗∗</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(0.367)</w:t>
            </w:r>
          </w:p>
        </w:tc>
        <w:tc>
          <w:tcPr>
            <w:tcW w:w="1252" w:type="dxa"/>
          </w:tcPr>
          <w:p>
            <w:pPr>
              <w:pStyle w:val="Compact"/>
              <w:spacing w:before="0" w:after="0" w:lineRule="exact" w:line="200"/>
              <w:jc w:val="left"/>
            </w:pPr>
            <w:r>
              <w:rPr>
                <w:sz w:val="16"/>
              </w:rPr>
              <w:t xml:space="preserve">(0.402)</w:t>
            </w:r>
          </w:p>
        </w:tc>
        <w:tc>
          <w:tcPr>
            <w:tcW w:w="1252" w:type="dxa"/>
          </w:tcPr>
          <w:p>
            <w:pPr>
              <w:pStyle w:val="Compact"/>
              <w:spacing w:before="0" w:after="0" w:lineRule="exact" w:line="200"/>
              <w:jc w:val="left"/>
            </w:pPr>
            <w:r>
              <w:rPr>
                <w:sz w:val="16"/>
              </w:rPr>
              <w:t xml:space="preserve">(0.484)</w:t>
            </w:r>
          </w:p>
        </w:tc>
        <w:tc>
          <w:tcPr>
            <w:tcW w:w="1371" w:type="dxa"/>
          </w:tcPr>
          <w:p>
            <w:pPr>
              <w:pStyle w:val="Compact"/>
              <w:spacing w:before="0" w:after="0" w:lineRule="exact" w:line="200"/>
              <w:jc w:val="left"/>
            </w:pPr>
            <w:r>
              <w:rPr>
                <w:sz w:val="16"/>
              </w:rPr>
              <w:t xml:space="preserve">(4.385)</w:t>
            </w:r>
          </w:p>
        </w:tc>
        <w:tc>
          <w:tcPr>
            <w:tcW w:w="1371" w:type="dxa"/>
          </w:tcPr>
          <w:p>
            <w:pPr>
              <w:pStyle w:val="Compact"/>
              <w:spacing w:before="0" w:after="0" w:lineRule="exact" w:line="200"/>
              <w:jc w:val="left"/>
            </w:pPr>
            <w:r>
              <w:rPr>
                <w:sz w:val="16"/>
              </w:rPr>
              <w:t xml:space="preserve">(4.491)</w:t>
            </w:r>
          </w:p>
        </w:tc>
        <w:tc>
          <w:tcPr>
            <w:tcW w:w="1371" w:type="dxa"/>
          </w:tcPr>
          <w:p>
            <w:pPr>
              <w:pStyle w:val="Compact"/>
              <w:spacing w:before="0" w:after="0" w:lineRule="exact" w:line="200"/>
              <w:jc w:val="left"/>
            </w:pPr>
            <w:r>
              <w:rPr>
                <w:sz w:val="16"/>
              </w:rPr>
              <w:t xml:space="preserve">(4.700)</w:t>
            </w:r>
          </w:p>
        </w:tc>
      </w:tr>
      <w:tr>
        <w:trPr>
          <w:cantSplit/>
        </w:trPr>
        <w:tc>
          <w:tcPr>
            <w:tcW w:w="2326" w:type="dxa"/>
          </w:tcPr>
          <w:p>
            <w:pPr>
              <w:pStyle w:val="Compact"/>
              <w:spacing w:before="0" w:after="0" w:lineRule="exact" w:line="200"/>
              <w:jc w:val="left"/>
            </w:pPr>
            <w:r>
              <w:rPr>
                <w:sz w:val="16"/>
              </w:rPr>
              <w:t xml:space="preserve">GDPGrowth</w:t>
            </w: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0.106∗</w:t>
            </w:r>
          </w:p>
        </w:tc>
        <w:tc>
          <w:tcPr>
            <w:tcW w:w="1252" w:type="dxa"/>
          </w:tcPr>
          <w:p>
            <w:pPr>
              <w:pStyle w:val="Compact"/>
              <w:spacing w:before="0" w:after="0" w:lineRule="exact" w:line="200"/>
              <w:jc w:val="left"/>
            </w:pPr>
            <w:r>
              <w:rPr>
                <w:sz w:val="16"/>
              </w:rPr>
              <w:t xml:space="preserve">0.148∗∗</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1.301∗∗</w:t>
            </w:r>
          </w:p>
        </w:tc>
        <w:tc>
          <w:tcPr>
            <w:tcW w:w="1371" w:type="dxa"/>
          </w:tcPr>
          <w:p>
            <w:pPr>
              <w:pStyle w:val="Compact"/>
              <w:spacing w:before="0" w:after="0" w:lineRule="exact" w:line="200"/>
              <w:jc w:val="left"/>
            </w:pPr>
            <w:r>
              <w:rPr>
                <w:sz w:val="16"/>
              </w:rPr>
              <w:t xml:space="preserve">1.479∗∗</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(0.057)</w:t>
            </w:r>
          </w:p>
        </w:tc>
        <w:tc>
          <w:tcPr>
            <w:tcW w:w="1252" w:type="dxa"/>
          </w:tcPr>
          <w:p>
            <w:pPr>
              <w:pStyle w:val="Compact"/>
              <w:spacing w:before="0" w:after="0" w:lineRule="exact" w:line="200"/>
              <w:jc w:val="left"/>
            </w:pPr>
            <w:r>
              <w:rPr>
                <w:sz w:val="16"/>
              </w:rPr>
              <w:t xml:space="preserve">(0.067)</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(0.573)</w:t>
            </w:r>
          </w:p>
        </w:tc>
        <w:tc>
          <w:tcPr>
            <w:tcW w:w="1371" w:type="dxa"/>
          </w:tcPr>
          <w:p>
            <w:pPr>
              <w:pStyle w:val="Compact"/>
              <w:spacing w:before="0" w:after="0" w:lineRule="exact" w:line="200"/>
              <w:jc w:val="left"/>
            </w:pPr>
            <w:r>
              <w:rPr>
                <w:sz w:val="16"/>
              </w:rPr>
              <w:t xml:space="preserve">(0.552)</w:t>
            </w:r>
          </w:p>
        </w:tc>
      </w:tr>
      <w:tr>
        <w:trPr>
          <w:cantSplit/>
        </w:trPr>
        <w:tc>
          <w:tcPr>
            <w:tcW w:w="2326" w:type="dxa"/>
          </w:tcPr>
          <w:p>
            <w:pPr>
              <w:pStyle w:val="Compact"/>
              <w:spacing w:before="0" w:after="0" w:lineRule="exact" w:line="200"/>
              <w:jc w:val="left"/>
            </w:pPr>
            <w:r>
              <w:rPr>
                <w:sz w:val="16"/>
              </w:rPr>
              <w:t xml:space="preserve">Inflation</w:t>
            </w: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-0.001</w:t>
            </w:r>
          </w:p>
        </w:tc>
        <w:tc>
          <w:tcPr>
            <w:tcW w:w="1252" w:type="dxa"/>
          </w:tcPr>
          <w:p>
            <w:pPr>
              <w:pStyle w:val="Compact"/>
              <w:spacing w:before="0" w:after="0" w:lineRule="exact" w:line="200"/>
              <w:jc w:val="left"/>
            </w:pPr>
            <w:r>
              <w:rPr>
                <w:sz w:val="16"/>
              </w:rPr>
              <w:t xml:space="preserve">0.001</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-0.018</w:t>
            </w:r>
          </w:p>
        </w:tc>
        <w:tc>
          <w:tcPr>
            <w:tcW w:w="1371" w:type="dxa"/>
          </w:tcPr>
          <w:p>
            <w:pPr>
              <w:pStyle w:val="Compact"/>
              <w:spacing w:before="0" w:after="0" w:lineRule="exact" w:line="200"/>
              <w:jc w:val="left"/>
            </w:pPr>
            <w:r>
              <w:rPr>
                <w:sz w:val="16"/>
              </w:rPr>
              <w:t xml:space="preserve">-0.006</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(0.003)</w:t>
            </w:r>
          </w:p>
        </w:tc>
        <w:tc>
          <w:tcPr>
            <w:tcW w:w="1252" w:type="dxa"/>
          </w:tcPr>
          <w:p>
            <w:pPr>
              <w:pStyle w:val="Compact"/>
              <w:spacing w:before="0" w:after="0" w:lineRule="exact" w:line="200"/>
              <w:jc w:val="left"/>
            </w:pPr>
            <w:r>
              <w:rPr>
                <w:sz w:val="16"/>
              </w:rPr>
              <w:t xml:space="preserve">(0.003)</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(0.024)</w:t>
            </w:r>
          </w:p>
        </w:tc>
        <w:tc>
          <w:tcPr>
            <w:tcW w:w="1371" w:type="dxa"/>
          </w:tcPr>
          <w:p>
            <w:pPr>
              <w:pStyle w:val="Compact"/>
              <w:spacing w:before="0" w:after="0" w:lineRule="exact" w:line="200"/>
              <w:jc w:val="left"/>
            </w:pPr>
            <w:r>
              <w:rPr>
                <w:sz w:val="16"/>
              </w:rPr>
              <w:t xml:space="preserve">(0.027)</w:t>
            </w:r>
          </w:p>
        </w:tc>
      </w:tr>
      <w:tr>
        <w:trPr>
          <w:cantSplit/>
        </w:trPr>
        <w:tc>
          <w:tcPr>
            <w:tcW w:w="2326" w:type="dxa"/>
          </w:tcPr>
          <w:p>
            <w:pPr>
              <w:pStyle w:val="Compact"/>
              <w:spacing w:before="0" w:after="0" w:lineRule="exact" w:line="200"/>
              <w:jc w:val="left"/>
            </w:pPr>
            <w:r>
              <w:rPr>
                <w:sz w:val="16"/>
              </w:rPr>
              <w:t xml:space="preserve">HouseholdGrowth</w:t>
            </w: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-0.053∗∗</w:t>
            </w:r>
          </w:p>
        </w:tc>
        <w:tc>
          <w:tcPr>
            <w:tcW w:w="1252" w:type="dxa"/>
          </w:tcPr>
          <w:p>
            <w:pPr>
              <w:pStyle w:val="Compact"/>
              <w:spacing w:before="0" w:after="0" w:lineRule="exact" w:line="200"/>
              <w:jc w:val="left"/>
            </w:pPr>
            <w:r>
              <w:rPr>
                <w:sz w:val="16"/>
              </w:rPr>
              <w:t xml:space="preserve">-0.014</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-0.785∗</w:t>
            </w:r>
          </w:p>
        </w:tc>
        <w:tc>
          <w:tcPr>
            <w:tcW w:w="1371" w:type="dxa"/>
          </w:tcPr>
          <w:p>
            <w:pPr>
              <w:pStyle w:val="Compact"/>
              <w:spacing w:before="0" w:after="0" w:lineRule="exact" w:line="200"/>
              <w:jc w:val="left"/>
            </w:pPr>
            <w:r>
              <w:rPr>
                <w:sz w:val="16"/>
              </w:rPr>
              <w:t xml:space="preserve">-0.687</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(0.025)</w:t>
            </w:r>
          </w:p>
        </w:tc>
        <w:tc>
          <w:tcPr>
            <w:tcW w:w="1252" w:type="dxa"/>
          </w:tcPr>
          <w:p>
            <w:pPr>
              <w:pStyle w:val="Compact"/>
              <w:spacing w:before="0" w:after="0" w:lineRule="exact" w:line="200"/>
              <w:jc w:val="left"/>
            </w:pPr>
            <w:r>
              <w:rPr>
                <w:sz w:val="16"/>
              </w:rPr>
              <w:t xml:space="preserve">(0.031)</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(0.452)</w:t>
            </w:r>
          </w:p>
        </w:tc>
        <w:tc>
          <w:tcPr>
            <w:tcW w:w="1371" w:type="dxa"/>
          </w:tcPr>
          <w:p>
            <w:pPr>
              <w:pStyle w:val="Compact"/>
              <w:spacing w:before="0" w:after="0" w:lineRule="exact" w:line="200"/>
              <w:jc w:val="left"/>
            </w:pPr>
            <w:r>
              <w:rPr>
                <w:sz w:val="16"/>
              </w:rPr>
              <w:t xml:space="preserve">(0.490)</w:t>
            </w:r>
          </w:p>
        </w:tc>
      </w:tr>
      <w:tr>
        <w:trPr>
          <w:cantSplit/>
        </w:trPr>
        <w:tc>
          <w:tcPr>
            <w:tcW w:w="2326" w:type="dxa"/>
          </w:tcPr>
          <w:p>
            <w:pPr>
              <w:pStyle w:val="Compact"/>
              <w:spacing w:before="0" w:after="0" w:lineRule="exact" w:line="200"/>
              <w:jc w:val="left"/>
            </w:pPr>
            <w:r>
              <w:rPr>
                <w:sz w:val="16"/>
              </w:rPr>
              <w:t xml:space="preserve">PolicyRate</w:t>
            </w: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0.008</w:t>
            </w:r>
          </w:p>
        </w:tc>
        <w:tc>
          <w:tcPr>
            <w:tcW w:w="1252" w:type="dxa"/>
          </w:tcPr>
          <w:p>
            <w:pPr>
              <w:pStyle w:val="Compact"/>
              <w:spacing w:before="0" w:after="0" w:lineRule="exact" w:line="200"/>
              <w:jc w:val="left"/>
            </w:pPr>
            <w:r>
              <w:rPr>
                <w:sz w:val="16"/>
              </w:rPr>
              <w:t xml:space="preserve">0.011</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-0.033</w:t>
            </w:r>
          </w:p>
        </w:tc>
        <w:tc>
          <w:tcPr>
            <w:tcW w:w="1371" w:type="dxa"/>
          </w:tcPr>
          <w:p>
            <w:pPr>
              <w:pStyle w:val="Compact"/>
              <w:spacing w:before="0" w:after="0" w:lineRule="exact" w:line="200"/>
              <w:jc w:val="left"/>
            </w:pPr>
            <w:r>
              <w:rPr>
                <w:sz w:val="16"/>
              </w:rPr>
              <w:t xml:space="preserve">-0.005</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(0.007)</w:t>
            </w:r>
          </w:p>
        </w:tc>
        <w:tc>
          <w:tcPr>
            <w:tcW w:w="1252" w:type="dxa"/>
          </w:tcPr>
          <w:p>
            <w:pPr>
              <w:pStyle w:val="Compact"/>
              <w:spacing w:before="0" w:after="0" w:lineRule="exact" w:line="200"/>
              <w:jc w:val="left"/>
            </w:pPr>
            <w:r>
              <w:rPr>
                <w:sz w:val="16"/>
              </w:rPr>
              <w:t xml:space="preserve">(0.007)</w:t>
            </w:r>
          </w:p>
        </w:tc>
        <w:tc>
          <w:tcPr>
            <w:tcW w:w="1371" w:type="dxa"/>
          </w:tcPr>
          <w:p>
            <w:pPr>
              <w:pStyle w:val="Compact"/>
              <w:spacing w:before="0" w:after="0" w:lineRule="exact" w:line="200"/>
              <w:jc w:val="left"/>
            </w:pPr>
          </w:p>
        </w:tc>
        <w:tc>
          <w:tcPr>
            <w:tcW w:w="1371" w:type="dxa"/>
          </w:tcPr>
          <w:p>
            <w:pPr>
              <w:pStyle w:val="Compact"/>
              <w:spacing w:before="0" w:after="0" w:lineRule="exact" w:line="200"/>
              <w:jc w:val="left"/>
            </w:pPr>
            <w:r>
              <w:rPr>
                <w:sz w:val="16"/>
              </w:rPr>
              <w:t xml:space="preserve">(0.082)</w:t>
            </w:r>
          </w:p>
        </w:tc>
        <w:tc>
          <w:tcPr>
            <w:tcW w:w="1371" w:type="dxa"/>
          </w:tcPr>
          <w:p>
            <w:pPr>
              <w:pStyle w:val="Compact"/>
              <w:spacing w:before="0" w:after="0" w:lineRule="exact" w:line="200"/>
              <w:jc w:val="left"/>
            </w:pPr>
            <w:r>
              <w:rPr>
                <w:sz w:val="16"/>
              </w:rPr>
              <w:t xml:space="preserve">(0.075)</w:t>
            </w:r>
          </w:p>
        </w:tc>
      </w:tr>
      <w:tr>
        <w:trPr>
          <w:cantSplit/>
        </w:trPr>
        <w:tc>
          <w:tcPr>
            <w:tcW w:w="2326" w:type="dxa"/>
          </w:tcPr>
          <w:p>
            <w:pPr>
              <w:pStyle w:val="Compact"/>
              <w:spacing w:before="0" w:after="0" w:lineRule="exact" w:line="200"/>
              <w:jc w:val="left"/>
            </w:pPr>
            <w:r>
              <w:rPr>
                <w:sz w:val="16"/>
              </w:rPr>
              <w:t xml:space="preserve">Constant</w:t>
            </w:r>
          </w:p>
        </w:tc>
        <w:tc>
          <w:tcPr>
            <w:tcW w:w="1252" w:type="dxa"/>
          </w:tcPr>
          <w:p>
            <w:pPr>
              <w:pStyle w:val="Compact"/>
              <w:spacing w:before="0" w:after="0" w:lineRule="exact" w:line="200"/>
              <w:jc w:val="left"/>
            </w:pPr>
            <w:r>
              <w:rPr>
                <w:sz w:val="16"/>
              </w:rPr>
              <w:t xml:space="preserve">2.148∗∗∗</w:t>
            </w:r>
          </w:p>
        </w:tc>
        <w:tc>
          <w:tcPr>
            <w:tcW w:w="1252" w:type="dxa"/>
          </w:tcPr>
          <w:p>
            <w:pPr>
              <w:pStyle w:val="Compact"/>
              <w:spacing w:before="0" w:after="0" w:lineRule="exact" w:line="200"/>
              <w:jc w:val="left"/>
            </w:pPr>
            <w:r>
              <w:rPr>
                <w:sz w:val="16"/>
              </w:rPr>
              <w:t xml:space="preserve">1.962∗∗∗</w:t>
            </w:r>
          </w:p>
        </w:tc>
        <w:tc>
          <w:tcPr>
            <w:tcW w:w="1252" w:type="dxa"/>
          </w:tcPr>
          <w:p>
            <w:pPr>
              <w:pStyle w:val="Compact"/>
              <w:spacing w:before="0" w:after="0" w:lineRule="exact" w:line="200"/>
              <w:jc w:val="left"/>
            </w:pPr>
            <w:r>
              <w:rPr>
                <w:sz w:val="16"/>
              </w:rPr>
              <w:t xml:space="preserve">2.108∗∗∗</w:t>
            </w:r>
          </w:p>
        </w:tc>
        <w:tc>
          <w:tcPr>
            <w:tcW w:w="1371" w:type="dxa"/>
          </w:tcPr>
          <w:p>
            <w:pPr>
              <w:pStyle w:val="Compact"/>
              <w:spacing w:before="0" w:after="0" w:lineRule="exact" w:line="200"/>
              <w:jc w:val="left"/>
            </w:pPr>
            <w:r>
              <w:rPr>
                <w:sz w:val="16"/>
              </w:rPr>
              <w:t xml:space="preserve">18.840∗∗</w:t>
            </w:r>
          </w:p>
        </w:tc>
        <w:tc>
          <w:tcPr>
            <w:tcW w:w="1371" w:type="dxa"/>
          </w:tcPr>
          <w:p>
            <w:pPr>
              <w:pStyle w:val="Compact"/>
              <w:spacing w:before="0" w:after="0" w:lineRule="exact" w:line="200"/>
              <w:jc w:val="left"/>
            </w:pPr>
            <w:r>
              <w:rPr>
                <w:sz w:val="16"/>
              </w:rPr>
              <w:t xml:space="preserve">21.744∗∗∗</w:t>
            </w:r>
          </w:p>
        </w:tc>
        <w:tc>
          <w:tcPr>
            <w:tcW w:w="1371" w:type="dxa"/>
          </w:tcPr>
          <w:p>
            <w:pPr>
              <w:pStyle w:val="Compact"/>
              <w:spacing w:before="0" w:after="0" w:lineRule="exact" w:line="200"/>
              <w:jc w:val="left"/>
            </w:pPr>
            <w:r>
              <w:rPr>
                <w:sz w:val="16"/>
              </w:rPr>
              <w:t xml:space="preserve">27.343∗∗∗</w:t>
            </w:r>
          </w:p>
        </w:tc>
      </w:tr>
      <w:tr>
        <w:trPr>
          <w:cantSplit/>
        </w:trPr>
        <w:tc>
          <w:tcPr>
            <w:tcW w:w="2326" w:type="dxa"/>
          </w:tcPr>
          <w:p>
            <w:pPr>
              <w:pStyle w:val="Compact"/>
              <w:spacing w:before="0" w:after="0" w:lineRule="exact" w:line="200"/>
              <w:jc w:val="left"/>
            </w:pPr>
          </w:p>
        </w:tc>
        <w:tc>
          <w:tcPr>
            <w:tcW w:w="1252" w:type="dxa"/>
          </w:tcPr>
          <w:p>
            <w:pPr>
              <w:pStyle w:val="Compact"/>
              <w:spacing w:before="0" w:after="0" w:lineRule="exact" w:line="200"/>
              <w:jc w:val="left"/>
            </w:pPr>
            <w:r>
              <w:rPr>
                <w:sz w:val="16"/>
              </w:rPr>
              <w:t xml:space="preserve">(0.490)</w:t>
            </w:r>
          </w:p>
        </w:tc>
        <w:tc>
          <w:tcPr>
            <w:tcW w:w="1252" w:type="dxa"/>
          </w:tcPr>
          <w:p>
            <w:pPr>
              <w:pStyle w:val="Compact"/>
              <w:spacing w:before="0" w:after="0" w:lineRule="exact" w:line="200"/>
              <w:jc w:val="left"/>
            </w:pPr>
            <w:r>
              <w:rPr>
                <w:sz w:val="16"/>
              </w:rPr>
              <w:t xml:space="preserve">(0.572)</w:t>
            </w:r>
          </w:p>
        </w:tc>
        <w:tc>
          <w:tcPr>
            <w:tcW w:w="1252" w:type="dxa"/>
          </w:tcPr>
          <w:p>
            <w:pPr>
              <w:pStyle w:val="Compact"/>
              <w:spacing w:before="0" w:after="0" w:lineRule="exact" w:line="200"/>
              <w:jc w:val="left"/>
            </w:pPr>
            <w:r>
              <w:rPr>
                <w:sz w:val="16"/>
              </w:rPr>
              <w:t xml:space="preserve">(0.575)</w:t>
            </w:r>
          </w:p>
        </w:tc>
        <w:tc>
          <w:tcPr>
            <w:tcW w:w="1371" w:type="dxa"/>
          </w:tcPr>
          <w:p>
            <w:pPr>
              <w:pStyle w:val="Compact"/>
              <w:spacing w:before="0" w:after="0" w:lineRule="exact" w:line="200"/>
              <w:jc w:val="left"/>
            </w:pPr>
            <w:r>
              <w:rPr>
                <w:sz w:val="16"/>
              </w:rPr>
              <w:t xml:space="preserve">(7.237)</w:t>
            </w:r>
          </w:p>
        </w:tc>
        <w:tc>
          <w:tcPr>
            <w:tcW w:w="1371" w:type="dxa"/>
          </w:tcPr>
          <w:p>
            <w:pPr>
              <w:pStyle w:val="Compact"/>
              <w:spacing w:before="0" w:after="0" w:lineRule="exact" w:line="200"/>
              <w:jc w:val="left"/>
            </w:pPr>
            <w:r>
              <w:rPr>
                <w:sz w:val="16"/>
              </w:rPr>
              <w:t xml:space="preserve">(6.165)</w:t>
            </w:r>
          </w:p>
        </w:tc>
        <w:tc>
          <w:tcPr>
            <w:tcW w:w="1371" w:type="dxa"/>
          </w:tcPr>
          <w:p>
            <w:pPr>
              <w:pStyle w:val="Compact"/>
              <w:spacing w:before="0" w:after="0" w:lineRule="exact" w:line="200"/>
              <w:jc w:val="left"/>
            </w:pPr>
            <w:r>
              <w:rPr>
                <w:sz w:val="16"/>
              </w:rPr>
              <w:t xml:space="preserve">(7.166)</w:t>
            </w:r>
          </w:p>
        </w:tc>
      </w:tr>
      <w:tr>
        <w:trPr>
          <w:cantSplit/>
        </w:trPr>
        <w:tc>
          <w:tcPr>
            <w:tcW w:w="2326" w:type="dxa"/>
          </w:tcPr>
          <w:p>
            <w:pPr>
              <w:pStyle w:val="Compact"/>
              <w:spacing w:before="0" w:after="0" w:lineRule="exact" w:line="200"/>
              <w:jc w:val="left"/>
            </w:pPr>
            <w:r>
              <w:rPr>
                <w:sz w:val="16"/>
              </w:rPr>
              <w:t xml:space="preserve">Observations</w:t>
            </w:r>
          </w:p>
        </w:tc>
        <w:tc>
          <w:tcPr>
            <w:tcW w:w="1252" w:type="dxa"/>
          </w:tcPr>
          <w:p>
            <w:pPr>
              <w:pStyle w:val="Compact"/>
              <w:spacing w:before="0" w:after="0" w:lineRule="exact" w:line="200"/>
              <w:jc w:val="left"/>
            </w:pPr>
            <w:r>
              <w:rPr>
                <w:sz w:val="16"/>
              </w:rPr>
              <w:t xml:space="preserve">202</w:t>
            </w:r>
          </w:p>
        </w:tc>
        <w:tc>
          <w:tcPr>
            <w:tcW w:w="1252" w:type="dxa"/>
          </w:tcPr>
          <w:p>
            <w:pPr>
              <w:pStyle w:val="Compact"/>
              <w:spacing w:before="0" w:after="0" w:lineRule="exact" w:line="200"/>
              <w:jc w:val="left"/>
            </w:pPr>
            <w:r>
              <w:rPr>
                <w:sz w:val="16"/>
              </w:rPr>
              <w:t xml:space="preserve">178</w:t>
            </w:r>
          </w:p>
        </w:tc>
        <w:tc>
          <w:tcPr>
            <w:tcW w:w="1252" w:type="dxa"/>
          </w:tcPr>
          <w:p>
            <w:pPr>
              <w:pStyle w:val="Compact"/>
              <w:spacing w:before="0" w:after="0" w:lineRule="exact" w:line="200"/>
              <w:jc w:val="left"/>
            </w:pPr>
            <w:r>
              <w:rPr>
                <w:sz w:val="16"/>
              </w:rPr>
              <w:t xml:space="preserve">178</w:t>
            </w:r>
          </w:p>
        </w:tc>
        <w:tc>
          <w:tcPr>
            <w:tcW w:w="1371" w:type="dxa"/>
          </w:tcPr>
          <w:p>
            <w:pPr>
              <w:pStyle w:val="Compact"/>
              <w:spacing w:before="0" w:after="0" w:lineRule="exact" w:line="200"/>
              <w:jc w:val="left"/>
            </w:pPr>
            <w:r>
              <w:rPr>
                <w:sz w:val="16"/>
              </w:rPr>
              <w:t xml:space="preserve">202</w:t>
            </w:r>
          </w:p>
        </w:tc>
        <w:tc>
          <w:tcPr>
            <w:tcW w:w="1371" w:type="dxa"/>
          </w:tcPr>
          <w:p>
            <w:pPr>
              <w:pStyle w:val="Compact"/>
              <w:spacing w:before="0" w:after="0" w:lineRule="exact" w:line="200"/>
              <w:jc w:val="left"/>
            </w:pPr>
            <w:r>
              <w:rPr>
                <w:sz w:val="16"/>
              </w:rPr>
              <w:t xml:space="preserve">178</w:t>
            </w:r>
          </w:p>
        </w:tc>
        <w:tc>
          <w:tcPr>
            <w:tcW w:w="1371" w:type="dxa"/>
          </w:tcPr>
          <w:p>
            <w:pPr>
              <w:pStyle w:val="Compact"/>
              <w:spacing w:before="0" w:after="0" w:lineRule="exact" w:line="200"/>
              <w:jc w:val="left"/>
            </w:pPr>
            <w:r>
              <w:rPr>
                <w:sz w:val="16"/>
              </w:rPr>
              <w:t xml:space="preserve">178</w:t>
            </w:r>
          </w:p>
        </w:tc>
      </w:tr>
      <w:tr>
        <w:trPr>
          <w:cantSplit/>
        </w:trPr>
        <w:tc>
          <w:tcPr>
            <w:tcW w:w="2326" w:type="dxa"/>
          </w:tcPr>
          <w:p>
            <w:pPr>
              <w:pStyle w:val="Compact"/>
              <w:spacing w:before="0" w:after="0" w:lineRule="exact" w:line="200"/>
              <w:jc w:val="left"/>
            </w:pPr>
            <w:r>
              <w:rPr>
                <w:sz w:val="16"/>
              </w:rPr>
              <w:t xml:space="preserve">Platforms (clusters)</w:t>
            </w:r>
          </w:p>
        </w:tc>
        <w:tc>
          <w:tcPr>
            <w:tcW w:w="1252" w:type="dxa"/>
          </w:tcPr>
          <w:p>
            <w:pPr>
              <w:pStyle w:val="Compact"/>
              <w:spacing w:before="0" w:after="0" w:lineRule="exact" w:line="200"/>
              <w:jc w:val="left"/>
            </w:pPr>
            <w:r>
              <w:rPr>
                <w:sz w:val="16"/>
              </w:rPr>
              <w:t xml:space="preserve">32</w:t>
            </w:r>
          </w:p>
        </w:tc>
        <w:tc>
          <w:tcPr>
            <w:tcW w:w="1252" w:type="dxa"/>
          </w:tcPr>
          <w:p>
            <w:pPr>
              <w:pStyle w:val="Compact"/>
              <w:spacing w:before="0" w:after="0" w:lineRule="exact" w:line="200"/>
              <w:jc w:val="left"/>
            </w:pPr>
            <w:r>
              <w:rPr>
                <w:sz w:val="16"/>
              </w:rPr>
              <w:t xml:space="preserve">30</w:t>
            </w:r>
          </w:p>
        </w:tc>
        <w:tc>
          <w:tcPr>
            <w:tcW w:w="1252" w:type="dxa"/>
          </w:tcPr>
          <w:p>
            <w:pPr>
              <w:pStyle w:val="Compact"/>
              <w:spacing w:before="0" w:after="0" w:lineRule="exact" w:line="200"/>
              <w:jc w:val="left"/>
            </w:pPr>
            <w:r>
              <w:rPr>
                <w:sz w:val="16"/>
              </w:rPr>
              <w:t xml:space="preserve">30</w:t>
            </w:r>
          </w:p>
        </w:tc>
        <w:tc>
          <w:tcPr>
            <w:tcW w:w="1371" w:type="dxa"/>
          </w:tcPr>
          <w:p>
            <w:pPr>
              <w:pStyle w:val="Compact"/>
              <w:spacing w:before="0" w:after="0" w:lineRule="exact" w:line="200"/>
              <w:jc w:val="left"/>
            </w:pPr>
            <w:r>
              <w:rPr>
                <w:sz w:val="16"/>
              </w:rPr>
              <w:t xml:space="preserve">32</w:t>
            </w:r>
          </w:p>
        </w:tc>
        <w:tc>
          <w:tcPr>
            <w:tcW w:w="1371" w:type="dxa"/>
          </w:tcPr>
          <w:p>
            <w:pPr>
              <w:pStyle w:val="Compact"/>
              <w:spacing w:before="0" w:after="0" w:lineRule="exact" w:line="200"/>
              <w:jc w:val="left"/>
            </w:pPr>
            <w:r>
              <w:rPr>
                <w:sz w:val="16"/>
              </w:rPr>
              <w:t xml:space="preserve">30</w:t>
            </w:r>
          </w:p>
        </w:tc>
        <w:tc>
          <w:tcPr>
            <w:tcW w:w="1371" w:type="dxa"/>
          </w:tcPr>
          <w:p>
            <w:pPr>
              <w:pStyle w:val="Compact"/>
              <w:spacing w:before="0" w:after="0" w:lineRule="exact" w:line="200"/>
              <w:jc w:val="left"/>
            </w:pPr>
            <w:r>
              <w:rPr>
                <w:sz w:val="16"/>
              </w:rPr>
              <w:t xml:space="preserve">30</w:t>
            </w:r>
          </w:p>
        </w:tc>
      </w:tr>
      <w:tr>
        <w:trPr>
          <w:cantSplit/>
        </w:trPr>
        <w:tc>
          <w:tcPr>
            <w:tcW w:w="2326" w:type="dxa"/>
          </w:tcPr>
          <w:p>
            <w:pPr>
              <w:pStyle w:val="Compact"/>
              <w:spacing w:before="0" w:after="0" w:lineRule="exact" w:line="200"/>
              <w:jc w:val="left"/>
            </w:pPr>
            <w:r>
              <w:rPr>
                <w:iCs/>
                <w:i/>
                <w:sz w:val="16"/>
              </w:rPr>
              <w:t xml:space="preserve">R</w:t>
            </w:r>
            <w:r>
              <w:rPr>
                <w:sz w:val="16"/>
                <w:vertAlign w:val="superscript"/>
              </w:rPr>
              <w:t xml:space="preserve">2</w:t>
            </w:r>
          </w:p>
        </w:tc>
        <w:tc>
          <w:tcPr>
            <w:tcW w:w="1252" w:type="dxa"/>
          </w:tcPr>
          <w:p>
            <w:pPr>
              <w:pStyle w:val="Compact"/>
              <w:spacing w:before="0" w:after="0" w:lineRule="exact" w:line="200"/>
              <w:jc w:val="left"/>
            </w:pPr>
            <w:r>
              <w:rPr>
                <w:sz w:val="16"/>
              </w:rPr>
              <w:t xml:space="preserve">0.808</w:t>
            </w:r>
          </w:p>
        </w:tc>
        <w:tc>
          <w:tcPr>
            <w:tcW w:w="1252" w:type="dxa"/>
          </w:tcPr>
          <w:p>
            <w:pPr>
              <w:pStyle w:val="Compact"/>
              <w:spacing w:before="0" w:after="0" w:lineRule="exact" w:line="200"/>
              <w:jc w:val="left"/>
            </w:pPr>
            <w:r>
              <w:rPr>
                <w:sz w:val="16"/>
              </w:rPr>
              <w:t xml:space="preserve">0.842</w:t>
            </w:r>
          </w:p>
        </w:tc>
        <w:tc>
          <w:tcPr>
            <w:tcW w:w="1252" w:type="dxa"/>
          </w:tcPr>
          <w:p>
            <w:pPr>
              <w:pStyle w:val="Compact"/>
              <w:spacing w:before="0" w:after="0" w:lineRule="exact" w:line="200"/>
              <w:jc w:val="left"/>
            </w:pPr>
            <w:r>
              <w:rPr>
                <w:sz w:val="16"/>
              </w:rPr>
              <w:t xml:space="preserve">0.867</w:t>
            </w:r>
          </w:p>
        </w:tc>
        <w:tc>
          <w:tcPr>
            <w:tcW w:w="1371" w:type="dxa"/>
          </w:tcPr>
          <w:p>
            <w:pPr>
              <w:pStyle w:val="Compact"/>
              <w:spacing w:before="0" w:after="0" w:lineRule="exact" w:line="200"/>
              <w:jc w:val="left"/>
            </w:pPr>
            <w:r>
              <w:rPr>
                <w:sz w:val="16"/>
              </w:rPr>
              <w:t xml:space="preserve">0.438</w:t>
            </w:r>
          </w:p>
        </w:tc>
        <w:tc>
          <w:tcPr>
            <w:tcW w:w="1371" w:type="dxa"/>
          </w:tcPr>
          <w:p>
            <w:pPr>
              <w:pStyle w:val="Compact"/>
              <w:spacing w:before="0" w:after="0" w:lineRule="exact" w:line="200"/>
              <w:jc w:val="left"/>
            </w:pPr>
            <w:r>
              <w:rPr>
                <w:sz w:val="16"/>
              </w:rPr>
              <w:t xml:space="preserve">0.515</w:t>
            </w:r>
          </w:p>
        </w:tc>
        <w:tc>
          <w:tcPr>
            <w:tcW w:w="1371" w:type="dxa"/>
          </w:tcPr>
          <w:p>
            <w:pPr>
              <w:pStyle w:val="Compact"/>
              <w:spacing w:before="0" w:after="0" w:lineRule="exact" w:line="200"/>
              <w:jc w:val="left"/>
            </w:pPr>
            <w:r>
              <w:rPr>
                <w:sz w:val="16"/>
              </w:rPr>
              <w:t xml:space="preserve">0.571</w:t>
            </w:r>
          </w:p>
        </w:tc>
      </w:tr>
      <w:tr>
        <w:trPr>
          <w:cantSplit/>
        </w:trPr>
        <w:tc>
          <w:tcPr>
            <w:tcW w:w="2326" w:type="dxa"/>
          </w:tcPr>
          <w:p>
            <w:pPr>
              <w:pStyle w:val="Compact"/>
              <w:spacing w:before="0" w:after="0" w:lineRule="exact" w:line="200"/>
              <w:jc w:val="left"/>
            </w:pPr>
            <w:r>
              <w:rPr>
                <w:sz w:val="16"/>
              </w:rPr>
              <w:t xml:space="preserve">Year dummies</w:t>
            </w:r>
          </w:p>
        </w:tc>
        <w:tc>
          <w:tcPr>
            <w:tcW w:w="1252" w:type="dxa"/>
          </w:tcPr>
          <w:p>
            <w:pPr>
              <w:pStyle w:val="Compact"/>
              <w:spacing w:before="0" w:after="0" w:lineRule="exact" w:line="200"/>
              <w:jc w:val="left"/>
            </w:pPr>
            <w:r>
              <w:rPr>
                <w:sz w:val="16"/>
              </w:rPr>
              <w:t xml:space="preserve">No</w:t>
            </w:r>
          </w:p>
        </w:tc>
        <w:tc>
          <w:tcPr>
            <w:tcW w:w="1252" w:type="dxa"/>
          </w:tcPr>
          <w:p>
            <w:pPr>
              <w:pStyle w:val="Compact"/>
              <w:spacing w:before="0" w:after="0" w:lineRule="exact" w:line="200"/>
              <w:jc w:val="left"/>
            </w:pPr>
            <w:r>
              <w:rPr>
                <w:sz w:val="16"/>
              </w:rPr>
              <w:t xml:space="preserve">No</w:t>
            </w:r>
          </w:p>
        </w:tc>
        <w:tc>
          <w:tcPr>
            <w:tcW w:w="1252" w:type="dxa"/>
          </w:tcPr>
          <w:p>
            <w:pPr>
              <w:pStyle w:val="Compact"/>
              <w:spacing w:before="0" w:after="0" w:lineRule="exact" w:line="200"/>
              <w:jc w:val="left"/>
            </w:pPr>
            <w:r>
              <w:rPr>
                <w:sz w:val="16"/>
              </w:rPr>
              <w:t xml:space="preserve">Yes</w:t>
            </w:r>
          </w:p>
        </w:tc>
        <w:tc>
          <w:tcPr>
            <w:tcW w:w="1371" w:type="dxa"/>
          </w:tcPr>
          <w:p>
            <w:pPr>
              <w:pStyle w:val="Compact"/>
              <w:spacing w:before="0" w:after="0" w:lineRule="exact" w:line="200"/>
              <w:jc w:val="left"/>
            </w:pPr>
            <w:r>
              <w:rPr>
                <w:sz w:val="16"/>
              </w:rPr>
              <w:t xml:space="preserve">No</w:t>
            </w:r>
          </w:p>
        </w:tc>
        <w:tc>
          <w:tcPr>
            <w:tcW w:w="1371" w:type="dxa"/>
          </w:tcPr>
          <w:p>
            <w:pPr>
              <w:pStyle w:val="Compact"/>
              <w:spacing w:before="0" w:after="0" w:lineRule="exact" w:line="200"/>
              <w:jc w:val="left"/>
            </w:pPr>
            <w:r>
              <w:rPr>
                <w:sz w:val="16"/>
              </w:rPr>
              <w:t xml:space="preserve">No</w:t>
            </w:r>
          </w:p>
        </w:tc>
        <w:tc>
          <w:tcPr>
            <w:tcW w:w="1371" w:type="dxa"/>
          </w:tcPr>
          <w:p>
            <w:pPr>
              <w:pStyle w:val="Compact"/>
              <w:spacing w:before="0" w:after="0" w:lineRule="exact" w:line="200"/>
              <w:jc w:val="left"/>
            </w:pPr>
            <w:r>
              <w:rPr>
                <w:sz w:val="16"/>
              </w:rPr>
              <w:t xml:space="preserve">Yes</w:t>
            </w:r>
          </w:p>
        </w:tc>
      </w:tr>
      <w:tr>
        <w:trPr>
          <w:cantSplit/>
        </w:trPr>
        <w:tc>
          <w:tcPr>
            <w:tcW w:w="2326" w:type="dxa"/>
          </w:tcPr>
          <w:p>
            <w:pPr>
              <w:pStyle w:val="Compact"/>
              <w:spacing w:before="0" w:after="0" w:lineRule="exact" w:line="200"/>
              <w:jc w:val="left"/>
            </w:pPr>
            <w:r>
              <w:rPr>
                <w:sz w:val="16"/>
              </w:rPr>
              <w:t xml:space="preserve">Wild-bootstrap</w:t>
            </w:r>
            <w:r>
              <w:rPr>
                <w:sz w:val="16"/>
              </w:rPr>
              <w:t xml:space="preserve"> </w:t>
            </w:r>
            <w:r>
              <w:rPr>
                <w:iCs/>
                <w:i/>
                <w:sz w:val="16"/>
              </w:rPr>
              <w:t xml:space="preserve">p</w:t>
            </w:r>
            <w:r>
              <w:rPr>
                <w:sz w:val="16"/>
              </w:rPr>
              <w:t xml:space="preserve">, IndonesiaRegion</w:t>
            </w:r>
          </w:p>
        </w:tc>
        <w:tc>
          <w:tcPr>
            <w:tcW w:w="1252" w:type="dxa"/>
          </w:tcPr>
          <w:p>
            <w:pPr>
              <w:pStyle w:val="Compact"/>
              <w:spacing w:before="0" w:after="0" w:lineRule="exact" w:line="200"/>
              <w:jc w:val="left"/>
            </w:pPr>
            <w:r>
              <w:rPr>
                <w:sz w:val="16"/>
              </w:rPr>
              <w:t xml:space="preserve">0.848</w:t>
            </w:r>
          </w:p>
        </w:tc>
        <w:tc>
          <w:tcPr>
            <w:tcW w:w="1252" w:type="dxa"/>
          </w:tcPr>
          <w:p>
            <w:pPr>
              <w:pStyle w:val="Compact"/>
              <w:spacing w:before="0" w:after="0" w:lineRule="exact" w:line="200"/>
              <w:jc w:val="left"/>
            </w:pPr>
            <w:r>
              <w:rPr>
                <w:sz w:val="16"/>
              </w:rPr>
              <w:t xml:space="preserve">0.475</w:t>
            </w:r>
          </w:p>
        </w:tc>
        <w:tc>
          <w:tcPr>
            <w:tcW w:w="1252" w:type="dxa"/>
          </w:tcPr>
          <w:p>
            <w:pPr>
              <w:pStyle w:val="Compact"/>
              <w:spacing w:before="0" w:after="0" w:lineRule="exact" w:line="200"/>
              <w:jc w:val="left"/>
            </w:pPr>
            <w:r>
              <w:rPr>
                <w:sz w:val="16"/>
              </w:rPr>
              <w:t xml:space="preserve">0.866</w:t>
            </w:r>
          </w:p>
        </w:tc>
        <w:tc>
          <w:tcPr>
            <w:tcW w:w="1371" w:type="dxa"/>
          </w:tcPr>
          <w:p>
            <w:pPr>
              <w:pStyle w:val="Compact"/>
              <w:spacing w:before="0" w:after="0" w:lineRule="exact" w:line="200"/>
              <w:jc w:val="left"/>
            </w:pPr>
            <w:r>
              <w:rPr>
                <w:sz w:val="16"/>
              </w:rPr>
              <w:t xml:space="preserve">0.031</w:t>
            </w:r>
          </w:p>
        </w:tc>
        <w:tc>
          <w:tcPr>
            <w:tcW w:w="1371" w:type="dxa"/>
          </w:tcPr>
          <w:p>
            <w:pPr>
              <w:pStyle w:val="Compact"/>
              <w:spacing w:before="0" w:after="0" w:lineRule="exact" w:line="200"/>
              <w:jc w:val="left"/>
            </w:pPr>
            <w:r>
              <w:rPr>
                <w:sz w:val="16"/>
              </w:rPr>
              <w:t xml:space="preserve">0.039</w:t>
            </w:r>
          </w:p>
        </w:tc>
        <w:tc>
          <w:tcPr>
            <w:tcW w:w="1371" w:type="dxa"/>
          </w:tcPr>
          <w:p>
            <w:pPr>
              <w:pStyle w:val="Compact"/>
              <w:spacing w:before="0" w:after="0" w:lineRule="exact" w:line="200"/>
              <w:jc w:val="left"/>
            </w:pPr>
            <w:r>
              <w:rPr>
                <w:sz w:val="16"/>
              </w:rPr>
              <w:t xml:space="preserve">0.005</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The take rate and its parts are not regressors, because the ecosystem ratio is one divided by the take rate, minus one. Source: company filings; SEC filings; World Bank; Bank for International Settlements; author’s calculations. Exploratory.</w:t>
      </w:r>
    </w:p>
    <w:p>
      <w:pPr>
        <w:pStyle w:val="BodyText"/>
      </w:pPr>
      <w:r>
        <w:rPr>
          <w:bCs/>
          <w:b/>
        </w:rPr>
        <w:t xml:space="preserve">The wedge scales with the size of the platform.</w:t>
      </w:r>
      <w:r>
        <w:t xml:space="preserve"> </w:t>
      </w:r>
      <w:r>
        <w:t xml:space="preserve">A 1 percent rise in total assets goes with a rise of about 0.9 percent in the wedge, and the regressors of column (1) explain 81 percent of its variation. Once size is held fixed, Indonesian and regional platforms do not carry a different wedge. The coefficient on IndonesiaRegion is −0.07 in column (1) and stays between −0.30 and 0.08 in the others, never close to significance. On-demand platforms carry about 60 percent less wedge for their assets than marketplaces do.</w:t>
      </w:r>
    </w:p>
    <w:p>
      <w:pPr>
        <w:pStyle w:val="BodyText"/>
      </w:pPr>
      <w:r>
        <w:t xml:space="preserve">The ecosystem ratio is different. The Indonesian and regional platforms have a ratio 13 to 17 points above foreign platforms of the same type, size and age, in markets with the same growth, inflation and interest rates (columns 4 to 6). The foreign mean is about 9. The wild-bootstrap p-values, which allow for the small number of clusters, are between 0.005 and 0.04. Size and age explain little of the ratio. Type explains a good deal: on-demand platforms have ratios 17 to 20 points below marketplaces, which means that they keep a much larger share of each sale, and travel, freelance and resale platforms are 7 to 14 points below. A home market that grows faster has a higher ratio, by about 1.3 to 1.5 points for each point of GDP growth, an exploratory pattern that the thesis does not read as causal.</w:t>
      </w:r>
    </w:p>
    <w:p>
      <w:pPr>
        <w:pStyle w:val="BodyText"/>
      </w:pPr>
      <w:r>
        <w:t xml:space="preserve">The result for the Indonesian and regional platforms survives the checks of Appendix C. The coefficient stays between 15 and 18 when each of the five platforms is dropped in turn, and it is 21 without Alibaba, Pinduoduo, Rakuten and Shopify. It is 28.5 when the ratio is not capped (p = 0.008), 17 when a dummy for emerging home markets is added, whose own coefficient is close to zero (0.4, p = 0.94), and 17 without the six platforms whose main market is ambiguous.</w:t>
      </w:r>
      <w:r>
        <w:t xml:space="preserve"> </w:t>
      </w:r>
      <w:r>
        <w:rPr>
          <w:bCs/>
          <w:b/>
        </w:rPr>
        <w:t xml:space="preserve">So the thin take rates of Indonesian and regional platforms are not a general emerging-market pattern.</w:t>
      </w:r>
      <w:r>
        <w:t xml:space="preserve"> </w:t>
      </w:r>
      <w:r>
        <w:t xml:space="preserve">Total assets are those of the whole company, which is larger than the platform business at GoTo, Rakuten and Sea, so size is measured with error, and the result rests on five platforms.</w:t>
      </w:r>
    </w:p>
    <w:p>
      <w:pPr>
        <w:pStyle w:val="BodyText"/>
      </w:pPr>
      <w:r>
        <w:t xml:space="preserve">The regression does not say how a platform moved its take rate. Company reports do, for the seven windows traced in Appendix B, where the growth of revenue is split into more commerce, higher fees and lower incentives.</w:t>
      </w:r>
      <w:r>
        <w:t xml:space="preserve"> </w:t>
      </w:r>
      <w:r>
        <w:rPr>
          <w:bCs/>
          <w:b/>
        </w:rPr>
        <w:t xml:space="preserve">Higher fees and lower incentives together outweighed more commerce in every window.</w:t>
      </w:r>
      <w:r>
        <w:t xml:space="preserve"> </w:t>
      </w:r>
      <w:r>
        <w:t xml:space="preserve">Lower incentives were the larger of the two in four windows and higher fees in two. In the seventh, Grab from 2021 to 2024, the two were nearly equal. The windows of one platform overlap, so they are not seven independent cases.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higher fees account for more of the rise in the take rate. The two views differ only on which lever led (Figure 5.2).</w:t>
      </w:r>
    </w:p>
    <w:p>
      <w:pPr>
        <w:pStyle w:val="BodyText"/>
        <w:keepNext/>
        <w:spacing w:before="114" w:after="0" w:line="240" w:lineRule="auto"/>
        <w:jc w:val="center"/>
      </w:pPr>
      <w:r>
        <w:drawing>
          <wp:inline>
            <wp:extent cx="5425001" cy="1800000"/>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425001" cy="1800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5.2. Tokopedia, 2022 to 2023: two ways to split the rise in revenue.</w:t>
      </w:r>
      <w:r>
        <w:rPr>
          <w:sz w:val="16"/>
        </w:rPr>
        <w:t xml:space="preserve"> </w:t>
      </w:r>
      <w:r>
        <w:rPr>
          <w:sz w:val="16"/>
        </w:rP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p>
      <w:pPr>
        <w:pStyle w:val="BodyText"/>
      </w:pPr>
      <w:r>
        <w:t xml:space="preserve">The ecosystem ratio matters for three groups. For investors, a high ratio means that small changes in fees or discounts produce large swings in revenue growth. At the typical Indonesian and regional ratio of 35, the platform keeps about 2.8 percent of each sale, and a rise of 1 point in the take rate lifts revenue by about 36 percent at constant volume. At the typical foreign ratio of 5.5, the same rise lifts it by 6.5 percent. So a revenue multiple means something different in the two groups, because each unit of revenue stands for 36 units of transaction value in one and 6.5 in the other. Growth that comes from the take rate cannot go on without end, and Section 5.4 shows that markets priced transaction value.</w:t>
      </w:r>
    </w:p>
    <w:p>
      <w:pPr>
        <w:pStyle w:val="BodyText"/>
      </w:pPr>
      <w:r>
        <w:t xml:space="preserve">For sellers and drivers, a high ratio means that most of each sale goes to them and not to the platform. A rising take rate means that the platform keeps more of each sale. The take rate rose in 87 percent of the Indonesian and regional pairs, against 65 percent abroad, and at Tokopedia part of the rise came from smaller discounts, which are paid to buyers. Whether that shows market power is a question the thesis cannot answer, because it holds no data on what sellers and drivers paid or could have chosen instead. The pattern is also consistent with platforms that listed in 2021 and 2022 moving from growth to earnings, since their largest moves came one or two years after listing.</w:t>
      </w:r>
    </w:p>
    <w:p>
      <w:pPr>
        <w:pStyle w:val="BodyText"/>
      </w:pPr>
      <w:r>
        <w:t xml:space="preserve">For policy, the wedge is the base that revenue-based rules do not reach. A rule that acts on platform revenue acts on about 3 percent of the commerce at a typical Indonesian or regional platform. A cap on commissions acts on the fee rate, and a limit on discounts acts on the incentive rate, the two parts of the take rate in equation (5). Chapter 6 sets each rule against the part it reaches.</w:t>
      </w:r>
    </w:p>
    <w:bookmarkEnd w:id="60"/>
    <w:bookmarkStart w:id="61" w:name="what-markets-valued"/>
    <w:p>
      <w:pPr>
        <w:pStyle w:val="Heading2"/>
      </w:pPr>
      <w:r>
        <w:t xml:space="preserve">5.4 What markets valued</w:t>
      </w:r>
    </w:p>
    <w:p>
      <w:pPr>
        <w:pStyle w:val="FirstParagraph"/>
      </w:pPr>
      <w:r>
        <w:rPr>
          <w:bCs/>
          <w:b/>
        </w:rPr>
        <w:t xml:space="preserve">Across 28 listed platforms and 138 platform-years, market value moved with transaction value, a registered result.</w:t>
      </w:r>
      <w:r>
        <w:t xml:space="preserve"> </w:t>
      </w:r>
      <w:r>
        <w:t xml:space="preserve">A 1 percent rise in transaction value goes with a rise of about 0.6 percent in market value (</w:t>
      </w:r>
      <w:r>
        <w:rPr>
          <w:rFonts w:ascii="Cambria" w:hAnsi="Cambria" w:cs="Cambria" w:eastAsia="Cambria"/>
        </w:rPr>
        <w:t xml:space="preserve">β</w:t>
      </w:r>
      <w:r>
        <w:rPr>
          <w:vertAlign w:val="subscript"/>
        </w:rPr>
        <w:t xml:space="preserve">V</w:t>
      </w:r>
      <w:r>
        <w:t xml:space="preserve"> </w:t>
      </w:r>
      <w:r>
        <w:t xml:space="preserve">in equation (9), p = 0.002). Section 4.5 describes this sample, which differs from the 27 foreign platforms of H1.</w:t>
      </w:r>
    </w:p>
    <w:p>
      <w:pPr>
        <w:pStyle w:val="BodyText"/>
      </w:pPr>
      <w:r>
        <w:rPr>
          <w:bCs/>
          <w:b/>
        </w:rPr>
        <w:t xml:space="preserve">The second registered prediction does not hold in the main sample.</w:t>
      </w:r>
      <w:r>
        <w:t xml:space="preserve"> </w:t>
      </w:r>
      <w:r>
        <w:t xml:space="preserve">It expected markets to value growth from a higher take rate less than growth from more commerce. A 1 percent rise in the take rate goes with a rise of about 0.3 percent (</w:t>
      </w:r>
      <w:r>
        <w:rPr>
          <w:rFonts w:ascii="Cambria" w:hAnsi="Cambria" w:cs="Cambria" w:eastAsia="Cambria"/>
        </w:rPr>
        <w:t xml:space="preserve">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rPr>
          <w:bCs/>
          <w:b/>
        </w:rPr>
        <w:t xml:space="preserve">Buying through platforms did not boom in 2023.</w:t>
      </w:r>
      <w:r>
        <w:t xml:space="preserve"> </w:t>
      </w:r>
      <w:r>
        <w:t xml:space="preserve">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114" w:after="0" w:line="240" w:lineRule="auto"/>
        <w:jc w:val="center"/>
      </w:pPr>
      <w:r>
        <w:drawing>
          <wp:inline>
            <wp:extent cx="5650105" cy="3024000"/>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650105" cy="3024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5.3. Growth in 2023 (percent).</w:t>
      </w:r>
      <w:r>
        <w:rPr>
          <w:sz w:val="16"/>
        </w:rPr>
        <w:t xml:space="preserve"> </w:t>
      </w:r>
      <w:r>
        <w:rPr>
          <w:sz w:val="16"/>
        </w:rP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E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rPr>
          <w:bCs/>
          <w:b/>
        </w:rPr>
        <w:t xml:space="preserve">H2 holds on BPS’s published figures, but the registered entry test shows that first-time entry cannot explain the whole rise in the count.</w:t>
      </w:r>
      <w:r>
        <w:t xml:space="preserve"> </w:t>
      </w:r>
      <w:r>
        <w:t xml:space="preserve">From 2022 to 2023, online sales value grew by 41 percent. The number of businesses grew by 27 percent and sales per business by 10 percent, so more businesses account for most of the growth.</w:t>
      </w:r>
    </w:p>
    <w:p>
      <w:pPr>
        <w:pStyle w:val="BodyText"/>
      </w:pPr>
      <w:r>
        <w:t xml:space="preserve">H2 holds again from 2023 to 2024. Value grew by 17 percent, the number of businesses by 15 percent and sales per business by 1.5 percent, or by 12 and 4.7 percent on BPS’s other count for 2023. The split of equation (8) is arithmetic, and it cannot tell a new seller from one counted for the first time.</w:t>
      </w:r>
    </w:p>
    <w:p>
      <w:pPr>
        <w:pStyle w:val="BodyText"/>
      </w:pPr>
      <w:r>
        <w:rPr>
          <w:bCs/>
          <w:b/>
        </w:rPr>
        <w:t xml:space="preserve">The registered entry test separates new sellers from sellers counted for the first time, and it fails.</w:t>
      </w:r>
      <w:r>
        <w:t xml:space="preserve"> </w:t>
      </w:r>
      <w:r>
        <w:t xml:space="preserve">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rPr>
          <w:bCs/>
          <w:b/>
        </w:rPr>
        <w:t xml:space="preserve">About half of the 2023 rise in the count is not explained by first-time entry, an exploratory result.</w:t>
      </w:r>
      <w:r>
        <w:t xml:space="preserve"> </w:t>
      </w:r>
      <w:r>
        <w:t xml:space="preserve">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keepNext/>
        <w:spacing w:before="140" w:after="56" w:lineRule="exact" w:line="246"/>
        <w:jc w:val="left"/>
      </w:pPr>
      <w:r>
        <w:rPr>
          <w:b/>
          <w:sz w:val="17"/>
        </w:rPr>
        <w:t>Table 5.5.</w:t>
      </w:r>
      <w:r>
        <w:rPr>
          <w:b w:val="0"/>
          <w:sz w:val="17"/>
        </w:rPr>
        <w:t xml:space="preserve"> The 2023 rise in the count of online sellers (thousands)</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4950"/>
        <w:gridCol w:w="1950"/>
        <w:gridCol w:w="3300"/>
      </w:tblGrid>
      <w:tr>
        <w:trPr>
          <w:tblHeader w:val="true"/>
          <w:cantSplit/>
          <w:tblHeader/>
        </w:trPr>
        <w:tc>
          <w:tcPr>
            <w:tcW w:w="4950" w:type="dxa"/>
            <w:tcBorders>
              <w:bottom w:val="single" w:sz="4" w:space="0" w:color="111111"/>
            </w:tcBorders>
          </w:tcPr>
          <w:p>
            <w:pPr>
              <w:pStyle w:val="Compact"/>
              <w:keepNext/>
              <w:spacing w:before="0" w:after="0" w:lineRule="exact" w:line="200"/>
              <w:jc w:val="left"/>
            </w:pPr>
            <w:r>
              <w:rPr>
                <w:b/>
                <w:sz w:val="16"/>
              </w:rPr>
              <w:t xml:space="preserve">Part of the rise</w:t>
            </w:r>
          </w:p>
        </w:tc>
        <w:tc>
          <w:tcPr>
            <w:tcW w:w="1950" w:type="dxa"/>
            <w:tcBorders>
              <w:bottom w:val="single" w:sz="4" w:space="0" w:color="111111"/>
            </w:tcBorders>
          </w:tcPr>
          <w:p>
            <w:pPr>
              <w:pStyle w:val="Compact"/>
              <w:keepNext/>
              <w:spacing w:before="0" w:after="0" w:lineRule="exact" w:line="200"/>
              <w:jc w:val="left"/>
            </w:pPr>
            <w:r>
              <w:rPr>
                <w:b/>
                <w:sz w:val="16"/>
              </w:rPr>
              <w:t xml:space="preserve">If no seller stopped</w:t>
            </w:r>
          </w:p>
        </w:tc>
        <w:tc>
          <w:tcPr>
            <w:tcW w:w="3300" w:type="dxa"/>
            <w:tcBorders>
              <w:bottom w:val="single" w:sz="4" w:space="0" w:color="111111"/>
            </w:tcBorders>
          </w:tcPr>
          <w:p>
            <w:pPr>
              <w:pStyle w:val="Compact"/>
              <w:keepNext/>
              <w:spacing w:before="0" w:after="0" w:lineRule="exact" w:line="200"/>
              <w:jc w:val="left"/>
            </w:pPr>
            <w:r>
              <w:rPr>
                <w:b/>
                <w:sz w:val="16"/>
              </w:rPr>
              <w:t xml:space="preserve">If sellers stopped at 5 percent a year</w:t>
            </w:r>
          </w:p>
        </w:tc>
      </w:tr>
      <w:tr>
        <w:trPr>
          <w:cantSplit/>
        </w:trPr>
        <w:tc>
          <w:tcPr>
            <w:tcW w:w="4950" w:type="dxa"/>
          </w:tcPr>
          <w:p>
            <w:pPr>
              <w:pStyle w:val="Compact"/>
              <w:keepNext/>
              <w:spacing w:before="0" w:after="0" w:lineRule="exact" w:line="200"/>
              <w:jc w:val="left"/>
            </w:pPr>
            <w:r>
              <w:rPr>
                <w:sz w:val="16"/>
              </w:rPr>
              <w:t xml:space="preserve">Rise between the weighted totals of the two files</w:t>
            </w:r>
          </w:p>
        </w:tc>
        <w:tc>
          <w:tcPr>
            <w:tcW w:w="1950" w:type="dxa"/>
          </w:tcPr>
          <w:p>
            <w:pPr>
              <w:pStyle w:val="Compact"/>
              <w:keepNext/>
              <w:spacing w:before="0" w:after="0" w:lineRule="exact" w:line="200"/>
              <w:jc w:val="left"/>
            </w:pPr>
            <w:r>
              <w:rPr>
                <w:sz w:val="16"/>
              </w:rPr>
              <w:t xml:space="preserve">819 (100%)</w:t>
            </w:r>
          </w:p>
        </w:tc>
        <w:tc>
          <w:tcPr>
            <w:tcW w:w="3300" w:type="dxa"/>
          </w:tcPr>
          <w:p>
            <w:pPr>
              <w:pStyle w:val="Compact"/>
              <w:keepNext/>
              <w:spacing w:before="0" w:after="0" w:lineRule="exact" w:line="200"/>
              <w:jc w:val="left"/>
            </w:pPr>
            <w:r>
              <w:rPr>
                <w:sz w:val="16"/>
              </w:rPr>
              <w:t xml:space="preserve">819 (100%)</w:t>
            </w:r>
          </w:p>
        </w:tc>
      </w:tr>
      <w:tr>
        <w:trPr>
          <w:cantSplit/>
        </w:trPr>
        <w:tc>
          <w:tcPr>
            <w:tcW w:w="4950" w:type="dxa"/>
          </w:tcPr>
          <w:p>
            <w:pPr>
              <w:pStyle w:val="Compact"/>
              <w:keepNext/>
              <w:spacing w:before="0" w:after="0" w:lineRule="exact" w:line="200"/>
              <w:jc w:val="left"/>
            </w:pPr>
            <w:r>
              <w:rPr>
                <w:sz w:val="16"/>
              </w:rPr>
              <w:t xml:space="preserve">Net entry: sellers who began in 2023, less those who stopped</w:t>
            </w:r>
          </w:p>
        </w:tc>
        <w:tc>
          <w:tcPr>
            <w:tcW w:w="1950" w:type="dxa"/>
          </w:tcPr>
          <w:p>
            <w:pPr>
              <w:pStyle w:val="Compact"/>
              <w:keepNext/>
              <w:spacing w:before="0" w:after="0" w:lineRule="exact" w:line="200"/>
              <w:jc w:val="left"/>
            </w:pPr>
            <w:r>
              <w:rPr>
                <w:sz w:val="16"/>
              </w:rPr>
              <w:t xml:space="preserve">513 (63%)</w:t>
            </w:r>
          </w:p>
        </w:tc>
        <w:tc>
          <w:tcPr>
            <w:tcW w:w="3300" w:type="dxa"/>
          </w:tcPr>
          <w:p>
            <w:pPr>
              <w:pStyle w:val="Compact"/>
              <w:keepNext/>
              <w:spacing w:before="0" w:after="0" w:lineRule="exact" w:line="200"/>
              <w:jc w:val="left"/>
            </w:pPr>
            <w:r>
              <w:rPr>
                <w:sz w:val="16"/>
              </w:rPr>
              <w:t xml:space="preserve">361 (44%)</w:t>
            </w:r>
          </w:p>
        </w:tc>
      </w:tr>
      <w:tr>
        <w:trPr>
          <w:cantSplit/>
        </w:trPr>
        <w:tc>
          <w:tcPr>
            <w:tcW w:w="4950" w:type="dxa"/>
          </w:tcPr>
          <w:p>
            <w:pPr>
              <w:pStyle w:val="Compact"/>
              <w:spacing w:before="0" w:after="0" w:lineRule="exact" w:line="200"/>
              <w:jc w:val="left"/>
            </w:pPr>
            <w:r>
              <w:rPr>
                <w:sz w:val="16"/>
              </w:rPr>
              <w:t xml:space="preserve">Earlier sellers newly counted above the whole 2022 count</w:t>
            </w:r>
          </w:p>
        </w:tc>
        <w:tc>
          <w:tcPr>
            <w:tcW w:w="1950" w:type="dxa"/>
          </w:tcPr>
          <w:p>
            <w:pPr>
              <w:pStyle w:val="Compact"/>
              <w:spacing w:before="0" w:after="0" w:lineRule="exact" w:line="200"/>
              <w:jc w:val="left"/>
            </w:pPr>
            <w:r>
              <w:rPr>
                <w:sz w:val="16"/>
              </w:rPr>
              <w:t xml:space="preserve">306 (37%)</w:t>
            </w:r>
          </w:p>
        </w:tc>
        <w:tc>
          <w:tcPr>
            <w:tcW w:w="3300" w:type="dxa"/>
          </w:tcPr>
          <w:p>
            <w:pPr>
              <w:pStyle w:val="Compact"/>
              <w:spacing w:before="0" w:after="0" w:lineRule="exact" w:line="200"/>
              <w:jc w:val="left"/>
            </w:pPr>
            <w:r>
              <w:rPr>
                <w:sz w:val="16"/>
              </w:rPr>
              <w:t xml:space="preserve">458 (56%)</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rPr>
          <w:bCs/>
          <w:b/>
        </w:rPr>
        <w:t xml:space="preserve">H2 holds on the published series, but it sits right on its threshold once the extra count is read as coverage, an exploratory follow-up.</w:t>
      </w:r>
      <w:r>
        <w:t xml:space="preserve"> </w:t>
      </w:r>
      <w:r>
        <w:t xml:space="preserve">H2’s split treats every seller in the count as having entered. Suppose instead that the sellers not explained by entry were reached by wider coverage, and that their sales came with them. With both taken out of the 2023 figures, the number of businesses grows by 17 percent if no seller stopped, against 14 to 15 percent for sales per business, so H2 holds narrowly. If sellers stopped at 5 percent a year, the number of businesses grows by 12 percent and sales per business by about 16 to 17 percent, so H2 fails by a few points. H2 requires the first growth rate to be the larger. Taking out the sellers but keeping their sales gives 17 against 20 percent, and 12 against 25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rPr>
          <w:bCs/>
          <w:b/>
        </w:rPr>
        <w:t xml:space="preserve">The extra count leaned toward long-running businesses, older owners and places outside Java, an exploratory result.</w:t>
      </w:r>
      <w:r>
        <w:t xml:space="preserve"> </w:t>
      </w:r>
      <w:r>
        <w:t xml:space="preserve">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keepNext/>
        <w:spacing w:before="114" w:after="0" w:line="240" w:lineRule="auto"/>
        <w:jc w:val="center"/>
      </w:pPr>
      <w:r>
        <w:drawing>
          <wp:inline>
            <wp:extent cx="4562143" cy="1800000"/>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4562143" cy="1800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5.4. Who the extra sellers were.</w:t>
      </w:r>
      <w:r>
        <w:rPr>
          <w:sz w:val="16"/>
        </w:rPr>
        <w:t xml:space="preserve"> </w:t>
      </w:r>
      <w:r>
        <w:rPr>
          <w:sz w:val="16"/>
        </w:rP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rPr>
          <w:bCs/>
          <w:b/>
        </w:rPr>
        <w:t xml:space="preserve">Returning sellers still cannot be ruled out.</w:t>
      </w:r>
      <w:r>
        <w:t xml:space="preserve"> </w:t>
      </w:r>
      <w:r>
        <w:t xml:space="preserve">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rPr>
          <w:bCs/>
          <w:b/>
        </w:rPr>
        <w:t xml:space="preserve">Most online selling happens outside marketplaces, and records are thinner there.</w:t>
      </w:r>
      <w:r>
        <w:t xml:space="preserve"> </w:t>
      </w:r>
      <w:r>
        <w:t xml:space="preserve">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114" w:after="0" w:line="240" w:lineRule="auto"/>
        <w:jc w:val="center"/>
      </w:pPr>
      <w:r>
        <w:drawing>
          <wp:inline>
            <wp:extent cx="3926102" cy="1800000"/>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3926102" cy="1800000"/>
                    </a:xfrm>
                    <a:prstGeom prst="rect">
                      <a:avLst/>
                    </a:prstGeom>
                    <a:noFill/>
                    <a:ln w="9525">
                      <a:noFill/>
                      <a:headEnd/>
                      <a:tailEnd/>
                    </a:ln>
                  </pic:spPr>
                </pic:pic>
              </a:graphicData>
            </a:graphic>
          </wp:inline>
        </w:drawing>
      </w:r>
    </w:p>
    <w:p>
      <w:pPr>
        <w:pStyle w:val="BodyText"/>
        <w:spacing w:before="56" w:after="170" w:lineRule="exact" w:line="236"/>
        <w:jc w:val="left"/>
      </w:pPr>
      <w:r>
        <w:rPr>
          <w:bCs/>
          <w:b/>
          <w:sz w:val="16"/>
        </w:rPr>
        <w:t xml:space="preserve">Figure 5.5. Marketplace use and financial statements, 2020 to 2024.</w:t>
      </w:r>
      <w:r>
        <w:rPr>
          <w:sz w:val="16"/>
        </w:rPr>
        <w:t xml:space="preserve"> </w:t>
      </w:r>
      <w:r>
        <w:rPr>
          <w:sz w:val="16"/>
        </w:rP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rPr>
          <w:bCs/>
          <w:b/>
        </w:rPr>
        <w:t xml:space="preserve">The national figures agree that growth was small only where they cover the same sellers, and they do not agree on scale.</w:t>
      </w:r>
      <w:r>
        <w:t xml:space="preserve"> </w:t>
      </w:r>
      <w:r>
        <w:t xml:space="preserve">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Appendix A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payments through the Quick Response Code Indonesian Standard (QRIS)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w:t>
      </w:r>
      <w:r>
        <w:t xml:space="preserve"> </w:t>
      </w:r>
      <w:r>
        <w:rPr>
          <w:bCs/>
          <w:b/>
        </w:rPr>
        <w:t xml:space="preserve">Each rule acts on one part of what Chapter 5 measured, and each reaches only that part.</w:t>
      </w:r>
    </w:p>
    <w:p>
      <w:pPr>
        <w:pStyle w:val="BodyText"/>
      </w:pPr>
      <w:r>
        <w:t xml:space="preserve">The marketplace tax is the rule aimed most directly at online sellers.</w:t>
      </w:r>
      <w:r>
        <w:t xml:space="preserve"> </w:t>
      </w:r>
      <w:r>
        <w:rPr>
          <w:bCs/>
          <w:b/>
        </w:rPr>
        <w:t xml:space="preserve">It can collect from at most about 1 in 20 online sellers and about a fifth of online sales value.</w:t>
      </w:r>
      <w:r>
        <w:t xml:space="preserve"> </w:t>
      </w:r>
      <w:r>
        <w:t xml:space="preserve">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keepNext/>
        <w:spacing w:before="140" w:after="56" w:lineRule="exact" w:line="246"/>
        <w:jc w:val="left"/>
      </w:pPr>
      <w:r>
        <w:rPr>
          <w:b/>
          <w:sz w:val="17"/>
        </w:rPr>
        <w:t>Table 6.1.</w:t>
      </w:r>
      <w:r>
        <w:rPr>
          <w:b w:val="0"/>
          <w:sz w:val="17"/>
        </w:rPr>
        <w:t xml:space="preserve"> Indonesia’s recent rules and what each acts on</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2376"/>
        <w:gridCol w:w="2701"/>
        <w:gridCol w:w="1421"/>
        <w:gridCol w:w="1000"/>
        <w:gridCol w:w="2701"/>
      </w:tblGrid>
      <w:tr>
        <w:trPr>
          <w:tblHeader w:val="true"/>
          <w:cantSplit/>
          <w:tblHeader/>
        </w:trPr>
        <w:tc>
          <w:tcPr>
            <w:tcW w:w="2376" w:type="dxa"/>
            <w:tcBorders>
              <w:bottom w:val="single" w:sz="4" w:space="0" w:color="111111"/>
            </w:tcBorders>
          </w:tcPr>
          <w:p>
            <w:pPr>
              <w:pStyle w:val="Compact"/>
              <w:keepNext/>
              <w:spacing w:before="0" w:after="0" w:lineRule="exact" w:line="200"/>
              <w:jc w:val="left"/>
            </w:pPr>
            <w:r>
              <w:rPr>
                <w:b/>
                <w:sz w:val="16"/>
              </w:rPr>
              <w:t xml:space="preserve">Rule</w:t>
            </w:r>
          </w:p>
        </w:tc>
        <w:tc>
          <w:tcPr>
            <w:tcW w:w="2701" w:type="dxa"/>
            <w:tcBorders>
              <w:bottom w:val="single" w:sz="4" w:space="0" w:color="111111"/>
            </w:tcBorders>
          </w:tcPr>
          <w:p>
            <w:pPr>
              <w:pStyle w:val="Compact"/>
              <w:keepNext/>
              <w:spacing w:before="0" w:after="0" w:lineRule="exact" w:line="200"/>
              <w:jc w:val="left"/>
            </w:pPr>
            <w:r>
              <w:rPr>
                <w:b/>
                <w:sz w:val="16"/>
              </w:rPr>
              <w:t xml:space="preserve">What it does</w:t>
            </w:r>
          </w:p>
        </w:tc>
        <w:tc>
          <w:tcPr>
            <w:tcW w:w="1421" w:type="dxa"/>
            <w:tcBorders>
              <w:bottom w:val="single" w:sz="4" w:space="0" w:color="111111"/>
            </w:tcBorders>
          </w:tcPr>
          <w:p>
            <w:pPr>
              <w:pStyle w:val="Compact"/>
              <w:keepNext/>
              <w:spacing w:before="0" w:after="0" w:lineRule="exact" w:line="200"/>
              <w:jc w:val="left"/>
            </w:pPr>
            <w:r>
              <w:rPr>
                <w:b/>
                <w:sz w:val="16"/>
              </w:rPr>
              <w:t xml:space="preserve">What it acts on</w:t>
            </w:r>
          </w:p>
        </w:tc>
        <w:tc>
          <w:tcPr>
            <w:tcW w:w="1000" w:type="dxa"/>
            <w:tcBorders>
              <w:bottom w:val="single" w:sz="4" w:space="0" w:color="111111"/>
            </w:tcBorders>
          </w:tcPr>
          <w:p>
            <w:pPr>
              <w:pStyle w:val="Compact"/>
              <w:keepNext/>
              <w:spacing w:before="0" w:after="0" w:lineRule="exact" w:line="200"/>
              <w:jc w:val="left"/>
            </w:pPr>
            <w:r>
              <w:rPr>
                <w:b/>
                <w:sz w:val="16"/>
              </w:rPr>
              <w:t xml:space="preserve">Measured in</w:t>
            </w:r>
          </w:p>
        </w:tc>
        <w:tc>
          <w:tcPr>
            <w:tcW w:w="2701" w:type="dxa"/>
            <w:tcBorders>
              <w:bottom w:val="single" w:sz="4" w:space="0" w:color="111111"/>
            </w:tcBorders>
          </w:tcPr>
          <w:p>
            <w:pPr>
              <w:pStyle w:val="Compact"/>
              <w:keepNext/>
              <w:spacing w:before="0" w:after="0" w:lineRule="exact" w:line="200"/>
              <w:jc w:val="left"/>
            </w:pPr>
            <w:r>
              <w:rPr>
                <w:b/>
                <w:sz w:val="16"/>
              </w:rPr>
              <w:t xml:space="preserve">Status of the text</w:t>
            </w:r>
          </w:p>
        </w:tc>
      </w:tr>
      <w:tr>
        <w:trPr>
          <w:cantSplit/>
        </w:trPr>
        <w:tc>
          <w:tcPr>
            <w:tcW w:w="2376" w:type="dxa"/>
          </w:tcPr>
          <w:p>
            <w:pPr>
              <w:pStyle w:val="Compact"/>
              <w:keepNext/>
              <w:spacing w:before="0" w:after="0" w:lineRule="exact" w:line="200"/>
              <w:jc w:val="left"/>
            </w:pPr>
            <w:r>
              <w:rPr>
                <w:sz w:val="16"/>
              </w:rPr>
              <w:t xml:space="preserve">Commission cap (Transport Minister Decree KP-PHB 532/2026; Presidential Regulation 27/2026)</w:t>
            </w:r>
          </w:p>
        </w:tc>
        <w:tc>
          <w:tcPr>
            <w:tcW w:w="2701" w:type="dxa"/>
          </w:tcPr>
          <w:p>
            <w:pPr>
              <w:pStyle w:val="Compact"/>
              <w:keepNext/>
              <w:spacing w:before="0" w:after="0" w:lineRule="exact" w:line="200"/>
              <w:jc w:val="left"/>
            </w:pPr>
            <w:r>
              <w:rPr>
                <w:sz w:val="16"/>
              </w:rPr>
              <w:t xml:space="preserve">Caps the commission on two-wheel passenger trips at 8 percent from 1 July 2026</w:t>
            </w:r>
          </w:p>
        </w:tc>
        <w:tc>
          <w:tcPr>
            <w:tcW w:w="1421" w:type="dxa"/>
          </w:tcPr>
          <w:p>
            <w:pPr>
              <w:pStyle w:val="Compact"/>
              <w:keepNext/>
              <w:spacing w:before="0" w:after="0" w:lineRule="exact" w:line="200"/>
              <w:jc w:val="left"/>
            </w:pPr>
            <w:r>
              <w:rPr>
                <w:sz w:val="16"/>
              </w:rPr>
              <w:t xml:space="preserve">The fee rate, for one service</w:t>
            </w:r>
          </w:p>
        </w:tc>
        <w:tc>
          <w:tcPr>
            <w:tcW w:w="1000" w:type="dxa"/>
          </w:tcPr>
          <w:p>
            <w:pPr>
              <w:pStyle w:val="Compact"/>
              <w:keepNext/>
              <w:spacing w:before="0" w:after="0" w:lineRule="exact" w:line="200"/>
              <w:jc w:val="left"/>
            </w:pPr>
            <w:r>
              <w:rPr>
                <w:sz w:val="16"/>
              </w:rPr>
              <w:t xml:space="preserve">5.3</w:t>
            </w:r>
          </w:p>
        </w:tc>
        <w:tc>
          <w:tcPr>
            <w:tcW w:w="2701" w:type="dxa"/>
          </w:tcPr>
          <w:p>
            <w:pPr>
              <w:pStyle w:val="Compact"/>
              <w:keepNext/>
              <w:spacing w:before="0" w:after="0" w:lineRule="exact" w:line="200"/>
              <w:jc w:val="left"/>
            </w:pPr>
            <w:r>
              <w:rPr>
                <w:sz w:val="16"/>
              </w:rPr>
              <w:t xml:space="preserve">Decree in force from July 2026; presidential regulation released 8 October 2026; neither text public when this thesis was written</w:t>
            </w:r>
          </w:p>
        </w:tc>
      </w:tr>
      <w:tr>
        <w:trPr>
          <w:cantSplit/>
        </w:trPr>
        <w:tc>
          <w:tcPr>
            <w:tcW w:w="2376" w:type="dxa"/>
          </w:tcPr>
          <w:p>
            <w:pPr>
              <w:pStyle w:val="Compact"/>
              <w:keepNext/>
              <w:spacing w:before="0" w:after="0" w:lineRule="exact" w:line="200"/>
              <w:jc w:val="left"/>
            </w:pPr>
            <w:r>
              <w:rPr>
                <w:sz w:val="16"/>
              </w:rPr>
              <w:t xml:space="preserve">Discount rule (Trade Minister Regulation 19/2026, Art. 18)</w:t>
            </w:r>
          </w:p>
        </w:tc>
        <w:tc>
          <w:tcPr>
            <w:tcW w:w="2701" w:type="dxa"/>
          </w:tcPr>
          <w:p>
            <w:pPr>
              <w:pStyle w:val="Compact"/>
              <w:keepNext/>
              <w:spacing w:before="0" w:after="0" w:lineRule="exact" w:line="200"/>
              <w:jc w:val="left"/>
            </w:pPr>
            <w:r>
              <w:rPr>
                <w:sz w:val="16"/>
              </w:rPr>
              <w:t xml:space="preserve">Requires every online trade operator, including ride-hailing apps that sell goods, to prevent repeated price subsidies that hurt local products and endless below-cost discounts</w:t>
            </w:r>
          </w:p>
        </w:tc>
        <w:tc>
          <w:tcPr>
            <w:tcW w:w="1421" w:type="dxa"/>
          </w:tcPr>
          <w:p>
            <w:pPr>
              <w:pStyle w:val="Compact"/>
              <w:keepNext/>
              <w:spacing w:before="0" w:after="0" w:lineRule="exact" w:line="200"/>
              <w:jc w:val="left"/>
            </w:pPr>
            <w:r>
              <w:rPr>
                <w:sz w:val="16"/>
              </w:rPr>
              <w:t xml:space="preserve">The incentive rate</w:t>
            </w:r>
          </w:p>
        </w:tc>
        <w:tc>
          <w:tcPr>
            <w:tcW w:w="1000" w:type="dxa"/>
          </w:tcPr>
          <w:p>
            <w:pPr>
              <w:pStyle w:val="Compact"/>
              <w:keepNext/>
              <w:spacing w:before="0" w:after="0" w:lineRule="exact" w:line="200"/>
              <w:jc w:val="left"/>
            </w:pPr>
            <w:r>
              <w:rPr>
                <w:sz w:val="16"/>
              </w:rPr>
              <w:t xml:space="preserve">5.3</w:t>
            </w:r>
          </w:p>
        </w:tc>
        <w:tc>
          <w:tcPr>
            <w:tcW w:w="2701" w:type="dxa"/>
          </w:tcPr>
          <w:p>
            <w:pPr>
              <w:pStyle w:val="Compact"/>
              <w:keepNext/>
              <w:spacing w:before="0" w:after="0" w:lineRule="exact" w:line="200"/>
              <w:jc w:val="left"/>
            </w:pPr>
            <w:r>
              <w:rPr>
                <w:sz w:val="16"/>
              </w:rPr>
              <w:t xml:space="preserve">Primary text read</w:t>
            </w:r>
          </w:p>
        </w:tc>
      </w:tr>
      <w:tr>
        <w:trPr>
          <w:cantSplit/>
        </w:trPr>
        <w:tc>
          <w:tcPr>
            <w:tcW w:w="2376" w:type="dxa"/>
          </w:tcPr>
          <w:p>
            <w:pPr>
              <w:pStyle w:val="Compact"/>
              <w:keepNext/>
              <w:spacing w:before="0" w:after="0" w:lineRule="exact" w:line="200"/>
              <w:jc w:val="left"/>
            </w:pPr>
            <w:r>
              <w:rPr>
                <w:sz w:val="16"/>
              </w:rPr>
              <w:t xml:space="preserve">Marketplace tax (Finance Minister Regulation 37/2025)</w:t>
            </w:r>
          </w:p>
        </w:tc>
        <w:tc>
          <w:tcPr>
            <w:tcW w:w="2701" w:type="dxa"/>
          </w:tcPr>
          <w:p>
            <w:pPr>
              <w:pStyle w:val="Compact"/>
              <w:keepNext/>
              <w:spacing w:before="0" w:after="0" w:lineRule="exact" w:line="200"/>
              <w:jc w:val="left"/>
            </w:pPr>
            <w:r>
              <w:rPr>
                <w:sz w:val="16"/>
              </w:rPr>
              <w:t xml:space="preserve">Designated marketplaces collect 0.5 percent of domestic sellers’ gross sales; individuals with sales up to Rp500 million a year are exempt; every seller gives a tax number or national identity number</w:t>
            </w:r>
          </w:p>
        </w:tc>
        <w:tc>
          <w:tcPr>
            <w:tcW w:w="1421" w:type="dxa"/>
          </w:tcPr>
          <w:p>
            <w:pPr>
              <w:pStyle w:val="Compact"/>
              <w:keepNext/>
              <w:spacing w:before="0" w:after="0" w:lineRule="exact" w:line="200"/>
              <w:jc w:val="left"/>
            </w:pPr>
            <w:r>
              <w:rPr>
                <w:sz w:val="16"/>
              </w:rPr>
              <w:t xml:space="preserve">Sellers’ sales inside marketplaces</w:t>
            </w:r>
          </w:p>
        </w:tc>
        <w:tc>
          <w:tcPr>
            <w:tcW w:w="1000" w:type="dxa"/>
          </w:tcPr>
          <w:p>
            <w:pPr>
              <w:pStyle w:val="Compact"/>
              <w:keepNext/>
              <w:spacing w:before="0" w:after="0" w:lineRule="exact" w:line="200"/>
              <w:jc w:val="left"/>
            </w:pPr>
            <w:r>
              <w:rPr>
                <w:sz w:val="16"/>
              </w:rPr>
              <w:t xml:space="preserve">5.9</w:t>
            </w:r>
          </w:p>
        </w:tc>
        <w:tc>
          <w:tcPr>
            <w:tcW w:w="2701" w:type="dxa"/>
          </w:tcPr>
          <w:p>
            <w:pPr>
              <w:pStyle w:val="Compact"/>
              <w:keepNext/>
              <w:spacing w:before="0" w:after="0" w:lineRule="exact" w:line="200"/>
              <w:jc w:val="left"/>
            </w:pPr>
            <w:r>
              <w:rPr>
                <w:sz w:val="16"/>
              </w:rPr>
              <w:t xml:space="preserve">Primary text read; collected by Shopee, Tokopedia, Lazada and Blibli since 1 October 2026</w:t>
            </w:r>
          </w:p>
        </w:tc>
      </w:tr>
      <w:tr>
        <w:trPr>
          <w:cantSplit/>
        </w:trPr>
        <w:tc>
          <w:tcPr>
            <w:tcW w:w="2376" w:type="dxa"/>
          </w:tcPr>
          <w:p>
            <w:pPr>
              <w:pStyle w:val="Compact"/>
              <w:keepNext/>
              <w:spacing w:before="0" w:after="0" w:lineRule="exact" w:line="200"/>
              <w:jc w:val="left"/>
            </w:pPr>
            <w:r>
              <w:rPr>
                <w:sz w:val="16"/>
              </w:rPr>
              <w:t xml:space="preserve">Small-business final tax (Government Regulation 20/2026)</w:t>
            </w:r>
          </w:p>
        </w:tc>
        <w:tc>
          <w:tcPr>
            <w:tcW w:w="2701" w:type="dxa"/>
          </w:tcPr>
          <w:p>
            <w:pPr>
              <w:pStyle w:val="Compact"/>
              <w:keepNext/>
              <w:spacing w:before="0" w:after="0" w:lineRule="exact" w:line="200"/>
              <w:jc w:val="left"/>
            </w:pPr>
            <w:r>
              <w:rPr>
                <w:sz w:val="16"/>
              </w:rPr>
              <w:t xml:space="preserve">Keeps a 0.5 percent final tax on turnover up to Rp4.8 billion a year; excludes content creators</w:t>
            </w:r>
          </w:p>
        </w:tc>
        <w:tc>
          <w:tcPr>
            <w:tcW w:w="1421" w:type="dxa"/>
          </w:tcPr>
          <w:p>
            <w:pPr>
              <w:pStyle w:val="Compact"/>
              <w:keepNext/>
              <w:spacing w:before="0" w:after="0" w:lineRule="exact" w:line="200"/>
              <w:jc w:val="left"/>
            </w:pPr>
            <w:r>
              <w:rPr>
                <w:sz w:val="16"/>
              </w:rPr>
              <w:t xml:space="preserve">Small sellers in every channel</w:t>
            </w:r>
          </w:p>
        </w:tc>
        <w:tc>
          <w:tcPr>
            <w:tcW w:w="1000" w:type="dxa"/>
          </w:tcPr>
          <w:p>
            <w:pPr>
              <w:pStyle w:val="Compact"/>
              <w:keepNext/>
              <w:spacing w:before="0" w:after="0" w:lineRule="exact" w:line="200"/>
              <w:jc w:val="left"/>
            </w:pPr>
            <w:r>
              <w:rPr>
                <w:sz w:val="16"/>
              </w:rPr>
              <w:t xml:space="preserve">Not measured</w:t>
            </w:r>
          </w:p>
        </w:tc>
        <w:tc>
          <w:tcPr>
            <w:tcW w:w="2701" w:type="dxa"/>
          </w:tcPr>
          <w:p>
            <w:pPr>
              <w:pStyle w:val="Compact"/>
              <w:keepNext/>
              <w:spacing w:before="0" w:after="0" w:lineRule="exact" w:line="200"/>
              <w:jc w:val="left"/>
            </w:pPr>
            <w:r>
              <w:rPr>
                <w:sz w:val="16"/>
              </w:rPr>
              <w:t xml:space="preserve">Primary text read</w:t>
            </w:r>
          </w:p>
        </w:tc>
      </w:tr>
      <w:tr>
        <w:trPr>
          <w:cantSplit/>
        </w:trPr>
        <w:tc>
          <w:tcPr>
            <w:tcW w:w="2376" w:type="dxa"/>
          </w:tcPr>
          <w:p>
            <w:pPr>
              <w:pStyle w:val="Compact"/>
              <w:keepNext/>
              <w:spacing w:before="0" w:after="0" w:lineRule="exact" w:line="200"/>
              <w:jc w:val="left"/>
            </w:pPr>
            <w:r>
              <w:rPr>
                <w:sz w:val="16"/>
              </w:rPr>
              <w:t xml:space="preserve">Platform data to BPS (BPS Regulation 4/2023)</w:t>
            </w:r>
          </w:p>
        </w:tc>
        <w:tc>
          <w:tcPr>
            <w:tcW w:w="2701" w:type="dxa"/>
          </w:tcPr>
          <w:p>
            <w:pPr>
              <w:pStyle w:val="Compact"/>
              <w:keepNext/>
              <w:spacing w:before="0" w:after="0" w:lineRule="exact" w:line="200"/>
              <w:jc w:val="left"/>
            </w:pPr>
            <w:r>
              <w:rPr>
                <w:sz w:val="16"/>
              </w:rPr>
              <w:t xml:space="preserve">E-commerce operators must send BPS their revenue, transactions and numbers of sellers and buyers, with sanctions</w:t>
            </w:r>
          </w:p>
        </w:tc>
        <w:tc>
          <w:tcPr>
            <w:tcW w:w="1421" w:type="dxa"/>
          </w:tcPr>
          <w:p>
            <w:pPr>
              <w:pStyle w:val="Compact"/>
              <w:keepNext/>
              <w:spacing w:before="0" w:after="0" w:lineRule="exact" w:line="200"/>
              <w:jc w:val="left"/>
            </w:pPr>
            <w:r>
              <w:rPr>
                <w:sz w:val="16"/>
              </w:rPr>
              <w:t xml:space="preserve">BPS’s coverage</w:t>
            </w:r>
          </w:p>
        </w:tc>
        <w:tc>
          <w:tcPr>
            <w:tcW w:w="1000" w:type="dxa"/>
          </w:tcPr>
          <w:p>
            <w:pPr>
              <w:pStyle w:val="Compact"/>
              <w:keepNext/>
              <w:spacing w:before="0" w:after="0" w:lineRule="exact" w:line="200"/>
              <w:jc w:val="left"/>
            </w:pPr>
            <w:r>
              <w:rPr>
                <w:sz w:val="16"/>
              </w:rPr>
              <w:t xml:space="preserve">5.10</w:t>
            </w:r>
          </w:p>
        </w:tc>
        <w:tc>
          <w:tcPr>
            <w:tcW w:w="2701" w:type="dxa"/>
          </w:tcPr>
          <w:p>
            <w:pPr>
              <w:pStyle w:val="Compact"/>
              <w:keepNext/>
              <w:spacing w:before="0" w:after="0" w:lineRule="exact" w:line="200"/>
              <w:jc w:val="left"/>
            </w:pPr>
            <w:r>
              <w:rPr>
                <w:sz w:val="16"/>
              </w:rPr>
              <w:t xml:space="preserve">Primary text read</w:t>
            </w:r>
          </w:p>
        </w:tc>
      </w:tr>
      <w:tr>
        <w:trPr>
          <w:cantSplit/>
        </w:trPr>
        <w:tc>
          <w:tcPr>
            <w:tcW w:w="2376" w:type="dxa"/>
          </w:tcPr>
          <w:p>
            <w:pPr>
              <w:pStyle w:val="Compact"/>
              <w:keepNext/>
              <w:spacing w:before="0" w:after="0" w:lineRule="exact" w:line="200"/>
              <w:jc w:val="left"/>
            </w:pPr>
            <w:r>
              <w:rPr>
                <w:sz w:val="16"/>
              </w:rPr>
              <w:t xml:space="preserve">Economic census 2026</w:t>
            </w:r>
          </w:p>
        </w:tc>
        <w:tc>
          <w:tcPr>
            <w:tcW w:w="2701" w:type="dxa"/>
          </w:tcPr>
          <w:p>
            <w:pPr>
              <w:pStyle w:val="Compact"/>
              <w:keepNext/>
              <w:spacing w:before="0" w:after="0" w:lineRule="exact" w:line="200"/>
              <w:jc w:val="left"/>
            </w:pPr>
            <w:r>
              <w:rPr>
                <w:sz w:val="16"/>
              </w:rPr>
              <w:t xml:space="preserve">Door-to-door count of all businesses, including online selling, affiliates and influencers</w:t>
            </w:r>
          </w:p>
        </w:tc>
        <w:tc>
          <w:tcPr>
            <w:tcW w:w="1421" w:type="dxa"/>
          </w:tcPr>
          <w:p>
            <w:pPr>
              <w:pStyle w:val="Compact"/>
              <w:keepNext/>
              <w:spacing w:before="0" w:after="0" w:lineRule="exact" w:line="200"/>
              <w:jc w:val="left"/>
            </w:pPr>
            <w:r>
              <w:rPr>
                <w:sz w:val="16"/>
              </w:rPr>
              <w:t xml:space="preserve">BPS’s sampling frame</w:t>
            </w:r>
          </w:p>
        </w:tc>
        <w:tc>
          <w:tcPr>
            <w:tcW w:w="1000" w:type="dxa"/>
          </w:tcPr>
          <w:p>
            <w:pPr>
              <w:pStyle w:val="Compact"/>
              <w:keepNext/>
              <w:spacing w:before="0" w:after="0" w:lineRule="exact" w:line="200"/>
              <w:jc w:val="left"/>
            </w:pPr>
            <w:r>
              <w:rPr>
                <w:sz w:val="16"/>
              </w:rPr>
              <w:t xml:space="preserve">5.7</w:t>
            </w:r>
          </w:p>
        </w:tc>
        <w:tc>
          <w:tcPr>
            <w:tcW w:w="2701" w:type="dxa"/>
          </w:tcPr>
          <w:p>
            <w:pPr>
              <w:pStyle w:val="Compact"/>
              <w:keepNext/>
              <w:spacing w:before="0" w:after="0" w:lineRule="exact" w:line="200"/>
              <w:jc w:val="left"/>
            </w:pPr>
            <w:r>
              <w:rPr>
                <w:sz w:val="16"/>
              </w:rPr>
              <w:t xml:space="preserve">News reports; results not yet released</w:t>
            </w:r>
          </w:p>
        </w:tc>
      </w:tr>
      <w:tr>
        <w:trPr>
          <w:cantSplit/>
        </w:trPr>
        <w:tc>
          <w:tcPr>
            <w:tcW w:w="2376" w:type="dxa"/>
          </w:tcPr>
          <w:p>
            <w:pPr>
              <w:pStyle w:val="Compact"/>
              <w:spacing w:before="0" w:after="0" w:lineRule="exact" w:line="200"/>
              <w:jc w:val="left"/>
            </w:pPr>
            <w:r>
              <w:rPr>
                <w:sz w:val="16"/>
              </w:rPr>
              <w:t xml:space="preserve">Ban on payments on social media (Trade Minister Regulation 31/2023, carried into Regulation 19/2026)</w:t>
            </w:r>
          </w:p>
        </w:tc>
        <w:tc>
          <w:tcPr>
            <w:tcW w:w="2701" w:type="dxa"/>
          </w:tcPr>
          <w:p>
            <w:pPr>
              <w:pStyle w:val="Compact"/>
              <w:spacing w:before="0" w:after="0" w:lineRule="exact" w:line="200"/>
              <w:jc w:val="left"/>
            </w:pPr>
            <w:r>
              <w:rPr>
                <w:sz w:val="16"/>
              </w:rPr>
              <w:t xml:space="preserve">Bars social media platforms from handling payments for sales</w:t>
            </w:r>
          </w:p>
        </w:tc>
        <w:tc>
          <w:tcPr>
            <w:tcW w:w="1421" w:type="dxa"/>
          </w:tcPr>
          <w:p>
            <w:pPr>
              <w:pStyle w:val="Compact"/>
              <w:spacing w:before="0" w:after="0" w:lineRule="exact" w:line="200"/>
              <w:jc w:val="left"/>
            </w:pPr>
            <w:r>
              <w:rPr>
                <w:sz w:val="16"/>
              </w:rPr>
              <w:t xml:space="preserve">Where online sales are paid</w:t>
            </w:r>
          </w:p>
        </w:tc>
        <w:tc>
          <w:tcPr>
            <w:tcW w:w="1000" w:type="dxa"/>
          </w:tcPr>
          <w:p>
            <w:pPr>
              <w:pStyle w:val="Compact"/>
              <w:spacing w:before="0" w:after="0" w:lineRule="exact" w:line="200"/>
              <w:jc w:val="left"/>
            </w:pPr>
            <w:r>
              <w:rPr>
                <w:sz w:val="16"/>
              </w:rPr>
              <w:t xml:space="preserve">5.9</w:t>
            </w:r>
          </w:p>
        </w:tc>
        <w:tc>
          <w:tcPr>
            <w:tcW w:w="2701" w:type="dxa"/>
          </w:tcPr>
          <w:p>
            <w:pPr>
              <w:pStyle w:val="Compact"/>
              <w:spacing w:before="0" w:after="0" w:lineRule="exact" w:line="200"/>
              <w:jc w:val="left"/>
            </w:pPr>
            <w:r>
              <w:rPr>
                <w:sz w:val="16"/>
              </w:rPr>
              <w:t xml:space="preserve">Primary text read</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(5)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rPr>
          <w:bCs/>
          <w:b/>
        </w:rPr>
        <w:t xml:space="preserve">The commission cap reaches a small part of the take rates this thesis measures.</w:t>
      </w:r>
      <w:r>
        <w:t xml:space="preserve"> </w:t>
      </w:r>
      <w:r>
        <w:t xml:space="preserve">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rPr>
          <w:bCs/>
          <w:b/>
        </w:rPr>
        <w:t xml:space="preserve">A cap on one fee does not fix the take rate, because the platform still sets its incentives.</w:t>
      </w:r>
      <w:r>
        <w:t xml:space="preserve"> </w:t>
      </w:r>
      <w:r>
        <w:t xml:space="preserve">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Appendix B.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rPr>
          <w:bCs/>
          <w:b/>
        </w:rPr>
        <w:t xml:space="preserve">At most about 1 in 20 online sellers falls under the tax.</w:t>
      </w:r>
      <w:r>
        <w:t xml:space="preserve"> </w:t>
      </w:r>
      <w:r>
        <w:t xml:space="preserve">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identity number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rPr>
          <w:bCs/>
          <w:b/>
        </w:rPr>
        <w:t xml:space="preserve">The tax matters more for the record it creates than for the revenue it raises.</w:t>
      </w:r>
      <w:r>
        <w:t xml:space="preserve"> </w:t>
      </w:r>
      <w:r>
        <w:t xml:space="preserve">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keepNext/>
        <w:spacing w:before="140" w:after="56" w:lineRule="exact" w:line="246"/>
        <w:jc w:val="left"/>
      </w:pPr>
      <w:r>
        <w:rPr>
          <w:b/>
          <w:sz w:val="17"/>
        </w:rPr>
        <w:t>Table 6.2.</w:t>
      </w:r>
      <w:r>
        <w:rPr>
          <w:b w:val="0"/>
          <w:sz w:val="17"/>
        </w:rPr>
        <w:t xml:space="preserve"> Registered predictions on the 2026 rules</w:t>
      </w:r>
    </w:p>
    <w:tbl>
      <w:tblPr>
        <w:tblStyle w:val="Table"/>
        <w:tblLook w:firstRow="1" w:lastRow="0" w:firstColumn="0" w:lastColumn="0" w:noHBand="0" w:noVBand="0" w:val="0020"/>
        <w:jc w:val="start"/>
        <w:tblBorders>
          <w:top w:val="single" w:sz="7" w:space="0" w:color="111111"/>
          <w:bottom w:val="single" w:sz="7" w:space="0" w:color="111111"/>
        </w:tblBorders>
        <w:tblW w:w="10200" w:type="dxa"/>
        <w:tblLayout w:type="fixed"/>
        <w:tblCellMar>
          <w:top w:w="24" w:type="dxa"/>
          <w:left w:w="0" w:type="dxa"/>
          <w:bottom w:w="24" w:type="dxa"/>
          <w:right w:w="90" w:type="dxa"/>
        </w:tblCellMar>
      </w:tblPr>
      <w:tblGrid>
        <w:gridCol w:w="1431"/>
        <w:gridCol w:w="4533"/>
        <w:gridCol w:w="2684"/>
        <w:gridCol w:w="1550"/>
      </w:tblGrid>
      <w:tr>
        <w:trPr>
          <w:tblHeader w:val="true"/>
          <w:cantSplit/>
          <w:tblHeader/>
        </w:trPr>
        <w:tc>
          <w:tcPr>
            <w:tcW w:w="1431" w:type="dxa"/>
            <w:tcBorders>
              <w:bottom w:val="single" w:sz="4" w:space="0" w:color="111111"/>
            </w:tcBorders>
          </w:tcPr>
          <w:p>
            <w:pPr>
              <w:pStyle w:val="Compact"/>
              <w:keepNext/>
              <w:spacing w:before="0" w:after="0" w:lineRule="exact" w:line="200"/>
              <w:jc w:val="left"/>
            </w:pPr>
            <w:r>
              <w:rPr>
                <w:b/>
                <w:sz w:val="16"/>
              </w:rPr>
              <w:t xml:space="preserve">Prediction</w:t>
            </w:r>
          </w:p>
        </w:tc>
        <w:tc>
          <w:tcPr>
            <w:tcW w:w="4533" w:type="dxa"/>
            <w:tcBorders>
              <w:bottom w:val="single" w:sz="4" w:space="0" w:color="111111"/>
            </w:tcBorders>
          </w:tcPr>
          <w:p>
            <w:pPr>
              <w:pStyle w:val="Compact"/>
              <w:keepNext/>
              <w:spacing w:before="0" w:after="0" w:lineRule="exact" w:line="200"/>
              <w:jc w:val="left"/>
            </w:pPr>
            <w:r>
              <w:rPr>
                <w:b/>
                <w:sz w:val="16"/>
              </w:rPr>
              <w:t xml:space="preserve">What it expects</w:t>
            </w:r>
          </w:p>
        </w:tc>
        <w:tc>
          <w:tcPr>
            <w:tcW w:w="2684" w:type="dxa"/>
            <w:tcBorders>
              <w:bottom w:val="single" w:sz="4" w:space="0" w:color="111111"/>
            </w:tcBorders>
          </w:tcPr>
          <w:p>
            <w:pPr>
              <w:pStyle w:val="Compact"/>
              <w:keepNext/>
              <w:spacing w:before="0" w:after="0" w:lineRule="exact" w:line="200"/>
              <w:jc w:val="left"/>
            </w:pPr>
            <w:r>
              <w:rPr>
                <w:b/>
                <w:sz w:val="16"/>
              </w:rPr>
              <w:t xml:space="preserve">Bears on</w:t>
            </w:r>
          </w:p>
        </w:tc>
        <w:tc>
          <w:tcPr>
            <w:tcW w:w="1550" w:type="dxa"/>
            <w:tcBorders>
              <w:bottom w:val="single" w:sz="4" w:space="0" w:color="111111"/>
            </w:tcBorders>
          </w:tcPr>
          <w:p>
            <w:pPr>
              <w:pStyle w:val="Compact"/>
              <w:keepNext/>
              <w:spacing w:before="0" w:after="0" w:lineRule="exact" w:line="200"/>
              <w:jc w:val="left"/>
            </w:pPr>
            <w:r>
              <w:rPr>
                <w:b/>
                <w:sz w:val="16"/>
              </w:rPr>
              <w:t xml:space="preserve">Scored</w:t>
            </w:r>
          </w:p>
        </w:tc>
      </w:tr>
      <w:tr>
        <w:trPr>
          <w:cantSplit/>
        </w:trPr>
        <w:tc>
          <w:tcPr>
            <w:tcW w:w="1431" w:type="dxa"/>
          </w:tcPr>
          <w:p>
            <w:pPr>
              <w:pStyle w:val="Compact"/>
              <w:keepNext/>
              <w:spacing w:before="0" w:after="0" w:lineRule="exact" w:line="200"/>
              <w:jc w:val="left"/>
            </w:pPr>
            <w:r>
              <w:rPr>
                <w:sz w:val="16"/>
              </w:rPr>
              <w:t xml:space="preserve">P1</w:t>
            </w:r>
          </w:p>
        </w:tc>
        <w:tc>
          <w:tcPr>
            <w:tcW w:w="4533" w:type="dxa"/>
          </w:tcPr>
          <w:p>
            <w:pPr>
              <w:pStyle w:val="Compact"/>
              <w:keepNext/>
              <w:spacing w:before="0" w:after="0" w:lineRule="exact" w:line="200"/>
              <w:jc w:val="left"/>
            </w:pPr>
            <w:r>
              <w:rPr>
                <w:sz w:val="16"/>
              </w:rPr>
              <w:t xml:space="preserve">GoTo’s on-demand take rate falls by 0.3 to 2.5 points from the second quarter of 2026</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Late October 2026</w:t>
            </w:r>
          </w:p>
        </w:tc>
      </w:tr>
      <w:tr>
        <w:trPr>
          <w:cantSplit/>
        </w:trPr>
        <w:tc>
          <w:tcPr>
            <w:tcW w:w="1431" w:type="dxa"/>
          </w:tcPr>
          <w:p>
            <w:pPr>
              <w:pStyle w:val="Compact"/>
              <w:keepNext/>
              <w:spacing w:before="0" w:after="0" w:lineRule="exact" w:line="200"/>
              <w:jc w:val="left"/>
            </w:pPr>
            <w:r>
              <w:rPr>
                <w:sz w:val="16"/>
              </w:rPr>
              <w:t xml:space="preserve">P3</w:t>
            </w:r>
          </w:p>
        </w:tc>
        <w:tc>
          <w:tcPr>
            <w:tcW w:w="4533" w:type="dxa"/>
          </w:tcPr>
          <w:p>
            <w:pPr>
              <w:pStyle w:val="Compact"/>
              <w:keepNext/>
              <w:spacing w:before="0" w:after="0" w:lineRule="exact" w:line="200"/>
              <w:jc w:val="left"/>
            </w:pPr>
            <w:r>
              <w:rPr>
                <w:sz w:val="16"/>
              </w:rPr>
              <w:t xml:space="preserve">GoTo’s on-demand transaction value grows by 0 to 12 percent on a year earlier</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Late October 2026</w:t>
            </w:r>
          </w:p>
        </w:tc>
      </w:tr>
      <w:tr>
        <w:trPr>
          <w:cantSplit/>
        </w:trPr>
        <w:tc>
          <w:tcPr>
            <w:tcW w:w="1431" w:type="dxa"/>
          </w:tcPr>
          <w:p>
            <w:pPr>
              <w:pStyle w:val="Compact"/>
              <w:keepNext/>
              <w:spacing w:before="0" w:after="0" w:lineRule="exact" w:line="200"/>
              <w:jc w:val="left"/>
            </w:pPr>
            <w:r>
              <w:rPr>
                <w:sz w:val="16"/>
              </w:rPr>
              <w:t xml:space="preserve">P5</w:t>
            </w:r>
          </w:p>
        </w:tc>
        <w:tc>
          <w:tcPr>
            <w:tcW w:w="4533" w:type="dxa"/>
          </w:tcPr>
          <w:p>
            <w:pPr>
              <w:pStyle w:val="Compact"/>
              <w:keepNext/>
              <w:spacing w:before="0" w:after="0" w:lineRule="exact" w:line="200"/>
              <w:jc w:val="left"/>
            </w:pPr>
            <w:r>
              <w:rPr>
                <w:sz w:val="16"/>
              </w:rPr>
              <w:t xml:space="preserve">GoTo’s on-demand transaction value grows by at least 5 percent; the prediction fails only below 2 percent</w:t>
            </w:r>
          </w:p>
        </w:tc>
        <w:tc>
          <w:tcPr>
            <w:tcW w:w="2684" w:type="dxa"/>
          </w:tcPr>
          <w:p>
            <w:pPr>
              <w:pStyle w:val="Compact"/>
              <w:keepNext/>
              <w:spacing w:before="0" w:after="0" w:lineRule="exact" w:line="200"/>
              <w:jc w:val="left"/>
            </w:pPr>
            <w:r>
              <w:rPr>
                <w:sz w:val="16"/>
              </w:rPr>
              <w:t xml:space="preserve">Commission cap, with spending on growth</w:t>
            </w:r>
          </w:p>
        </w:tc>
        <w:tc>
          <w:tcPr>
            <w:tcW w:w="1550" w:type="dxa"/>
          </w:tcPr>
          <w:p>
            <w:pPr>
              <w:pStyle w:val="Compact"/>
              <w:keepNext/>
              <w:spacing w:before="0" w:after="0" w:lineRule="exact" w:line="200"/>
              <w:jc w:val="left"/>
            </w:pPr>
            <w:r>
              <w:rPr>
                <w:sz w:val="16"/>
              </w:rPr>
              <w:t xml:space="preserve">Late October 2026</w:t>
            </w:r>
          </w:p>
        </w:tc>
      </w:tr>
      <w:tr>
        <w:trPr>
          <w:cantSplit/>
        </w:trPr>
        <w:tc>
          <w:tcPr>
            <w:tcW w:w="1431" w:type="dxa"/>
          </w:tcPr>
          <w:p>
            <w:pPr>
              <w:pStyle w:val="Compact"/>
              <w:keepNext/>
              <w:spacing w:before="0" w:after="0" w:lineRule="exact" w:line="200"/>
              <w:jc w:val="left"/>
            </w:pPr>
            <w:r>
              <w:rPr>
                <w:sz w:val="16"/>
              </w:rPr>
              <w:t xml:space="preserve">R1</w:t>
            </w:r>
          </w:p>
        </w:tc>
        <w:tc>
          <w:tcPr>
            <w:tcW w:w="4533" w:type="dxa"/>
          </w:tcPr>
          <w:p>
            <w:pPr>
              <w:pStyle w:val="Compact"/>
              <w:keepNext/>
              <w:spacing w:before="0" w:after="0" w:lineRule="exact" w:line="200"/>
              <w:jc w:val="left"/>
            </w:pPr>
            <w:r>
              <w:rPr>
                <w:sz w:val="16"/>
              </w:rPr>
              <w:t xml:space="preserve">GoTo’s on-demand revenue growth less transaction value growth lies between −0.5 and +12.5 points; it follows from P1 and P3</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Late October 2026</w:t>
            </w:r>
          </w:p>
        </w:tc>
      </w:tr>
      <w:tr>
        <w:trPr>
          <w:cantSplit/>
        </w:trPr>
        <w:tc>
          <w:tcPr>
            <w:tcW w:w="1431" w:type="dxa"/>
          </w:tcPr>
          <w:p>
            <w:pPr>
              <w:pStyle w:val="Compact"/>
              <w:keepNext/>
              <w:spacing w:before="0" w:after="0" w:lineRule="exact" w:line="200"/>
              <w:jc w:val="left"/>
            </w:pPr>
            <w:r>
              <w:rPr>
                <w:sz w:val="16"/>
              </w:rPr>
              <w:t xml:space="preserve">R2</w:t>
            </w:r>
          </w:p>
        </w:tc>
        <w:tc>
          <w:tcPr>
            <w:tcW w:w="4533" w:type="dxa"/>
          </w:tcPr>
          <w:p>
            <w:pPr>
              <w:pStyle w:val="Compact"/>
              <w:keepNext/>
              <w:spacing w:before="0" w:after="0" w:lineRule="exact" w:line="200"/>
              <w:jc w:val="left"/>
            </w:pPr>
            <w:r>
              <w:rPr>
                <w:sz w:val="16"/>
              </w:rPr>
              <w:t xml:space="preserve">GoTo’s on-demand transaction value grows more slowly than household spending</w:t>
            </w:r>
          </w:p>
        </w:tc>
        <w:tc>
          <w:tcPr>
            <w:tcW w:w="2684" w:type="dxa"/>
          </w:tcPr>
          <w:p>
            <w:pPr>
              <w:pStyle w:val="Compact"/>
              <w:keepNext/>
              <w:spacing w:before="0" w:after="0" w:lineRule="exact" w:line="200"/>
              <w:jc w:val="left"/>
            </w:pPr>
            <w:r>
              <w:rPr>
                <w:sz w:val="16"/>
              </w:rPr>
              <w:t xml:space="preserve">Buying through platforms</w:t>
            </w:r>
          </w:p>
        </w:tc>
        <w:tc>
          <w:tcPr>
            <w:tcW w:w="1550" w:type="dxa"/>
          </w:tcPr>
          <w:p>
            <w:pPr>
              <w:pStyle w:val="Compact"/>
              <w:keepNext/>
              <w:spacing w:before="0" w:after="0" w:lineRule="exact" w:line="200"/>
              <w:jc w:val="left"/>
            </w:pPr>
            <w:r>
              <w:rPr>
                <w:sz w:val="16"/>
              </w:rPr>
              <w:t xml:space="preserve">Early November 2026</w:t>
            </w:r>
          </w:p>
        </w:tc>
      </w:tr>
      <w:tr>
        <w:trPr>
          <w:cantSplit/>
        </w:trPr>
        <w:tc>
          <w:tcPr>
            <w:tcW w:w="1431" w:type="dxa"/>
          </w:tcPr>
          <w:p>
            <w:pPr>
              <w:pStyle w:val="Compact"/>
              <w:keepNext/>
              <w:spacing w:before="0" w:after="0" w:lineRule="exact" w:line="200"/>
              <w:jc w:val="left"/>
            </w:pPr>
            <w:r>
              <w:rPr>
                <w:sz w:val="16"/>
              </w:rPr>
              <w:t xml:space="preserve">P2</w:t>
            </w:r>
          </w:p>
        </w:tc>
        <w:tc>
          <w:tcPr>
            <w:tcW w:w="4533" w:type="dxa"/>
          </w:tcPr>
          <w:p>
            <w:pPr>
              <w:pStyle w:val="Compact"/>
              <w:keepNext/>
              <w:spacing w:before="0" w:after="0" w:lineRule="exact" w:line="200"/>
              <w:jc w:val="left"/>
            </w:pPr>
            <w:r>
              <w:rPr>
                <w:sz w:val="16"/>
              </w:rPr>
              <w:t xml:space="preserve">Grab’s on-demand take rate stays within −0.6 to +0.4 points of the second quarter</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Mid-November 2026</w:t>
            </w:r>
          </w:p>
        </w:tc>
      </w:tr>
      <w:tr>
        <w:trPr>
          <w:cantSplit/>
        </w:trPr>
        <w:tc>
          <w:tcPr>
            <w:tcW w:w="1431" w:type="dxa"/>
          </w:tcPr>
          <w:p>
            <w:pPr>
              <w:pStyle w:val="Compact"/>
              <w:keepNext/>
              <w:spacing w:before="0" w:after="0" w:lineRule="exact" w:line="200"/>
              <w:jc w:val="left"/>
            </w:pPr>
            <w:r>
              <w:rPr>
                <w:sz w:val="16"/>
              </w:rPr>
              <w:t xml:space="preserve">P4</w:t>
            </w:r>
          </w:p>
        </w:tc>
        <w:tc>
          <w:tcPr>
            <w:tcW w:w="4533" w:type="dxa"/>
          </w:tcPr>
          <w:p>
            <w:pPr>
              <w:pStyle w:val="Compact"/>
              <w:keepNext/>
              <w:spacing w:before="0" w:after="0" w:lineRule="exact" w:line="200"/>
              <w:jc w:val="left"/>
            </w:pPr>
            <w:r>
              <w:rPr>
                <w:sz w:val="16"/>
              </w:rPr>
              <w:t xml:space="preserve">Grab’s change in the rides take rate, less its change in the deliveries take rate, is at most +0.3 points</w:t>
            </w:r>
          </w:p>
        </w:tc>
        <w:tc>
          <w:tcPr>
            <w:tcW w:w="2684" w:type="dxa"/>
          </w:tcPr>
          <w:p>
            <w:pPr>
              <w:pStyle w:val="Compact"/>
              <w:keepNext/>
              <w:spacing w:before="0" w:after="0" w:lineRule="exact" w:line="200"/>
              <w:jc w:val="left"/>
            </w:pPr>
            <w:r>
              <w:rPr>
                <w:sz w:val="16"/>
              </w:rPr>
              <w:t xml:space="preserve">Commission cap</w:t>
            </w:r>
          </w:p>
        </w:tc>
        <w:tc>
          <w:tcPr>
            <w:tcW w:w="1550" w:type="dxa"/>
          </w:tcPr>
          <w:p>
            <w:pPr>
              <w:pStyle w:val="Compact"/>
              <w:keepNext/>
              <w:spacing w:before="0" w:after="0" w:lineRule="exact" w:line="200"/>
              <w:jc w:val="left"/>
            </w:pPr>
            <w:r>
              <w:rPr>
                <w:sz w:val="16"/>
              </w:rPr>
              <w:t xml:space="preserve">Mid-November 2026</w:t>
            </w:r>
          </w:p>
        </w:tc>
      </w:tr>
      <w:tr>
        <w:trPr>
          <w:cantSplit/>
        </w:trPr>
        <w:tc>
          <w:tcPr>
            <w:tcW w:w="1431" w:type="dxa"/>
          </w:tcPr>
          <w:p>
            <w:pPr>
              <w:pStyle w:val="Compact"/>
              <w:keepNext/>
              <w:spacing w:before="0" w:after="0" w:lineRule="exact" w:line="200"/>
              <w:jc w:val="left"/>
            </w:pPr>
            <w:r>
              <w:rPr>
                <w:sz w:val="16"/>
              </w:rPr>
              <w:t xml:space="preserve">R3</w:t>
            </w:r>
          </w:p>
        </w:tc>
        <w:tc>
          <w:tcPr>
            <w:tcW w:w="4533" w:type="dxa"/>
          </w:tcPr>
          <w:p>
            <w:pPr>
              <w:pStyle w:val="Compact"/>
              <w:keepNext/>
              <w:spacing w:before="0" w:after="0" w:lineRule="exact" w:line="200"/>
              <w:jc w:val="left"/>
            </w:pPr>
            <w:r>
              <w:rPr>
                <w:sz w:val="16"/>
              </w:rPr>
              <w:t xml:space="preserve">Shopee’s revenue growth less its transaction value growth is at least +10 points</w:t>
            </w:r>
          </w:p>
        </w:tc>
        <w:tc>
          <w:tcPr>
            <w:tcW w:w="2684" w:type="dxa"/>
          </w:tcPr>
          <w:p>
            <w:pPr>
              <w:pStyle w:val="Compact"/>
              <w:keepNext/>
              <w:spacing w:before="0" w:after="0" w:lineRule="exact" w:line="200"/>
              <w:jc w:val="left"/>
            </w:pPr>
            <w:r>
              <w:rPr>
                <w:sz w:val="16"/>
              </w:rPr>
              <w:t xml:space="preserve">Marketplace fees</w:t>
            </w:r>
          </w:p>
        </w:tc>
        <w:tc>
          <w:tcPr>
            <w:tcW w:w="1550" w:type="dxa"/>
          </w:tcPr>
          <w:p>
            <w:pPr>
              <w:pStyle w:val="Compact"/>
              <w:keepNext/>
              <w:spacing w:before="0" w:after="0" w:lineRule="exact" w:line="200"/>
              <w:jc w:val="left"/>
            </w:pPr>
            <w:r>
              <w:rPr>
                <w:sz w:val="16"/>
              </w:rPr>
              <w:t xml:space="preserve">Mid-November 2026</w:t>
            </w:r>
          </w:p>
        </w:tc>
      </w:tr>
      <w:tr>
        <w:trPr>
          <w:cantSplit/>
        </w:trPr>
        <w:tc>
          <w:tcPr>
            <w:tcW w:w="1431" w:type="dxa"/>
          </w:tcPr>
          <w:p>
            <w:pPr>
              <w:pStyle w:val="Compact"/>
              <w:spacing w:before="0" w:after="0" w:lineRule="exact" w:line="200"/>
              <w:jc w:val="left"/>
            </w:pPr>
            <w:r>
              <w:rPr>
                <w:sz w:val="16"/>
              </w:rPr>
              <w:t xml:space="preserve">Marketplace share</w:t>
            </w:r>
          </w:p>
        </w:tc>
        <w:tc>
          <w:tcPr>
            <w:tcW w:w="4533" w:type="dxa"/>
          </w:tcPr>
          <w:p>
            <w:pPr>
              <w:pStyle w:val="Compact"/>
              <w:spacing w:before="0" w:after="0" w:lineRule="exact" w:line="200"/>
              <w:jc w:val="left"/>
            </w:pPr>
            <w:r>
              <w:rPr>
                <w:sz w:val="16"/>
              </w:rPr>
              <w:t xml:space="preserve">BPS’s next marketplace share of online sales value is at most 15.79 percent</w:t>
            </w:r>
          </w:p>
        </w:tc>
        <w:tc>
          <w:tcPr>
            <w:tcW w:w="2684" w:type="dxa"/>
          </w:tcPr>
          <w:p>
            <w:pPr>
              <w:pStyle w:val="Compact"/>
              <w:spacing w:before="0" w:after="0" w:lineRule="exact" w:line="200"/>
              <w:jc w:val="left"/>
            </w:pPr>
            <w:r>
              <w:rPr>
                <w:sz w:val="16"/>
              </w:rPr>
              <w:t xml:space="preserve">Reach of marketplace rules</w:t>
            </w:r>
          </w:p>
        </w:tc>
        <w:tc>
          <w:tcPr>
            <w:tcW w:w="1550" w:type="dxa"/>
          </w:tcPr>
          <w:p>
            <w:pPr>
              <w:pStyle w:val="Compact"/>
              <w:spacing w:before="0" w:after="0" w:lineRule="exact" w:line="200"/>
              <w:jc w:val="left"/>
            </w:pPr>
            <w:r>
              <w:rPr>
                <w:sz w:val="16"/>
              </w:rPr>
              <w:t xml:space="preserve">Next BPS release</w:t>
            </w:r>
          </w:p>
        </w:tc>
      </w:tr>
    </w:tbl>
    <w:p>
      <w:pPr>
        <w:pStyle w:val="BodyText"/>
        <w:spacing w:before="56" w:after="170" w:lineRule="exact" w:line="218"/>
        <w:jc w:val="left"/>
      </w:pPr>
      <w:r>
        <w:rPr>
          <w:iCs/>
          <w:i/>
          <w:color w:val="333333"/>
          <w:sz w:val="15"/>
        </w:rPr>
        <w:t xml:space="preserve">Note:</w:t>
      </w:r>
      <w:r>
        <w:rPr>
          <w:color w:val="333333"/>
          <w:sz w:val="15"/>
        </w:rPr>
        <w:t xml:space="preserve"> </w:t>
      </w:r>
      <w:r>
        <w:rPr>
          <w:color w:val="333333"/>
          <w:sz w:val="15"/>
        </w:rPr>
        <w:t xml:space="preserve">Ranges as registered; registration dates are in Appendix D.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w:t>
      </w:r>
      <w:r>
        <w:t xml:space="preserve"> </w:t>
      </w:r>
      <w:r>
        <w:rPr>
          <w:bCs/>
          <w:b/>
        </w:rPr>
        <w:t xml:space="preserve">Every one of these rules reaches only the sales that pass through a platform.</w:t>
      </w:r>
      <w:r>
        <w:t xml:space="preserve"> </w:t>
      </w:r>
      <w:r>
        <w:t xml:space="preserve">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(5),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rPr>
          <w:bCs/>
          <w:b/>
        </w:rPr>
        <w:t xml:space="preserve">Each figure of Indonesia’s online economy is a fair guide to another only while a condition holds.</w:t>
      </w:r>
      <w:r>
        <w:t xml:space="preserve"> </w:t>
      </w:r>
      <w:r>
        <w:t xml:space="preserve">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w:t>
      </w:r>
      <w:r>
        <w:t xml:space="preserve"> </w:t>
      </w:r>
      <w:r>
        <w:rPr>
          <w:bCs/>
          <w:b/>
        </w:rPr>
        <w:t xml:space="preserve">The answer to the first half is that most of the activity remains outside revenue.</w:t>
      </w:r>
      <w:r>
        <w:t xml:space="preserve"> </w:t>
      </w:r>
      <w:r>
        <w:t xml:space="preserve">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rPr>
          <w:bCs/>
          <w:b/>
        </w:rPr>
        <w:t xml:space="preserve">The answer to the second half differs by link.</w:t>
      </w:r>
      <w:r>
        <w:t xml:space="preserve"> </w:t>
      </w:r>
      <w:r>
        <w:t xml:space="preserve">On the inner link, the choice of revenue changed the conclusion, above all from 2022 to 2024. Abroad, revenue growth matched transaction value growth one for one, with a slope of 0.99, so revenue was a workable stand-in. In Indonesia and the region the slope was 0.40, and revenue grew by about 44 percent a year whatever transaction value did, so H1 is rejected there. The Indonesian and regional platforms changed their take rates about 3.6 times as much as platforms abroad. They also keep a much thinner share of each sale: their ecosystem ratio is 13 to 17 points above that of comparable foreign platforms, after the type, size and age of the platform and the conditions of its home market are held fixed.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rPr>
          <w:bCs/>
          <w:b/>
        </w:rPr>
        <w:t xml:space="preserve">On the outer link, H2 holds on BPS’s published figures: more businesses account for most of the growth in online sales value.</w:t>
      </w:r>
      <w:r>
        <w:t xml:space="preserve"> </w:t>
      </w:r>
      <w:r>
        <w:t xml:space="preserve">The registered entry test failed, and about half of the 2023 rise in the count is not explained by first-time entry. The extra count leaned toward long-running businesses. Read as wider coverage, an exploratory check, the extra count leaves H2 near its threshold: the number of businesses then grows by 12 to 17 percent and sales per business by 14 to 17 percent, so H2 holds narrowly in one reading and fails by a few points in the other.</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growth in transaction value and a change in the take rate with two public figures (equation (4)). At the Indonesian and regional platforms, revenue growth moved little with transaction value, while abroad it moved one for one. The thinner the take rate, the more a small change in fees or incentives moves revenue growth. At the typical Indonesian and regional ecosystem ratio of 35, a rise of 1 point in the take rate lifts revenue by about 36 percent at constant volume, against 6.5 percent at the typical foreign ratio of 5.5. A revenue multiple then stands for 36 units of transaction value per unit of revenue in one group and 6.5 in the other.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rPr>
          <w:bCs/>
          <w:b/>
        </w:rPr>
        <w:t xml:space="preserve">Several registered predictions failed, and the failures are part of the answer.</w:t>
      </w:r>
      <w:r>
        <w:t xml:space="preserve"> </w:t>
      </w:r>
      <w:r>
        <w:t xml:space="preserve">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D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rPr>
          <w:bCs/>
          <w:b/>
        </w:rPr>
        <w:t xml:space="preserve">The invisible wedge is the part of each sale that a platform passes on to sellers, drivers and others.</w:t>
      </w:r>
      <w:r>
        <w:t xml:space="preserve"> </w:t>
      </w:r>
      <w:r>
        <w:rPr>
          <w:bCs/>
          <w:b/>
        </w:rPr>
        <w:t xml:space="preserve">It is not missing output, unrecorded income or unpaid tax.</w:t>
      </w:r>
      <w:r>
        <w:t xml:space="preserve"> </w:t>
      </w:r>
      <w:r>
        <w:t xml:space="preserve">The thesis does not find BPS’s figures wrong in general, nor that total online buying in Indonesia fell. It finds that one year’s count of sellers moved for reasons other than first-time entry, and that the figures disagree where they cover different sellers. The splits of Appendix B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C).</w:t>
      </w:r>
    </w:p>
    <w:p>
      <w:pPr>
        <w:pStyle w:val="BodyText"/>
      </w:pPr>
      <w:r>
        <w:t xml:space="preserve">The new regressions are exploratory and rest on few platforms. The growth test for Indonesia and the region has 15 pairs from five platforms, and the Indonesia coefficients of Table 5.4 are identified by the same five. A wild cluster bootstrap allows for the small number of clusters but cannot remove the limit. Total assets are those of the whole company, so size is overstated at GoTo, Rakuten and Sea. The home market of each platform is assigned by the author, and the policy rate is missing for Kazakhstan and Nigeria. The regressions describe how the wedge and the ecosystem ratio differ across platforms and do not show what causes the difference.</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C).</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w:t>
      </w:r>
      <w:r>
        <w:t xml:space="preserve"> </w:t>
      </w:r>
      <w:r>
        <w:rPr>
          <w:bCs/>
          <w:b/>
        </w:rPr>
        <w:t xml:space="preserve">A reader who asks which of those happened can still use all three.</w:t>
      </w:r>
    </w:p>
    <w:bookmarkEnd w:id="89"/>
    <w:bookmarkEnd w:id="90"/>
    <w:sectPr>
      <w:footerReference r:id="rId9" w:type="default"/>
      <w:pgSz w:h="16838" w:w="11906"/>
      <w:pgMar w:bottom="794" w:footer="340" w:left="850" w:right="850" w:top="7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ource Serif 4">
    <w:altName w:val="Cambria"/>
    <w:charset w:val="00"/>
    <w:family w:val="roman"/>
    <w:pitch w:val="variable"/>
    <w:embedRegular r:id="rIdF1" w:fontKey="{A17DEF1B-0650-404F-8CB5-17037F5F60D5}"/>
    <w:embedBold r:id="rIdF2" w:fontKey="{0DB08BF0-8C2F-41D9-8D7A-6EAF97106EDC}"/>
    <w:embedItalic r:id="rIdF3" w:fontKey="{E23E630A-4B70-43AF-9189-5BCB3197193C}"/>
    <w:embedBoldItalic r:id="rIdF4" w:fontKey="{ECF99549-BE89-4499-B088-AA9863236E16}"/>
  </w:font>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urce Serif 4" w:hAnsi="Source Serif 4"/>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TrueTypeFonts/>
  <w:saveSubsetFonts/>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78" w:before="0" w:line="242" w:lineRule="exact"/>
      <w:jc w:val="both"/>
    </w:pPr>
    <w:rPr>
      <w:rFonts w:ascii="Source Serif 4" w:cs="Source Serif 4" w:eastAsia="Source Serif 4" w:hAnsi="Source Serif 4"/>
      <w:color w:val="111111"/>
      <w:sz w:val="18"/>
    </w:rPr>
  </w:style>
  <w:style w:styleId="BodyText" w:type="paragraph">
    <w:name w:val="Body Text"/>
    <w:basedOn w:val="Normal"/>
    <w:link w:val="BodyTextChar"/>
    <w:pPr>
      <w:spacing w:after="78" w:before="0" w:line="242" w:lineRule="exact"/>
      <w:jc w:val="both"/>
    </w:pPr>
    <w:qFormat/>
    <w:rPr>
      <w:rFonts w:ascii="Source Serif 4" w:cs="Source Serif 4" w:eastAsia="Source Serif 4" w:hAnsi="Source Serif 4"/>
      <w:color w:val="111111"/>
      <w:sz w:val="18"/>
    </w:rPr>
  </w:style>
  <w:style w:customStyle="1" w:styleId="FirstParagraph" w:type="paragraph">
    <w:name w:val="First Paragraph"/>
    <w:basedOn w:val="BodyText"/>
    <w:next w:val="BodyText"/>
    <w:qFormat/>
    <w:pPr>
      <w:spacing w:after="78" w:before="0" w:line="242" w:lineRule="exact"/>
      <w:jc w:val="both"/>
    </w:pPr>
    <w:rPr>
      <w:rFonts w:ascii="Source Serif 4" w:cs="Source Serif 4" w:eastAsia="Source Serif 4" w:hAnsi="Source Serif 4"/>
      <w:color w:val="111111"/>
      <w:sz w:val="18"/>
    </w:rPr>
  </w:style>
  <w:style w:customStyle="1" w:styleId="Compact" w:type="paragraph">
    <w:name w:val="Compact"/>
    <w:basedOn w:val="BodyText"/>
    <w:qFormat/>
    <w:pPr>
      <w:spacing w:after="20" w:before="0" w:line="242" w:lineRule="exact"/>
      <w:jc w:val="left"/>
    </w:pPr>
    <w:rPr>
      <w:rFonts w:ascii="Source Serif 4" w:cs="Source Serif 4" w:eastAsia="Source Serif 4" w:hAnsi="Source Serif 4"/>
      <w:color w:val="111111"/>
      <w:sz w:val="18"/>
    </w:rPr>
  </w:style>
  <w:style w:styleId="Title" w:type="paragraph">
    <w:name w:val="Title"/>
    <w:basedOn w:val="Normal"/>
    <w:next w:val="BodyText"/>
    <w:qFormat/>
    <w:pPr>
      <w:keepNext/>
      <w:keepLines/>
      <w:spacing w:after="56" w:before="0" w:line="312" w:lineRule="exact"/>
      <w:jc w:val="left"/>
    </w:pPr>
    <w:rPr>
      <w:rFonts w:ascii="Source Serif 4" w:cs="Source Serif 4" w:eastAsia="Source Serif 4" w:hAnsi="Source Serif 4"/>
      <w:b/>
      <w:bCs/>
      <w:color w:val="111111"/>
      <w:sz w:val="24"/>
      <w:szCs w:val="36"/>
    </w:rPr>
  </w:style>
  <w:style w:styleId="Subtitle" w:type="paragraph">
    <w:name w:val="Subtitle"/>
    <w:basedOn w:val="Title"/>
    <w:next w:val="BodyText"/>
    <w:qFormat/>
    <w:pPr>
      <w:keepNext/>
      <w:keepLines/>
      <w:spacing w:after="220" w:before="0" w:line="232" w:lineRule="exact"/>
      <w:jc w:val="left"/>
      <w:pBdr>
        <w:bottom w:color="999999" w:space="6" w:sz="6" w:val="single"/>
      </w:pBdr>
    </w:pPr>
    <w:rPr>
      <w:rFonts w:ascii="Source Serif 4" w:cs="Source Serif 4" w:eastAsia="Source Serif 4" w:hAnsi="Source Serif 4"/>
      <w:b w:val="0"/>
      <w:i/>
      <w:color w:val="111111"/>
      <w:sz w:val="18"/>
      <w:szCs w:val="30"/>
    </w:rPr>
  </w:style>
  <w:style w:customStyle="1" w:styleId="Author" w:type="paragraph">
    <w:name w:val="Author"/>
    <w:next w:val="BodyText"/>
    <w:qFormat/>
    <w:pPr>
      <w:keepNext/>
      <w:keepLines/>
      <w:spacing w:after="20" w:before="0" w:line="232" w:lineRule="exact"/>
      <w:jc w:val="left"/>
    </w:pPr>
    <w:rPr>
      <w:rFonts w:ascii="Source Serif 4" w:cs="Source Serif 4" w:eastAsia="Source Serif 4" w:hAnsi="Source Serif 4"/>
      <w:color w:val="111111"/>
      <w:sz w:val="18"/>
    </w:rPr>
  </w:style>
  <w:style w:styleId="Date" w:type="paragraph">
    <w:name w:val="Date"/>
    <w:next w:val="BodyText"/>
    <w:qFormat/>
    <w:pPr>
      <w:keepNext/>
      <w:keepLines/>
      <w:spacing w:after="20" w:before="0" w:line="232" w:lineRule="exact"/>
      <w:jc w:val="left"/>
    </w:pPr>
    <w:rPr>
      <w:rFonts w:ascii="Source Serif 4" w:cs="Source Serif 4" w:eastAsia="Source Serif 4" w:hAnsi="Source Serif 4"/>
      <w:color w:val="111111"/>
      <w:sz w:val="18"/>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70" w:before="396" w:line="352" w:lineRule="exact"/>
      <w:jc w:val="left"/>
      <w:outlineLvl w:val="0"/>
    </w:pPr>
    <w:rPr>
      <w:rFonts w:ascii="Source Serif 4" w:cs="Source Serif 4" w:eastAsia="Source Serif 4" w:hAnsi="Source Serif 4"/>
      <w:b/>
      <w:bCs/>
      <w:i w:val="0"/>
      <w:color w:val="111111"/>
      <w:sz w:val="27"/>
      <w:szCs w:val="32"/>
    </w:rPr>
  </w:style>
  <w:style w:styleId="Heading2" w:type="paragraph">
    <w:name w:val="Heading 2"/>
    <w:basedOn w:val="Normal"/>
    <w:next w:val="BodyText"/>
    <w:uiPriority w:val="9"/>
    <w:unhideWhenUsed/>
    <w:qFormat/>
    <w:pPr>
      <w:keepNext/>
      <w:keepLines/>
      <w:spacing w:after="56" w:before="226" w:line="272" w:lineRule="exact"/>
      <w:jc w:val="left"/>
      <w:outlineLvl w:val="1"/>
    </w:pPr>
    <w:rPr>
      <w:rFonts w:ascii="Source Serif 4" w:cs="Source Serif 4" w:eastAsia="Source Serif 4" w:hAnsi="Source Serif 4"/>
      <w:b/>
      <w:bCs/>
      <w:i w:val="0"/>
      <w:color w:val="111111"/>
      <w:sz w:val="21"/>
      <w:szCs w:val="28"/>
    </w:rPr>
  </w:style>
  <w:style w:styleId="Heading3" w:type="paragraph">
    <w:name w:val="Heading 3"/>
    <w:basedOn w:val="Normal"/>
    <w:next w:val="BodyText"/>
    <w:uiPriority w:val="9"/>
    <w:unhideWhenUsed/>
    <w:qFormat/>
    <w:pPr>
      <w:keepNext/>
      <w:keepLines/>
      <w:spacing w:after="56" w:before="170" w:line="246" w:lineRule="exact"/>
      <w:jc w:val="left"/>
      <w:outlineLvl w:val="2"/>
    </w:pPr>
    <w:rPr>
      <w:rFonts w:ascii="Source Serif 4" w:cs="Source Serif 4" w:eastAsia="Source Serif 4" w:hAnsi="Source Serif 4"/>
      <w:b/>
      <w:bCs/>
      <w:i/>
      <w:color w:val="111111"/>
      <w:sz w:val="19"/>
      <w:szCs w:val="24"/>
    </w:rPr>
  </w:style>
  <w:style w:styleId="Heading4" w:type="paragraph">
    <w:name w:val="Heading 4"/>
    <w:basedOn w:val="Normal"/>
    <w:next w:val="BodyText"/>
    <w:uiPriority w:val="9"/>
    <w:unhideWhenUsed/>
    <w:qFormat/>
    <w:pPr>
      <w:keepNext/>
      <w:keepLines/>
      <w:spacing w:after="40" w:before="120" w:line="242" w:lineRule="exact"/>
      <w:jc w:val="left"/>
      <w:outlineLvl w:val="3"/>
    </w:pPr>
    <w:rPr>
      <w:rFonts w:ascii="Source Serif 4" w:cs="Source Serif 4" w:eastAsia="Source Serif 4" w:hAnsi="Source Serif 4"/>
      <w:i w:val="0"/>
      <w:b/>
      <w:bCs/>
      <w:color w:val="111111"/>
      <w:sz w:val="18"/>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14" w:before="86" w:line="242" w:lineRule="exact"/>
      <w:ind w:firstLine="0" w:left="454" w:right="454"/>
      <w:jc w:val="left"/>
    </w:pPr>
    <w:rPr>
      <w:rFonts w:ascii="Source Serif 4" w:cs="Source Serif 4" w:eastAsia="Source Serif 4" w:hAnsi="Source Serif 4"/>
      <w:color w:val="111111"/>
      <w:sz w:val="18"/>
    </w:rPr>
  </w:style>
  <w:style w:styleId="FootnoteText" w:type="paragraph">
    <w:name w:val="Footnote Text"/>
    <w:basedOn w:val="Normal"/>
    <w:next w:val="FootnoteText"/>
    <w:uiPriority w:val="9"/>
    <w:unhideWhenUsed/>
    <w:qFormat/>
    <w:pPr>
      <w:spacing w:after="20" w:before="0" w:line="216" w:lineRule="exact"/>
      <w:jc w:val="left"/>
    </w:pPr>
    <w:rPr>
      <w:rFonts w:ascii="Source Serif 4" w:cs="Source Serif 4" w:eastAsia="Source Serif 4" w:hAnsi="Source Serif 4"/>
      <w:color w:val="111111"/>
      <w:sz w:val="16"/>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56" w:before="140" w:line="246" w:lineRule="exact"/>
      <w:jc w:val="left"/>
    </w:pPr>
    <w:rPr>
      <w:rFonts w:ascii="Source Serif 4" w:cs="Source Serif 4" w:eastAsia="Source Serif 4" w:hAnsi="Source Serif 4"/>
      <w:b w:val="0"/>
      <w:i w:val="0"/>
      <w:color w:val="111111"/>
      <w:sz w:val="17"/>
    </w:rPr>
  </w:style>
  <w:style w:customStyle="1" w:styleId="TableCaption" w:type="paragraph">
    <w:name w:val="Table Caption"/>
    <w:basedOn w:val="Caption"/>
    <w:pPr>
      <w:keepNext/>
      <w:spacing w:after="56" w:before="140" w:line="246" w:lineRule="exact"/>
      <w:jc w:val="left"/>
    </w:pPr>
    <w:rPr>
      <w:rFonts w:ascii="Source Serif 4" w:cs="Source Serif 4" w:eastAsia="Source Serif 4" w:hAnsi="Source Serif 4"/>
      <w:b w:val="0"/>
      <w:i w:val="0"/>
      <w:color w:val="111111"/>
      <w:sz w:val="17"/>
    </w:rPr>
  </w:style>
  <w:style w:customStyle="1" w:styleId="ImageCaption" w:type="paragraph">
    <w:name w:val="Image Caption"/>
    <w:basedOn w:val="Caption"/>
    <w:pPr>
      <w:spacing w:after="56" w:before="140" w:line="246" w:lineRule="exact"/>
      <w:jc w:val="left"/>
    </w:pPr>
    <w:rPr>
      <w:rFonts w:ascii="Source Serif 4" w:cs="Source Serif 4" w:eastAsia="Source Serif 4" w:hAnsi="Source Serif 4"/>
      <w:b w:val="0"/>
      <w:i w:val="0"/>
      <w:color w:val="111111"/>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quation" w:type="paragraph">
    <w:name w:val="Equation"/>
    <w:basedOn w:val="Normal"/>
    <w:pPr>
      <w:keepLines/>
      <w:tabs>
        <w:tab w:pos="5102" w:val="center"/>
        <w:tab w:pos="10205" w:val="right"/>
      </w:tabs>
      <w:spacing w:after="114" w:before="86" w:line="246" w:lineRule="exact"/>
      <w:jc w:val="left"/>
    </w:pPr>
    <w:rPr>
      <w:rFonts w:ascii="Source Serif 4" w:cs="Source Serif 4" w:eastAsia="Source Serif 4" w:hAnsi="Source Serif 4"/>
      <w:color w:val="111111"/>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0" Type="http://schemas.openxmlformats.org/officeDocument/2006/relationships/image" Target="media/rId30.png"/><Relationship Id="rId53" Type="http://schemas.openxmlformats.org/officeDocument/2006/relationships/image" Target="media/rId53.png"/><Relationship Id="rId57" Type="http://schemas.openxmlformats.org/officeDocument/2006/relationships/image" Target="media/rId57.png"/><Relationship Id="rId62" Type="http://schemas.openxmlformats.org/officeDocument/2006/relationships/image" Target="media/rId62.png"/><Relationship Id="rId68" Type="http://schemas.openxmlformats.org/officeDocument/2006/relationships/image" Target="media/rId68.png"/><Relationship Id="rId72" Type="http://schemas.openxmlformats.org/officeDocument/2006/relationships/image" Target="media/rId72.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creator/>
  <dc:language>en</dc:language>
  <cp:keywords/>
  <dcterms:created xsi:type="dcterms:W3CDTF">2026-10-25T10:00:32Z</dcterms:created>
  <dcterms:modified xsi:type="dcterms:W3CDTF">2026-10-25T10:00:32Z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Master’s thesis, condensed version</vt:lpwstr>
  </property>
</Properties>
</file>