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5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5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5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5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5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5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5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5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5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line="276" w:lineRule="auto"/>
        <w:jc w:val="left"/>
      </w:pPr>
      <w:r>
        <w:rPr>
          <w:rFonts w:ascii="Times New Roman" w:hAnsi="Times New Roman" w:cs="Times New Roman" w:eastAsia="Times New Roman"/>
          <w:b/>
          <w:sz w:val="24"/>
        </w:rPr>
        <w:t>1.3 Positioning the contribution</w:t>
      </w:r>
    </w:p>
    <w:p>
      <w:pPr>
        <w:spacing w:before="0" w:after="5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5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5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5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5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5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5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5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5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1.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spacing w:line="240" w:lineRule="auto" w:after="30" w:before="60"/>
        <w:jc w:val="both"/>
      </w:pPr>
      <w:r>
        <w:rPr>
          <w:rFonts w:ascii="Times New Roman" w:hAnsi="Times New Roman" w:cs="Times New Roman" w:eastAsia="Times New Roman"/>
          <w:b/>
          <w:i/>
          <w:sz w:val="19"/>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5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line="276" w:lineRule="auto"/>
        <w:jc w:val="left"/>
      </w:pPr>
      <w:r>
        <w:rPr>
          <w:rFonts w:ascii="Times New Roman" w:hAnsi="Times New Roman" w:cs="Times New Roman" w:eastAsia="Times New Roman"/>
          <w:b/>
          <w:sz w:val="24"/>
        </w:rPr>
        <w:t>4.2 Comparability strategy</w:t>
      </w:r>
    </w:p>
    <w:p>
      <w:pPr>
        <w:spacing w:before="0" w:after="5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5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5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spacing w:line="240" w:lineRule="auto" w:after="30" w:before="60"/>
        <w:jc w:val="both"/>
      </w:pPr>
      <w:r>
        <w:rPr>
          <w:rFonts w:ascii="Times New Roman" w:hAnsi="Times New Roman" w:cs="Times New Roman" w:eastAsia="Times New Roman"/>
          <w:b/>
          <w:i/>
          <w:sz w:val="19"/>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3.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spacing w:line="240" w:lineRule="auto" w:after="30" w:before="60"/>
        <w:jc w:val="both"/>
      </w:pPr>
      <w:r>
        <w:rPr>
          <w:rFonts w:ascii="Times New Roman" w:hAnsi="Times New Roman" w:cs="Times New Roman" w:eastAsia="Times New Roman"/>
          <w:b/>
          <w:i/>
          <w:sz w:val="19"/>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230368" cy="2673835"/>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230368" cy="2673835"/>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5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5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5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5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line="276" w:lineRule="auto"/>
        <w:jc w:val="left"/>
      </w:pPr>
      <w:r>
        <w:rPr>
          <w:rFonts w:ascii="Times New Roman" w:hAnsi="Times New Roman" w:cs="Times New Roman" w:eastAsia="Times New Roman"/>
          <w:b/>
          <w:sz w:val="24"/>
        </w:rPr>
        <w:t>5.5 What the preliminary evidence establishes</w:t>
      </w:r>
    </w:p>
    <w:p>
      <w:pPr>
        <w:spacing w:before="0" w:after="5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5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4.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spacing w:line="240" w:lineRule="auto" w:after="30" w:before="60"/>
        <w:jc w:val="both"/>
      </w:pPr>
      <w:r>
        <w:rPr>
          <w:rFonts w:ascii="Times New Roman" w:hAnsi="Times New Roman" w:cs="Times New Roman" w:eastAsia="Times New Roman"/>
          <w:b/>
          <w:i/>
          <w:sz w:val="19"/>
        </w:rPr>
        <w:t>Table 4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5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5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5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5.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14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p>
      <w:pPr>
        <w:keepNext/>
        <w:spacing w:line="240" w:lineRule="auto" w:after="30" w:before="60"/>
        <w:jc w:val="left"/>
      </w:pPr>
      <w:r>
        <w:rPr>
          <w:rFonts w:ascii="Times New Roman" w:hAnsi="Times New Roman" w:cs="Times New Roman" w:eastAsia="Times New Roman"/>
          <w:b/>
          <w:i/>
          <w:sz w:val="19"/>
        </w:rPr>
        <w:t>Table A1. Data sources by evidence tier.</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Lines/>
        <w:spacing w:line="247" w:lineRule="auto" w:after="5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