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Quantifying</w:t>
      </w:r>
      <w:r>
        <w:t xml:space="preserve"> </w:t>
      </w:r>
      <w:r>
        <w:t xml:space="preserve">the</w:t>
      </w:r>
      <w:r>
        <w:t xml:space="preserve"> </w:t>
      </w:r>
      <w:r>
        <w:t xml:space="preserve">Invisible</w:t>
      </w:r>
      <w:r>
        <w:t xml:space="preserve"> </w:t>
      </w:r>
      <w:r>
        <w:t xml:space="preserve">Wedge</w:t>
      </w:r>
      <w:r>
        <w:t xml:space="preserve"> </w:t>
      </w:r>
      <w:r>
        <w:t xml:space="preserve">in</w:t>
      </w:r>
      <w:r>
        <w:t xml:space="preserve"> </w:t>
      </w:r>
      <w:r>
        <w:t xml:space="preserve">Indonesia’s</w:t>
      </w:r>
      <w:r>
        <w:t xml:space="preserve"> </w:t>
      </w:r>
      <w:r>
        <w:t xml:space="preserve">Platform</w:t>
      </w:r>
      <w:r>
        <w:t xml:space="preserve"> </w:t>
      </w:r>
      <w:r>
        <w:t xml:space="preserve">Economy</w:t>
      </w:r>
    </w:p>
    <w:p>
      <w:pPr>
        <w:pStyle w:val="Subtitle"/>
      </w:pPr>
      <w:r>
        <w:t xml:space="preserve">Master’s</w:t>
      </w:r>
      <w:r>
        <w:t xml:space="preserve"> </w:t>
      </w:r>
      <w:r>
        <w:t xml:space="preserve">thesis</w:t>
      </w:r>
    </w:p>
    <w:p>
      <w:pPr>
        <w:pStyle w:val="Author"/>
      </w:pPr>
      <w:r>
        <w:t xml:space="preserve">Christopher</w:t>
      </w:r>
      <w:r>
        <w:t xml:space="preserve"> </w:t>
      </w:r>
      <w:r>
        <w:t xml:space="preserve">Ongko</w:t>
      </w:r>
      <w:r>
        <w:t xml:space="preserve"> </w:t>
      </w:r>
      <w:r>
        <w:t xml:space="preserve">(王新福)</w:t>
      </w:r>
    </w:p>
    <w:p>
      <w:pPr>
        <w:pStyle w:val="Author"/>
      </w:pPr>
      <w:r>
        <w:t xml:space="preserve">Advisor:</w:t>
      </w:r>
      <w:r>
        <w:t xml:space="preserve"> </w:t>
      </w:r>
      <w:r>
        <w:t xml:space="preserve">Prof. De-Rong</w:t>
      </w:r>
      <w:r>
        <w:t xml:space="preserve"> </w:t>
      </w:r>
      <w:r>
        <w:t xml:space="preserve">Kong</w:t>
      </w:r>
      <w:r>
        <w:t xml:space="preserve"> </w:t>
      </w:r>
      <w:r>
        <w:t xml:space="preserve">(孔德蓉)</w:t>
      </w:r>
    </w:p>
    <w:p>
      <w:pPr>
        <w:pStyle w:val="Author"/>
      </w:pPr>
      <w:r>
        <w:t xml:space="preserve">College</w:t>
      </w:r>
      <w:r>
        <w:t xml:space="preserve"> </w:t>
      </w:r>
      <w:r>
        <w:t xml:space="preserve">of</w:t>
      </w:r>
      <w:r>
        <w:t xml:space="preserve"> </w:t>
      </w:r>
      <w:r>
        <w:t xml:space="preserve">Management,</w:t>
      </w:r>
      <w:r>
        <w:t xml:space="preserve"> </w:t>
      </w:r>
      <w:r>
        <w:t xml:space="preserve">Yuan</w:t>
      </w:r>
      <w:r>
        <w:t xml:space="preserve"> </w:t>
      </w:r>
      <w:r>
        <w:t xml:space="preserve">Ze</w:t>
      </w:r>
      <w:r>
        <w:t xml:space="preserve"> </w:t>
      </w:r>
      <w:r>
        <w:t xml:space="preserve">University</w:t>
      </w:r>
    </w:p>
    <w:p>
      <w:pPr>
        <w:pStyle w:val="Date"/>
      </w:pPr>
      <w:r>
        <w:t xml:space="preserve">October</w:t>
      </w:r>
      <w:r>
        <w:t xml:space="preserve"> </w:t>
      </w:r>
      <w:r>
        <w:t xml:space="preserve">2026</w:t>
      </w:r>
    </w:p>
    <w:p>
      <w:pPr>
        <w:pStyle w:val="FrontHeading"/>
      </w:pPr>
      <w:r>
        <w:t xml:space="preserve">Abstract</w:t>
      </w:r>
    </w:p>
    <w:p>
      <w:pPr>
        <w:pStyle w:val="BodyText"/>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Indonesian and regional platforms changed the share of each sale they kept about three times as much as 27 platforms abroad, mostly between 2022 and 2024. So the hypothesis that revenue grows in proportion to the commerce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FrontHeading"/>
      </w:pPr>
      <w:r>
        <w:t xml:space="preserve">Contents</w:t>
      </w:r>
    </w:p>
    <w:p>
      <w:pPr>
        <w:pStyle w:val="toc1"/>
      </w:pPr>
      <w:r>
        <w:fldChar w:fldCharType="begin"/>
      </w:r>
      <w:r>
        <w:instrText xml:space="preserve">TOC \o "1-2" \u</w:instrText>
      </w:r>
      <w:r>
        <w:fldChar w:fldCharType="separate"/>
      </w:r>
      <w:r>
        <w:t xml:space="preserve">Chapter 1 Introduction</w:t>
      </w:r>
      <w:r>
        <w:tab/>
      </w:r>
      <w:r>
        <w:t xml:space="preserve">1</w:t>
      </w:r>
    </w:p>
    <w:p>
      <w:pPr>
        <w:pStyle w:val="toc2"/>
      </w:pPr>
      <w:r>
        <w:t xml:space="preserve">1.1 Research question and objectives</w:t>
      </w:r>
      <w:r>
        <w:tab/>
      </w:r>
      <w:r>
        <w:t xml:space="preserve">2</w:t>
      </w:r>
    </w:p>
    <w:p>
      <w:pPr>
        <w:pStyle w:val="toc2"/>
      </w:pPr>
      <w:r>
        <w:t xml:space="preserve">1.2 Contributions</w:t>
      </w:r>
      <w:r>
        <w:tab/>
      </w:r>
      <w:r>
        <w:t xml:space="preserve">3</w:t>
      </w:r>
    </w:p>
    <w:p>
      <w:pPr>
        <w:pStyle w:val="toc2"/>
      </w:pPr>
      <w:r>
        <w:t xml:space="preserve">1.3 Structure of the thesis</w:t>
      </w:r>
      <w:r>
        <w:tab/>
      </w:r>
      <w:r>
        <w:t xml:space="preserve">4</w:t>
      </w:r>
    </w:p>
    <w:p>
      <w:pPr>
        <w:pStyle w:val="toc1"/>
      </w:pPr>
      <w:r>
        <w:t xml:space="preserve">Chapter 2 Literature Review</w:t>
      </w:r>
      <w:r>
        <w:tab/>
      </w:r>
      <w:r>
        <w:t xml:space="preserve">5</w:t>
      </w:r>
    </w:p>
    <w:p>
      <w:pPr>
        <w:pStyle w:val="toc2"/>
      </w:pPr>
      <w:r>
        <w:t xml:space="preserve">2.1 Platform economics and revenue recognition</w:t>
      </w:r>
      <w:r>
        <w:tab/>
      </w:r>
      <w:r>
        <w:t xml:space="preserve">5</w:t>
      </w:r>
    </w:p>
    <w:p>
      <w:pPr>
        <w:pStyle w:val="toc2"/>
      </w:pPr>
      <w:r>
        <w:t xml:space="preserve">2.2 Measuring the digital economy</w:t>
      </w:r>
      <w:r>
        <w:tab/>
      </w:r>
      <w:r>
        <w:t xml:space="preserve">6</w:t>
      </w:r>
    </w:p>
    <w:p>
      <w:pPr>
        <w:pStyle w:val="toc2"/>
      </w:pPr>
      <w:r>
        <w:t xml:space="preserve">2.3 Digital records and third-party information</w:t>
      </w:r>
      <w:r>
        <w:tab/>
      </w:r>
      <w:r>
        <w:t xml:space="preserve">7</w:t>
      </w:r>
    </w:p>
    <w:p>
      <w:pPr>
        <w:pStyle w:val="toc2"/>
      </w:pPr>
      <w:r>
        <w:t xml:space="preserve">2.4 Research gap</w:t>
      </w:r>
      <w:r>
        <w:tab/>
      </w:r>
      <w:r>
        <w:t xml:space="preserve">8</w:t>
      </w:r>
    </w:p>
    <w:p>
      <w:pPr>
        <w:pStyle w:val="toc1"/>
      </w:pPr>
      <w:r>
        <w:t xml:space="preserve">Chapter 3 Framework and Hypotheses</w:t>
      </w:r>
      <w:r>
        <w:tab/>
      </w:r>
      <w:r>
        <w:t xml:space="preserve">9</w:t>
      </w:r>
    </w:p>
    <w:p>
      <w:pPr>
        <w:pStyle w:val="toc2"/>
      </w:pPr>
      <w:r>
        <w:t xml:space="preserve">3.1 Terms and rules for comparison</w:t>
      </w:r>
      <w:r>
        <w:tab/>
      </w:r>
      <w:r>
        <w:t xml:space="preserve">11</w:t>
      </w:r>
    </w:p>
    <w:p>
      <w:pPr>
        <w:pStyle w:val="toc2"/>
      </w:pPr>
      <w:r>
        <w:t xml:space="preserve">3.2 Three measures</w:t>
      </w:r>
      <w:r>
        <w:tab/>
      </w:r>
      <w:r>
        <w:t xml:space="preserve">12</w:t>
      </w:r>
    </w:p>
    <w:p>
      <w:pPr>
        <w:pStyle w:val="toc2"/>
      </w:pPr>
      <w:r>
        <w:t xml:space="preserve">3.3 Tracing a movement</w:t>
      </w:r>
      <w:r>
        <w:tab/>
      </w:r>
      <w:r>
        <w:t xml:space="preserve">13</w:t>
      </w:r>
    </w:p>
    <w:p>
      <w:pPr>
        <w:pStyle w:val="toc2"/>
      </w:pPr>
      <w:r>
        <w:t xml:space="preserve">3.4 Hypotheses</w:t>
      </w:r>
      <w:r>
        <w:tab/>
      </w:r>
      <w:r>
        <w:t xml:space="preserve">14</w:t>
      </w:r>
    </w:p>
    <w:p>
      <w:pPr>
        <w:pStyle w:val="toc2"/>
      </w:pPr>
      <w:r>
        <w:t xml:space="preserve">3.5 The entry test</w:t>
      </w:r>
      <w:r>
        <w:tab/>
      </w:r>
      <w:r>
        <w:t xml:space="preserve">16</w:t>
      </w:r>
    </w:p>
    <w:p>
      <w:pPr>
        <w:pStyle w:val="toc2"/>
      </w:pPr>
      <w:r>
        <w:t xml:space="preserve">3.6 Further analyses</w:t>
      </w:r>
      <w:r>
        <w:tab/>
      </w:r>
      <w:r>
        <w:t xml:space="preserve">17</w:t>
      </w:r>
    </w:p>
    <w:p>
      <w:pPr>
        <w:pStyle w:val="toc1"/>
      </w:pPr>
      <w:r>
        <w:t xml:space="preserve">Chapter 4 Data and Methods</w:t>
      </w:r>
      <w:r>
        <w:tab/>
      </w:r>
      <w:r>
        <w:t xml:space="preserve">19</w:t>
      </w:r>
    </w:p>
    <w:p>
      <w:pPr>
        <w:pStyle w:val="toc2"/>
      </w:pPr>
      <w:r>
        <w:t xml:space="preserve">4.1 The platform data</w:t>
      </w:r>
      <w:r>
        <w:tab/>
      </w:r>
      <w:r>
        <w:t xml:space="preserve">20</w:t>
      </w:r>
    </w:p>
    <w:p>
      <w:pPr>
        <w:pStyle w:val="toc2"/>
      </w:pPr>
      <w:r>
        <w:t xml:space="preserve">4.2 Measuring the wedge in Indonesia</w:t>
      </w:r>
      <w:r>
        <w:tab/>
      </w:r>
      <w:r>
        <w:t xml:space="preserve">21</w:t>
      </w:r>
    </w:p>
    <w:p>
      <w:pPr>
        <w:pStyle w:val="toc2"/>
      </w:pPr>
      <w:r>
        <w:t xml:space="preserve">4.3 Testing H1</w:t>
      </w:r>
      <w:r>
        <w:tab/>
      </w:r>
      <w:r>
        <w:t xml:space="preserve">22</w:t>
      </w:r>
    </w:p>
    <w:p>
      <w:pPr>
        <w:pStyle w:val="toc2"/>
      </w:pPr>
      <w:r>
        <w:t xml:space="preserve">4.4 Tracing the moves</w:t>
      </w:r>
      <w:r>
        <w:tab/>
      </w:r>
      <w:r>
        <w:t xml:space="preserve">22</w:t>
      </w:r>
    </w:p>
    <w:p>
      <w:pPr>
        <w:pStyle w:val="toc2"/>
      </w:pPr>
      <w:r>
        <w:t xml:space="preserve">4.5 Market values</w:t>
      </w:r>
      <w:r>
        <w:tab/>
      </w:r>
      <w:r>
        <w:t xml:space="preserve">23</w:t>
      </w:r>
    </w:p>
    <w:p>
      <w:pPr>
        <w:pStyle w:val="toc2"/>
      </w:pPr>
      <w:r>
        <w:t xml:space="preserve">4.6 The survey files and H2</w:t>
      </w:r>
      <w:r>
        <w:tab/>
      </w:r>
      <w:r>
        <w:t xml:space="preserve">24</w:t>
      </w:r>
    </w:p>
    <w:p>
      <w:pPr>
        <w:pStyle w:val="toc2"/>
      </w:pPr>
      <w:r>
        <w:t xml:space="preserve">4.7 The entry test and the extra sellers</w:t>
      </w:r>
      <w:r>
        <w:tab/>
      </w:r>
      <w:r>
        <w:t xml:space="preserve">24</w:t>
      </w:r>
    </w:p>
    <w:p>
      <w:pPr>
        <w:pStyle w:val="toc2"/>
      </w:pPr>
      <w:r>
        <w:t xml:space="preserve">4.8 Channels, records and reach</w:t>
      </w:r>
      <w:r>
        <w:tab/>
      </w:r>
      <w:r>
        <w:t xml:space="preserve">25</w:t>
      </w:r>
    </w:p>
    <w:p>
      <w:pPr>
        <w:pStyle w:val="toc2"/>
      </w:pPr>
      <w:r>
        <w:t xml:space="preserve">4.9 Comparing national figures</w:t>
      </w:r>
      <w:r>
        <w:tab/>
      </w:r>
      <w:r>
        <w:t xml:space="preserve">26</w:t>
      </w:r>
    </w:p>
    <w:p>
      <w:pPr>
        <w:pStyle w:val="toc2"/>
      </w:pPr>
      <w:r>
        <w:t xml:space="preserve">4.10 Labels, traceability and licensed data</w:t>
      </w:r>
      <w:r>
        <w:tab/>
      </w:r>
      <w:r>
        <w:t xml:space="preserve">27</w:t>
      </w:r>
    </w:p>
    <w:p>
      <w:pPr>
        <w:pStyle w:val="toc1"/>
      </w:pPr>
      <w:r>
        <w:t xml:space="preserve">Chapter 5 Results</w:t>
      </w:r>
      <w:r>
        <w:tab/>
      </w:r>
      <w:r>
        <w:t xml:space="preserve">28</w:t>
      </w:r>
    </w:p>
    <w:p>
      <w:pPr>
        <w:pStyle w:val="toc2"/>
      </w:pPr>
      <w:r>
        <w:t xml:space="preserve">5.1 How much revenue leaves out</w:t>
      </w:r>
      <w:r>
        <w:tab/>
      </w:r>
      <w:r>
        <w:t xml:space="preserve">29</w:t>
      </w:r>
    </w:p>
    <w:p>
      <w:pPr>
        <w:pStyle w:val="toc2"/>
      </w:pPr>
      <w:r>
        <w:t xml:space="preserve">5.2 Testing H1</w:t>
      </w:r>
      <w:r>
        <w:tab/>
      </w:r>
      <w:r>
        <w:t xml:space="preserve">30</w:t>
      </w:r>
    </w:p>
    <w:p>
      <w:pPr>
        <w:pStyle w:val="toc2"/>
      </w:pPr>
      <w:r>
        <w:t xml:space="preserve">5.3 What moved the take rate</w:t>
      </w:r>
      <w:r>
        <w:tab/>
      </w:r>
      <w:r>
        <w:t xml:space="preserve">32</w:t>
      </w:r>
    </w:p>
    <w:p>
      <w:pPr>
        <w:pStyle w:val="toc2"/>
      </w:pPr>
      <w:r>
        <w:t xml:space="preserve">5.4 What markets valued</w:t>
      </w:r>
      <w:r>
        <w:tab/>
      </w:r>
      <w:r>
        <w:t xml:space="preserve">34</w:t>
      </w:r>
    </w:p>
    <w:p>
      <w:pPr>
        <w:pStyle w:val="toc2"/>
      </w:pPr>
      <w:r>
        <w:t xml:space="preserve">5.5 The platforms and the sellers in 2023</w:t>
      </w:r>
      <w:r>
        <w:tab/>
      </w:r>
      <w:r>
        <w:t xml:space="preserve">35</w:t>
      </w:r>
    </w:p>
    <w:p>
      <w:pPr>
        <w:pStyle w:val="toc2"/>
      </w:pPr>
      <w:r>
        <w:t xml:space="preserve">5.6 H2 and the entry test</w:t>
      </w:r>
      <w:r>
        <w:tab/>
      </w:r>
      <w:r>
        <w:t xml:space="preserve">36</w:t>
      </w:r>
    </w:p>
    <w:p>
      <w:pPr>
        <w:pStyle w:val="toc2"/>
      </w:pPr>
      <w:r>
        <w:t xml:space="preserve">5.7 What the rise in the count contains</w:t>
      </w:r>
      <w:r>
        <w:tab/>
      </w:r>
      <w:r>
        <w:t xml:space="preserve">36</w:t>
      </w:r>
    </w:p>
    <w:p>
      <w:pPr>
        <w:pStyle w:val="toc2"/>
      </w:pPr>
      <w:r>
        <w:t xml:space="preserve">5.8 Who the extra sellers were</w:t>
      </w:r>
      <w:r>
        <w:tab/>
      </w:r>
      <w:r>
        <w:t xml:space="preserve">38</w:t>
      </w:r>
    </w:p>
    <w:p>
      <w:pPr>
        <w:pStyle w:val="toc2"/>
      </w:pPr>
      <w:r>
        <w:t xml:space="preserve">5.9 Channels and records</w:t>
      </w:r>
      <w:r>
        <w:tab/>
      </w:r>
      <w:r>
        <w:t xml:space="preserve">39</w:t>
      </w:r>
    </w:p>
    <w:p>
      <w:pPr>
        <w:pStyle w:val="toc2"/>
      </w:pPr>
      <w:r>
        <w:t xml:space="preserve">5.10 Why the national figures disagree</w:t>
      </w:r>
      <w:r>
        <w:tab/>
      </w:r>
      <w:r>
        <w:t xml:space="preserve">41</w:t>
      </w:r>
    </w:p>
    <w:p>
      <w:pPr>
        <w:pStyle w:val="toc1"/>
      </w:pPr>
      <w:r>
        <w:t xml:space="preserve">Chapter 6 Discussion and Policy Implications</w:t>
      </w:r>
      <w:r>
        <w:tab/>
      </w:r>
      <w:r>
        <w:t xml:space="preserve">43</w:t>
      </w:r>
    </w:p>
    <w:p>
      <w:pPr>
        <w:pStyle w:val="toc2"/>
      </w:pPr>
      <w:r>
        <w:t xml:space="preserve">6.1 The rules and what each acts on</w:t>
      </w:r>
      <w:r>
        <w:tab/>
      </w:r>
      <w:r>
        <w:t xml:space="preserve">43</w:t>
      </w:r>
    </w:p>
    <w:p>
      <w:pPr>
        <w:pStyle w:val="toc2"/>
      </w:pPr>
      <w:r>
        <w:t xml:space="preserve">6.2 What the commission cap and the discount rule can move</w:t>
      </w:r>
      <w:r>
        <w:tab/>
      </w:r>
      <w:r>
        <w:t xml:space="preserve">45</w:t>
      </w:r>
    </w:p>
    <w:p>
      <w:pPr>
        <w:pStyle w:val="toc2"/>
      </w:pPr>
      <w:r>
        <w:t xml:space="preserve">6.3 How far the marketplace tax reaches</w:t>
      </w:r>
      <w:r>
        <w:tab/>
      </w:r>
      <w:r>
        <w:t xml:space="preserve">46</w:t>
      </w:r>
    </w:p>
    <w:p>
      <w:pPr>
        <w:pStyle w:val="toc2"/>
      </w:pPr>
      <w:r>
        <w:t xml:space="preserve">6.4 What the statistics rules can change</w:t>
      </w:r>
      <w:r>
        <w:tab/>
      </w:r>
      <w:r>
        <w:t xml:space="preserve">48</w:t>
      </w:r>
    </w:p>
    <w:p>
      <w:pPr>
        <w:pStyle w:val="toc2"/>
      </w:pPr>
      <w:r>
        <w:t xml:space="preserve">6.5 What the registered predictions test</w:t>
      </w:r>
      <w:r>
        <w:tab/>
      </w:r>
      <w:r>
        <w:t xml:space="preserve">48</w:t>
      </w:r>
    </w:p>
    <w:p>
      <w:pPr>
        <w:pStyle w:val="toc2"/>
      </w:pPr>
      <w:r>
        <w:t xml:space="preserve">6.6 Beyond Indonesia</w:t>
      </w:r>
      <w:r>
        <w:tab/>
      </w:r>
      <w:r>
        <w:t xml:space="preserve">49</w:t>
      </w:r>
    </w:p>
    <w:p>
      <w:pPr>
        <w:pStyle w:val="toc1"/>
      </w:pPr>
      <w:r>
        <w:t xml:space="preserve">Chapter 7 Conclusion</w:t>
      </w:r>
      <w:r>
        <w:tab/>
      </w:r>
      <w:r>
        <w:t xml:space="preserve">51</w:t>
      </w:r>
    </w:p>
    <w:p>
      <w:pPr>
        <w:pStyle w:val="toc2"/>
      </w:pPr>
      <w:r>
        <w:t xml:space="preserve">7.1 The answer to the research question</w:t>
      </w:r>
      <w:r>
        <w:tab/>
      </w:r>
      <w:r>
        <w:t xml:space="preserve">51</w:t>
      </w:r>
    </w:p>
    <w:p>
      <w:pPr>
        <w:pStyle w:val="toc2"/>
      </w:pPr>
      <w:r>
        <w:t xml:space="preserve">7.2 What the thesis adds</w:t>
      </w:r>
      <w:r>
        <w:tab/>
      </w:r>
      <w:r>
        <w:t xml:space="preserve">52</w:t>
      </w:r>
    </w:p>
    <w:p>
      <w:pPr>
        <w:pStyle w:val="toc2"/>
      </w:pPr>
      <w:r>
        <w:t xml:space="preserve">7.3 Predictions that failed</w:t>
      </w:r>
      <w:r>
        <w:tab/>
      </w:r>
      <w:r>
        <w:t xml:space="preserve">53</w:t>
      </w:r>
    </w:p>
    <w:p>
      <w:pPr>
        <w:pStyle w:val="toc2"/>
      </w:pPr>
      <w:r>
        <w:t xml:space="preserve">7.4 Limits of the evidence</w:t>
      </w:r>
      <w:r>
        <w:tab/>
      </w:r>
      <w:r>
        <w:t xml:space="preserve">54</w:t>
      </w:r>
    </w:p>
    <w:p>
      <w:pPr>
        <w:pStyle w:val="toc2"/>
      </w:pPr>
      <w:r>
        <w:t xml:space="preserve">7.5 Further research</w:t>
      </w:r>
      <w:r>
        <w:tab/>
      </w:r>
      <w:r>
        <w:t xml:space="preserve">56</w:t>
      </w:r>
    </w:p>
    <w:p>
      <w:pPr>
        <w:pStyle w:val="toc1"/>
      </w:pPr>
      <w:r>
        <w:t xml:space="preserve">Appendices</w:t>
      </w:r>
      <w:r>
        <w:tab/>
      </w:r>
      <w:r>
        <w:t xml:space="preserve">57</w:t>
      </w:r>
    </w:p>
    <w:p>
      <w:pPr>
        <w:pStyle w:val="toc2"/>
      </w:pPr>
      <w:r>
        <w:t xml:space="preserve">Appendix A. Platforms, windows and the wedge by year</w:t>
      </w:r>
      <w:r>
        <w:tab/>
      </w:r>
      <w:r>
        <w:t xml:space="preserve">57</w:t>
      </w:r>
    </w:p>
    <w:p>
      <w:pPr>
        <w:pStyle w:val="toc2"/>
      </w:pPr>
      <w:r>
        <w:t xml:space="preserve">Appendix B. The checks on the test of H1</w:t>
      </w:r>
      <w:r>
        <w:tab/>
      </w:r>
      <w:r>
        <w:t xml:space="preserve">60</w:t>
      </w:r>
    </w:p>
    <w:p>
      <w:pPr>
        <w:pStyle w:val="toc2"/>
      </w:pPr>
      <w:r>
        <w:t xml:space="preserve">Appendix C. Registered tests and their outcomes</w:t>
      </w:r>
      <w:r>
        <w:tab/>
      </w:r>
      <w:r>
        <w:t xml:space="preserve">63</w:t>
      </w:r>
    </w:p>
    <w:p>
      <w:pPr>
        <w:pStyle w:val="toc2"/>
      </w:pPr>
      <w:r>
        <w:t xml:space="preserve">Appendix D. The values behind Figures 4 to 6</w:t>
      </w:r>
      <w:r>
        <w:tab/>
      </w:r>
      <w:r>
        <w:t xml:space="preserve">65</w:t>
      </w:r>
    </w:p>
    <w:p>
      <w:pPr>
        <w:pStyle w:val="toc1"/>
      </w:pPr>
      <w:r>
        <w:t xml:space="preserve">References</w:t>
      </w:r>
      <w:r>
        <w:tab/>
      </w:r>
      <w:r>
        <w:t xml:space="preserve">67</w:t>
      </w:r>
      <w:r>
        <w:fldChar w:fldCharType="end"/>
      </w:r>
    </w:p>
    <w:p>
      <w:pPr>
        <w:pStyle w:val="FrontHeading"/>
      </w:pPr>
      <w:r>
        <w:t xml:space="preserve">List of Tables</w:t>
      </w:r>
    </w:p>
    <w:p>
      <w:pPr>
        <w:pStyle w:val="tableoffigures"/>
      </w:pPr>
      <w:r>
        <w:fldChar w:fldCharType="begin"/>
      </w:r>
      <w:r>
        <w:instrText xml:space="preserve">TOC \t "Table Caption,1"</w:instrText>
      </w:r>
      <w:r>
        <w:fldChar w:fldCharType="separate"/>
      </w:r>
      <w:r>
        <w:t xml:space="preserve">Table 1. What the literature establishes and where it stops</w:t>
      </w:r>
      <w:r>
        <w:tab/>
      </w:r>
      <w:r>
        <w:t xml:space="preserve">8</w:t>
      </w:r>
    </w:p>
    <w:p>
      <w:pPr>
        <w:pStyle w:val="tableoffigures"/>
      </w:pPr>
      <w:r>
        <w:t xml:space="preserve">Table 2. Terms and symbols</w:t>
      </w:r>
      <w:r>
        <w:tab/>
      </w:r>
      <w:r>
        <w:t xml:space="preserve">11</w:t>
      </w:r>
    </w:p>
    <w:p>
      <w:pPr>
        <w:pStyle w:val="tableoffigures"/>
      </w:pPr>
      <w:r>
        <w:t xml:space="preserve">Table 3. Hypotheses, tests and what would count against them</w:t>
      </w:r>
      <w:r>
        <w:tab/>
      </w:r>
      <w:r>
        <w:t xml:space="preserve">14</w:t>
      </w:r>
    </w:p>
    <w:p>
      <w:pPr>
        <w:pStyle w:val="tableoffigures"/>
      </w:pPr>
      <w:r>
        <w:t xml:space="preserve">Table 4. Further analyses</w:t>
      </w:r>
      <w:r>
        <w:tab/>
      </w:r>
      <w:r>
        <w:t xml:space="preserve">17</w:t>
      </w:r>
    </w:p>
    <w:p>
      <w:pPr>
        <w:pStyle w:val="tableoffigures"/>
      </w:pPr>
      <w:r>
        <w:t xml:space="preserve">Table 5. The Indonesian and regional group of platforms</w:t>
      </w:r>
      <w:r>
        <w:tab/>
      </w:r>
      <w:r>
        <w:t xml:space="preserve">20</w:t>
      </w:r>
    </w:p>
    <w:p>
      <w:pPr>
        <w:pStyle w:val="tableoffigures"/>
      </w:pPr>
      <w:r>
        <w:t xml:space="preserve">Table 6. The three BPS survey files</w:t>
      </w:r>
      <w:r>
        <w:tab/>
      </w:r>
      <w:r>
        <w:t xml:space="preserve">24</w:t>
      </w:r>
    </w:p>
    <w:p>
      <w:pPr>
        <w:pStyle w:val="tableoffigures"/>
      </w:pPr>
      <w:r>
        <w:t xml:space="preserve">Table 7. Sources compared in Objective 3</w:t>
      </w:r>
      <w:r>
        <w:tab/>
      </w:r>
      <w:r>
        <w:t xml:space="preserve">26</w:t>
      </w:r>
    </w:p>
    <w:p>
      <w:pPr>
        <w:pStyle w:val="tableoffigures"/>
      </w:pPr>
      <w:r>
        <w:t xml:space="preserve">Table 8. Main results and the evidence behind them</w:t>
      </w:r>
      <w:r>
        <w:tab/>
      </w:r>
      <w:r>
        <w:t xml:space="preserve">28</w:t>
      </w:r>
    </w:p>
    <w:p>
      <w:pPr>
        <w:pStyle w:val="tableoffigures"/>
      </w:pPr>
      <w:r>
        <w:t xml:space="preserve">Table 9. The invisible wedge of three platforms, 2023 (US$ billion)</w:t>
      </w:r>
      <w:r>
        <w:tab/>
      </w:r>
      <w:r>
        <w:t xml:space="preserve">29</w:t>
      </w:r>
    </w:p>
    <w:p>
      <w:pPr>
        <w:pStyle w:val="tableoffigures"/>
      </w:pPr>
      <w:r>
        <w:t xml:space="preserve">Table 10. The test of H1</w:t>
      </w:r>
      <w:r>
        <w:tab/>
      </w:r>
      <w:r>
        <w:t xml:space="preserve">30</w:t>
      </w:r>
    </w:p>
    <w:p>
      <w:pPr>
        <w:pStyle w:val="tableoffigures"/>
      </w:pPr>
      <w:r>
        <w:t xml:space="preserve">Table 11. What moved revenue in seven Indonesian and regional windows (share of the growth of revenue, percent)</w:t>
      </w:r>
      <w:r>
        <w:tab/>
      </w:r>
      <w:r>
        <w:t xml:space="preserve">33</w:t>
      </w:r>
    </w:p>
    <w:p>
      <w:pPr>
        <w:pStyle w:val="tableoffigures"/>
      </w:pPr>
      <w:r>
        <w:t xml:space="preserve">Table 12. The 2023 rise in the count of online sellers (thousands)</w:t>
      </w:r>
      <w:r>
        <w:tab/>
      </w:r>
      <w:r>
        <w:t xml:space="preserve">36</w:t>
      </w:r>
    </w:p>
    <w:p>
      <w:pPr>
        <w:pStyle w:val="tableoffigures"/>
      </w:pPr>
      <w:r>
        <w:t xml:space="preserve">Table 13. Indonesia’s recent rules and what each acts on</w:t>
      </w:r>
      <w:r>
        <w:tab/>
      </w:r>
      <w:r>
        <w:t xml:space="preserve">43</w:t>
      </w:r>
    </w:p>
    <w:p>
      <w:pPr>
        <w:pStyle w:val="tableoffigures"/>
      </w:pPr>
      <w:r>
        <w:t xml:space="preserve">Table 14. Registered predictions on the 2026 rules</w:t>
      </w:r>
      <w:r>
        <w:tab/>
      </w:r>
      <w:r>
        <w:t xml:space="preserve">48</w:t>
      </w:r>
      <w:r>
        <w:fldChar w:fldCharType="end"/>
      </w:r>
    </w:p>
    <w:p>
      <w:pPr>
        <w:pStyle w:val="FrontHeading"/>
      </w:pPr>
      <w:r>
        <w:t xml:space="preserve">List of Figures</w:t>
      </w:r>
    </w:p>
    <w:p>
      <w:pPr>
        <w:pStyle w:val="tableoffigures"/>
      </w:pPr>
      <w:r>
        <w:fldChar w:fldCharType="begin"/>
      </w:r>
      <w:r>
        <w:instrText xml:space="preserve">TOC \t "Figure Caption,1"</w:instrText>
      </w:r>
      <w:r>
        <w:fldChar w:fldCharType="separate"/>
      </w:r>
      <w:r>
        <w:t xml:space="preserve">Figure 1. Three nested quantities and the two links.</w:t>
      </w:r>
      <w:r>
        <w:tab/>
      </w:r>
      <w:r>
        <w:t xml:space="preserve">10</w:t>
      </w:r>
    </w:p>
    <w:p>
      <w:pPr>
        <w:pStyle w:val="tableoffigures"/>
      </w:pPr>
      <w:r>
        <w:t xml:space="preserve">Figure 2. The thin take rate.</w:t>
      </w:r>
      <w:r>
        <w:tab/>
      </w:r>
      <w:r>
        <w:t xml:space="preserve">32</w:t>
      </w:r>
    </w:p>
    <w:p>
      <w:pPr>
        <w:pStyle w:val="tableoffigures"/>
      </w:pPr>
      <w:r>
        <w:t xml:space="preserve">Figure 3. Tokopedia, 2022 to 2023: two ways to split the rise in revenue.</w:t>
      </w:r>
      <w:r>
        <w:tab/>
      </w:r>
      <w:r>
        <w:t xml:space="preserve">33</w:t>
      </w:r>
    </w:p>
    <w:p>
      <w:pPr>
        <w:pStyle w:val="tableoffigures"/>
      </w:pPr>
      <w:r>
        <w:t xml:space="preserve">Figure 4. Growth in 2023 (percent).</w:t>
      </w:r>
      <w:r>
        <w:tab/>
      </w:r>
      <w:r>
        <w:t xml:space="preserve">35</w:t>
      </w:r>
    </w:p>
    <w:p>
      <w:pPr>
        <w:pStyle w:val="tableoffigures"/>
      </w:pPr>
      <w:r>
        <w:t xml:space="preserve">Figure 5. Who the extra sellers were.</w:t>
      </w:r>
      <w:r>
        <w:tab/>
      </w:r>
      <w:r>
        <w:t xml:space="preserve">38</w:t>
      </w:r>
    </w:p>
    <w:p>
      <w:pPr>
        <w:pStyle w:val="tableoffigures"/>
      </w:pPr>
      <w:r>
        <w:t xml:space="preserve">Figure 6. Marketplace use and financial statements, 2020 to 2024.</w:t>
      </w:r>
      <w:r>
        <w:tab/>
      </w:r>
      <w:r>
        <w:t xml:space="preserve">40</w:t>
      </w:r>
      <w:r>
        <w:fldChar w:fldCharType="end"/>
      </w:r>
    </w:p>
    <w:p>
      <w:pPr>
        <w:pStyle w:val="FrontHeading"/>
      </w:pPr>
      <w:r>
        <w:t xml:space="preserve">Symbols and Abbreviations</w:t>
      </w:r>
    </w:p>
    <w:p>
      <w:pPr>
        <w:pStyle w:val="BodyText"/>
      </w:pPr>
      <w:r>
        <w:t xml:space="preserve">Each symbol is defined in Chapter 3, where it first appears in a formula. The subscripts i and t mark the platform and the year.</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63"/>
        <w:gridCol w:w="6051"/>
        <w:gridCol w:w="1390"/>
      </w:tblGrid>
      <w:tr>
        <w:trPr>
          <w:tblHeader w:val="true"/>
          <w:cantSplit/>
          <w:tblHeader/>
        </w:trPr>
        <w:tc>
          <w:tcPr>
            <w:tcW w:w="1063" w:type="dxa"/>
            <w:tcBorders>
              <w:bottom w:val="single" w:sz="5" w:space="0" w:color="000000"/>
            </w:tcBorders>
          </w:tcPr>
          <w:p>
            <w:pPr>
              <w:pStyle w:val="Compact"/>
              <w:spacing w:before="0" w:after="0" w:lineRule="exact" w:line="220"/>
              <w:jc w:val="left"/>
            </w:pPr>
            <w:r>
              <w:rPr>
                <w:b/>
                <w:sz w:val="18"/>
              </w:rPr>
              <w:t xml:space="preserve">Symbol</w:t>
            </w:r>
          </w:p>
        </w:tc>
        <w:tc>
          <w:tcPr>
            <w:tcW w:w="6051" w:type="dxa"/>
            <w:tcBorders>
              <w:bottom w:val="single" w:sz="5" w:space="0" w:color="000000"/>
            </w:tcBorders>
          </w:tcPr>
          <w:p>
            <w:pPr>
              <w:pStyle w:val="Compact"/>
              <w:spacing w:before="0" w:after="0" w:lineRule="exact" w:line="220"/>
              <w:jc w:val="left"/>
            </w:pPr>
            <w:r>
              <w:rPr>
                <w:b/>
                <w:sz w:val="18"/>
              </w:rPr>
              <w:t xml:space="preserve">Meaning</w:t>
            </w:r>
          </w:p>
        </w:tc>
        <w:tc>
          <w:tcPr>
            <w:tcW w:w="1390" w:type="dxa"/>
            <w:tcBorders>
              <w:bottom w:val="single" w:sz="5" w:space="0" w:color="000000"/>
            </w:tcBorders>
          </w:tcPr>
          <w:p>
            <w:pPr>
              <w:pStyle w:val="Compact"/>
              <w:spacing w:before="0" w:after="0" w:lineRule="exact" w:line="220"/>
              <w:jc w:val="left"/>
            </w:pPr>
            <w:r>
              <w:rPr>
                <w:b/>
                <w:sz w:val="18"/>
              </w:rPr>
              <w:t xml:space="preserve">First defined</w:t>
            </w:r>
          </w:p>
        </w:tc>
      </w:tr>
      <w:tr>
        <w:trPr>
          <w:cantSplit/>
        </w:trPr>
        <w:tc>
          <w:tcPr>
            <w:tcW w:w="1063" w:type="dxa"/>
          </w:tcPr>
          <w:p>
            <w:pPr>
              <w:pStyle w:val="Compact"/>
              <w:spacing w:before="0" w:after="0" w:lineRule="exact" w:line="220"/>
              <w:jc w:val="left"/>
            </w:pPr>
            <w:r>
              <w:rPr>
                <w:sz w:val="18"/>
              </w:rPr>
              <w:t xml:space="preserve">V</w:t>
            </w:r>
          </w:p>
        </w:tc>
        <w:tc>
          <w:tcPr>
            <w:tcW w:w="6051" w:type="dxa"/>
          </w:tcPr>
          <w:p>
            <w:pPr>
              <w:pStyle w:val="Compact"/>
              <w:spacing w:before="0" w:after="0" w:lineRule="exact" w:line="220"/>
              <w:jc w:val="left"/>
            </w:pPr>
            <w:r>
              <w:rPr>
                <w:sz w:val="18"/>
              </w:rPr>
              <w:t xml:space="preserve">Transaction value: everything bought through a platform in a period</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R</w:t>
            </w:r>
          </w:p>
        </w:tc>
        <w:tc>
          <w:tcPr>
            <w:tcW w:w="6051" w:type="dxa"/>
          </w:tcPr>
          <w:p>
            <w:pPr>
              <w:pStyle w:val="Compact"/>
              <w:spacing w:before="0" w:after="0" w:lineRule="exact" w:line="220"/>
              <w:jc w:val="left"/>
            </w:pPr>
            <w:r>
              <w:rPr>
                <w:sz w:val="18"/>
              </w:rPr>
              <w:t xml:space="preserve">Revenue: what the platform records as its own income</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m</w:t>
            </w:r>
          </w:p>
        </w:tc>
        <w:tc>
          <w:tcPr>
            <w:tcW w:w="6051" w:type="dxa"/>
          </w:tcPr>
          <w:p>
            <w:pPr>
              <w:pStyle w:val="Compact"/>
              <w:spacing w:before="0" w:after="0" w:lineRule="exact" w:line="220"/>
              <w:jc w:val="left"/>
            </w:pPr>
            <w:r>
              <w:rPr>
                <w:sz w:val="18"/>
              </w:rPr>
              <w:t xml:space="preserve">Take rate, R divided by V: the share of each sale the platform keeps</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f</w:t>
            </w:r>
          </w:p>
        </w:tc>
        <w:tc>
          <w:tcPr>
            <w:tcW w:w="6051" w:type="dxa"/>
          </w:tcPr>
          <w:p>
            <w:pPr>
              <w:pStyle w:val="Compact"/>
              <w:spacing w:before="0" w:after="0" w:lineRule="exact" w:line="220"/>
              <w:jc w:val="left"/>
            </w:pPr>
            <w:r>
              <w:rPr>
                <w:sz w:val="18"/>
              </w:rPr>
              <w:t xml:space="preserve">Fee rate: revenue before customer incentives, divided by V</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s</w:t>
            </w:r>
          </w:p>
        </w:tc>
        <w:tc>
          <w:tcPr>
            <w:tcW w:w="6051" w:type="dxa"/>
          </w:tcPr>
          <w:p>
            <w:pPr>
              <w:pStyle w:val="Compact"/>
              <w:spacing w:before="0" w:after="0" w:lineRule="exact" w:line="220"/>
              <w:jc w:val="left"/>
            </w:pPr>
            <w:r>
              <w:rPr>
                <w:sz w:val="18"/>
              </w:rPr>
              <w:t xml:space="preserve">Incentive rate: customer incentives divided by V</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W</w:t>
            </w:r>
          </w:p>
        </w:tc>
        <w:tc>
          <w:tcPr>
            <w:tcW w:w="6051" w:type="dxa"/>
          </w:tcPr>
          <w:p>
            <w:pPr>
              <w:pStyle w:val="Compact"/>
              <w:spacing w:before="0" w:after="0" w:lineRule="exact" w:line="220"/>
              <w:jc w:val="left"/>
            </w:pPr>
            <w:r>
              <w:rPr>
                <w:sz w:val="18"/>
              </w:rPr>
              <w:t xml:space="preserve">Invisible wedge, V minus R: what a revenue figure leaves out</w:t>
            </w:r>
          </w:p>
        </w:tc>
        <w:tc>
          <w:tcPr>
            <w:tcW w:w="1390" w:type="dxa"/>
          </w:tcPr>
          <w:p>
            <w:pPr>
              <w:pStyle w:val="Compact"/>
              <w:spacing w:before="0" w:after="0" w:lineRule="exact" w:line="220"/>
              <w:jc w:val="left"/>
            </w:pPr>
            <w:r>
              <w:rPr>
                <w:sz w:val="18"/>
              </w:rPr>
              <w:t xml:space="preserve">Equation (1)</w:t>
            </w:r>
          </w:p>
        </w:tc>
      </w:tr>
      <w:tr>
        <w:trPr>
          <w:cantSplit/>
        </w:trPr>
        <w:tc>
          <w:tcPr>
            <w:tcW w:w="1063" w:type="dxa"/>
          </w:tcPr>
          <w:p>
            <w:pPr>
              <w:pStyle w:val="Compact"/>
              <w:spacing w:before="0" w:after="0" w:lineRule="exact" w:line="220"/>
              <w:jc w:val="left"/>
            </w:pPr>
            <w:r>
              <w:rPr>
                <w:sz w:val="18"/>
              </w:rPr>
              <w:t xml:space="preserve">E</w:t>
            </w:r>
          </w:p>
        </w:tc>
        <w:tc>
          <w:tcPr>
            <w:tcW w:w="6051" w:type="dxa"/>
          </w:tcPr>
          <w:p>
            <w:pPr>
              <w:pStyle w:val="Compact"/>
              <w:spacing w:before="0" w:after="0" w:lineRule="exact" w:line="220"/>
              <w:jc w:val="left"/>
            </w:pPr>
            <w:r>
              <w:rPr>
                <w:sz w:val="18"/>
              </w:rPr>
              <w:t xml:space="preserve">Ecosystem ratio, W divided by R, equal to 1/m − 1 (the author’s own measure)</w:t>
            </w:r>
          </w:p>
        </w:tc>
        <w:tc>
          <w:tcPr>
            <w:tcW w:w="1390" w:type="dxa"/>
          </w:tcPr>
          <w:p>
            <w:pPr>
              <w:pStyle w:val="Compact"/>
              <w:spacing w:before="0" w:after="0" w:lineRule="exact" w:line="220"/>
              <w:jc w:val="left"/>
            </w:pPr>
            <w:r>
              <w:rPr>
                <w:sz w:val="18"/>
              </w:rPr>
              <w:t xml:space="preserve">Equation (2)</w:t>
            </w:r>
          </w:p>
        </w:tc>
      </w:tr>
      <w:tr>
        <w:trPr>
          <w:cantSplit/>
        </w:trPr>
        <w:tc>
          <w:tcPr>
            <w:tcW w:w="1063" w:type="dxa"/>
          </w:tcPr>
          <w:p>
            <w:pPr>
              <w:pStyle w:val="Compact"/>
              <w:spacing w:before="0" w:after="0" w:lineRule="exact" w:line="220"/>
              <w:jc w:val="left"/>
            </w:pPr>
            <w:r>
              <w:rPr>
                <w:sz w:val="18"/>
              </w:rPr>
              <w:t xml:space="preserve">g(·)</w:t>
            </w:r>
          </w:p>
        </w:tc>
        <w:tc>
          <w:tcPr>
            <w:tcW w:w="6051" w:type="dxa"/>
          </w:tcPr>
          <w:p>
            <w:pPr>
              <w:pStyle w:val="Compact"/>
              <w:spacing w:before="0" w:after="0" w:lineRule="exact" w:line="220"/>
              <w:jc w:val="left"/>
            </w:pPr>
            <w:r>
              <w:rPr>
                <w:sz w:val="18"/>
              </w:rPr>
              <w:t xml:space="preserve">Growth from one year to the next, as a share of the first year</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D</w:t>
            </w:r>
          </w:p>
        </w:tc>
        <w:tc>
          <w:tcPr>
            <w:tcW w:w="6051" w:type="dxa"/>
          </w:tcPr>
          <w:p>
            <w:pPr>
              <w:pStyle w:val="Compact"/>
              <w:spacing w:before="0" w:after="0" w:lineRule="exact" w:line="220"/>
              <w:jc w:val="left"/>
            </w:pPr>
            <w:r>
              <w:rPr>
                <w:sz w:val="18"/>
              </w:rPr>
              <w:t xml:space="preserve">Growth divergence, g(R) minus g(V)</w:t>
            </w:r>
          </w:p>
        </w:tc>
        <w:tc>
          <w:tcPr>
            <w:tcW w:w="1390" w:type="dxa"/>
          </w:tcPr>
          <w:p>
            <w:pPr>
              <w:pStyle w:val="Compact"/>
              <w:spacing w:before="0" w:after="0" w:lineRule="exact" w:line="220"/>
              <w:jc w:val="left"/>
            </w:pPr>
            <w:r>
              <w:rPr>
                <w:sz w:val="18"/>
              </w:rPr>
              <w:t xml:space="preserve">Equation (3)</w:t>
            </w:r>
          </w:p>
        </w:tc>
      </w:tr>
      <w:tr>
        <w:trPr>
          <w:cantSplit/>
        </w:trPr>
        <w:tc>
          <w:tcPr>
            <w:tcW w:w="1063" w:type="dxa"/>
          </w:tcPr>
          <w:p>
            <w:pPr>
              <w:pStyle w:val="Compact"/>
              <w:spacing w:before="0" w:after="0" w:lineRule="exact" w:line="220"/>
              <w:jc w:val="left"/>
            </w:pPr>
            <w:r>
              <w:rPr>
                <w:sz w:val="18"/>
              </w:rPr>
              <w:t xml:space="preserve">Δln X</w:t>
            </w:r>
          </w:p>
        </w:tc>
        <w:tc>
          <w:tcPr>
            <w:tcW w:w="6051" w:type="dxa"/>
          </w:tcPr>
          <w:p>
            <w:pPr>
              <w:pStyle w:val="Compact"/>
              <w:spacing w:before="0" w:after="0" w:lineRule="exact" w:line="220"/>
              <w:jc w:val="left"/>
            </w:pPr>
            <w:r>
              <w:rPr>
                <w:sz w:val="18"/>
              </w:rPr>
              <w:t xml:space="preserve">Change in the natural logarithm of X from one year to the next</w:t>
            </w:r>
          </w:p>
        </w:tc>
        <w:tc>
          <w:tcPr>
            <w:tcW w:w="1390" w:type="dxa"/>
          </w:tcPr>
          <w:p>
            <w:pPr>
              <w:pStyle w:val="Compact"/>
              <w:spacing w:before="0" w:after="0" w:lineRule="exact" w:line="220"/>
              <w:jc w:val="left"/>
            </w:pPr>
            <w:r>
              <w:rPr>
                <w:sz w:val="18"/>
              </w:rPr>
              <w:t xml:space="preserve">Equation (5)</w:t>
            </w:r>
          </w:p>
        </w:tc>
      </w:tr>
      <w:tr>
        <w:trPr>
          <w:cantSplit/>
        </w:trPr>
        <w:tc>
          <w:tcPr>
            <w:tcW w:w="1063" w:type="dxa"/>
          </w:tcPr>
          <w:p>
            <w:pPr>
              <w:pStyle w:val="Compact"/>
              <w:spacing w:before="0" w:after="0" w:lineRule="exact" w:line="220"/>
              <w:jc w:val="left"/>
            </w:pPr>
            <w:r>
              <w:rPr>
                <w:sz w:val="18"/>
              </w:rPr>
              <w:t xml:space="preserve">N</w:t>
            </w:r>
          </w:p>
        </w:tc>
        <w:tc>
          <w:tcPr>
            <w:tcW w:w="6051" w:type="dxa"/>
          </w:tcPr>
          <w:p>
            <w:pPr>
              <w:pStyle w:val="Compact"/>
              <w:spacing w:before="0" w:after="0" w:lineRule="exact" w:line="220"/>
              <w:jc w:val="left"/>
            </w:pPr>
            <w:r>
              <w:rPr>
                <w:sz w:val="18"/>
              </w:rPr>
              <w:t xml:space="preserve">BPS’s count of businesses selling online</w:t>
            </w:r>
          </w:p>
        </w:tc>
        <w:tc>
          <w:tcPr>
            <w:tcW w:w="1390" w:type="dxa"/>
          </w:tcPr>
          <w:p>
            <w:pPr>
              <w:pStyle w:val="Compact"/>
              <w:spacing w:before="0" w:after="0" w:lineRule="exact" w:line="220"/>
              <w:jc w:val="left"/>
            </w:pPr>
            <w:r>
              <w:rPr>
                <w:sz w:val="18"/>
              </w:rPr>
              <w:t xml:space="preserve">Equation (7)</w:t>
            </w:r>
          </w:p>
        </w:tc>
      </w:tr>
      <w:tr>
        <w:trPr>
          <w:cantSplit/>
        </w:trPr>
        <w:tc>
          <w:tcPr>
            <w:tcW w:w="1063" w:type="dxa"/>
          </w:tcPr>
          <w:p>
            <w:pPr>
              <w:pStyle w:val="Compact"/>
              <w:spacing w:before="0" w:after="0" w:lineRule="exact" w:line="220"/>
              <w:jc w:val="left"/>
            </w:pPr>
            <w:r>
              <w:rPr>
                <w:sz w:val="18"/>
              </w:rPr>
              <w:t xml:space="preserve">Y</w:t>
            </w:r>
          </w:p>
        </w:tc>
        <w:tc>
          <w:tcPr>
            <w:tcW w:w="6051" w:type="dxa"/>
          </w:tcPr>
          <w:p>
            <w:pPr>
              <w:pStyle w:val="Compact"/>
              <w:spacing w:before="0" w:after="0" w:lineRule="exact" w:line="220"/>
              <w:jc w:val="left"/>
            </w:pPr>
            <w:r>
              <w:rPr>
                <w:sz w:val="18"/>
              </w:rPr>
              <w:t xml:space="preserve">BPS’s total online sales value</w:t>
            </w:r>
          </w:p>
        </w:tc>
        <w:tc>
          <w:tcPr>
            <w:tcW w:w="1390" w:type="dxa"/>
          </w:tcPr>
          <w:p>
            <w:pPr>
              <w:pStyle w:val="Compact"/>
              <w:spacing w:before="0" w:after="0" w:lineRule="exact" w:line="220"/>
              <w:jc w:val="left"/>
            </w:pPr>
            <w:r>
              <w:rPr>
                <w:sz w:val="18"/>
              </w:rPr>
              <w:t xml:space="preserve">Equation (7)</w:t>
            </w:r>
          </w:p>
        </w:tc>
      </w:tr>
      <w:tr>
        <w:trPr>
          <w:cantSplit/>
        </w:trPr>
        <w:tc>
          <w:tcPr>
            <w:tcW w:w="1063" w:type="dxa"/>
          </w:tcPr>
          <w:p>
            <w:pPr>
              <w:pStyle w:val="Compact"/>
              <w:spacing w:before="0" w:after="0" w:lineRule="exact" w:line="220"/>
              <w:jc w:val="left"/>
            </w:pPr>
            <w:r>
              <w:rPr>
                <w:sz w:val="18"/>
              </w:rPr>
              <w:t xml:space="preserve">MV</w:t>
            </w:r>
          </w:p>
        </w:tc>
        <w:tc>
          <w:tcPr>
            <w:tcW w:w="6051" w:type="dxa"/>
          </w:tcPr>
          <w:p>
            <w:pPr>
              <w:pStyle w:val="Compact"/>
              <w:spacing w:before="0" w:after="0" w:lineRule="exact" w:line="220"/>
              <w:jc w:val="left"/>
            </w:pPr>
            <w:r>
              <w:rPr>
                <w:sz w:val="18"/>
              </w:rPr>
              <w:t xml:space="preserve">A listed platform’s market value</w:t>
            </w:r>
          </w:p>
        </w:tc>
        <w:tc>
          <w:tcPr>
            <w:tcW w:w="1390" w:type="dxa"/>
          </w:tcPr>
          <w:p>
            <w:pPr>
              <w:pStyle w:val="Compact"/>
              <w:spacing w:before="0" w:after="0" w:lineRule="exact" w:line="220"/>
              <w:jc w:val="left"/>
            </w:pPr>
            <w:r>
              <w:rPr>
                <w:sz w:val="18"/>
              </w:rPr>
              <w:t xml:space="preserve">Equation (8)</w:t>
            </w:r>
          </w:p>
        </w:tc>
      </w:tr>
      <w:tr>
        <w:trPr>
          <w:cantSplit/>
        </w:trPr>
        <w:tc>
          <w:tcPr>
            <w:tcW w:w="1063" w:type="dxa"/>
          </w:tcPr>
          <w:p>
            <w:pPr>
              <w:pStyle w:val="Compact"/>
              <w:spacing w:before="0" w:after="0" w:lineRule="exact" w:line="220"/>
              <w:jc w:val="left"/>
            </w:pPr>
            <w:r>
              <w:rPr>
                <w:sz w:val="18"/>
              </w:rPr>
              <w:t xml:space="preserve">β</w:t>
            </w:r>
            <w:r>
              <w:rPr>
                <w:sz w:val="18"/>
                <w:vertAlign w:val="subscript"/>
              </w:rPr>
              <w:t xml:space="preserve">V</w:t>
            </w:r>
            <w:r>
              <w:rPr>
                <w:sz w:val="18"/>
              </w:rPr>
              <w:t xml:space="preserve">, β</w:t>
            </w:r>
            <w:r>
              <w:rPr>
                <w:sz w:val="18"/>
                <w:vertAlign w:val="subscript"/>
              </w:rPr>
              <w:t xml:space="preserve">m</w:t>
            </w:r>
          </w:p>
        </w:tc>
        <w:tc>
          <w:tcPr>
            <w:tcW w:w="6051" w:type="dxa"/>
          </w:tcPr>
          <w:p>
            <w:pPr>
              <w:pStyle w:val="Compact"/>
              <w:spacing w:before="0" w:after="0" w:lineRule="exact" w:line="220"/>
              <w:jc w:val="left"/>
            </w:pPr>
            <w:r>
              <w:rPr>
                <w:sz w:val="18"/>
              </w:rPr>
              <w:t xml:space="preserve">How market value moves with transaction value and with the take rate</w:t>
            </w:r>
          </w:p>
        </w:tc>
        <w:tc>
          <w:tcPr>
            <w:tcW w:w="1390" w:type="dxa"/>
          </w:tcPr>
          <w:p>
            <w:pPr>
              <w:pStyle w:val="Compact"/>
              <w:spacing w:before="0" w:after="0" w:lineRule="exact" w:line="220"/>
              <w:jc w:val="left"/>
            </w:pPr>
            <w:r>
              <w:rPr>
                <w:sz w:val="18"/>
              </w:rPr>
              <w:t xml:space="preserve">Equation (8)</w:t>
            </w:r>
          </w:p>
        </w:tc>
      </w:tr>
      <w:tr>
        <w:trPr>
          <w:cantSplit/>
        </w:trPr>
        <w:tc>
          <w:tcPr>
            <w:tcW w:w="1063" w:type="dxa"/>
          </w:tcPr>
          <w:p>
            <w:pPr>
              <w:pStyle w:val="Compact"/>
              <w:spacing w:before="0" w:after="0" w:lineRule="exact" w:line="220"/>
              <w:jc w:val="left"/>
            </w:pPr>
            <w:r>
              <w:rPr>
                <w:sz w:val="18"/>
              </w:rPr>
              <w:t xml:space="preserve">H1, H2</w:t>
            </w:r>
          </w:p>
        </w:tc>
        <w:tc>
          <w:tcPr>
            <w:tcW w:w="6051" w:type="dxa"/>
          </w:tcPr>
          <w:p>
            <w:pPr>
              <w:pStyle w:val="Compact"/>
              <w:spacing w:before="0" w:after="0" w:lineRule="exact" w:line="220"/>
              <w:jc w:val="left"/>
            </w:pPr>
            <w:r>
              <w:rPr>
                <w:sz w:val="18"/>
              </w:rPr>
              <w:t xml:space="preserve">The two hypotheses</w:t>
            </w:r>
          </w:p>
        </w:tc>
        <w:tc>
          <w:tcPr>
            <w:tcW w:w="1390" w:type="dxa"/>
          </w:tcPr>
          <w:p>
            <w:pPr>
              <w:pStyle w:val="Compact"/>
              <w:spacing w:before="0" w:after="0" w:lineRule="exact" w:line="220"/>
              <w:jc w:val="left"/>
            </w:pPr>
            <w:r>
              <w:rPr>
                <w:sz w:val="18"/>
              </w:rPr>
              <w:t xml:space="preserve">Section 3.4</w:t>
            </w:r>
          </w:p>
        </w:tc>
      </w:tr>
    </w:tbl>
    <w:p>
      <w:pPr>
        <w:pStyle w:val="BodyText"/>
        <w:spacing w:before="160"/>
      </w:pPr>
      <w:r>
        <w:t xml:space="preserve">The text spells out most names. These abbreviations remain.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949"/>
        <w:gridCol w:w="6555"/>
      </w:tblGrid>
      <w:tr>
        <w:trPr>
          <w:tblHeader w:val="true"/>
          <w:cantSplit/>
          <w:tblHeader/>
        </w:trPr>
        <w:tc>
          <w:tcPr>
            <w:tcW w:w="1949" w:type="dxa"/>
            <w:tcBorders>
              <w:bottom w:val="single" w:sz="5" w:space="0" w:color="000000"/>
            </w:tcBorders>
          </w:tcPr>
          <w:p>
            <w:pPr>
              <w:pStyle w:val="Compact"/>
              <w:spacing w:before="0" w:after="0" w:lineRule="exact" w:line="220"/>
              <w:jc w:val="left"/>
            </w:pPr>
            <w:r>
              <w:rPr>
                <w:b/>
                <w:sz w:val="18"/>
              </w:rPr>
              <w:t xml:space="preserve">Abbreviation</w:t>
            </w:r>
          </w:p>
        </w:tc>
        <w:tc>
          <w:tcPr>
            <w:tcW w:w="6555" w:type="dxa"/>
            <w:tcBorders>
              <w:bottom w:val="single" w:sz="5" w:space="0" w:color="000000"/>
            </w:tcBorders>
          </w:tcPr>
          <w:p>
            <w:pPr>
              <w:pStyle w:val="Compact"/>
              <w:spacing w:before="0" w:after="0" w:lineRule="exact" w:line="220"/>
              <w:jc w:val="left"/>
            </w:pPr>
            <w:r>
              <w:rPr>
                <w:b/>
                <w:sz w:val="18"/>
              </w:rPr>
              <w:t xml:space="preserve">Meaning</w:t>
            </w:r>
          </w:p>
        </w:tc>
      </w:tr>
      <w:tr>
        <w:trPr>
          <w:cantSplit/>
        </w:trPr>
        <w:tc>
          <w:tcPr>
            <w:tcW w:w="1949" w:type="dxa"/>
          </w:tcPr>
          <w:p>
            <w:pPr>
              <w:pStyle w:val="Compact"/>
              <w:spacing w:before="0" w:after="0" w:lineRule="exact" w:line="220"/>
              <w:jc w:val="left"/>
            </w:pPr>
            <w:r>
              <w:rPr>
                <w:sz w:val="18"/>
              </w:rPr>
              <w:t xml:space="preserve">BPS</w:t>
            </w:r>
          </w:p>
        </w:tc>
        <w:tc>
          <w:tcPr>
            <w:tcW w:w="6555" w:type="dxa"/>
          </w:tcPr>
          <w:p>
            <w:pPr>
              <w:pStyle w:val="Compact"/>
              <w:spacing w:before="0" w:after="0" w:lineRule="exact" w:line="220"/>
              <w:jc w:val="left"/>
            </w:pPr>
            <w:r>
              <w:rPr>
                <w:sz w:val="18"/>
              </w:rPr>
              <w:t xml:space="preserve">Badan Pusat Statistik, Statistics Indonesia</w:t>
            </w:r>
          </w:p>
        </w:tc>
      </w:tr>
      <w:tr>
        <w:trPr>
          <w:cantSplit/>
        </w:trPr>
        <w:tc>
          <w:tcPr>
            <w:tcW w:w="1949" w:type="dxa"/>
          </w:tcPr>
          <w:p>
            <w:pPr>
              <w:pStyle w:val="Compact"/>
              <w:spacing w:before="0" w:after="0" w:lineRule="exact" w:line="220"/>
              <w:jc w:val="left"/>
            </w:pPr>
            <w:r>
              <w:rPr>
                <w:sz w:val="18"/>
              </w:rPr>
              <w:t xml:space="preserve">GMV, GTV, TPV</w:t>
            </w:r>
          </w:p>
        </w:tc>
        <w:tc>
          <w:tcPr>
            <w:tcW w:w="6555" w:type="dxa"/>
          </w:tcPr>
          <w:p>
            <w:pPr>
              <w:pStyle w:val="Compact"/>
              <w:spacing w:before="0" w:after="0" w:lineRule="exact" w:line="220"/>
              <w:jc w:val="left"/>
            </w:pPr>
            <w:r>
              <w:rPr>
                <w:sz w:val="18"/>
              </w:rPr>
              <w:t xml:space="preserve">Gross merchandise value, gross transaction value, total payment volume: company names for transaction value</w:t>
            </w:r>
          </w:p>
        </w:tc>
      </w:tr>
      <w:tr>
        <w:trPr>
          <w:cantSplit/>
        </w:trPr>
        <w:tc>
          <w:tcPr>
            <w:tcW w:w="1949" w:type="dxa"/>
          </w:tcPr>
          <w:p>
            <w:pPr>
              <w:pStyle w:val="Compact"/>
              <w:spacing w:before="0" w:after="0" w:lineRule="exact" w:line="220"/>
              <w:jc w:val="left"/>
            </w:pPr>
            <w:r>
              <w:rPr>
                <w:sz w:val="18"/>
              </w:rPr>
              <w:t xml:space="preserve">IASB, IFRS 15</w:t>
            </w:r>
          </w:p>
        </w:tc>
        <w:tc>
          <w:tcPr>
            <w:tcW w:w="6555" w:type="dxa"/>
          </w:tcPr>
          <w:p>
            <w:pPr>
              <w:pStyle w:val="Compact"/>
              <w:spacing w:before="0" w:after="0" w:lineRule="exact" w:line="220"/>
              <w:jc w:val="left"/>
            </w:pPr>
            <w:r>
              <w:rPr>
                <w:sz w:val="18"/>
              </w:rPr>
              <w:t xml:space="preserve">International Accounting Standards Board; International Financial Reporting Standard 15, its revenue standard</w:t>
            </w:r>
          </w:p>
        </w:tc>
      </w:tr>
      <w:tr>
        <w:trPr>
          <w:cantSplit/>
        </w:trPr>
        <w:tc>
          <w:tcPr>
            <w:tcW w:w="1949" w:type="dxa"/>
          </w:tcPr>
          <w:p>
            <w:pPr>
              <w:pStyle w:val="Compact"/>
              <w:spacing w:before="0" w:after="0" w:lineRule="exact" w:line="220"/>
              <w:jc w:val="left"/>
            </w:pPr>
            <w:r>
              <w:rPr>
                <w:sz w:val="18"/>
              </w:rPr>
              <w:t xml:space="preserve">LSEG</w:t>
            </w:r>
          </w:p>
        </w:tc>
        <w:tc>
          <w:tcPr>
            <w:tcW w:w="6555" w:type="dxa"/>
          </w:tcPr>
          <w:p>
            <w:pPr>
              <w:pStyle w:val="Compact"/>
              <w:spacing w:before="0" w:after="0" w:lineRule="exact" w:line="220"/>
              <w:jc w:val="left"/>
            </w:pPr>
            <w:r>
              <w:rPr>
                <w:sz w:val="18"/>
              </w:rPr>
              <w:t xml:space="preserve">London Stock Exchange Group, the source of market values</w:t>
            </w:r>
          </w:p>
        </w:tc>
      </w:tr>
      <w:tr>
        <w:trPr>
          <w:cantSplit/>
        </w:trPr>
        <w:tc>
          <w:tcPr>
            <w:tcW w:w="1949" w:type="dxa"/>
          </w:tcPr>
          <w:p>
            <w:pPr>
              <w:pStyle w:val="Compact"/>
              <w:spacing w:before="0" w:after="0" w:lineRule="exact" w:line="220"/>
              <w:jc w:val="left"/>
            </w:pPr>
            <w:r>
              <w:rPr>
                <w:sz w:val="18"/>
              </w:rPr>
              <w:t xml:space="preserve">OECD</w:t>
            </w:r>
          </w:p>
        </w:tc>
        <w:tc>
          <w:tcPr>
            <w:tcW w:w="6555" w:type="dxa"/>
          </w:tcPr>
          <w:p>
            <w:pPr>
              <w:pStyle w:val="Compact"/>
              <w:spacing w:before="0" w:after="0" w:lineRule="exact" w:line="220"/>
              <w:jc w:val="left"/>
            </w:pPr>
            <w:r>
              <w:rPr>
                <w:sz w:val="18"/>
              </w:rPr>
              <w:t xml:space="preserve">Organisation for Economic Co-operation and Development</w:t>
            </w:r>
          </w:p>
        </w:tc>
      </w:tr>
      <w:tr>
        <w:trPr>
          <w:cantSplit/>
        </w:trPr>
        <w:tc>
          <w:tcPr>
            <w:tcW w:w="1949" w:type="dxa"/>
          </w:tcPr>
          <w:p>
            <w:pPr>
              <w:pStyle w:val="Compact"/>
              <w:spacing w:before="0" w:after="0" w:lineRule="exact" w:line="220"/>
              <w:jc w:val="left"/>
            </w:pPr>
            <w:r>
              <w:rPr>
                <w:sz w:val="18"/>
              </w:rPr>
              <w:t xml:space="preserve">QRIS</w:t>
            </w:r>
          </w:p>
        </w:tc>
        <w:tc>
          <w:tcPr>
            <w:tcW w:w="6555" w:type="dxa"/>
          </w:tcPr>
          <w:p>
            <w:pPr>
              <w:pStyle w:val="Compact"/>
              <w:spacing w:before="0" w:after="0" w:lineRule="exact" w:line="220"/>
              <w:jc w:val="left"/>
            </w:pPr>
            <w:r>
              <w:rPr>
                <w:sz w:val="18"/>
              </w:rPr>
              <w:t xml:space="preserve">Quick Response Code Indonesian Standard, the national QR-code payment system</w:t>
            </w:r>
          </w:p>
        </w:tc>
      </w:tr>
      <w:tr>
        <w:trPr>
          <w:cantSplit/>
        </w:trPr>
        <w:tc>
          <w:tcPr>
            <w:tcW w:w="1949" w:type="dxa"/>
          </w:tcPr>
          <w:p>
            <w:pPr>
              <w:pStyle w:val="Compact"/>
              <w:spacing w:before="0" w:after="0" w:lineRule="exact" w:line="220"/>
              <w:jc w:val="left"/>
            </w:pPr>
            <w:r>
              <w:rPr>
                <w:sz w:val="18"/>
              </w:rPr>
              <w:t xml:space="preserve">UNCTAD</w:t>
            </w:r>
          </w:p>
        </w:tc>
        <w:tc>
          <w:tcPr>
            <w:tcW w:w="6555" w:type="dxa"/>
          </w:tcPr>
          <w:p>
            <w:pPr>
              <w:pStyle w:val="Compact"/>
              <w:spacing w:before="0" w:after="0" w:lineRule="exact" w:line="220"/>
              <w:jc w:val="left"/>
            </w:pPr>
            <w:r>
              <w:rPr>
                <w:sz w:val="18"/>
              </w:rPr>
              <w:t xml:space="preserve">United Nations Conference on Trade and Development</w:t>
            </w:r>
          </w:p>
        </w:tc>
      </w:tr>
      <w:tr>
        <w:trPr>
          <w:cantSplit/>
        </w:trPr>
        <w:tc>
          <w:tcPr>
            <w:tcW w:w="1949" w:type="dxa"/>
          </w:tcPr>
          <w:p>
            <w:pPr>
              <w:pStyle w:val="Compact"/>
              <w:spacing w:before="0" w:after="0" w:lineRule="exact" w:line="220"/>
              <w:jc w:val="left"/>
            </w:pPr>
            <w:r>
              <w:rPr>
                <w:sz w:val="18"/>
              </w:rPr>
              <w:t xml:space="preserve">Rp, US$</w:t>
            </w:r>
          </w:p>
        </w:tc>
        <w:tc>
          <w:tcPr>
            <w:tcW w:w="6555" w:type="dxa"/>
          </w:tcPr>
          <w:p>
            <w:pPr>
              <w:pStyle w:val="Compact"/>
              <w:spacing w:before="0" w:after="0" w:lineRule="exact" w:line="220"/>
              <w:jc w:val="left"/>
            </w:pPr>
            <w:r>
              <w:rPr>
                <w:sz w:val="18"/>
              </w:rPr>
              <w:t xml:space="preserve">Indonesian rupiah, US dollar</w:t>
            </w:r>
          </w:p>
        </w:tc>
      </w:tr>
    </w:tbl>
    <w:p>
      <w:pPr>
        <w:sectPr>
          <w:footerReference r:id="rId9" w:type="default"/>
          <w:footerReference w:type="first" r:id="rId10"/>
          <w:pgSz w:h="16838" w:w="11906"/>
          <w:pgMar w:bottom="1134" w:footer="567" w:header="850" w:left="2268" w:right="1134" w:top="1984"/>
          <w:pgNumType w:fmt="lowerRoman" w:start="1"/>
          <w:titlePg/>
        </w:sectPr>
      </w:pPr>
    </w:p>
    <w:bookmarkStart w:id="23"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0"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0"/>
    <w:bookmarkStart w:id="21" w:name="contributions"/>
    <w:p>
      <w:pPr>
        <w:pStyle w:val="Heading2"/>
      </w:pPr>
      <w:r>
        <w:t xml:space="preserve">1.2 Contributions</w:t>
      </w:r>
    </w:p>
    <w:p>
      <w:pPr>
        <w:pStyle w:val="FirstParagraph"/>
      </w:pPr>
      <w:r>
        <w:t xml:space="preserve">The thesis makes three contributions, one for each group that relies on these figures. They are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It draws on the platforms’ accounts, the sellers’ own survey responses and the rules that act on both.</w:t>
      </w:r>
    </w:p>
    <w:bookmarkEnd w:id="21"/>
    <w:bookmarkStart w:id="22"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2"/>
    <w:bookmarkEnd w:id="23"/>
    <w:bookmarkStart w:id="28"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4"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4"/>
    <w:bookmarkStart w:id="25"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5"/>
    <w:bookmarkStart w:id="26"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6"/>
    <w:bookmarkStart w:id="27" w:name="research-gap"/>
    <w:p>
      <w:pPr>
        <w:pStyle w:val="Heading2"/>
      </w:pPr>
      <w:r>
        <w:t xml:space="preserve">2.4 Research gap</w:t>
      </w:r>
    </w:p>
    <w:p>
      <w:pPr>
        <w:pStyle w:val="FirstParagraph"/>
      </w:pPr>
      <w:r>
        <w:t xml:space="preserve">The shortfalls identified in Sections 2.1 to 2.3 define the research gap. Table 1 sets them side by side.</w:t>
      </w:r>
    </w:p>
    <w:p>
      <w:pPr>
        <w:pStyle w:val="TableCaption"/>
      </w:pPr>
      <w:r>
        <w:rPr>
          <w:b/>
        </w:rPr>
        <w:t>Table 1.</w:t>
      </w:r>
      <w:r>
        <w:rPr>
          <w:b w:val="0"/>
        </w:rPr>
        <w:t xml:space="preserve"> What the literature establishes and where it stops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325"/>
        <w:gridCol w:w="2393"/>
        <w:gridCol w:w="2393"/>
        <w:gridCol w:w="2393"/>
      </w:tblGrid>
      <w:tr>
        <w:trPr>
          <w:tblHeader w:val="true"/>
          <w:cantSplit/>
          <w:tblHeader/>
        </w:trPr>
        <w:tc>
          <w:tcPr>
            <w:tcW w:w="1325" w:type="dxa"/>
            <w:tcBorders>
              <w:bottom w:val="single" w:sz="5" w:space="0" w:color="000000"/>
            </w:tcBorders>
          </w:tcPr>
          <w:p>
            <w:pPr>
              <w:pStyle w:val="Compact"/>
              <w:spacing w:before="0" w:after="0" w:lineRule="exact" w:line="220"/>
              <w:jc w:val="left"/>
            </w:pPr>
            <w:r>
              <w:rPr>
                <w:b/>
                <w:sz w:val="18"/>
              </w:rPr>
              <w:t xml:space="preserve">Section</w:t>
            </w:r>
          </w:p>
        </w:tc>
        <w:tc>
          <w:tcPr>
            <w:tcW w:w="2393" w:type="dxa"/>
            <w:tcBorders>
              <w:bottom w:val="single" w:sz="5" w:space="0" w:color="000000"/>
            </w:tcBorders>
          </w:tcPr>
          <w:p>
            <w:pPr>
              <w:pStyle w:val="Compact"/>
              <w:spacing w:before="0" w:after="0" w:lineRule="exact" w:line="220"/>
              <w:jc w:val="left"/>
            </w:pPr>
            <w:r>
              <w:rPr>
                <w:b/>
                <w:sz w:val="18"/>
              </w:rPr>
              <w:t xml:space="preserve">What it establishes</w:t>
            </w:r>
          </w:p>
        </w:tc>
        <w:tc>
          <w:tcPr>
            <w:tcW w:w="2393" w:type="dxa"/>
            <w:tcBorders>
              <w:bottom w:val="single" w:sz="5" w:space="0" w:color="000000"/>
            </w:tcBorders>
          </w:tcPr>
          <w:p>
            <w:pPr>
              <w:pStyle w:val="Compact"/>
              <w:spacing w:before="0" w:after="0" w:lineRule="exact" w:line="220"/>
              <w:jc w:val="left"/>
            </w:pPr>
            <w:r>
              <w:rPr>
                <w:b/>
                <w:sz w:val="18"/>
              </w:rPr>
              <w:t xml:space="preserve">Main sources</w:t>
            </w:r>
          </w:p>
        </w:tc>
        <w:tc>
          <w:tcPr>
            <w:tcW w:w="2393" w:type="dxa"/>
            <w:tcBorders>
              <w:bottom w:val="single" w:sz="5" w:space="0" w:color="000000"/>
            </w:tcBorders>
          </w:tcPr>
          <w:p>
            <w:pPr>
              <w:pStyle w:val="Compact"/>
              <w:spacing w:before="0" w:after="0" w:lineRule="exact" w:line="220"/>
              <w:jc w:val="left"/>
            </w:pPr>
            <w:r>
              <w:rPr>
                <w:b/>
                <w:sz w:val="18"/>
              </w:rPr>
              <w:t xml:space="preserve">Where it stops</w:t>
            </w:r>
          </w:p>
        </w:tc>
      </w:tr>
      <w:tr>
        <w:trPr>
          <w:cantSplit/>
        </w:trPr>
        <w:tc>
          <w:tcPr>
            <w:tcW w:w="1325" w:type="dxa"/>
          </w:tcPr>
          <w:p>
            <w:pPr>
              <w:pStyle w:val="Compact"/>
              <w:spacing w:before="0" w:after="0" w:lineRule="exact" w:line="220"/>
              <w:jc w:val="left"/>
            </w:pPr>
            <w:r>
              <w:rPr>
                <w:sz w:val="18"/>
              </w:rPr>
              <w:t xml:space="preserve">2.1 Platform economics and accounting</w:t>
            </w:r>
          </w:p>
        </w:tc>
        <w:tc>
          <w:tcPr>
            <w:tcW w:w="2393" w:type="dxa"/>
          </w:tcPr>
          <w:p>
            <w:pPr>
              <w:pStyle w:val="Compact"/>
              <w:spacing w:before="0" w:after="0" w:lineRule="exact" w:line="220"/>
              <w:jc w:val="left"/>
            </w:pPr>
            <w:r>
              <w:rPr>
                <w:sz w:val="18"/>
              </w:rPr>
              <w:t xml:space="preserve">Revenue is a fee that is a small share of the commerce, and the share can move with pricing, discounts and accounting</w:t>
            </w:r>
          </w:p>
        </w:tc>
        <w:tc>
          <w:tcPr>
            <w:tcW w:w="2393" w:type="dxa"/>
          </w:tcPr>
          <w:p>
            <w:pPr>
              <w:pStyle w:val="Compact"/>
              <w:spacing w:before="0" w:after="0" w:lineRule="exact" w:line="220"/>
              <w:jc w:val="left"/>
            </w:pPr>
            <w:r>
              <w:rPr>
                <w:sz w:val="18"/>
              </w:rPr>
              <w:t xml:space="preserve">Rochet and Tirole 2003; Armstrong 2006; IASB 2014</w:t>
            </w:r>
          </w:p>
        </w:tc>
        <w:tc>
          <w:tcPr>
            <w:tcW w:w="2393" w:type="dxa"/>
          </w:tcPr>
          <w:p>
            <w:pPr>
              <w:pStyle w:val="Compact"/>
              <w:spacing w:before="0" w:after="0" w:lineRule="exact" w:line="220"/>
              <w:jc w:val="left"/>
            </w:pPr>
            <w:r>
              <w:rPr>
                <w:sz w:val="18"/>
              </w:rPr>
              <w:t xml:space="preserve">Whether reported revenue stays a fair guide to reported transaction value has not been tested, and not for Indonesian platforms</w:t>
            </w:r>
          </w:p>
        </w:tc>
      </w:tr>
      <w:tr>
        <w:trPr>
          <w:cantSplit/>
        </w:trPr>
        <w:tc>
          <w:tcPr>
            <w:tcW w:w="1325" w:type="dxa"/>
          </w:tcPr>
          <w:p>
            <w:pPr>
              <w:pStyle w:val="Compact"/>
              <w:spacing w:before="0" w:after="0" w:lineRule="exact" w:line="220"/>
              <w:jc w:val="left"/>
            </w:pPr>
            <w:r>
              <w:rPr>
                <w:sz w:val="18"/>
              </w:rPr>
              <w:t xml:space="preserve">2.2 Official statistics and surveys</w:t>
            </w:r>
          </w:p>
        </w:tc>
        <w:tc>
          <w:tcPr>
            <w:tcW w:w="2393" w:type="dxa"/>
          </w:tcPr>
          <w:p>
            <w:pPr>
              <w:pStyle w:val="Compact"/>
              <w:spacing w:before="0" w:after="0" w:lineRule="exact" w:line="220"/>
              <w:jc w:val="left"/>
            </w:pPr>
            <w:r>
              <w:rPr>
                <w:sz w:val="18"/>
              </w:rPr>
              <w:t xml:space="preserve">Platform commerce and platform revenue differ; sources differ; a count of sellers can break</w:t>
            </w:r>
          </w:p>
        </w:tc>
        <w:tc>
          <w:tcPr>
            <w:tcW w:w="2393" w:type="dxa"/>
          </w:tcPr>
          <w:p>
            <w:pPr>
              <w:pStyle w:val="Compact"/>
              <w:spacing w:before="0" w:after="0" w:lineRule="exact" w:line="220"/>
              <w:jc w:val="left"/>
            </w:pPr>
            <w:r>
              <w:rPr>
                <w:sz w:val="18"/>
              </w:rPr>
              <w:t xml:space="preserve">Ahmad and Schreyer 2016; Henderson et al. 2012; van den Brakel et al. 2008</w:t>
            </w:r>
          </w:p>
        </w:tc>
        <w:tc>
          <w:tcPr>
            <w:tcW w:w="2393" w:type="dxa"/>
          </w:tcPr>
          <w:p>
            <w:pPr>
              <w:pStyle w:val="Compact"/>
              <w:spacing w:before="0" w:after="0" w:lineRule="exact" w:line="220"/>
              <w:jc w:val="left"/>
            </w:pPr>
            <w:r>
              <w:rPr>
                <w:sz w:val="18"/>
              </w:rPr>
              <w:t xml:space="preserve">Platform and national figures have not been followed through time in one country, and published totals cannot show what a rise in the count of sellers contains</w:t>
            </w:r>
          </w:p>
        </w:tc>
      </w:tr>
      <w:tr>
        <w:trPr>
          <w:cantSplit/>
        </w:trPr>
        <w:tc>
          <w:tcPr>
            <w:tcW w:w="1325" w:type="dxa"/>
          </w:tcPr>
          <w:p>
            <w:pPr>
              <w:pStyle w:val="Compact"/>
              <w:spacing w:before="0" w:after="0" w:lineRule="exact" w:line="220"/>
              <w:jc w:val="left"/>
            </w:pPr>
            <w:r>
              <w:rPr>
                <w:sz w:val="18"/>
              </w:rPr>
              <w:t xml:space="preserve">2.3 Third-party information</w:t>
            </w:r>
          </w:p>
        </w:tc>
        <w:tc>
          <w:tcPr>
            <w:tcW w:w="2393" w:type="dxa"/>
          </w:tcPr>
          <w:p>
            <w:pPr>
              <w:pStyle w:val="Compact"/>
              <w:spacing w:before="0" w:after="0" w:lineRule="exact" w:line="220"/>
              <w:jc w:val="left"/>
            </w:pPr>
            <w:r>
              <w:rPr>
                <w:sz w:val="18"/>
              </w:rPr>
              <w:t xml:space="preserve">Platform records show sales, and third-party reports improve compliance</w:t>
            </w:r>
          </w:p>
        </w:tc>
        <w:tc>
          <w:tcPr>
            <w:tcW w:w="2393" w:type="dxa"/>
          </w:tcPr>
          <w:p>
            <w:pPr>
              <w:pStyle w:val="Compact"/>
              <w:spacing w:before="0" w:after="0" w:lineRule="exact" w:line="220"/>
              <w:jc w:val="left"/>
            </w:pPr>
            <w:r>
              <w:rPr>
                <w:sz w:val="18"/>
              </w:rPr>
              <w:t xml:space="preserve">Kleven et al. 2011; OECD 2020</w:t>
            </w:r>
          </w:p>
        </w:tc>
        <w:tc>
          <w:tcPr>
            <w:tcW w:w="2393" w:type="dxa"/>
          </w:tcPr>
          <w:p>
            <w:pPr>
              <w:pStyle w:val="Compact"/>
              <w:spacing w:before="0" w:after="0" w:lineRule="exact" w:line="220"/>
              <w:jc w:val="left"/>
            </w:pPr>
            <w:r>
              <w:rPr>
                <w:sz w:val="18"/>
              </w:rPr>
              <w:t xml:space="preserve">How much of online selling platform records cover has not been estimated for Indonesia</w:t>
            </w:r>
          </w:p>
        </w:tc>
      </w:tr>
    </w:tbl>
    <w:p>
      <w:pPr>
        <w:pStyle w:val="BodyText"/>
        <w:spacing w:before="160"/>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7"/>
    <w:bookmarkEnd w:id="28"/>
    <w:bookmarkStart w:id="38"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1 shows the structure.</w:t>
      </w:r>
    </w:p>
    <w:p>
      <w:pPr>
        <w:pStyle w:val="BodyText"/>
      </w:pPr>
      <w:r>
        <w:t xml:space="preserve">Figure 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keepNext/>
        <w:spacing w:before="200" w:after="0" w:line="240" w:lineRule="auto"/>
        <w:jc w:val="center"/>
      </w:pPr>
      <w:r>
        <w:drawing>
          <wp:inline>
            <wp:extent cx="5400000" cy="2949134"/>
            <wp:effectExtent b="0" l="0" r="0" t="0"/>
            <wp:docPr descr="" title="" id="30" name="Picture"/>
            <a:graphic>
              <a:graphicData uri="http://schemas.openxmlformats.org/drawingml/2006/picture">
                <pic:pic>
                  <pic:nvPicPr>
                    <pic:cNvPr descr="figures/fig3_1_two_links.png" id="31" name="Picture"/>
                    <pic:cNvPicPr>
                      <a:picLocks noChangeArrowheads="1" noChangeAspect="1"/>
                    </pic:cNvPicPr>
                  </pic:nvPicPr>
                  <pic:blipFill>
                    <a:blip r:embed="rId29"/>
                    <a:stretch>
                      <a:fillRect/>
                    </a:stretch>
                  </pic:blipFill>
                  <pic:spPr bwMode="auto">
                    <a:xfrm>
                      <a:off x="0" y="0"/>
                      <a:ext cx="5400000" cy="2949134"/>
                    </a:xfrm>
                    <a:prstGeom prst="rect">
                      <a:avLst/>
                    </a:prstGeom>
                    <a:noFill/>
                    <a:ln w="9525">
                      <a:noFill/>
                      <a:headEnd/>
                      <a:tailEnd/>
                    </a:ln>
                  </pic:spPr>
                </pic:pic>
              </a:graphicData>
            </a:graphic>
          </wp:inline>
        </w:drawing>
      </w:r>
    </w:p>
    <w:p>
      <w:pPr>
        <w:pStyle w:val="FigureCaption"/>
        <w:keepNext/>
      </w:pPr>
      <w:r>
        <w:rPr>
          <w:b/>
        </w:rPr>
        <w:t>Figure 1.</w:t>
      </w:r>
      <w:r>
        <w:rPr>
          <w:b w:val="0"/>
        </w:rPr>
        <w:t xml:space="preserve"> Three nested quantities and the two links.</w:t>
      </w:r>
    </w:p>
    <w:p>
      <w:pPr>
        <w:pStyle w:val="TableNote"/>
      </w:pPr>
      <w:r>
        <w:t xml:space="preserve">Revenue sits inside platform commerce, which sits inside all online commerce. H1 tests the inner link and H2 the outer link.</w:t>
      </w:r>
    </w:p>
    <w:p>
      <w:pPr>
        <w:pStyle w:val="TableNote"/>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2" w:name="terms-and-rules-for-comparison"/>
    <w:p>
      <w:pPr>
        <w:pStyle w:val="Heading2"/>
      </w:pPr>
      <w:r>
        <w:t xml:space="preserve">3.1 Terms and rules for comparison</w:t>
      </w:r>
    </w:p>
    <w:p>
      <w:pPr>
        <w:pStyle w:val="FirstParagraph"/>
      </w:pPr>
      <w:r>
        <w:t xml:space="preserve">Table 2 defines the terms used throughout the thesis, each once, with the symbol used in the formulas.</w:t>
      </w:r>
    </w:p>
    <w:p>
      <w:pPr>
        <w:pStyle w:val="TableCaption"/>
      </w:pPr>
      <w:r>
        <w:rPr>
          <w:b/>
        </w:rPr>
        <w:t>Table 2.</w:t>
      </w:r>
      <w:r>
        <w:rPr>
          <w:b w:val="0"/>
        </w:rPr>
        <w:t xml:space="preserve"> Terms and symbols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778"/>
        <w:gridCol w:w="1005"/>
        <w:gridCol w:w="5721"/>
      </w:tblGrid>
      <w:tr>
        <w:trPr>
          <w:tblHeader w:val="true"/>
          <w:cantSplit/>
          <w:tblHeader/>
        </w:trPr>
        <w:tc>
          <w:tcPr>
            <w:tcW w:w="1778" w:type="dxa"/>
            <w:tcBorders>
              <w:bottom w:val="single" w:sz="5" w:space="0" w:color="000000"/>
            </w:tcBorders>
          </w:tcPr>
          <w:p>
            <w:pPr>
              <w:pStyle w:val="Compact"/>
              <w:spacing w:before="0" w:after="0" w:lineRule="exact" w:line="220"/>
              <w:jc w:val="left"/>
            </w:pPr>
            <w:r>
              <w:rPr>
                <w:b/>
                <w:sz w:val="18"/>
              </w:rPr>
              <w:t xml:space="preserve">Term</w:t>
            </w:r>
          </w:p>
        </w:tc>
        <w:tc>
          <w:tcPr>
            <w:tcW w:w="1005" w:type="dxa"/>
            <w:tcBorders>
              <w:bottom w:val="single" w:sz="5" w:space="0" w:color="000000"/>
            </w:tcBorders>
          </w:tcPr>
          <w:p>
            <w:pPr>
              <w:pStyle w:val="Compact"/>
              <w:spacing w:before="0" w:after="0" w:lineRule="exact" w:line="220"/>
              <w:jc w:val="left"/>
            </w:pPr>
            <w:r>
              <w:rPr>
                <w:b/>
                <w:sz w:val="18"/>
              </w:rPr>
              <w:t xml:space="preserve">Symbol</w:t>
            </w:r>
          </w:p>
        </w:tc>
        <w:tc>
          <w:tcPr>
            <w:tcW w:w="5721" w:type="dxa"/>
            <w:tcBorders>
              <w:bottom w:val="single" w:sz="5" w:space="0" w:color="000000"/>
            </w:tcBorders>
          </w:tcPr>
          <w:p>
            <w:pPr>
              <w:pStyle w:val="Compact"/>
              <w:spacing w:before="0" w:after="0" w:lineRule="exact" w:line="220"/>
              <w:jc w:val="left"/>
            </w:pPr>
            <w:r>
              <w:rPr>
                <w:b/>
                <w:sz w:val="18"/>
              </w:rPr>
              <w:t xml:space="preserve">Meaning</w:t>
            </w:r>
          </w:p>
        </w:tc>
      </w:tr>
      <w:tr>
        <w:trPr>
          <w:cantSplit/>
        </w:trPr>
        <w:tc>
          <w:tcPr>
            <w:tcW w:w="1778" w:type="dxa"/>
          </w:tcPr>
          <w:p>
            <w:pPr>
              <w:pStyle w:val="Compact"/>
              <w:spacing w:before="0" w:after="0" w:lineRule="exact" w:line="220"/>
              <w:jc w:val="left"/>
            </w:pPr>
            <w:r>
              <w:rPr>
                <w:sz w:val="18"/>
              </w:rPr>
              <w:t xml:space="preserve">Transaction value</w:t>
            </w:r>
          </w:p>
        </w:tc>
        <w:tc>
          <w:tcPr>
            <w:tcW w:w="1005" w:type="dxa"/>
          </w:tcPr>
          <w:p>
            <w:pPr>
              <w:pStyle w:val="Compact"/>
              <w:spacing w:before="0" w:after="0" w:lineRule="exact" w:line="220"/>
              <w:jc w:val="left"/>
            </w:pPr>
            <w:r>
              <w:rPr>
                <w:sz w:val="18"/>
              </w:rPr>
              <w:t xml:space="preserve">V</w:t>
            </w:r>
          </w:p>
        </w:tc>
        <w:tc>
          <w:tcPr>
            <w:tcW w:w="5721" w:type="dxa"/>
          </w:tcPr>
          <w:p>
            <w:pPr>
              <w:pStyle w:val="Compact"/>
              <w:spacing w:before="0" w:after="0" w:lineRule="exact" w:line="220"/>
              <w:jc w:val="left"/>
            </w:pPr>
            <w:r>
              <w:rPr>
                <w:sz w:val="18"/>
              </w:rP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rPr>
          <w:cantSplit/>
        </w:trPr>
        <w:tc>
          <w:tcPr>
            <w:tcW w:w="1778" w:type="dxa"/>
          </w:tcPr>
          <w:p>
            <w:pPr>
              <w:pStyle w:val="Compact"/>
              <w:spacing w:before="0" w:after="0" w:lineRule="exact" w:line="220"/>
              <w:jc w:val="left"/>
            </w:pPr>
            <w:r>
              <w:rPr>
                <w:sz w:val="18"/>
              </w:rPr>
              <w:t xml:space="preserve">Revenue</w:t>
            </w:r>
          </w:p>
        </w:tc>
        <w:tc>
          <w:tcPr>
            <w:tcW w:w="1005" w:type="dxa"/>
          </w:tcPr>
          <w:p>
            <w:pPr>
              <w:pStyle w:val="Compact"/>
              <w:spacing w:before="0" w:after="0" w:lineRule="exact" w:line="220"/>
              <w:jc w:val="left"/>
            </w:pPr>
            <w:r>
              <w:rPr>
                <w:sz w:val="18"/>
              </w:rPr>
              <w:t xml:space="preserve">R</w:t>
            </w:r>
          </w:p>
        </w:tc>
        <w:tc>
          <w:tcPr>
            <w:tcW w:w="5721" w:type="dxa"/>
          </w:tcPr>
          <w:p>
            <w:pPr>
              <w:pStyle w:val="Compact"/>
              <w:spacing w:before="0" w:after="0" w:lineRule="exact" w:line="220"/>
              <w:jc w:val="left"/>
            </w:pPr>
            <w:r>
              <w:rPr>
                <w:sz w:val="18"/>
              </w:rPr>
              <w:t xml:space="preserve">What the platform recognizes as its own income in its accounts.</w:t>
            </w:r>
          </w:p>
        </w:tc>
      </w:tr>
      <w:tr>
        <w:trPr>
          <w:cantSplit/>
        </w:trPr>
        <w:tc>
          <w:tcPr>
            <w:tcW w:w="1778" w:type="dxa"/>
          </w:tcPr>
          <w:p>
            <w:pPr>
              <w:pStyle w:val="Compact"/>
              <w:spacing w:before="0" w:after="0" w:lineRule="exact" w:line="220"/>
              <w:jc w:val="left"/>
            </w:pPr>
            <w:r>
              <w:rPr>
                <w:sz w:val="18"/>
              </w:rPr>
              <w:t xml:space="preserve">Take rate</w:t>
            </w:r>
          </w:p>
        </w:tc>
        <w:tc>
          <w:tcPr>
            <w:tcW w:w="1005" w:type="dxa"/>
          </w:tcPr>
          <w:p>
            <w:pPr>
              <w:pStyle w:val="Compact"/>
              <w:spacing w:before="0" w:after="0" w:lineRule="exact" w:line="220"/>
              <w:jc w:val="left"/>
            </w:pPr>
            <w:r>
              <w:rPr>
                <w:sz w:val="18"/>
              </w:rPr>
              <w:t xml:space="preserve">m</w:t>
            </w:r>
          </w:p>
        </w:tc>
        <w:tc>
          <w:tcPr>
            <w:tcW w:w="5721" w:type="dxa"/>
          </w:tcPr>
          <w:p>
            <w:pPr>
              <w:pStyle w:val="Compact"/>
              <w:spacing w:before="0" w:after="0" w:lineRule="exact" w:line="220"/>
              <w:jc w:val="left"/>
            </w:pPr>
            <w:r>
              <w:rPr>
                <w:sz w:val="18"/>
              </w:rPr>
              <w:t xml:space="preserve">Revenue divided by transaction value: the share of each sale that the platform keeps.</w:t>
            </w:r>
          </w:p>
        </w:tc>
      </w:tr>
      <w:tr>
        <w:trPr>
          <w:cantSplit/>
        </w:trPr>
        <w:tc>
          <w:tcPr>
            <w:tcW w:w="1778" w:type="dxa"/>
          </w:tcPr>
          <w:p>
            <w:pPr>
              <w:pStyle w:val="Compact"/>
              <w:spacing w:before="0" w:after="0" w:lineRule="exact" w:line="220"/>
              <w:jc w:val="left"/>
            </w:pPr>
            <w:r>
              <w:rPr>
                <w:sz w:val="18"/>
              </w:rPr>
              <w:t xml:space="preserve">Customer incentives</w:t>
            </w:r>
          </w:p>
        </w:tc>
        <w:tc>
          <w:tcPr>
            <w:tcW w:w="1005" w:type="dxa"/>
          </w:tcPr>
          <w:p>
            <w:pPr>
              <w:pStyle w:val="Compact"/>
              <w:spacing w:before="0" w:after="0" w:lineRule="exact" w:line="220"/>
              <w:jc w:val="left"/>
            </w:pPr>
          </w:p>
        </w:tc>
        <w:tc>
          <w:tcPr>
            <w:tcW w:w="5721" w:type="dxa"/>
          </w:tcPr>
          <w:p>
            <w:pPr>
              <w:pStyle w:val="Compact"/>
              <w:spacing w:before="0" w:after="0" w:lineRule="exact" w:line="220"/>
              <w:jc w:val="left"/>
            </w:pPr>
            <w:r>
              <w:rPr>
                <w:sz w:val="18"/>
              </w:rPr>
              <w:t xml:space="preserve">Discounts, vouchers and other promotions that a platform pays for. Accounting rules normally deduct them from revenue, and Tokopedia reports the deduction as a separate line.</w:t>
            </w:r>
          </w:p>
        </w:tc>
      </w:tr>
      <w:tr>
        <w:trPr>
          <w:cantSplit/>
        </w:trPr>
        <w:tc>
          <w:tcPr>
            <w:tcW w:w="1778" w:type="dxa"/>
          </w:tcPr>
          <w:p>
            <w:pPr>
              <w:pStyle w:val="Compact"/>
              <w:spacing w:before="0" w:after="0" w:lineRule="exact" w:line="220"/>
              <w:jc w:val="left"/>
            </w:pPr>
            <w:r>
              <w:rPr>
                <w:sz w:val="18"/>
              </w:rPr>
              <w:t xml:space="preserve">Fee rate</w:t>
            </w:r>
          </w:p>
        </w:tc>
        <w:tc>
          <w:tcPr>
            <w:tcW w:w="1005" w:type="dxa"/>
          </w:tcPr>
          <w:p>
            <w:pPr>
              <w:pStyle w:val="Compact"/>
              <w:spacing w:before="0" w:after="0" w:lineRule="exact" w:line="220"/>
              <w:jc w:val="left"/>
            </w:pPr>
            <w:r>
              <w:rPr>
                <w:sz w:val="18"/>
              </w:rPr>
              <w:t xml:space="preserve">f</w:t>
            </w:r>
          </w:p>
        </w:tc>
        <w:tc>
          <w:tcPr>
            <w:tcW w:w="5721" w:type="dxa"/>
          </w:tcPr>
          <w:p>
            <w:pPr>
              <w:pStyle w:val="Compact"/>
              <w:spacing w:before="0" w:after="0" w:lineRule="exact" w:line="220"/>
              <w:jc w:val="left"/>
            </w:pPr>
            <w:r>
              <w:rPr>
                <w:sz w:val="18"/>
              </w:rPr>
              <w:t xml:space="preserve">The platform’s revenue before customer incentives, divided by transaction value.</w:t>
            </w:r>
          </w:p>
        </w:tc>
      </w:tr>
      <w:tr>
        <w:trPr>
          <w:cantSplit/>
        </w:trPr>
        <w:tc>
          <w:tcPr>
            <w:tcW w:w="1778" w:type="dxa"/>
          </w:tcPr>
          <w:p>
            <w:pPr>
              <w:pStyle w:val="Compact"/>
              <w:spacing w:before="0" w:after="0" w:lineRule="exact" w:line="220"/>
              <w:jc w:val="left"/>
            </w:pPr>
            <w:r>
              <w:rPr>
                <w:sz w:val="18"/>
              </w:rPr>
              <w:t xml:space="preserve">Incentive rate</w:t>
            </w:r>
          </w:p>
        </w:tc>
        <w:tc>
          <w:tcPr>
            <w:tcW w:w="1005" w:type="dxa"/>
          </w:tcPr>
          <w:p>
            <w:pPr>
              <w:pStyle w:val="Compact"/>
              <w:spacing w:before="0" w:after="0" w:lineRule="exact" w:line="220"/>
              <w:jc w:val="left"/>
            </w:pPr>
            <w:r>
              <w:rPr>
                <w:sz w:val="18"/>
              </w:rPr>
              <w:t xml:space="preserve">s</w:t>
            </w:r>
          </w:p>
        </w:tc>
        <w:tc>
          <w:tcPr>
            <w:tcW w:w="5721" w:type="dxa"/>
          </w:tcPr>
          <w:p>
            <w:pPr>
              <w:pStyle w:val="Compact"/>
              <w:spacing w:before="0" w:after="0" w:lineRule="exact" w:line="220"/>
              <w:jc w:val="left"/>
            </w:pPr>
            <w:r>
              <w:rPr>
                <w:sz w:val="18"/>
              </w:rPr>
              <w:t xml:space="preserve">Customer incentives divided by transaction value.</w:t>
            </w:r>
          </w:p>
        </w:tc>
      </w:tr>
      <w:tr>
        <w:trPr>
          <w:cantSplit/>
        </w:trPr>
        <w:tc>
          <w:tcPr>
            <w:tcW w:w="1778" w:type="dxa"/>
          </w:tcPr>
          <w:p>
            <w:pPr>
              <w:pStyle w:val="Compact"/>
              <w:spacing w:before="0" w:after="0" w:lineRule="exact" w:line="220"/>
              <w:jc w:val="left"/>
            </w:pPr>
            <w:r>
              <w:rPr>
                <w:sz w:val="18"/>
              </w:rPr>
              <w:t xml:space="preserve">Invisible wedge</w:t>
            </w:r>
          </w:p>
        </w:tc>
        <w:tc>
          <w:tcPr>
            <w:tcW w:w="1005" w:type="dxa"/>
          </w:tcPr>
          <w:p>
            <w:pPr>
              <w:pStyle w:val="Compact"/>
              <w:spacing w:before="0" w:after="0" w:lineRule="exact" w:line="220"/>
              <w:jc w:val="left"/>
            </w:pPr>
            <w:r>
              <w:rPr>
                <w:sz w:val="18"/>
              </w:rPr>
              <w:t xml:space="preserve">W</w:t>
            </w:r>
          </w:p>
        </w:tc>
        <w:tc>
          <w:tcPr>
            <w:tcW w:w="5721" w:type="dxa"/>
          </w:tcPr>
          <w:p>
            <w:pPr>
              <w:pStyle w:val="Compact"/>
              <w:spacing w:before="0" w:after="0" w:lineRule="exact" w:line="220"/>
              <w:jc w:val="left"/>
            </w:pPr>
            <w:r>
              <w:rPr>
                <w:sz w:val="18"/>
              </w:rPr>
              <w:t xml:space="preserve">Transaction value minus revenue: what a revenue figure leaves out. It is defined for one platform. The thesis sums it over three platforms in Indonesia for 2023 and computes no national total.</w:t>
            </w:r>
          </w:p>
        </w:tc>
      </w:tr>
      <w:tr>
        <w:trPr>
          <w:cantSplit/>
        </w:trPr>
        <w:tc>
          <w:tcPr>
            <w:tcW w:w="1778" w:type="dxa"/>
          </w:tcPr>
          <w:p>
            <w:pPr>
              <w:pStyle w:val="Compact"/>
              <w:spacing w:before="0" w:after="0" w:lineRule="exact" w:line="220"/>
              <w:jc w:val="left"/>
            </w:pPr>
            <w:r>
              <w:rPr>
                <w:sz w:val="18"/>
              </w:rPr>
              <w:t xml:space="preserve">Ecosystem ratio</w:t>
            </w:r>
          </w:p>
        </w:tc>
        <w:tc>
          <w:tcPr>
            <w:tcW w:w="1005" w:type="dxa"/>
          </w:tcPr>
          <w:p>
            <w:pPr>
              <w:pStyle w:val="Compact"/>
              <w:spacing w:before="0" w:after="0" w:lineRule="exact" w:line="220"/>
              <w:jc w:val="left"/>
            </w:pPr>
            <w:r>
              <w:rPr>
                <w:sz w:val="18"/>
              </w:rPr>
              <w:t xml:space="preserve">E</w:t>
            </w:r>
          </w:p>
        </w:tc>
        <w:tc>
          <w:tcPr>
            <w:tcW w:w="5721" w:type="dxa"/>
          </w:tcPr>
          <w:p>
            <w:pPr>
              <w:pStyle w:val="Compact"/>
              <w:spacing w:before="0" w:after="0" w:lineRule="exact" w:line="220"/>
              <w:jc w:val="left"/>
            </w:pPr>
            <w:r>
              <w:rPr>
                <w:sz w:val="18"/>
              </w:rPr>
              <w:t xml:space="preserve">The wedge divided by revenue. It equals one divided by the take rate, minus one. This is the author’s own measure, built for this thesis.</w:t>
            </w:r>
          </w:p>
        </w:tc>
      </w:tr>
      <w:tr>
        <w:trPr>
          <w:cantSplit/>
        </w:trPr>
        <w:tc>
          <w:tcPr>
            <w:tcW w:w="1778" w:type="dxa"/>
          </w:tcPr>
          <w:p>
            <w:pPr>
              <w:pStyle w:val="Compact"/>
              <w:spacing w:before="0" w:after="0" w:lineRule="exact" w:line="220"/>
              <w:jc w:val="left"/>
            </w:pPr>
            <w:r>
              <w:rPr>
                <w:sz w:val="18"/>
              </w:rPr>
              <w:t xml:space="preserve">Growth</w:t>
            </w:r>
          </w:p>
        </w:tc>
        <w:tc>
          <w:tcPr>
            <w:tcW w:w="1005" w:type="dxa"/>
          </w:tcPr>
          <w:p>
            <w:pPr>
              <w:pStyle w:val="Compact"/>
              <w:spacing w:before="0" w:after="0" w:lineRule="exact" w:line="220"/>
              <w:jc w:val="left"/>
            </w:pPr>
            <w:r>
              <w:rPr>
                <w:sz w:val="18"/>
              </w:rPr>
              <w:t xml:space="preserve">g</w:t>
            </w:r>
          </w:p>
        </w:tc>
        <w:tc>
          <w:tcPr>
            <w:tcW w:w="5721" w:type="dxa"/>
          </w:tcPr>
          <w:p>
            <w:pPr>
              <w:pStyle w:val="Compact"/>
              <w:spacing w:before="0" w:after="0" w:lineRule="exact" w:line="220"/>
              <w:jc w:val="left"/>
            </w:pPr>
            <w:r>
              <w:rPr>
                <w:sz w:val="18"/>
              </w:rPr>
              <w:t xml:space="preserve">The change from one year to the next as a share of the first year: 0.09 means 9 percent.</w:t>
            </w:r>
          </w:p>
        </w:tc>
      </w:tr>
      <w:tr>
        <w:trPr>
          <w:cantSplit/>
        </w:trPr>
        <w:tc>
          <w:tcPr>
            <w:tcW w:w="1778" w:type="dxa"/>
          </w:tcPr>
          <w:p>
            <w:pPr>
              <w:pStyle w:val="Compact"/>
              <w:spacing w:before="0" w:after="0" w:lineRule="exact" w:line="220"/>
              <w:jc w:val="left"/>
            </w:pPr>
            <w:r>
              <w:rPr>
                <w:sz w:val="18"/>
              </w:rPr>
              <w:t xml:space="preserve">Growth divergence</w:t>
            </w:r>
          </w:p>
        </w:tc>
        <w:tc>
          <w:tcPr>
            <w:tcW w:w="1005" w:type="dxa"/>
          </w:tcPr>
          <w:p>
            <w:pPr>
              <w:pStyle w:val="Compact"/>
              <w:spacing w:before="0" w:after="0" w:lineRule="exact" w:line="220"/>
              <w:jc w:val="left"/>
            </w:pPr>
            <w:r>
              <w:rPr>
                <w:sz w:val="18"/>
              </w:rPr>
              <w:t xml:space="preserve">D</w:t>
            </w:r>
          </w:p>
        </w:tc>
        <w:tc>
          <w:tcPr>
            <w:tcW w:w="5721" w:type="dxa"/>
          </w:tcPr>
          <w:p>
            <w:pPr>
              <w:pStyle w:val="Compact"/>
              <w:spacing w:before="0" w:after="0" w:lineRule="exact" w:line="220"/>
              <w:jc w:val="left"/>
            </w:pPr>
            <w:r>
              <w:rPr>
                <w:sz w:val="18"/>
              </w:rPr>
              <w:t xml:space="preserve">Growth of revenue minus growth of transaction value in the same year: 0.62 means 62 percentage points.</w:t>
            </w:r>
          </w:p>
        </w:tc>
      </w:tr>
      <w:tr>
        <w:trPr>
          <w:cantSplit/>
        </w:trPr>
        <w:tc>
          <w:tcPr>
            <w:tcW w:w="1778" w:type="dxa"/>
          </w:tcPr>
          <w:p>
            <w:pPr>
              <w:pStyle w:val="Compact"/>
              <w:spacing w:before="0" w:after="0" w:lineRule="exact" w:line="220"/>
              <w:jc w:val="left"/>
            </w:pPr>
            <w:r>
              <w:rPr>
                <w:sz w:val="18"/>
              </w:rPr>
              <w:t xml:space="preserve">Online seller</w:t>
            </w:r>
          </w:p>
        </w:tc>
        <w:tc>
          <w:tcPr>
            <w:tcW w:w="1005" w:type="dxa"/>
          </w:tcPr>
          <w:p>
            <w:pPr>
              <w:pStyle w:val="Compact"/>
              <w:spacing w:before="0" w:after="0" w:lineRule="exact" w:line="220"/>
              <w:jc w:val="left"/>
            </w:pPr>
          </w:p>
        </w:tc>
        <w:tc>
          <w:tcPr>
            <w:tcW w:w="5721" w:type="dxa"/>
          </w:tcPr>
          <w:p>
            <w:pPr>
              <w:pStyle w:val="Compact"/>
              <w:spacing w:before="0" w:after="0" w:lineRule="exact" w:line="220"/>
              <w:jc w:val="left"/>
            </w:pPr>
            <w:r>
              <w:rPr>
                <w:sz w:val="18"/>
              </w:rPr>
              <w:t xml:space="preserve">A business that the national statistics office, BPS, counts as selling online; the text also calls it a seller or a business. The count of online sellers is BPS’s estimate of how many there are in a year.</w:t>
            </w:r>
          </w:p>
        </w:tc>
      </w:tr>
      <w:tr>
        <w:trPr>
          <w:cantSplit/>
        </w:trPr>
        <w:tc>
          <w:tcPr>
            <w:tcW w:w="1778" w:type="dxa"/>
          </w:tcPr>
          <w:p>
            <w:pPr>
              <w:pStyle w:val="Compact"/>
              <w:spacing w:before="0" w:after="0" w:lineRule="exact" w:line="220"/>
              <w:jc w:val="left"/>
            </w:pPr>
            <w:r>
              <w:rPr>
                <w:sz w:val="18"/>
              </w:rPr>
              <w:t xml:space="preserve">First-time entry</w:t>
            </w:r>
          </w:p>
        </w:tc>
        <w:tc>
          <w:tcPr>
            <w:tcW w:w="1005" w:type="dxa"/>
          </w:tcPr>
          <w:p>
            <w:pPr>
              <w:pStyle w:val="Compact"/>
              <w:spacing w:before="0" w:after="0" w:lineRule="exact" w:line="220"/>
              <w:jc w:val="left"/>
            </w:pPr>
          </w:p>
        </w:tc>
        <w:tc>
          <w:tcPr>
            <w:tcW w:w="5721" w:type="dxa"/>
          </w:tcPr>
          <w:p>
            <w:pPr>
              <w:pStyle w:val="Compact"/>
              <w:spacing w:before="0" w:after="0" w:lineRule="exact" w:line="220"/>
              <w:jc w:val="left"/>
            </w:pPr>
            <w:r>
              <w:rPr>
                <w:sz w:val="18"/>
              </w:rPr>
              <w:t xml:space="preserve">A seller that began selling online in the year being measured.</w:t>
            </w:r>
          </w:p>
        </w:tc>
      </w:tr>
    </w:tbl>
    <w:p>
      <w:pPr>
        <w:pStyle w:val="BodyText"/>
        <w:spacing w:before="160"/>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2"/>
    <w:bookmarkStart w:id="33"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Equation"/>
      </w:pPr>
      <w:r>
        <w:tab/>
        <w:t>W</w:t>
      </w:r>
      <w:r>
        <w:rPr>
          <w:vertAlign w:val="subscript"/>
        </w:rPr>
        <w:t xml:space="preserve">it</w:t>
      </w:r>
      <w:r>
        <w:t xml:space="preserve"> </w:t>
      </w:r>
      <w:r>
        <w:t xml:space="preserve">= V</w:t>
      </w:r>
      <w:r>
        <w:rPr>
          <w:vertAlign w:val="subscript"/>
        </w:rPr>
        <w:t xml:space="preserve">it</w:t>
      </w:r>
      <w:r>
        <w:t xml:space="preserve"> </w:t>
      </w:r>
      <w:r>
        <w:t xml:space="preserve">− R</w:t>
      </w:r>
      <w:r>
        <w:rPr>
          <w:vertAlign w:val="subscript"/>
        </w:rPr>
        <w:t xml:space="preserve">it</w:t>
      </w:r>
      <w:r>
        <w:tab/>
        <w:t>(1)</w:t>
      </w:r>
    </w:p>
    <w:p>
      <w:pPr>
        <w:pStyle w:val="BodyText"/>
      </w:pPr>
      <w:r>
        <w:t xml:space="preserve">where V</w:t>
      </w:r>
      <w:r>
        <w:rPr>
          <w:vertAlign w:val="subscript"/>
        </w:rPr>
        <w:t xml:space="preserve">it</w:t>
      </w:r>
      <w:r>
        <w:t xml:space="preserve"> </w:t>
      </w:r>
      <w:r>
        <w:t xml:space="preserve">is the transaction value of platform i in year t and R</w:t>
      </w:r>
      <w:r>
        <w:rPr>
          <w:vertAlign w:val="subscript"/>
        </w:rPr>
        <w:t xml:space="preserve">it</w:t>
      </w:r>
      <w:r>
        <w:t xml:space="preserve"> </w:t>
      </w:r>
      <w:r>
        <w:t xml:space="preserve">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Equation"/>
      </w:pPr>
      <w:r>
        <w:tab/>
        <w:t>E</w:t>
      </w:r>
      <w:r>
        <w:rPr>
          <w:vertAlign w:val="subscript"/>
        </w:rPr>
        <w:t xml:space="preserve">it</w:t>
      </w:r>
      <w:r>
        <w:t xml:space="preserve"> </w:t>
      </w:r>
      <w:r>
        <w:t xml:space="preserve">= W</w:t>
      </w:r>
      <w:r>
        <w:rPr>
          <w:vertAlign w:val="subscript"/>
        </w:rPr>
        <w:t xml:space="preserve">it</w:t>
      </w:r>
      <w:r>
        <w:t xml:space="preserve"> </w:t>
      </w:r>
      <w:r>
        <w:t xml:space="preserve">/ R</w:t>
      </w:r>
      <w:r>
        <w:rPr>
          <w:vertAlign w:val="subscript"/>
        </w:rPr>
        <w:t xml:space="preserve">it</w:t>
      </w:r>
      <w:r>
        <w:t xml:space="preserve"> </w:t>
      </w:r>
      <w:r>
        <w:t xml:space="preserve">= 1 / m</w:t>
      </w:r>
      <w:r>
        <w:rPr>
          <w:vertAlign w:val="subscript"/>
        </w:rPr>
        <w:t xml:space="preserve">it</w:t>
      </w:r>
      <w:r>
        <w:t xml:space="preserve"> </w:t>
      </w:r>
      <w:r>
        <w:t>− 1</w:t>
        <w:tab/>
        <w:t>(2)</w:t>
      </w:r>
    </w:p>
    <w:p>
      <w:pPr>
        <w:pStyle w:val="BodyText"/>
      </w:pPr>
      <w:r>
        <w:t xml:space="preserve">where m</w:t>
      </w:r>
      <w:r>
        <w:rPr>
          <w:vertAlign w:val="subscript"/>
        </w:rPr>
        <w:t xml:space="preserve">it</w:t>
      </w:r>
      <w:r>
        <w:t xml:space="preserve"> </w:t>
      </w:r>
      <w:r>
        <w:t xml:space="preserve">= R</w:t>
      </w:r>
      <w:r>
        <w:rPr>
          <w:vertAlign w:val="subscript"/>
        </w:rPr>
        <w:t xml:space="preserve">it</w:t>
      </w:r>
      <w:r>
        <w:t xml:space="preserve"> </w:t>
      </w:r>
      <w:r>
        <w:t xml:space="preserve">/ V</w:t>
      </w:r>
      <w:r>
        <w:rPr>
          <w:vertAlign w:val="subscript"/>
        </w:rPr>
        <w:t xml:space="preserve">it</w:t>
      </w:r>
      <w:r>
        <w:t xml:space="preserve"> </w:t>
      </w:r>
      <w:r>
        <w:t xml:space="preserve">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Equation"/>
      </w:pPr>
      <w:r>
        <w:tab/>
        <w:t>D</w:t>
      </w:r>
      <w:r>
        <w:rPr>
          <w:vertAlign w:val="subscript"/>
        </w:rPr>
        <w:t xml:space="preserve">it</w:t>
      </w:r>
      <w:r>
        <w:t xml:space="preserve"> </w:t>
      </w:r>
      <w:r>
        <w:t xml:space="preserve">= g(R</w:t>
      </w:r>
      <w:r>
        <w:rPr>
          <w:vertAlign w:val="subscript"/>
        </w:rPr>
        <w:t xml:space="preserve">it</w:t>
      </w:r>
      <w:r>
        <w:t xml:space="preserve">) − g(V</w:t>
      </w:r>
      <w:r>
        <w:rPr>
          <w:vertAlign w:val="subscript"/>
        </w:rPr>
        <w:t xml:space="preserve">it</w:t>
      </w:r>
      <w:r>
        <w:t>)</w:t>
        <w:tab/>
        <w:t>(3)</w:t>
      </w:r>
    </w:p>
    <w:p>
      <w:pPr>
        <w:pStyle w:val="BodyText"/>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Equation"/>
      </w:pPr>
      <w:r>
        <w:tab/>
        <w:t>D</w:t>
      </w:r>
      <w:r>
        <w:rPr>
          <w:vertAlign w:val="subscript"/>
        </w:rPr>
        <w:t xml:space="preserve">it</w:t>
      </w:r>
      <w:r>
        <w:t xml:space="preserve"> </w:t>
      </w:r>
      <w:r>
        <w:t xml:space="preserve">= (1 + g(V</w:t>
      </w:r>
      <w:r>
        <w:rPr>
          <w:vertAlign w:val="subscript"/>
        </w:rPr>
        <w:t xml:space="preserve">it</w:t>
      </w:r>
      <w:r>
        <w:t xml:space="preserve">)) × (m</w:t>
      </w:r>
      <w:r>
        <w:rPr>
          <w:vertAlign w:val="subscript"/>
        </w:rPr>
        <w:t xml:space="preserve">it</w:t>
      </w:r>
      <w:r>
        <w:t xml:space="preserve"> </w:t>
      </w:r>
      <w:r>
        <w:t xml:space="preserve">− m</w:t>
      </w:r>
      <w:r>
        <w:rPr>
          <w:vertAlign w:val="subscript"/>
        </w:rPr>
        <w:t xml:space="preserve">i,t−1</w:t>
      </w:r>
      <w:r>
        <w:t xml:space="preserve">) / m</w:t>
      </w:r>
      <w:r>
        <w:rPr>
          <w:vertAlign w:val="subscript"/>
        </w:rPr>
        <w:t xml:space="preserve">i,t−1</w:t>
      </w:r>
      <w:r>
        <w:tab/>
        <w:t>(4)</w:t>
      </w:r>
    </w:p>
    <w:p>
      <w:pPr>
        <w:pStyle w:val="BodyText"/>
      </w:pPr>
      <w:r>
        <w:t xml:space="preserve">where m</w:t>
      </w:r>
      <w:r>
        <w:rPr>
          <w:vertAlign w:val="subscript"/>
        </w:rPr>
        <w:t xml:space="preserve">i,t−1</w:t>
      </w:r>
      <w:r>
        <w:t xml:space="preserve"> </w:t>
      </w:r>
      <w:r>
        <w:t xml:space="preserve">is the take rate in the earlier year and m</w:t>
      </w:r>
      <w:r>
        <w:rPr>
          <w:vertAlign w:val="subscript"/>
        </w:rPr>
        <w:t xml:space="preserve">it</w:t>
      </w:r>
      <w:r>
        <w:t xml:space="preserve"> </w:t>
      </w:r>
      <w:r>
        <w:t xml:space="preserve">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3"/>
    <w:bookmarkStart w:id="34"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Equation"/>
      </w:pPr>
      <w:r>
        <w:tab/>
        <w:t>Δln R</w:t>
      </w:r>
      <w:r>
        <w:rPr>
          <w:vertAlign w:val="subscript"/>
        </w:rPr>
        <w:t xml:space="preserve">it</w:t>
      </w:r>
      <w:r>
        <w:t xml:space="preserve"> </w:t>
      </w:r>
      <w:r>
        <w:t xml:space="preserve">= Δln V</w:t>
      </w:r>
      <w:r>
        <w:rPr>
          <w:vertAlign w:val="subscript"/>
        </w:rPr>
        <w:t xml:space="preserve">it</w:t>
      </w:r>
      <w:r>
        <w:t xml:space="preserve"> </w:t>
      </w:r>
      <w:r>
        <w:t xml:space="preserve">+ Δln m</w:t>
      </w:r>
      <w:r>
        <w:rPr>
          <w:vertAlign w:val="subscript"/>
        </w:rPr>
        <w:t xml:space="preserve">it</w:t>
      </w:r>
      <w:r>
        <w:tab/>
        <w:t>(5)</w:t>
      </w:r>
    </w:p>
    <w:p>
      <w:pPr>
        <w:pStyle w:val="BodyText"/>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Equation"/>
      </w:pPr>
      <w:r>
        <w:tab/>
        <w:t>m</w:t>
      </w:r>
      <w:r>
        <w:rPr>
          <w:vertAlign w:val="subscript"/>
        </w:rPr>
        <w:t xml:space="preserve">it</w:t>
      </w:r>
      <w:r>
        <w:t xml:space="preserve"> </w:t>
      </w:r>
      <w:r>
        <w:t xml:space="preserve">= f</w:t>
      </w:r>
      <w:r>
        <w:rPr>
          <w:vertAlign w:val="subscript"/>
        </w:rPr>
        <w:t xml:space="preserve">it</w:t>
      </w:r>
      <w:r>
        <w:t xml:space="preserve"> </w:t>
      </w:r>
      <w:r>
        <w:t xml:space="preserve">− s</w:t>
      </w:r>
      <w:r>
        <w:rPr>
          <w:vertAlign w:val="subscript"/>
        </w:rPr>
        <w:t xml:space="preserve">it</w:t>
      </w:r>
      <w:r>
        <w:tab/>
        <w:t>(6)</w:t>
      </w:r>
    </w:p>
    <w:p>
      <w:pPr>
        <w:pStyle w:val="BodyText"/>
      </w:pPr>
      <w:r>
        <w:t xml:space="preserve">where f</w:t>
      </w:r>
      <w:r>
        <w:rPr>
          <w:vertAlign w:val="subscript"/>
        </w:rPr>
        <w:t xml:space="preserve">it</w:t>
      </w:r>
      <w:r>
        <w:t xml:space="preserve"> </w:t>
      </w:r>
      <w:r>
        <w:t xml:space="preserve">is the fee rate and s</w:t>
      </w:r>
      <w:r>
        <w:rPr>
          <w:vertAlign w:val="subscript"/>
        </w:rPr>
        <w:t xml:space="preserve">it</w:t>
      </w:r>
      <w:r>
        <w:t xml:space="preserve"> </w:t>
      </w:r>
      <w:r>
        <w:t xml:space="preserve">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4"/>
    <w:bookmarkStart w:id="35"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1. Table 3 pairs each hypothesis, and the entry test of Section 3.5, with its main test and with the result that would count against it.</w:t>
      </w:r>
    </w:p>
    <w:p>
      <w:pPr>
        <w:pStyle w:val="TableCaption"/>
      </w:pPr>
      <w:r>
        <w:rPr>
          <w:b/>
        </w:rPr>
        <w:t>Table 3.</w:t>
      </w:r>
      <w:r>
        <w:rPr>
          <w:b w:val="0"/>
        </w:rPr>
        <w:t xml:space="preserve"> Hypotheses, tests and what would count against them</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655"/>
        <w:gridCol w:w="2671"/>
        <w:gridCol w:w="2797"/>
        <w:gridCol w:w="2381"/>
      </w:tblGrid>
      <w:tr>
        <w:trPr>
          <w:tblHeader w:val="true"/>
          <w:cantSplit/>
          <w:tblHeader/>
        </w:trPr>
        <w:tc>
          <w:tcPr>
            <w:tcW w:w="655" w:type="dxa"/>
            <w:tcBorders>
              <w:bottom w:val="single" w:sz="5" w:space="0" w:color="000000"/>
            </w:tcBorders>
          </w:tcPr>
          <w:p>
            <w:pPr>
              <w:pStyle w:val="Compact"/>
              <w:spacing w:before="0" w:after="0" w:lineRule="exact" w:line="220"/>
              <w:jc w:val="left"/>
            </w:pPr>
            <w:r>
              <w:rPr>
                <w:b/>
                <w:sz w:val="18"/>
              </w:rPr>
              <w:t xml:space="preserve">Test</w:t>
            </w:r>
          </w:p>
        </w:tc>
        <w:tc>
          <w:tcPr>
            <w:tcW w:w="2671" w:type="dxa"/>
            <w:tcBorders>
              <w:bottom w:val="single" w:sz="5" w:space="0" w:color="000000"/>
            </w:tcBorders>
          </w:tcPr>
          <w:p>
            <w:pPr>
              <w:pStyle w:val="Compact"/>
              <w:spacing w:before="0" w:after="0" w:lineRule="exact" w:line="220"/>
              <w:jc w:val="left"/>
            </w:pPr>
            <w:r>
              <w:rPr>
                <w:b/>
                <w:sz w:val="18"/>
              </w:rPr>
              <w:t xml:space="preserve">What it asks</w:t>
            </w:r>
          </w:p>
        </w:tc>
        <w:tc>
          <w:tcPr>
            <w:tcW w:w="2797" w:type="dxa"/>
            <w:tcBorders>
              <w:bottom w:val="single" w:sz="5" w:space="0" w:color="000000"/>
            </w:tcBorders>
          </w:tcPr>
          <w:p>
            <w:pPr>
              <w:pStyle w:val="Compact"/>
              <w:spacing w:before="0" w:after="0" w:lineRule="exact" w:line="220"/>
              <w:jc w:val="left"/>
            </w:pPr>
            <w:r>
              <w:rPr>
                <w:b/>
                <w:sz w:val="18"/>
              </w:rPr>
              <w:t xml:space="preserve">Main test</w:t>
            </w:r>
          </w:p>
        </w:tc>
        <w:tc>
          <w:tcPr>
            <w:tcW w:w="2381" w:type="dxa"/>
            <w:tcBorders>
              <w:bottom w:val="single" w:sz="5" w:space="0" w:color="000000"/>
            </w:tcBorders>
          </w:tcPr>
          <w:p>
            <w:pPr>
              <w:pStyle w:val="Compact"/>
              <w:spacing w:before="0" w:after="0" w:lineRule="exact" w:line="220"/>
              <w:jc w:val="left"/>
            </w:pPr>
            <w:r>
              <w:rPr>
                <w:b/>
                <w:sz w:val="18"/>
              </w:rPr>
              <w:t xml:space="preserve">What would count against it</w:t>
            </w:r>
          </w:p>
        </w:tc>
      </w:tr>
      <w:tr>
        <w:trPr>
          <w:cantSplit/>
        </w:trPr>
        <w:tc>
          <w:tcPr>
            <w:tcW w:w="655" w:type="dxa"/>
          </w:tcPr>
          <w:p>
            <w:pPr>
              <w:pStyle w:val="Compact"/>
              <w:spacing w:before="0" w:after="0" w:lineRule="exact" w:line="220"/>
              <w:jc w:val="left"/>
            </w:pPr>
            <w:r>
              <w:rPr>
                <w:sz w:val="18"/>
              </w:rPr>
              <w:t xml:space="preserve">H1</w:t>
            </w:r>
          </w:p>
        </w:tc>
        <w:tc>
          <w:tcPr>
            <w:tcW w:w="2671" w:type="dxa"/>
          </w:tcPr>
          <w:p>
            <w:pPr>
              <w:pStyle w:val="Compact"/>
              <w:spacing w:before="0" w:after="0" w:lineRule="exact" w:line="220"/>
              <w:jc w:val="left"/>
            </w:pPr>
            <w:r>
              <w:rPr>
                <w:sz w:val="18"/>
              </w:rPr>
              <w:t xml:space="preserve">Do revenue and transaction value grow together within a platform?</w:t>
            </w:r>
          </w:p>
        </w:tc>
        <w:tc>
          <w:tcPr>
            <w:tcW w:w="2797" w:type="dxa"/>
          </w:tcPr>
          <w:p>
            <w:pPr>
              <w:pStyle w:val="Compact"/>
              <w:spacing w:before="0" w:after="0" w:lineRule="exact" w:line="220"/>
              <w:jc w:val="left"/>
            </w:pPr>
            <w:r>
              <w:rPr>
                <w:sz w:val="18"/>
              </w:rPr>
              <w:t xml:space="preserve">Size of yearly changes in the take rate, Indonesian and regional platforms against listed platforms abroad</w:t>
            </w:r>
          </w:p>
        </w:tc>
        <w:tc>
          <w:tcPr>
            <w:tcW w:w="2381" w:type="dxa"/>
          </w:tcPr>
          <w:p>
            <w:pPr>
              <w:pStyle w:val="Compact"/>
              <w:spacing w:before="0" w:after="0" w:lineRule="exact" w:line="220"/>
              <w:jc w:val="left"/>
            </w:pPr>
            <w:r>
              <w:rPr>
                <w:sz w:val="18"/>
              </w:rPr>
              <w:t xml:space="preserve">Changes in Indonesia far larger than abroad</w:t>
            </w:r>
          </w:p>
        </w:tc>
      </w:tr>
      <w:tr>
        <w:trPr>
          <w:cantSplit/>
        </w:trPr>
        <w:tc>
          <w:tcPr>
            <w:tcW w:w="655" w:type="dxa"/>
          </w:tcPr>
          <w:p>
            <w:pPr>
              <w:pStyle w:val="Compact"/>
              <w:spacing w:before="0" w:after="0" w:lineRule="exact" w:line="220"/>
              <w:jc w:val="left"/>
            </w:pPr>
            <w:r>
              <w:rPr>
                <w:sz w:val="18"/>
              </w:rPr>
              <w:t xml:space="preserve">H2</w:t>
            </w:r>
          </w:p>
        </w:tc>
        <w:tc>
          <w:tcPr>
            <w:tcW w:w="2671" w:type="dxa"/>
          </w:tcPr>
          <w:p>
            <w:pPr>
              <w:pStyle w:val="Compact"/>
              <w:spacing w:before="0" w:after="0" w:lineRule="exact" w:line="220"/>
              <w:jc w:val="left"/>
            </w:pPr>
            <w:r>
              <w:rPr>
                <w:sz w:val="18"/>
              </w:rPr>
              <w:t xml:space="preserve">Does national e-commerce value grow because of more businesses or because of higher sales per business?</w:t>
            </w:r>
          </w:p>
        </w:tc>
        <w:tc>
          <w:tcPr>
            <w:tcW w:w="2797" w:type="dxa"/>
          </w:tcPr>
          <w:p>
            <w:pPr>
              <w:pStyle w:val="Compact"/>
              <w:spacing w:before="0" w:after="0" w:lineRule="exact" w:line="220"/>
              <w:jc w:val="left"/>
            </w:pPr>
            <w:r>
              <w:rPr>
                <w:sz w:val="18"/>
              </w:rPr>
              <w:t xml:space="preserve">BPS’s national e-commerce value split into the number of businesses and sales per business</w:t>
            </w:r>
          </w:p>
        </w:tc>
        <w:tc>
          <w:tcPr>
            <w:tcW w:w="2381" w:type="dxa"/>
          </w:tcPr>
          <w:p>
            <w:pPr>
              <w:pStyle w:val="Compact"/>
              <w:spacing w:before="0" w:after="0" w:lineRule="exact" w:line="220"/>
              <w:jc w:val="left"/>
            </w:pPr>
            <w:r>
              <w:rPr>
                <w:sz w:val="18"/>
              </w:rPr>
              <w:t xml:space="preserve">Higher sales per business accounting for most of the growth</w:t>
            </w:r>
          </w:p>
        </w:tc>
      </w:tr>
      <w:tr>
        <w:trPr>
          <w:cantSplit/>
        </w:trPr>
        <w:tc>
          <w:tcPr>
            <w:tcW w:w="655" w:type="dxa"/>
          </w:tcPr>
          <w:p>
            <w:pPr>
              <w:pStyle w:val="Compact"/>
              <w:spacing w:before="0" w:after="0" w:lineRule="exact" w:line="220"/>
              <w:jc w:val="left"/>
            </w:pPr>
            <w:r>
              <w:rPr>
                <w:sz w:val="18"/>
              </w:rPr>
              <w:t xml:space="preserve">Entry test</w:t>
            </w:r>
          </w:p>
        </w:tc>
        <w:tc>
          <w:tcPr>
            <w:tcW w:w="2671" w:type="dxa"/>
          </w:tcPr>
          <w:p>
            <w:pPr>
              <w:pStyle w:val="Compact"/>
              <w:spacing w:before="0" w:after="0" w:lineRule="exact" w:line="220"/>
              <w:jc w:val="left"/>
            </w:pPr>
            <w:r>
              <w:rPr>
                <w:sz w:val="18"/>
              </w:rPr>
              <w:t xml:space="preserve">Does a rise in the count of online sellers come from first-time entry?</w:t>
            </w:r>
          </w:p>
        </w:tc>
        <w:tc>
          <w:tcPr>
            <w:tcW w:w="2797" w:type="dxa"/>
          </w:tcPr>
          <w:p>
            <w:pPr>
              <w:pStyle w:val="Compact"/>
              <w:spacing w:before="0" w:after="0" w:lineRule="exact" w:line="220"/>
              <w:jc w:val="left"/>
            </w:pPr>
            <w:r>
              <w:rPr>
                <w:sz w:val="18"/>
              </w:rPr>
              <w:t xml:space="preserve">Share of 2023 sellers in BPS’s survey files who began selling online in 2023</w:t>
            </w:r>
          </w:p>
        </w:tc>
        <w:tc>
          <w:tcPr>
            <w:tcW w:w="2381" w:type="dxa"/>
          </w:tcPr>
          <w:p>
            <w:pPr>
              <w:pStyle w:val="Compact"/>
              <w:spacing w:before="0" w:after="0" w:lineRule="exact" w:line="220"/>
              <w:jc w:val="left"/>
            </w:pPr>
            <w:r>
              <w:rPr>
                <w:sz w:val="18"/>
              </w:rPr>
              <w:t xml:space="preserve">Fewer new sellers than the rise requires</w:t>
            </w:r>
          </w:p>
        </w:tc>
      </w:tr>
    </w:tbl>
    <w:p>
      <w:pPr>
        <w:pStyle w:val="BodyText"/>
        <w:spacing w:before="160"/>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Equation"/>
      </w:pPr>
      <w:r>
        <w:tab/>
        <w:t>Δln Y</w:t>
      </w:r>
      <w:r>
        <w:rPr>
          <w:vertAlign w:val="subscript"/>
        </w:rPr>
        <w:t xml:space="preserve">t</w:t>
      </w:r>
      <w:r>
        <w:t xml:space="preserve"> </w:t>
      </w:r>
      <w:r>
        <w:t xml:space="preserve">= Δln N</w:t>
      </w:r>
      <w:r>
        <w:rPr>
          <w:vertAlign w:val="subscript"/>
        </w:rPr>
        <w:t xml:space="preserve">t</w:t>
      </w:r>
      <w:r>
        <w:t xml:space="preserve"> </w:t>
      </w:r>
      <w:r>
        <w:t xml:space="preserve">+ Δln (Y</w:t>
      </w:r>
      <w:r>
        <w:rPr>
          <w:vertAlign w:val="subscript"/>
        </w:rPr>
        <w:t xml:space="preserve">t</w:t>
      </w:r>
      <w:r>
        <w:t xml:space="preserve"> </w:t>
      </w:r>
      <w:r>
        <w:t xml:space="preserve">/ N</w:t>
      </w:r>
      <w:r>
        <w:rPr>
          <w:vertAlign w:val="subscript"/>
        </w:rPr>
        <w:t xml:space="preserve">t</w:t>
      </w:r>
      <w:r>
        <w:t>)</w:t>
        <w:tab/>
        <w:t>(7)</w:t>
      </w:r>
    </w:p>
    <w:p>
      <w:pPr>
        <w:pStyle w:val="BodyText"/>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5"/>
    <w:bookmarkStart w:id="36"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6"/>
    <w:bookmarkStart w:id="37"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4 lists them.</w:t>
      </w:r>
    </w:p>
    <w:p>
      <w:pPr>
        <w:pStyle w:val="TableCaption"/>
      </w:pPr>
      <w:r>
        <w:rPr>
          <w:b/>
        </w:rPr>
        <w:t>Table 4.</w:t>
      </w:r>
      <w:r>
        <w:rPr>
          <w:b w:val="0"/>
        </w:rPr>
        <w:t xml:space="preserve"> Further analyses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500"/>
        <w:gridCol w:w="3702"/>
        <w:gridCol w:w="3301"/>
      </w:tblGrid>
      <w:tr>
        <w:trPr>
          <w:tblHeader w:val="true"/>
          <w:cantSplit/>
          <w:tblHeader/>
        </w:trPr>
        <w:tc>
          <w:tcPr>
            <w:tcW w:w="1500" w:type="dxa"/>
            <w:tcBorders>
              <w:bottom w:val="single" w:sz="5" w:space="0" w:color="000000"/>
            </w:tcBorders>
          </w:tcPr>
          <w:p>
            <w:pPr>
              <w:pStyle w:val="Compact"/>
              <w:spacing w:before="0" w:after="0" w:lineRule="exact" w:line="220"/>
              <w:jc w:val="left"/>
            </w:pPr>
            <w:r>
              <w:rPr>
                <w:b/>
                <w:sz w:val="18"/>
              </w:rPr>
              <w:t xml:space="preserve">Analysis</w:t>
            </w:r>
          </w:p>
        </w:tc>
        <w:tc>
          <w:tcPr>
            <w:tcW w:w="3702" w:type="dxa"/>
            <w:tcBorders>
              <w:bottom w:val="single" w:sz="5" w:space="0" w:color="000000"/>
            </w:tcBorders>
          </w:tcPr>
          <w:p>
            <w:pPr>
              <w:pStyle w:val="Compact"/>
              <w:spacing w:before="0" w:after="0" w:lineRule="exact" w:line="220"/>
              <w:jc w:val="left"/>
            </w:pPr>
            <w:r>
              <w:rPr>
                <w:b/>
                <w:sz w:val="18"/>
              </w:rPr>
              <w:t xml:space="preserve">What it asks</w:t>
            </w:r>
          </w:p>
        </w:tc>
        <w:tc>
          <w:tcPr>
            <w:tcW w:w="3301" w:type="dxa"/>
            <w:tcBorders>
              <w:bottom w:val="single" w:sz="5" w:space="0" w:color="000000"/>
            </w:tcBorders>
          </w:tcPr>
          <w:p>
            <w:pPr>
              <w:pStyle w:val="Compact"/>
              <w:spacing w:before="0" w:after="0" w:lineRule="exact" w:line="220"/>
              <w:jc w:val="left"/>
            </w:pPr>
            <w:r>
              <w:rPr>
                <w:b/>
                <w:sz w:val="18"/>
              </w:rPr>
              <w:t xml:space="preserve">Main evidence</w:t>
            </w:r>
          </w:p>
        </w:tc>
      </w:tr>
      <w:tr>
        <w:trPr>
          <w:cantSplit/>
        </w:trPr>
        <w:tc>
          <w:tcPr>
            <w:tcW w:w="1500" w:type="dxa"/>
          </w:tcPr>
          <w:p>
            <w:pPr>
              <w:pStyle w:val="Compact"/>
              <w:spacing w:before="0" w:after="0" w:lineRule="exact" w:line="220"/>
              <w:jc w:val="left"/>
            </w:pPr>
            <w:r>
              <w:rPr>
                <w:sz w:val="18"/>
              </w:rPr>
              <w:t xml:space="preserve">Tracing large movements</w:t>
            </w:r>
          </w:p>
        </w:tc>
        <w:tc>
          <w:tcPr>
            <w:tcW w:w="3702" w:type="dxa"/>
          </w:tcPr>
          <w:p>
            <w:pPr>
              <w:pStyle w:val="Compact"/>
              <w:spacing w:before="0" w:after="0" w:lineRule="exact" w:line="220"/>
              <w:jc w:val="left"/>
            </w:pPr>
            <w:r>
              <w:rPr>
                <w:sz w:val="18"/>
              </w:rPr>
              <w:t xml:space="preserve">What moved revenue when it parted from transaction value?</w:t>
            </w:r>
          </w:p>
        </w:tc>
        <w:tc>
          <w:tcPr>
            <w:tcW w:w="3301" w:type="dxa"/>
          </w:tcPr>
          <w:p>
            <w:pPr>
              <w:pStyle w:val="Compact"/>
              <w:spacing w:before="0" w:after="0" w:lineRule="exact" w:line="220"/>
              <w:jc w:val="left"/>
            </w:pPr>
            <w:r>
              <w:rPr>
                <w:sz w:val="18"/>
              </w:rPr>
              <w:t xml:space="preserve">Equations (5) and (6), applied to company reports</w:t>
            </w:r>
          </w:p>
        </w:tc>
      </w:tr>
      <w:tr>
        <w:trPr>
          <w:cantSplit/>
        </w:trPr>
        <w:tc>
          <w:tcPr>
            <w:tcW w:w="1500" w:type="dxa"/>
          </w:tcPr>
          <w:p>
            <w:pPr>
              <w:pStyle w:val="Compact"/>
              <w:spacing w:before="0" w:after="0" w:lineRule="exact" w:line="220"/>
              <w:jc w:val="left"/>
            </w:pPr>
            <w:r>
              <w:rPr>
                <w:sz w:val="18"/>
              </w:rPr>
              <w:t xml:space="preserve">Market values</w:t>
            </w:r>
          </w:p>
        </w:tc>
        <w:tc>
          <w:tcPr>
            <w:tcW w:w="3702" w:type="dxa"/>
          </w:tcPr>
          <w:p>
            <w:pPr>
              <w:pStyle w:val="Compact"/>
              <w:spacing w:before="0" w:after="0" w:lineRule="exact" w:line="220"/>
              <w:jc w:val="left"/>
            </w:pPr>
            <w:r>
              <w:rPr>
                <w:sz w:val="18"/>
              </w:rPr>
              <w:t xml:space="preserve">Do markets value growth from more commerce differently from growth in the take rate?</w:t>
            </w:r>
          </w:p>
        </w:tc>
        <w:tc>
          <w:tcPr>
            <w:tcW w:w="3301" w:type="dxa"/>
          </w:tcPr>
          <w:p>
            <w:pPr>
              <w:pStyle w:val="Compact"/>
              <w:spacing w:before="0" w:after="0" w:lineRule="exact" w:line="220"/>
              <w:jc w:val="left"/>
            </w:pPr>
            <w:r>
              <w:rPr>
                <w:sz w:val="18"/>
              </w:rPr>
              <w:t xml:space="preserve">Year-end market values of listed platforms</w:t>
            </w:r>
          </w:p>
        </w:tc>
      </w:tr>
      <w:tr>
        <w:trPr>
          <w:cantSplit/>
        </w:trPr>
        <w:tc>
          <w:tcPr>
            <w:tcW w:w="1500" w:type="dxa"/>
          </w:tcPr>
          <w:p>
            <w:pPr>
              <w:pStyle w:val="Compact"/>
              <w:spacing w:before="0" w:after="0" w:lineRule="exact" w:line="220"/>
              <w:jc w:val="left"/>
            </w:pPr>
            <w:r>
              <w:rPr>
                <w:sz w:val="18"/>
              </w:rPr>
              <w:t xml:space="preserve">Channels and reach</w:t>
            </w:r>
          </w:p>
        </w:tc>
        <w:tc>
          <w:tcPr>
            <w:tcW w:w="3702" w:type="dxa"/>
          </w:tcPr>
          <w:p>
            <w:pPr>
              <w:pStyle w:val="Compact"/>
              <w:spacing w:before="0" w:after="0" w:lineRule="exact" w:line="220"/>
              <w:jc w:val="left"/>
            </w:pPr>
            <w:r>
              <w:rPr>
                <w:sz w:val="18"/>
              </w:rPr>
              <w:t xml:space="preserve">How much online selling passes through marketplaces, and how far can rules built on platform records reach?</w:t>
            </w:r>
          </w:p>
        </w:tc>
        <w:tc>
          <w:tcPr>
            <w:tcW w:w="3301" w:type="dxa"/>
          </w:tcPr>
          <w:p>
            <w:pPr>
              <w:pStyle w:val="Compact"/>
              <w:spacing w:before="0" w:after="0" w:lineRule="exact" w:line="220"/>
              <w:jc w:val="left"/>
            </w:pPr>
            <w:r>
              <w:rPr>
                <w:sz w:val="18"/>
              </w:rPr>
              <w:t xml:space="preserve">BPS’s channel shares and survey files</w:t>
            </w:r>
          </w:p>
        </w:tc>
      </w:tr>
      <w:tr>
        <w:trPr>
          <w:cantSplit/>
        </w:trPr>
        <w:tc>
          <w:tcPr>
            <w:tcW w:w="1500" w:type="dxa"/>
          </w:tcPr>
          <w:p>
            <w:pPr>
              <w:pStyle w:val="Compact"/>
              <w:spacing w:before="0" w:after="0" w:lineRule="exact" w:line="220"/>
              <w:jc w:val="left"/>
            </w:pPr>
            <w:r>
              <w:rPr>
                <w:sz w:val="18"/>
              </w:rPr>
              <w:t xml:space="preserve">Comparing national figures</w:t>
            </w:r>
          </w:p>
        </w:tc>
        <w:tc>
          <w:tcPr>
            <w:tcW w:w="3702" w:type="dxa"/>
          </w:tcPr>
          <w:p>
            <w:pPr>
              <w:pStyle w:val="Compact"/>
              <w:spacing w:before="0" w:after="0" w:lineRule="exact" w:line="220"/>
              <w:jc w:val="left"/>
            </w:pPr>
            <w:r>
              <w:rPr>
                <w:sz w:val="18"/>
              </w:rPr>
              <w:t xml:space="preserve">Do national figures tell the same story of growth?</w:t>
            </w:r>
          </w:p>
        </w:tc>
        <w:tc>
          <w:tcPr>
            <w:tcW w:w="3301" w:type="dxa"/>
          </w:tcPr>
          <w:p>
            <w:pPr>
              <w:pStyle w:val="Compact"/>
              <w:spacing w:before="0" w:after="0" w:lineRule="exact" w:line="220"/>
              <w:jc w:val="left"/>
            </w:pPr>
            <w:r>
              <w:rPr>
                <w:sz w:val="18"/>
              </w:rPr>
              <w:t xml:space="preserve">BPS, Bank Indonesia, industry estimates and household spending</w:t>
            </w:r>
          </w:p>
        </w:tc>
      </w:tr>
    </w:tbl>
    <w:p>
      <w:pPr>
        <w:pStyle w:val="BodyText"/>
        <w:spacing w:before="160"/>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Equation"/>
      </w:pPr>
      <w:r>
        <w:tab/>
        <w:t>Δln MV</w:t>
      </w:r>
      <w:r>
        <w:rPr>
          <w:vertAlign w:val="subscript"/>
        </w:rPr>
        <w:t xml:space="preserve">it</w:t>
      </w:r>
      <w:r>
        <w:t xml:space="preserve"> </w:t>
      </w:r>
      <w:r>
        <w:t xml:space="preserve">= β</w:t>
      </w:r>
      <w:r>
        <w:rPr>
          <w:vertAlign w:val="subscript"/>
        </w:rPr>
        <w:t xml:space="preserve">V</w:t>
      </w:r>
      <w:r>
        <w:t xml:space="preserve"> </w:t>
      </w:r>
      <w:r>
        <w:t xml:space="preserve">Δln V</w:t>
      </w:r>
      <w:r>
        <w:rPr>
          <w:vertAlign w:val="subscript"/>
        </w:rPr>
        <w:t xml:space="preserve">it</w:t>
      </w:r>
      <w:r>
        <w:t xml:space="preserve"> </w:t>
      </w:r>
      <w:r>
        <w:t xml:space="preserve">+ β</w:t>
      </w:r>
      <w:r>
        <w:rPr>
          <w:vertAlign w:val="subscript"/>
        </w:rPr>
        <w:t xml:space="preserve">m</w:t>
      </w:r>
      <w:r>
        <w:t xml:space="preserve"> </w:t>
      </w:r>
      <w:r>
        <w:t xml:space="preserve">Δln m</w:t>
      </w:r>
      <w:r>
        <w:rPr>
          <w:vertAlign w:val="subscript"/>
        </w:rPr>
        <w:t xml:space="preserve">it</w:t>
      </w:r>
      <w:r>
        <w:t xml:space="preserve"> </w:t>
      </w:r>
      <w:r>
        <w:t>+ year effect + error</w:t>
        <w:tab/>
        <w:t>(8)</w:t>
      </w:r>
    </w:p>
    <w:p>
      <w:pPr>
        <w:pStyle w:val="BodyText"/>
      </w:pPr>
      <w:r>
        <w:t xml:space="preserve">where β</w:t>
      </w:r>
      <w:r>
        <w:rPr>
          <w:vertAlign w:val="subscript"/>
        </w:rPr>
        <w:t xml:space="preserve">V</w:t>
      </w:r>
      <w:r>
        <w:t xml:space="preserve"> </w:t>
      </w:r>
      <w:r>
        <w:t xml:space="preserve">shows how market value moves with transaction value, and β</w:t>
      </w:r>
      <w:r>
        <w:rPr>
          <w:vertAlign w:val="subscript"/>
        </w:rPr>
        <w:t xml:space="preserve">m</w:t>
      </w:r>
      <w:r>
        <w:t xml:space="preserve"> </w:t>
      </w:r>
      <w:r>
        <w:t xml:space="preserve">how it moves with the take rate. Two predictions were written down before the market values were collected. The first is that market value moves with transaction value, so β</w:t>
      </w:r>
      <w:r>
        <w:rPr>
          <w:vertAlign w:val="subscript"/>
        </w:rPr>
        <w:t xml:space="preserve">V</w:t>
      </w:r>
      <w:r>
        <w:t xml:space="preserve"> </w:t>
      </w:r>
      <w:r>
        <w:t xml:space="preserve">is positive. The second is that markets value growth from more commerce more than growth from a higher take rate, so β</w:t>
      </w:r>
      <w:r>
        <w:rPr>
          <w:vertAlign w:val="subscript"/>
        </w:rPr>
        <w:t xml:space="preserve">V</w:t>
      </w:r>
      <w:r>
        <w:t xml:space="preserve"> </w:t>
      </w:r>
      <w:r>
        <w:t xml:space="preserve">is larger than β</w:t>
      </w:r>
      <w:r>
        <w:rPr>
          <w:vertAlign w:val="subscript"/>
        </w:rPr>
        <w:t xml:space="preserve">m</w:t>
      </w:r>
      <w:r>
        <w:t xml:space="preserve">.</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7"/>
    <w:bookmarkEnd w:id="38"/>
    <w:bookmarkStart w:id="49"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39"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5.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TableCaption"/>
      </w:pPr>
      <w:r>
        <w:rPr>
          <w:b/>
        </w:rPr>
        <w:t>Table 5.</w:t>
      </w:r>
      <w:r>
        <w:rPr>
          <w:b w:val="0"/>
        </w:rPr>
        <w:t xml:space="preserve"> The Indonesian and regional group of platforms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35"/>
        <w:gridCol w:w="2591"/>
        <w:gridCol w:w="1035"/>
        <w:gridCol w:w="750"/>
        <w:gridCol w:w="3092"/>
      </w:tblGrid>
      <w:tr>
        <w:trPr>
          <w:tblHeader w:val="true"/>
          <w:cantSplit/>
          <w:tblHeader/>
        </w:trPr>
        <w:tc>
          <w:tcPr>
            <w:tcW w:w="1035" w:type="dxa"/>
            <w:tcBorders>
              <w:bottom w:val="single" w:sz="5" w:space="0" w:color="000000"/>
            </w:tcBorders>
          </w:tcPr>
          <w:p>
            <w:pPr>
              <w:pStyle w:val="Compact"/>
              <w:spacing w:before="0" w:after="0" w:lineRule="exact" w:line="220"/>
              <w:jc w:val="left"/>
            </w:pPr>
            <w:r>
              <w:rPr>
                <w:b/>
                <w:sz w:val="18"/>
              </w:rPr>
              <w:t xml:space="preserve">Platform series</w:t>
            </w:r>
          </w:p>
        </w:tc>
        <w:tc>
          <w:tcPr>
            <w:tcW w:w="2591" w:type="dxa"/>
            <w:tcBorders>
              <w:bottom w:val="single" w:sz="5" w:space="0" w:color="000000"/>
            </w:tcBorders>
          </w:tcPr>
          <w:p>
            <w:pPr>
              <w:pStyle w:val="Compact"/>
              <w:spacing w:before="0" w:after="0" w:lineRule="exact" w:line="220"/>
              <w:jc w:val="left"/>
            </w:pPr>
            <w:r>
              <w:rPr>
                <w:b/>
                <w:sz w:val="18"/>
              </w:rPr>
              <w:t xml:space="preserve">What it covers</w:t>
            </w:r>
          </w:p>
        </w:tc>
        <w:tc>
          <w:tcPr>
            <w:tcW w:w="1035" w:type="dxa"/>
            <w:tcBorders>
              <w:bottom w:val="single" w:sz="5" w:space="0" w:color="000000"/>
            </w:tcBorders>
          </w:tcPr>
          <w:p>
            <w:pPr>
              <w:pStyle w:val="Compact"/>
              <w:spacing w:before="0" w:after="0" w:lineRule="exact" w:line="220"/>
              <w:jc w:val="left"/>
            </w:pPr>
            <w:r>
              <w:rPr>
                <w:b/>
                <w:sz w:val="18"/>
              </w:rPr>
              <w:t xml:space="preserve">Years</w:t>
            </w:r>
          </w:p>
        </w:tc>
        <w:tc>
          <w:tcPr>
            <w:tcW w:w="750" w:type="dxa"/>
            <w:tcBorders>
              <w:bottom w:val="single" w:sz="5" w:space="0" w:color="000000"/>
            </w:tcBorders>
          </w:tcPr>
          <w:p>
            <w:pPr>
              <w:pStyle w:val="Compact"/>
              <w:spacing w:before="0" w:after="0" w:lineRule="exact" w:line="220"/>
              <w:jc w:val="left"/>
            </w:pPr>
            <w:r>
              <w:rPr>
                <w:b/>
                <w:sz w:val="18"/>
              </w:rPr>
              <w:t xml:space="preserve">Yearly pairs</w:t>
            </w:r>
          </w:p>
        </w:tc>
        <w:tc>
          <w:tcPr>
            <w:tcW w:w="3092" w:type="dxa"/>
            <w:tcBorders>
              <w:bottom w:val="single" w:sz="5" w:space="0" w:color="000000"/>
            </w:tcBorders>
          </w:tcPr>
          <w:p>
            <w:pPr>
              <w:pStyle w:val="Compact"/>
              <w:spacing w:before="0" w:after="0" w:lineRule="exact" w:line="220"/>
              <w:jc w:val="left"/>
            </w:pPr>
            <w:r>
              <w:rPr>
                <w:b/>
                <w:sz w:val="18"/>
              </w:rPr>
              <w:t xml:space="preserve">How it is labelled</w:t>
            </w:r>
          </w:p>
        </w:tc>
      </w:tr>
      <w:tr>
        <w:trPr>
          <w:cantSplit/>
        </w:trPr>
        <w:tc>
          <w:tcPr>
            <w:tcW w:w="1035" w:type="dxa"/>
          </w:tcPr>
          <w:p>
            <w:pPr>
              <w:pStyle w:val="Compact"/>
              <w:spacing w:before="0" w:after="0" w:lineRule="exact" w:line="220"/>
              <w:jc w:val="left"/>
            </w:pPr>
            <w:r>
              <w:rPr>
                <w:sz w:val="18"/>
              </w:rPr>
              <w:t xml:space="preserve">Tokopedia</w:t>
            </w:r>
          </w:p>
        </w:tc>
        <w:tc>
          <w:tcPr>
            <w:tcW w:w="2591" w:type="dxa"/>
          </w:tcPr>
          <w:p>
            <w:pPr>
              <w:pStyle w:val="Compact"/>
              <w:spacing w:before="0" w:after="0" w:lineRule="exact" w:line="220"/>
              <w:jc w:val="left"/>
            </w:pPr>
            <w:r>
              <w:rPr>
                <w:sz w:val="18"/>
              </w:rPr>
              <w:t xml:space="preserve">The e-commerce segment of GoTo, an Indonesian marketplace</w:t>
            </w:r>
          </w:p>
        </w:tc>
        <w:tc>
          <w:tcPr>
            <w:tcW w:w="1035" w:type="dxa"/>
          </w:tcPr>
          <w:p>
            <w:pPr>
              <w:pStyle w:val="Compact"/>
              <w:spacing w:before="0" w:after="0" w:lineRule="exact" w:line="220"/>
              <w:jc w:val="left"/>
            </w:pPr>
            <w:r>
              <w:rPr>
                <w:sz w:val="18"/>
              </w:rPr>
              <w:t xml:space="preserve">2022–2023</w:t>
            </w:r>
          </w:p>
        </w:tc>
        <w:tc>
          <w:tcPr>
            <w:tcW w:w="750" w:type="dxa"/>
          </w:tcPr>
          <w:p>
            <w:pPr>
              <w:pStyle w:val="Compact"/>
              <w:spacing w:before="0" w:after="0" w:lineRule="exact" w:line="220"/>
              <w:jc w:val="left"/>
            </w:pPr>
            <w:r>
              <w:rPr>
                <w:sz w:val="18"/>
              </w:rPr>
              <w:t xml:space="preserve">1</w:t>
            </w:r>
          </w:p>
        </w:tc>
        <w:tc>
          <w:tcPr>
            <w:tcW w:w="3092" w:type="dxa"/>
          </w:tcPr>
          <w:p>
            <w:pPr>
              <w:pStyle w:val="Compact"/>
              <w:spacing w:before="0" w:after="0" w:lineRule="exact" w:line="220"/>
              <w:jc w:val="left"/>
            </w:pPr>
            <w:r>
              <w:rPr>
                <w:sz w:val="18"/>
              </w:rPr>
              <w:t xml:space="preserve">Direct segment disclosure</w:t>
            </w:r>
          </w:p>
        </w:tc>
      </w:tr>
      <w:tr>
        <w:trPr>
          <w:cantSplit/>
        </w:trPr>
        <w:tc>
          <w:tcPr>
            <w:tcW w:w="1035" w:type="dxa"/>
          </w:tcPr>
          <w:p>
            <w:pPr>
              <w:pStyle w:val="Compact"/>
              <w:spacing w:before="0" w:after="0" w:lineRule="exact" w:line="220"/>
              <w:jc w:val="left"/>
            </w:pPr>
            <w:r>
              <w:rPr>
                <w:sz w:val="18"/>
              </w:rPr>
              <w:t xml:space="preserve">Blibli</w:t>
            </w:r>
          </w:p>
        </w:tc>
        <w:tc>
          <w:tcPr>
            <w:tcW w:w="2591" w:type="dxa"/>
          </w:tcPr>
          <w:p>
            <w:pPr>
              <w:pStyle w:val="Compact"/>
              <w:spacing w:before="0" w:after="0" w:lineRule="exact" w:line="220"/>
              <w:jc w:val="left"/>
            </w:pPr>
            <w:r>
              <w:rPr>
                <w:sz w:val="18"/>
              </w:rPr>
              <w:t xml:space="preserve">Blibli’s third-party retail segment, which includes online travel</w:t>
            </w:r>
          </w:p>
        </w:tc>
        <w:tc>
          <w:tcPr>
            <w:tcW w:w="1035" w:type="dxa"/>
          </w:tcPr>
          <w:p>
            <w:pPr>
              <w:pStyle w:val="Compact"/>
              <w:spacing w:before="0" w:after="0" w:lineRule="exact" w:line="220"/>
              <w:jc w:val="left"/>
            </w:pPr>
            <w:r>
              <w:rPr>
                <w:sz w:val="18"/>
              </w:rPr>
              <w:t xml:space="preserve">2021–2025</w:t>
            </w:r>
          </w:p>
        </w:tc>
        <w:tc>
          <w:tcPr>
            <w:tcW w:w="750" w:type="dxa"/>
          </w:tcPr>
          <w:p>
            <w:pPr>
              <w:pStyle w:val="Compact"/>
              <w:spacing w:before="0" w:after="0" w:lineRule="exact" w:line="220"/>
              <w:jc w:val="left"/>
            </w:pPr>
            <w:r>
              <w:rPr>
                <w:sz w:val="18"/>
              </w:rPr>
              <w:t xml:space="preserve">4</w:t>
            </w:r>
          </w:p>
        </w:tc>
        <w:tc>
          <w:tcPr>
            <w:tcW w:w="3092" w:type="dxa"/>
          </w:tcPr>
          <w:p>
            <w:pPr>
              <w:pStyle w:val="Compact"/>
              <w:spacing w:before="0" w:after="0" w:lineRule="exact" w:line="220"/>
              <w:jc w:val="left"/>
            </w:pPr>
            <w:r>
              <w:rPr>
                <w:sz w:val="18"/>
              </w:rPr>
              <w:t xml:space="preserve">Direct segment disclosure</w:t>
            </w:r>
          </w:p>
        </w:tc>
      </w:tr>
      <w:tr>
        <w:trPr>
          <w:cantSplit/>
        </w:trPr>
        <w:tc>
          <w:tcPr>
            <w:tcW w:w="1035" w:type="dxa"/>
          </w:tcPr>
          <w:p>
            <w:pPr>
              <w:pStyle w:val="Compact"/>
              <w:spacing w:before="0" w:after="0" w:lineRule="exact" w:line="220"/>
              <w:jc w:val="left"/>
            </w:pPr>
            <w:r>
              <w:rPr>
                <w:sz w:val="18"/>
              </w:rPr>
              <w:t xml:space="preserve">Bukalapak</w:t>
            </w:r>
          </w:p>
        </w:tc>
        <w:tc>
          <w:tcPr>
            <w:tcW w:w="2591" w:type="dxa"/>
          </w:tcPr>
          <w:p>
            <w:pPr>
              <w:pStyle w:val="Compact"/>
              <w:spacing w:before="0" w:after="0" w:lineRule="exact" w:line="220"/>
              <w:jc w:val="left"/>
            </w:pPr>
            <w:r>
              <w:rPr>
                <w:sz w:val="18"/>
              </w:rPr>
              <w:t xml:space="preserve">The whole Bukalapak group, mainly in Indonesia, including Mitra, its online-to-offline business</w:t>
            </w:r>
          </w:p>
        </w:tc>
        <w:tc>
          <w:tcPr>
            <w:tcW w:w="1035" w:type="dxa"/>
          </w:tcPr>
          <w:p>
            <w:pPr>
              <w:pStyle w:val="Compact"/>
              <w:spacing w:before="0" w:after="0" w:lineRule="exact" w:line="220"/>
              <w:jc w:val="left"/>
            </w:pPr>
            <w:r>
              <w:rPr>
                <w:sz w:val="18"/>
              </w:rPr>
              <w:t xml:space="preserve">2020–2023</w:t>
            </w:r>
          </w:p>
        </w:tc>
        <w:tc>
          <w:tcPr>
            <w:tcW w:w="750" w:type="dxa"/>
          </w:tcPr>
          <w:p>
            <w:pPr>
              <w:pStyle w:val="Compact"/>
              <w:spacing w:before="0" w:after="0" w:lineRule="exact" w:line="220"/>
              <w:jc w:val="left"/>
            </w:pPr>
            <w:r>
              <w:rPr>
                <w:sz w:val="18"/>
              </w:rPr>
              <w:t xml:space="preserve">3</w:t>
            </w:r>
          </w:p>
        </w:tc>
        <w:tc>
          <w:tcPr>
            <w:tcW w:w="3092" w:type="dxa"/>
          </w:tcPr>
          <w:p>
            <w:pPr>
              <w:pStyle w:val="Compact"/>
              <w:spacing w:before="0" w:after="0" w:lineRule="exact" w:line="220"/>
              <w:jc w:val="left"/>
            </w:pPr>
            <w:r>
              <w:rPr>
                <w:sz w:val="18"/>
              </w:rPr>
              <w:t xml:space="preserve">Direct company disclosure</w:t>
            </w:r>
          </w:p>
        </w:tc>
      </w:tr>
      <w:tr>
        <w:trPr>
          <w:cantSplit/>
        </w:trPr>
        <w:tc>
          <w:tcPr>
            <w:tcW w:w="1035" w:type="dxa"/>
          </w:tcPr>
          <w:p>
            <w:pPr>
              <w:pStyle w:val="Compact"/>
              <w:spacing w:before="0" w:after="0" w:lineRule="exact" w:line="220"/>
              <w:jc w:val="left"/>
            </w:pPr>
            <w:r>
              <w:rPr>
                <w:sz w:val="18"/>
              </w:rPr>
              <w:t xml:space="preserve">Grab on-demand</w:t>
            </w:r>
          </w:p>
        </w:tc>
        <w:tc>
          <w:tcPr>
            <w:tcW w:w="2591" w:type="dxa"/>
          </w:tcPr>
          <w:p>
            <w:pPr>
              <w:pStyle w:val="Compact"/>
              <w:spacing w:before="0" w:after="0" w:lineRule="exact" w:line="220"/>
              <w:jc w:val="left"/>
            </w:pPr>
            <w:r>
              <w:rPr>
                <w:sz w:val="18"/>
              </w:rPr>
              <w:t xml:space="preserve">Grab’s rides and deliveries across Southeast Asia, not Indonesia alone</w:t>
            </w:r>
          </w:p>
        </w:tc>
        <w:tc>
          <w:tcPr>
            <w:tcW w:w="1035" w:type="dxa"/>
          </w:tcPr>
          <w:p>
            <w:pPr>
              <w:pStyle w:val="Compact"/>
              <w:spacing w:before="0" w:after="0" w:lineRule="exact" w:line="220"/>
              <w:jc w:val="left"/>
            </w:pPr>
            <w:r>
              <w:rPr>
                <w:sz w:val="18"/>
              </w:rPr>
              <w:t xml:space="preserve">2020–2024</w:t>
            </w:r>
          </w:p>
        </w:tc>
        <w:tc>
          <w:tcPr>
            <w:tcW w:w="750" w:type="dxa"/>
          </w:tcPr>
          <w:p>
            <w:pPr>
              <w:pStyle w:val="Compact"/>
              <w:spacing w:before="0" w:after="0" w:lineRule="exact" w:line="220"/>
              <w:jc w:val="left"/>
            </w:pPr>
            <w:r>
              <w:rPr>
                <w:sz w:val="18"/>
              </w:rPr>
              <w:t xml:space="preserve">4</w:t>
            </w:r>
          </w:p>
        </w:tc>
        <w:tc>
          <w:tcPr>
            <w:tcW w:w="3092" w:type="dxa"/>
          </w:tcPr>
          <w:p>
            <w:pPr>
              <w:pStyle w:val="Compact"/>
              <w:spacing w:before="0" w:after="0" w:lineRule="exact" w:line="220"/>
              <w:jc w:val="left"/>
            </w:pPr>
            <w:r>
              <w:rPr>
                <w:sz w:val="18"/>
              </w:rPr>
              <w:t xml:space="preserve">Direct segment disclosure</w:t>
            </w:r>
          </w:p>
        </w:tc>
      </w:tr>
      <w:tr>
        <w:trPr>
          <w:cantSplit/>
        </w:trPr>
        <w:tc>
          <w:tcPr>
            <w:tcW w:w="1035" w:type="dxa"/>
          </w:tcPr>
          <w:p>
            <w:pPr>
              <w:pStyle w:val="Compact"/>
              <w:spacing w:before="0" w:after="0" w:lineRule="exact" w:line="220"/>
              <w:jc w:val="left"/>
            </w:pPr>
            <w:r>
              <w:rPr>
                <w:sz w:val="18"/>
              </w:rPr>
              <w:t xml:space="preserve">GoTo on-demand</w:t>
            </w:r>
          </w:p>
        </w:tc>
        <w:tc>
          <w:tcPr>
            <w:tcW w:w="2591" w:type="dxa"/>
          </w:tcPr>
          <w:p>
            <w:pPr>
              <w:pStyle w:val="Compact"/>
              <w:spacing w:before="0" w:after="0" w:lineRule="exact" w:line="220"/>
              <w:jc w:val="left"/>
            </w:pPr>
            <w:r>
              <w:rPr>
                <w:sz w:val="18"/>
              </w:rPr>
              <w:t xml:space="preserve">GoTo’s rides and deliveries segment, in Indonesia and Vietnam to 2024</w:t>
            </w:r>
          </w:p>
        </w:tc>
        <w:tc>
          <w:tcPr>
            <w:tcW w:w="1035" w:type="dxa"/>
          </w:tcPr>
          <w:p>
            <w:pPr>
              <w:pStyle w:val="Compact"/>
              <w:spacing w:before="0" w:after="0" w:lineRule="exact" w:line="220"/>
              <w:jc w:val="left"/>
            </w:pPr>
            <w:r>
              <w:rPr>
                <w:sz w:val="18"/>
              </w:rPr>
              <w:t xml:space="preserve">2022–2025</w:t>
            </w:r>
          </w:p>
        </w:tc>
        <w:tc>
          <w:tcPr>
            <w:tcW w:w="750" w:type="dxa"/>
          </w:tcPr>
          <w:p>
            <w:pPr>
              <w:pStyle w:val="Compact"/>
              <w:spacing w:before="0" w:after="0" w:lineRule="exact" w:line="220"/>
              <w:jc w:val="left"/>
            </w:pPr>
            <w:r>
              <w:rPr>
                <w:sz w:val="18"/>
              </w:rPr>
              <w:t xml:space="preserve">3</w:t>
            </w:r>
          </w:p>
        </w:tc>
        <w:tc>
          <w:tcPr>
            <w:tcW w:w="3092" w:type="dxa"/>
          </w:tcPr>
          <w:p>
            <w:pPr>
              <w:pStyle w:val="Compact"/>
              <w:spacing w:before="0" w:after="0" w:lineRule="exact" w:line="220"/>
              <w:jc w:val="left"/>
            </w:pPr>
            <w:r>
              <w:rPr>
                <w:sz w:val="18"/>
              </w:rPr>
              <w:t xml:space="preserve">Direct segment disclosure; the 2022 transaction value is an estimate</w:t>
            </w:r>
          </w:p>
        </w:tc>
      </w:tr>
    </w:tbl>
    <w:p>
      <w:pPr>
        <w:pStyle w:val="BodyText"/>
        <w:spacing w:before="160"/>
      </w:pPr>
      <w:r>
        <w:t xml:space="preserve">Table 5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39"/>
    <w:bookmarkStart w:id="40"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0"/>
    <w:bookmarkStart w:id="41"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1"/>
    <w:bookmarkStart w:id="42"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2"/>
    <w:bookmarkStart w:id="43"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3"/>
    <w:bookmarkStart w:id="44"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6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TableCaption"/>
      </w:pPr>
      <w:r>
        <w:rPr>
          <w:b/>
        </w:rPr>
        <w:t>Table 6.</w:t>
      </w:r>
      <w:r>
        <w:rPr>
          <w:b w:val="0"/>
        </w:rPr>
        <w:t xml:space="preserve"> The three BPS survey files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79"/>
        <w:gridCol w:w="1681"/>
        <w:gridCol w:w="1285"/>
        <w:gridCol w:w="1780"/>
        <w:gridCol w:w="1879"/>
      </w:tblGrid>
      <w:tr>
        <w:trPr>
          <w:tblHeader w:val="true"/>
          <w:cantSplit/>
          <w:tblHeader/>
        </w:trPr>
        <w:tc>
          <w:tcPr>
            <w:tcW w:w="1879" w:type="dxa"/>
            <w:tcBorders>
              <w:bottom w:val="single" w:sz="5" w:space="0" w:color="000000"/>
            </w:tcBorders>
          </w:tcPr>
          <w:p>
            <w:pPr>
              <w:pStyle w:val="Compact"/>
              <w:spacing w:before="0" w:after="0" w:lineRule="exact" w:line="220"/>
              <w:jc w:val="left"/>
            </w:pPr>
            <w:r>
              <w:rPr>
                <w:b/>
                <w:sz w:val="18"/>
              </w:rPr>
              <w:t xml:space="preserve">Survey round</w:t>
            </w:r>
          </w:p>
        </w:tc>
        <w:tc>
          <w:tcPr>
            <w:tcW w:w="1681" w:type="dxa"/>
            <w:tcBorders>
              <w:bottom w:val="single" w:sz="5" w:space="0" w:color="000000"/>
            </w:tcBorders>
          </w:tcPr>
          <w:p>
            <w:pPr>
              <w:pStyle w:val="Compact"/>
              <w:spacing w:before="0" w:after="0" w:lineRule="exact" w:line="220"/>
              <w:jc w:val="left"/>
            </w:pPr>
            <w:r>
              <w:rPr>
                <w:b/>
                <w:sz w:val="18"/>
              </w:rPr>
              <w:t xml:space="preserve">Activity year</w:t>
            </w:r>
          </w:p>
        </w:tc>
        <w:tc>
          <w:tcPr>
            <w:tcW w:w="1285" w:type="dxa"/>
            <w:tcBorders>
              <w:bottom w:val="single" w:sz="5" w:space="0" w:color="000000"/>
            </w:tcBorders>
          </w:tcPr>
          <w:p>
            <w:pPr>
              <w:pStyle w:val="Compact"/>
              <w:spacing w:before="0" w:after="0" w:lineRule="exact" w:line="220"/>
              <w:jc w:val="left"/>
            </w:pPr>
            <w:r>
              <w:rPr>
                <w:b/>
                <w:sz w:val="18"/>
              </w:rPr>
              <w:t xml:space="preserve">Rows</w:t>
            </w:r>
          </w:p>
        </w:tc>
        <w:tc>
          <w:tcPr>
            <w:tcW w:w="1780" w:type="dxa"/>
            <w:tcBorders>
              <w:bottom w:val="single" w:sz="5" w:space="0" w:color="000000"/>
            </w:tcBorders>
          </w:tcPr>
          <w:p>
            <w:pPr>
              <w:pStyle w:val="Compact"/>
              <w:spacing w:before="0" w:after="0" w:lineRule="exact" w:line="220"/>
              <w:jc w:val="left"/>
            </w:pPr>
            <w:r>
              <w:rPr>
                <w:b/>
                <w:sz w:val="18"/>
              </w:rPr>
              <w:t xml:space="preserve">Weighted total</w:t>
            </w:r>
          </w:p>
        </w:tc>
        <w:tc>
          <w:tcPr>
            <w:tcW w:w="1879" w:type="dxa"/>
            <w:tcBorders>
              <w:bottom w:val="single" w:sz="5" w:space="0" w:color="000000"/>
            </w:tcBorders>
          </w:tcPr>
          <w:p>
            <w:pPr>
              <w:pStyle w:val="Compact"/>
              <w:spacing w:before="0" w:after="0" w:lineRule="exact" w:line="220"/>
              <w:jc w:val="left"/>
            </w:pPr>
            <w:r>
              <w:rPr>
                <w:b/>
                <w:sz w:val="18"/>
              </w:rPr>
              <w:t xml:space="preserve">BPS count</w:t>
            </w:r>
          </w:p>
        </w:tc>
      </w:tr>
      <w:tr>
        <w:trPr>
          <w:cantSplit/>
        </w:trPr>
        <w:tc>
          <w:tcPr>
            <w:tcW w:w="1879" w:type="dxa"/>
          </w:tcPr>
          <w:p>
            <w:pPr>
              <w:pStyle w:val="Compact"/>
              <w:spacing w:before="0" w:after="0" w:lineRule="exact" w:line="220"/>
              <w:jc w:val="left"/>
            </w:pPr>
            <w:r>
              <w:rPr>
                <w:sz w:val="18"/>
              </w:rPr>
              <w:t xml:space="preserve">E-Commerce 2021</w:t>
            </w:r>
          </w:p>
        </w:tc>
        <w:tc>
          <w:tcPr>
            <w:tcW w:w="1681" w:type="dxa"/>
          </w:tcPr>
          <w:p>
            <w:pPr>
              <w:pStyle w:val="Compact"/>
              <w:spacing w:before="0" w:after="0" w:lineRule="exact" w:line="220"/>
              <w:jc w:val="left"/>
            </w:pPr>
            <w:r>
              <w:rPr>
                <w:sz w:val="18"/>
              </w:rPr>
              <w:t xml:space="preserve">2020</w:t>
            </w:r>
          </w:p>
        </w:tc>
        <w:tc>
          <w:tcPr>
            <w:tcW w:w="1285" w:type="dxa"/>
          </w:tcPr>
          <w:p>
            <w:pPr>
              <w:pStyle w:val="Compact"/>
              <w:spacing w:before="0" w:after="0" w:lineRule="exact" w:line="220"/>
              <w:jc w:val="left"/>
            </w:pPr>
            <w:r>
              <w:rPr>
                <w:sz w:val="18"/>
              </w:rPr>
              <w:t xml:space="preserve">11,848</w:t>
            </w:r>
          </w:p>
        </w:tc>
        <w:tc>
          <w:tcPr>
            <w:tcW w:w="1780" w:type="dxa"/>
          </w:tcPr>
          <w:p>
            <w:pPr>
              <w:pStyle w:val="Compact"/>
              <w:spacing w:before="0" w:after="0" w:lineRule="exact" w:line="220"/>
              <w:jc w:val="left"/>
            </w:pPr>
            <w:r>
              <w:rPr>
                <w:sz w:val="18"/>
              </w:rPr>
              <w:t xml:space="preserve">2,361,423</w:t>
            </w:r>
          </w:p>
        </w:tc>
        <w:tc>
          <w:tcPr>
            <w:tcW w:w="1879" w:type="dxa"/>
          </w:tcPr>
          <w:p>
            <w:pPr>
              <w:pStyle w:val="Compact"/>
              <w:spacing w:before="0" w:after="0" w:lineRule="exact" w:line="220"/>
              <w:jc w:val="left"/>
            </w:pPr>
            <w:r>
              <w:rPr>
                <w:sz w:val="18"/>
              </w:rPr>
              <w:t xml:space="preserve">2,361,423</w:t>
            </w:r>
          </w:p>
        </w:tc>
      </w:tr>
      <w:tr>
        <w:trPr>
          <w:cantSplit/>
        </w:trPr>
        <w:tc>
          <w:tcPr>
            <w:tcW w:w="1879" w:type="dxa"/>
          </w:tcPr>
          <w:p>
            <w:pPr>
              <w:pStyle w:val="Compact"/>
              <w:spacing w:before="0" w:after="0" w:lineRule="exact" w:line="220"/>
              <w:jc w:val="left"/>
            </w:pPr>
            <w:r>
              <w:rPr>
                <w:sz w:val="18"/>
              </w:rPr>
              <w:t xml:space="preserve">E-Commerce 2023</w:t>
            </w:r>
          </w:p>
        </w:tc>
        <w:tc>
          <w:tcPr>
            <w:tcW w:w="1681" w:type="dxa"/>
          </w:tcPr>
          <w:p>
            <w:pPr>
              <w:pStyle w:val="Compact"/>
              <w:spacing w:before="0" w:after="0" w:lineRule="exact" w:line="220"/>
              <w:jc w:val="left"/>
            </w:pPr>
            <w:r>
              <w:rPr>
                <w:sz w:val="18"/>
              </w:rPr>
              <w:t xml:space="preserve">2022</w:t>
            </w:r>
          </w:p>
        </w:tc>
        <w:tc>
          <w:tcPr>
            <w:tcW w:w="1285" w:type="dxa"/>
          </w:tcPr>
          <w:p>
            <w:pPr>
              <w:pStyle w:val="Compact"/>
              <w:spacing w:before="0" w:after="0" w:lineRule="exact" w:line="220"/>
              <w:jc w:val="left"/>
            </w:pPr>
            <w:r>
              <w:rPr>
                <w:sz w:val="18"/>
              </w:rPr>
              <w:t xml:space="preserve">31,724</w:t>
            </w:r>
          </w:p>
        </w:tc>
        <w:tc>
          <w:tcPr>
            <w:tcW w:w="1780" w:type="dxa"/>
          </w:tcPr>
          <w:p>
            <w:pPr>
              <w:pStyle w:val="Compact"/>
              <w:spacing w:before="0" w:after="0" w:lineRule="exact" w:line="220"/>
              <w:jc w:val="left"/>
            </w:pPr>
            <w:r>
              <w:rPr>
                <w:sz w:val="18"/>
              </w:rPr>
              <w:t xml:space="preserve">2,995,986</w:t>
            </w:r>
          </w:p>
        </w:tc>
        <w:tc>
          <w:tcPr>
            <w:tcW w:w="1879" w:type="dxa"/>
          </w:tcPr>
          <w:p>
            <w:pPr>
              <w:pStyle w:val="Compact"/>
              <w:spacing w:before="0" w:after="0" w:lineRule="exact" w:line="220"/>
              <w:jc w:val="left"/>
            </w:pPr>
            <w:r>
              <w:rPr>
                <w:sz w:val="18"/>
              </w:rPr>
              <w:t xml:space="preserve">2,995,879*</w:t>
            </w:r>
          </w:p>
        </w:tc>
      </w:tr>
      <w:tr>
        <w:trPr>
          <w:cantSplit/>
        </w:trPr>
        <w:tc>
          <w:tcPr>
            <w:tcW w:w="1879" w:type="dxa"/>
          </w:tcPr>
          <w:p>
            <w:pPr>
              <w:pStyle w:val="Compact"/>
              <w:spacing w:before="0" w:after="0" w:lineRule="exact" w:line="220"/>
              <w:jc w:val="left"/>
            </w:pPr>
            <w:r>
              <w:rPr>
                <w:sz w:val="18"/>
              </w:rPr>
              <w:t xml:space="preserve">E-Commerce 2024</w:t>
            </w:r>
          </w:p>
        </w:tc>
        <w:tc>
          <w:tcPr>
            <w:tcW w:w="1681" w:type="dxa"/>
          </w:tcPr>
          <w:p>
            <w:pPr>
              <w:pStyle w:val="Compact"/>
              <w:spacing w:before="0" w:after="0" w:lineRule="exact" w:line="220"/>
              <w:jc w:val="left"/>
            </w:pPr>
            <w:r>
              <w:rPr>
                <w:sz w:val="18"/>
              </w:rPr>
              <w:t xml:space="preserve">2023</w:t>
            </w:r>
          </w:p>
        </w:tc>
        <w:tc>
          <w:tcPr>
            <w:tcW w:w="1285" w:type="dxa"/>
          </w:tcPr>
          <w:p>
            <w:pPr>
              <w:pStyle w:val="Compact"/>
              <w:spacing w:before="0" w:after="0" w:lineRule="exact" w:line="220"/>
              <w:jc w:val="left"/>
            </w:pPr>
            <w:r>
              <w:rPr>
                <w:sz w:val="18"/>
              </w:rPr>
              <w:t xml:space="preserve">39,736</w:t>
            </w:r>
          </w:p>
        </w:tc>
        <w:tc>
          <w:tcPr>
            <w:tcW w:w="1780" w:type="dxa"/>
          </w:tcPr>
          <w:p>
            <w:pPr>
              <w:pStyle w:val="Compact"/>
              <w:spacing w:before="0" w:after="0" w:lineRule="exact" w:line="220"/>
              <w:jc w:val="left"/>
            </w:pPr>
            <w:r>
              <w:rPr>
                <w:sz w:val="18"/>
              </w:rPr>
              <w:t xml:space="preserve">3,814,799</w:t>
            </w:r>
          </w:p>
        </w:tc>
        <w:tc>
          <w:tcPr>
            <w:tcW w:w="1879" w:type="dxa"/>
          </w:tcPr>
          <w:p>
            <w:pPr>
              <w:pStyle w:val="Compact"/>
              <w:spacing w:before="0" w:after="0" w:lineRule="exact" w:line="220"/>
              <w:jc w:val="left"/>
            </w:pPr>
            <w:r>
              <w:rPr>
                <w:sz w:val="18"/>
              </w:rPr>
              <w:t xml:space="preserve">3,816,750</w:t>
            </w:r>
          </w:p>
        </w:tc>
      </w:tr>
    </w:tbl>
    <w:p>
      <w:pPr>
        <w:pStyle w:val="BodyText"/>
        <w:spacing w:before="160"/>
      </w:pPr>
      <w:r>
        <w:t xml:space="preserve">*Implied by the published count for 2023 and its published growth of 27.4 percent.</w:t>
      </w:r>
    </w:p>
    <w:bookmarkEnd w:id="44"/>
    <w:bookmarkStart w:id="45"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5"/>
    <w:bookmarkStart w:id="46"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6"/>
    <w:bookmarkStart w:id="47"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7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TableCaption"/>
      </w:pPr>
      <w:r>
        <w:rPr>
          <w:b/>
        </w:rPr>
        <w:t>Table 7.</w:t>
      </w:r>
      <w:r>
        <w:rPr>
          <w:b w:val="0"/>
        </w:rPr>
        <w:t xml:space="preserve"> Sources compared in Objective 3</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79"/>
        <w:gridCol w:w="3477"/>
        <w:gridCol w:w="3148"/>
      </w:tblGrid>
      <w:tr>
        <w:trPr>
          <w:tblHeader w:val="true"/>
          <w:cantSplit/>
          <w:tblHeader/>
        </w:trPr>
        <w:tc>
          <w:tcPr>
            <w:tcW w:w="1879" w:type="dxa"/>
            <w:tcBorders>
              <w:bottom w:val="single" w:sz="5" w:space="0" w:color="000000"/>
            </w:tcBorders>
          </w:tcPr>
          <w:p>
            <w:pPr>
              <w:pStyle w:val="Compact"/>
              <w:spacing w:before="0" w:after="0" w:lineRule="exact" w:line="220"/>
              <w:jc w:val="left"/>
            </w:pPr>
            <w:r>
              <w:rPr>
                <w:b/>
                <w:sz w:val="18"/>
              </w:rPr>
              <w:t xml:space="preserve">Source</w:t>
            </w:r>
          </w:p>
        </w:tc>
        <w:tc>
          <w:tcPr>
            <w:tcW w:w="3477" w:type="dxa"/>
            <w:tcBorders>
              <w:bottom w:val="single" w:sz="5" w:space="0" w:color="000000"/>
            </w:tcBorders>
          </w:tcPr>
          <w:p>
            <w:pPr>
              <w:pStyle w:val="Compact"/>
              <w:spacing w:before="0" w:after="0" w:lineRule="exact" w:line="220"/>
              <w:jc w:val="left"/>
            </w:pPr>
            <w:r>
              <w:rPr>
                <w:b/>
                <w:sz w:val="18"/>
              </w:rPr>
              <w:t xml:space="preserve">What it covers</w:t>
            </w:r>
          </w:p>
        </w:tc>
        <w:tc>
          <w:tcPr>
            <w:tcW w:w="3148" w:type="dxa"/>
            <w:tcBorders>
              <w:bottom w:val="single" w:sz="5" w:space="0" w:color="000000"/>
            </w:tcBorders>
          </w:tcPr>
          <w:p>
            <w:pPr>
              <w:pStyle w:val="Compact"/>
              <w:spacing w:before="0" w:after="0" w:lineRule="exact" w:line="220"/>
              <w:jc w:val="left"/>
            </w:pPr>
            <w:r>
              <w:rPr>
                <w:b/>
                <w:sz w:val="18"/>
              </w:rPr>
              <w:t xml:space="preserve">How it counts</w:t>
            </w:r>
          </w:p>
        </w:tc>
      </w:tr>
      <w:tr>
        <w:trPr>
          <w:cantSplit/>
        </w:trPr>
        <w:tc>
          <w:tcPr>
            <w:tcW w:w="1879" w:type="dxa"/>
          </w:tcPr>
          <w:p>
            <w:pPr>
              <w:pStyle w:val="Compact"/>
              <w:spacing w:before="0" w:after="0" w:lineRule="exact" w:line="220"/>
              <w:jc w:val="left"/>
            </w:pPr>
            <w:r>
              <w:rPr>
                <w:sz w:val="18"/>
              </w:rPr>
              <w:t xml:space="preserve">Platform reports</w:t>
            </w:r>
          </w:p>
        </w:tc>
        <w:tc>
          <w:tcPr>
            <w:tcW w:w="3477" w:type="dxa"/>
          </w:tcPr>
          <w:p>
            <w:pPr>
              <w:pStyle w:val="Compact"/>
              <w:spacing w:before="0" w:after="0" w:lineRule="exact" w:line="220"/>
              <w:jc w:val="left"/>
            </w:pPr>
            <w:r>
              <w:rPr>
                <w:sz w:val="18"/>
              </w:rPr>
              <w:t xml:space="preserve">Everything bought through one platform</w:t>
            </w:r>
          </w:p>
        </w:tc>
        <w:tc>
          <w:tcPr>
            <w:tcW w:w="3148" w:type="dxa"/>
          </w:tcPr>
          <w:p>
            <w:pPr>
              <w:pStyle w:val="Compact"/>
              <w:spacing w:before="0" w:after="0" w:lineRule="exact" w:line="220"/>
              <w:jc w:val="left"/>
            </w:pPr>
            <w:r>
              <w:rPr>
                <w:sz w:val="18"/>
              </w:rPr>
              <w:t xml:space="preserve">The platform’s own records</w:t>
            </w:r>
          </w:p>
        </w:tc>
      </w:tr>
      <w:tr>
        <w:trPr>
          <w:cantSplit/>
        </w:trPr>
        <w:tc>
          <w:tcPr>
            <w:tcW w:w="1879" w:type="dxa"/>
          </w:tcPr>
          <w:p>
            <w:pPr>
              <w:pStyle w:val="Compact"/>
              <w:spacing w:before="0" w:after="0" w:lineRule="exact" w:line="220"/>
              <w:jc w:val="left"/>
            </w:pPr>
            <w:r>
              <w:rPr>
                <w:sz w:val="18"/>
              </w:rPr>
              <w:t xml:space="preserve">BPS online-seller survey</w:t>
            </w:r>
          </w:p>
        </w:tc>
        <w:tc>
          <w:tcPr>
            <w:tcW w:w="3477" w:type="dxa"/>
          </w:tcPr>
          <w:p>
            <w:pPr>
              <w:pStyle w:val="Compact"/>
              <w:spacing w:before="0" w:after="0" w:lineRule="exact" w:line="220"/>
              <w:jc w:val="left"/>
            </w:pPr>
            <w:r>
              <w:rPr>
                <w:sz w:val="18"/>
              </w:rPr>
              <w:t xml:space="preserve">Every business that sold online, including chat and social media</w:t>
            </w:r>
          </w:p>
        </w:tc>
        <w:tc>
          <w:tcPr>
            <w:tcW w:w="3148" w:type="dxa"/>
          </w:tcPr>
          <w:p>
            <w:pPr>
              <w:pStyle w:val="Compact"/>
              <w:spacing w:before="0" w:after="0" w:lineRule="exact" w:line="220"/>
              <w:jc w:val="left"/>
            </w:pPr>
            <w:r>
              <w:rPr>
                <w:sz w:val="18"/>
              </w:rPr>
              <w:t xml:space="preserve">Listing in sampled areas, scaled up by survey weights</w:t>
            </w:r>
          </w:p>
        </w:tc>
      </w:tr>
      <w:tr>
        <w:trPr>
          <w:cantSplit/>
        </w:trPr>
        <w:tc>
          <w:tcPr>
            <w:tcW w:w="1879" w:type="dxa"/>
          </w:tcPr>
          <w:p>
            <w:pPr>
              <w:pStyle w:val="Compact"/>
              <w:spacing w:before="0" w:after="0" w:lineRule="exact" w:line="220"/>
              <w:jc w:val="left"/>
            </w:pPr>
            <w:r>
              <w:rPr>
                <w:sz w:val="18"/>
              </w:rPr>
              <w:t xml:space="preserve">Bank Indonesia e-commerce statistics</w:t>
            </w:r>
          </w:p>
        </w:tc>
        <w:tc>
          <w:tcPr>
            <w:tcW w:w="3477" w:type="dxa"/>
          </w:tcPr>
          <w:p>
            <w:pPr>
              <w:pStyle w:val="Compact"/>
              <w:spacing w:before="0" w:after="0" w:lineRule="exact" w:line="220"/>
              <w:jc w:val="left"/>
            </w:pPr>
            <w:r>
              <w:rPr>
                <w:sz w:val="18"/>
              </w:rPr>
              <w:t xml:space="preserve">Transactions of large e-commerce firms (Bank Indonesia 2025)</w:t>
            </w:r>
          </w:p>
        </w:tc>
        <w:tc>
          <w:tcPr>
            <w:tcW w:w="3148" w:type="dxa"/>
          </w:tcPr>
          <w:p>
            <w:pPr>
              <w:pStyle w:val="Compact"/>
              <w:spacing w:before="0" w:after="0" w:lineRule="exact" w:line="220"/>
              <w:jc w:val="left"/>
            </w:pPr>
            <w:r>
              <w:rPr>
                <w:sz w:val="18"/>
              </w:rPr>
              <w:t xml:space="preserve">Data sent to the central bank; the method is not public</w:t>
            </w:r>
          </w:p>
        </w:tc>
      </w:tr>
      <w:tr>
        <w:trPr>
          <w:cantSplit/>
        </w:trPr>
        <w:tc>
          <w:tcPr>
            <w:tcW w:w="1879" w:type="dxa"/>
          </w:tcPr>
          <w:p>
            <w:pPr>
              <w:pStyle w:val="Compact"/>
              <w:spacing w:before="0" w:after="0" w:lineRule="exact" w:line="220"/>
              <w:jc w:val="left"/>
            </w:pPr>
            <w:r>
              <w:rPr>
                <w:sz w:val="18"/>
              </w:rPr>
              <w:t xml:space="preserve">Industry estimates</w:t>
            </w:r>
          </w:p>
        </w:tc>
        <w:tc>
          <w:tcPr>
            <w:tcW w:w="3477" w:type="dxa"/>
          </w:tcPr>
          <w:p>
            <w:pPr>
              <w:pStyle w:val="Compact"/>
              <w:spacing w:before="0" w:after="0" w:lineRule="exact" w:line="220"/>
              <w:jc w:val="left"/>
            </w:pPr>
            <w:r>
              <w:rPr>
                <w:sz w:val="18"/>
              </w:rPr>
              <w:t xml:space="preserve">Shopping marketplaces in Indonesia or Southeast Asia, from the research firm Momentum Works (2024), as quoted by Setyowati (2024), and the e-Conomy report (Google, Temasek and Bain 2024)</w:t>
            </w:r>
          </w:p>
        </w:tc>
        <w:tc>
          <w:tcPr>
            <w:tcW w:w="3148" w:type="dxa"/>
          </w:tcPr>
          <w:p>
            <w:pPr>
              <w:pStyle w:val="Compact"/>
              <w:spacing w:before="0" w:after="0" w:lineRule="exact" w:line="220"/>
              <w:jc w:val="left"/>
            </w:pPr>
            <w:r>
              <w:rPr>
                <w:sz w:val="18"/>
              </w:rPr>
              <w:t xml:space="preserve">Outside estimates</w:t>
            </w:r>
          </w:p>
        </w:tc>
      </w:tr>
      <w:tr>
        <w:trPr>
          <w:cantSplit/>
        </w:trPr>
        <w:tc>
          <w:tcPr>
            <w:tcW w:w="1879" w:type="dxa"/>
          </w:tcPr>
          <w:p>
            <w:pPr>
              <w:pStyle w:val="Compact"/>
              <w:spacing w:before="0" w:after="0" w:lineRule="exact" w:line="220"/>
              <w:jc w:val="left"/>
            </w:pPr>
            <w:r>
              <w:rPr>
                <w:sz w:val="18"/>
              </w:rPr>
              <w:t xml:space="preserve">Household spending</w:t>
            </w:r>
          </w:p>
        </w:tc>
        <w:tc>
          <w:tcPr>
            <w:tcW w:w="3477" w:type="dxa"/>
          </w:tcPr>
          <w:p>
            <w:pPr>
              <w:pStyle w:val="Compact"/>
              <w:spacing w:before="0" w:after="0" w:lineRule="exact" w:line="220"/>
              <w:jc w:val="left"/>
            </w:pPr>
            <w:r>
              <w:rPr>
                <w:sz w:val="18"/>
              </w:rPr>
              <w:t xml:space="preserve">All household purchases</w:t>
            </w:r>
          </w:p>
        </w:tc>
        <w:tc>
          <w:tcPr>
            <w:tcW w:w="3148" w:type="dxa"/>
          </w:tcPr>
          <w:p>
            <w:pPr>
              <w:pStyle w:val="Compact"/>
              <w:spacing w:before="0" w:after="0" w:lineRule="exact" w:line="220"/>
              <w:jc w:val="left"/>
            </w:pPr>
            <w:r>
              <w:rPr>
                <w:sz w:val="18"/>
              </w:rPr>
              <w:t xml:space="preserve">BPS national accounts</w:t>
            </w:r>
          </w:p>
        </w:tc>
      </w:tr>
      <w:tr>
        <w:trPr>
          <w:cantSplit/>
        </w:trPr>
        <w:tc>
          <w:tcPr>
            <w:tcW w:w="1879" w:type="dxa"/>
          </w:tcPr>
          <w:p>
            <w:pPr>
              <w:pStyle w:val="Compact"/>
              <w:spacing w:before="0" w:after="0" w:lineRule="exact" w:line="220"/>
              <w:jc w:val="left"/>
            </w:pPr>
            <w:r>
              <w:rPr>
                <w:sz w:val="18"/>
              </w:rPr>
              <w:t xml:space="preserve">Payment figures</w:t>
            </w:r>
          </w:p>
        </w:tc>
        <w:tc>
          <w:tcPr>
            <w:tcW w:w="3477" w:type="dxa"/>
          </w:tcPr>
          <w:p>
            <w:pPr>
              <w:pStyle w:val="Compact"/>
              <w:spacing w:before="0" w:after="0" w:lineRule="exact" w:line="220"/>
              <w:jc w:val="left"/>
            </w:pPr>
            <w:r>
              <w:rPr>
                <w:sz w:val="18"/>
              </w:rPr>
              <w:t xml:space="preserve">Payments made through systems such as QRIS, the national QR-code system</w:t>
            </w:r>
          </w:p>
        </w:tc>
        <w:tc>
          <w:tcPr>
            <w:tcW w:w="3148" w:type="dxa"/>
          </w:tcPr>
          <w:p>
            <w:pPr>
              <w:pStyle w:val="Compact"/>
              <w:spacing w:before="0" w:after="0" w:lineRule="exact" w:line="220"/>
              <w:jc w:val="left"/>
            </w:pPr>
            <w:r>
              <w:rPr>
                <w:sz w:val="18"/>
              </w:rPr>
              <w:t xml:space="preserve">Payment records, in person and online</w:t>
            </w:r>
          </w:p>
        </w:tc>
      </w:tr>
      <w:tr>
        <w:trPr>
          <w:cantSplit/>
        </w:trPr>
        <w:tc>
          <w:tcPr>
            <w:tcW w:w="1879" w:type="dxa"/>
          </w:tcPr>
          <w:p>
            <w:pPr>
              <w:pStyle w:val="Compact"/>
              <w:spacing w:before="0" w:after="0" w:lineRule="exact" w:line="220"/>
              <w:jc w:val="left"/>
            </w:pPr>
            <w:r>
              <w:rPr>
                <w:sz w:val="18"/>
              </w:rPr>
              <w:t xml:space="preserve">Adjacent figures</w:t>
            </w:r>
          </w:p>
        </w:tc>
        <w:tc>
          <w:tcPr>
            <w:tcW w:w="3477" w:type="dxa"/>
          </w:tcPr>
          <w:p>
            <w:pPr>
              <w:pStyle w:val="Compact"/>
              <w:spacing w:before="0" w:after="0" w:lineRule="exact" w:line="220"/>
              <w:jc w:val="left"/>
            </w:pPr>
            <w:r>
              <w:rPr>
                <w:sz w:val="18"/>
              </w:rPr>
              <w:t xml:space="preserve">Parcels shipped in Southeast Asia, the value-added tax collected on foreign digital services (Directorate General of Taxes 2025), and the number of merchants a company reports</w:t>
            </w:r>
          </w:p>
        </w:tc>
        <w:tc>
          <w:tcPr>
            <w:tcW w:w="3148" w:type="dxa"/>
          </w:tcPr>
          <w:p>
            <w:pPr>
              <w:pStyle w:val="Compact"/>
              <w:spacing w:before="0" w:after="0" w:lineRule="exact" w:line="220"/>
              <w:jc w:val="left"/>
            </w:pPr>
            <w:r>
              <w:rPr>
                <w:sz w:val="18"/>
              </w:rPr>
              <w:t xml:space="preserve">Used as context only, since none measures Indonesian e-commerce</w:t>
            </w:r>
          </w:p>
        </w:tc>
      </w:tr>
    </w:tbl>
    <w:bookmarkEnd w:id="47"/>
    <w:bookmarkStart w:id="48"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48"/>
    <w:bookmarkEnd w:id="49"/>
    <w:bookmarkStart w:id="75" w:name="chapter-5-results"/>
    <w:p>
      <w:pPr>
        <w:pStyle w:val="Heading1"/>
      </w:pPr>
      <w:r>
        <w:t xml:space="preserve">Chapter 5 Results</w:t>
      </w:r>
    </w:p>
    <w:p>
      <w:pPr>
        <w:pStyle w:val="FirstParagraph"/>
      </w:pPr>
      <w:r>
        <w:t xml:space="preserve">The results follow the two links of Figure 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8 gives each main result with its label, the checks behind it and the section that reports it.</w:t>
      </w:r>
    </w:p>
    <w:p>
      <w:pPr>
        <w:pStyle w:val="TableCaption"/>
      </w:pPr>
      <w:r>
        <w:rPr>
          <w:b/>
        </w:rPr>
        <w:t>Table 8.</w:t>
      </w:r>
      <w:r>
        <w:rPr>
          <w:b w:val="0"/>
        </w:rPr>
        <w:t xml:space="preserve"> Main results and the evidence behind them</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325"/>
        <w:gridCol w:w="2666"/>
        <w:gridCol w:w="2666"/>
        <w:gridCol w:w="845"/>
      </w:tblGrid>
      <w:tr>
        <w:trPr>
          <w:tblHeader w:val="true"/>
          <w:cantSplit/>
          <w:tblHeader/>
        </w:trPr>
        <w:tc>
          <w:tcPr>
            <w:tcW w:w="2325" w:type="dxa"/>
            <w:tcBorders>
              <w:bottom w:val="single" w:sz="5" w:space="0" w:color="000000"/>
            </w:tcBorders>
          </w:tcPr>
          <w:p>
            <w:pPr>
              <w:pStyle w:val="Compact"/>
              <w:spacing w:before="0" w:after="0" w:lineRule="exact" w:line="220"/>
              <w:jc w:val="left"/>
            </w:pPr>
            <w:r>
              <w:rPr>
                <w:b/>
                <w:sz w:val="18"/>
              </w:rPr>
              <w:t xml:space="preserve">Result</w:t>
            </w:r>
          </w:p>
        </w:tc>
        <w:tc>
          <w:tcPr>
            <w:tcW w:w="2666" w:type="dxa"/>
            <w:tcBorders>
              <w:bottom w:val="single" w:sz="5" w:space="0" w:color="000000"/>
            </w:tcBorders>
          </w:tcPr>
          <w:p>
            <w:pPr>
              <w:pStyle w:val="Compact"/>
              <w:spacing w:before="0" w:after="0" w:lineRule="exact" w:line="220"/>
              <w:jc w:val="left"/>
            </w:pPr>
            <w:r>
              <w:rPr>
                <w:b/>
                <w:sz w:val="18"/>
              </w:rPr>
              <w:t xml:space="preserve">Label</w:t>
            </w:r>
          </w:p>
        </w:tc>
        <w:tc>
          <w:tcPr>
            <w:tcW w:w="2666" w:type="dxa"/>
            <w:tcBorders>
              <w:bottom w:val="single" w:sz="5" w:space="0" w:color="000000"/>
            </w:tcBorders>
          </w:tcPr>
          <w:p>
            <w:pPr>
              <w:pStyle w:val="Compact"/>
              <w:spacing w:before="0" w:after="0" w:lineRule="exact" w:line="220"/>
              <w:jc w:val="left"/>
            </w:pPr>
            <w:r>
              <w:rPr>
                <w:b/>
                <w:sz w:val="18"/>
              </w:rPr>
              <w:t xml:space="preserve">Main checks</w:t>
            </w:r>
          </w:p>
        </w:tc>
        <w:tc>
          <w:tcPr>
            <w:tcW w:w="845" w:type="dxa"/>
            <w:tcBorders>
              <w:bottom w:val="single" w:sz="5" w:space="0" w:color="000000"/>
            </w:tcBorders>
          </w:tcPr>
          <w:p>
            <w:pPr>
              <w:pStyle w:val="Compact"/>
              <w:spacing w:before="0" w:after="0" w:lineRule="exact" w:line="220"/>
              <w:jc w:val="left"/>
            </w:pPr>
            <w:r>
              <w:rPr>
                <w:b/>
                <w:sz w:val="18"/>
              </w:rPr>
              <w:t xml:space="preserve">Section</w:t>
            </w:r>
          </w:p>
        </w:tc>
      </w:tr>
      <w:tr>
        <w:trPr>
          <w:cantSplit/>
        </w:trPr>
        <w:tc>
          <w:tcPr>
            <w:tcW w:w="2325" w:type="dxa"/>
          </w:tcPr>
          <w:p>
            <w:pPr>
              <w:pStyle w:val="Compact"/>
              <w:spacing w:before="0" w:after="0" w:lineRule="exact" w:line="220"/>
              <w:jc w:val="left"/>
            </w:pPr>
            <w:r>
              <w:rPr>
                <w:iCs/>
                <w:i/>
                <w:sz w:val="18"/>
              </w:rPr>
              <w:t xml:space="preserve">Inner link: revenue and platform commerce</w:t>
            </w:r>
          </w:p>
        </w:tc>
        <w:tc>
          <w:tcPr>
            <w:tcW w:w="2666" w:type="dxa"/>
          </w:tcPr>
          <w:p>
            <w:pPr>
              <w:pStyle w:val="Compact"/>
              <w:spacing w:before="0" w:after="0" w:lineRule="exact" w:line="220"/>
              <w:jc w:val="left"/>
            </w:pPr>
          </w:p>
        </w:tc>
        <w:tc>
          <w:tcPr>
            <w:tcW w:w="2666" w:type="dxa"/>
          </w:tcPr>
          <w:p>
            <w:pPr>
              <w:pStyle w:val="Compact"/>
              <w:spacing w:before="0" w:after="0" w:lineRule="exact" w:line="220"/>
              <w:jc w:val="left"/>
            </w:pPr>
          </w:p>
        </w:tc>
        <w:tc>
          <w:tcPr>
            <w:tcW w:w="845" w:type="dxa"/>
          </w:tcPr>
          <w:p>
            <w:pPr>
              <w:pStyle w:val="Compact"/>
              <w:spacing w:before="0" w:after="0" w:lineRule="exact" w:line="220"/>
              <w:jc w:val="left"/>
            </w:pPr>
          </w:p>
        </w:tc>
      </w:tr>
      <w:tr>
        <w:trPr>
          <w:cantSplit/>
        </w:trPr>
        <w:tc>
          <w:tcPr>
            <w:tcW w:w="2325" w:type="dxa"/>
          </w:tcPr>
          <w:p>
            <w:pPr>
              <w:pStyle w:val="Compact"/>
              <w:spacing w:before="0" w:after="0" w:lineRule="exact" w:line="220"/>
              <w:jc w:val="left"/>
            </w:pPr>
            <w:r>
              <w:rPr>
                <w:sz w:val="18"/>
              </w:rPr>
              <w:t xml:space="preserve">Revenue was about 7 percent of what three major platforms carried in 2023; the wedge was about US$40 billion</w:t>
            </w:r>
          </w:p>
        </w:tc>
        <w:tc>
          <w:tcPr>
            <w:tcW w:w="2666" w:type="dxa"/>
          </w:tcPr>
          <w:p>
            <w:pPr>
              <w:pStyle w:val="Compact"/>
              <w:spacing w:before="0" w:after="0" w:lineRule="exact" w:line="220"/>
              <w:jc w:val="left"/>
            </w:pPr>
            <w:r>
              <w:rPr>
                <w:sz w:val="18"/>
              </w:rPr>
              <w:t xml:space="preserve">Descriptive</w:t>
            </w:r>
          </w:p>
        </w:tc>
        <w:tc>
          <w:tcPr>
            <w:tcW w:w="2666" w:type="dxa"/>
          </w:tcPr>
          <w:p>
            <w:pPr>
              <w:pStyle w:val="Compact"/>
              <w:spacing w:before="0" w:after="0" w:lineRule="exact" w:line="220"/>
              <w:jc w:val="left"/>
            </w:pPr>
            <w:r>
              <w:rPr>
                <w:sz w:val="18"/>
              </w:rPr>
              <w:t xml:space="preserve">Shopee’s take rate varied; each platform dropped in turn</w:t>
            </w:r>
          </w:p>
        </w:tc>
        <w:tc>
          <w:tcPr>
            <w:tcW w:w="845" w:type="dxa"/>
          </w:tcPr>
          <w:p>
            <w:pPr>
              <w:pStyle w:val="Compact"/>
              <w:spacing w:before="0" w:after="0" w:lineRule="exact" w:line="220"/>
              <w:jc w:val="left"/>
            </w:pPr>
            <w:r>
              <w:rPr>
                <w:sz w:val="18"/>
              </w:rPr>
              <w:t xml:space="preserve">5.1</w:t>
            </w:r>
          </w:p>
        </w:tc>
      </w:tr>
      <w:tr>
        <w:trPr>
          <w:cantSplit/>
        </w:trPr>
        <w:tc>
          <w:tcPr>
            <w:tcW w:w="2325" w:type="dxa"/>
          </w:tcPr>
          <w:p>
            <w:pPr>
              <w:pStyle w:val="Compact"/>
              <w:spacing w:before="0" w:after="0" w:lineRule="exact" w:line="220"/>
              <w:jc w:val="left"/>
            </w:pPr>
            <w:r>
              <w:rPr>
                <w:sz w:val="18"/>
              </w:rPr>
              <w:t xml:space="preserve">Take rates moved about three times as much in Indonesia and the region as abroad, so H1 is rejected</w:t>
            </w:r>
          </w:p>
        </w:tc>
        <w:tc>
          <w:tcPr>
            <w:tcW w:w="2666" w:type="dxa"/>
          </w:tcPr>
          <w:p>
            <w:pPr>
              <w:pStyle w:val="Compact"/>
              <w:spacing w:before="0" w:after="0" w:lineRule="exact" w:line="220"/>
              <w:jc w:val="left"/>
            </w:pPr>
            <w:r>
              <w:rPr>
                <w:sz w:val="18"/>
              </w:rPr>
              <w:t xml:space="preserve">Exploratory; the narrower test, set before the wider one, points the same way</w:t>
            </w:r>
          </w:p>
        </w:tc>
        <w:tc>
          <w:tcPr>
            <w:tcW w:w="2666" w:type="dxa"/>
          </w:tcPr>
          <w:p>
            <w:pPr>
              <w:pStyle w:val="Compact"/>
              <w:spacing w:before="0" w:after="0" w:lineRule="exact" w:line="220"/>
              <w:jc w:val="left"/>
            </w:pPr>
            <w:r>
              <w:rPr>
                <w:sz w:val="18"/>
              </w:rPr>
              <w:t xml:space="preserve">Each platform dropped in turn, and two at a time; exact tests; Ozon and Zalando dropped; change measured in points; quarterly pairs do not reject</w:t>
            </w:r>
          </w:p>
        </w:tc>
        <w:tc>
          <w:tcPr>
            <w:tcW w:w="845" w:type="dxa"/>
          </w:tcPr>
          <w:p>
            <w:pPr>
              <w:pStyle w:val="Compact"/>
              <w:spacing w:before="0" w:after="0" w:lineRule="exact" w:line="220"/>
              <w:jc w:val="left"/>
            </w:pPr>
            <w:r>
              <w:rPr>
                <w:sz w:val="18"/>
              </w:rPr>
              <w:t xml:space="preserve">5.2</w:t>
            </w:r>
          </w:p>
        </w:tc>
      </w:tr>
      <w:tr>
        <w:trPr>
          <w:cantSplit/>
        </w:trPr>
        <w:tc>
          <w:tcPr>
            <w:tcW w:w="2325" w:type="dxa"/>
          </w:tcPr>
          <w:p>
            <w:pPr>
              <w:pStyle w:val="Compact"/>
              <w:spacing w:before="0" w:after="0" w:lineRule="exact" w:line="220"/>
              <w:jc w:val="left"/>
            </w:pPr>
            <w:r>
              <w:rPr>
                <w:sz w:val="18"/>
              </w:rPr>
              <w:t xml:space="preserve">The thin take rate of Indonesian and regional platforms explains much of that difference</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Changes in percentage points compared across groups</w:t>
            </w:r>
          </w:p>
        </w:tc>
        <w:tc>
          <w:tcPr>
            <w:tcW w:w="845" w:type="dxa"/>
          </w:tcPr>
          <w:p>
            <w:pPr>
              <w:pStyle w:val="Compact"/>
              <w:spacing w:before="0" w:after="0" w:lineRule="exact" w:line="220"/>
              <w:jc w:val="left"/>
            </w:pPr>
            <w:r>
              <w:rPr>
                <w:sz w:val="18"/>
              </w:rPr>
              <w:t xml:space="preserve">5.2</w:t>
            </w:r>
          </w:p>
        </w:tc>
      </w:tr>
      <w:tr>
        <w:trPr>
          <w:cantSplit/>
        </w:trPr>
        <w:tc>
          <w:tcPr>
            <w:tcW w:w="2325" w:type="dxa"/>
          </w:tcPr>
          <w:p>
            <w:pPr>
              <w:pStyle w:val="Compact"/>
              <w:spacing w:before="0" w:after="0" w:lineRule="exact" w:line="220"/>
              <w:jc w:val="left"/>
            </w:pPr>
            <w:r>
              <w:rPr>
                <w:sz w:val="18"/>
              </w:rPr>
              <w:t xml:space="preserve">Pricing, not more commerce, moved revenue</w:t>
            </w:r>
          </w:p>
        </w:tc>
        <w:tc>
          <w:tcPr>
            <w:tcW w:w="2666" w:type="dxa"/>
          </w:tcPr>
          <w:p>
            <w:pPr>
              <w:pStyle w:val="Compact"/>
              <w:spacing w:before="0" w:after="0" w:lineRule="exact" w:line="220"/>
              <w:jc w:val="left"/>
            </w:pPr>
            <w:r>
              <w:rPr>
                <w:sz w:val="18"/>
              </w:rPr>
              <w:t xml:space="preserve">Descriptive</w:t>
            </w:r>
          </w:p>
        </w:tc>
        <w:tc>
          <w:tcPr>
            <w:tcW w:w="2666" w:type="dxa"/>
          </w:tcPr>
          <w:p>
            <w:pPr>
              <w:pStyle w:val="Compact"/>
              <w:spacing w:before="0" w:after="0" w:lineRule="exact" w:line="220"/>
              <w:jc w:val="left"/>
            </w:pPr>
            <w:r>
              <w:rPr>
                <w:sz w:val="18"/>
              </w:rPr>
              <w:t xml:space="preserve">All 15 pairs against 158 abroad; seven traced windows; two views of Tokopedia</w:t>
            </w:r>
          </w:p>
        </w:tc>
        <w:tc>
          <w:tcPr>
            <w:tcW w:w="845" w:type="dxa"/>
          </w:tcPr>
          <w:p>
            <w:pPr>
              <w:pStyle w:val="Compact"/>
              <w:spacing w:before="0" w:after="0" w:lineRule="exact" w:line="220"/>
              <w:jc w:val="left"/>
            </w:pPr>
            <w:r>
              <w:rPr>
                <w:sz w:val="18"/>
              </w:rPr>
              <w:t xml:space="preserve">5.3</w:t>
            </w:r>
          </w:p>
        </w:tc>
      </w:tr>
      <w:tr>
        <w:trPr>
          <w:cantSplit/>
        </w:trPr>
        <w:tc>
          <w:tcPr>
            <w:tcW w:w="2325" w:type="dxa"/>
          </w:tcPr>
          <w:p>
            <w:pPr>
              <w:pStyle w:val="Compact"/>
              <w:spacing w:before="0" w:after="0" w:lineRule="exact" w:line="220"/>
              <w:jc w:val="left"/>
            </w:pPr>
            <w:r>
              <w:rPr>
                <w:sz w:val="18"/>
              </w:rPr>
              <w:t xml:space="preserve">Market value moves with transaction value</w:t>
            </w:r>
          </w:p>
        </w:tc>
        <w:tc>
          <w:tcPr>
            <w:tcW w:w="2666" w:type="dxa"/>
          </w:tcPr>
          <w:p>
            <w:pPr>
              <w:pStyle w:val="Compact"/>
              <w:spacing w:before="0" w:after="0" w:lineRule="exact" w:line="220"/>
              <w:jc w:val="left"/>
            </w:pPr>
            <w:r>
              <w:rPr>
                <w:sz w:val="18"/>
              </w:rPr>
              <w:t xml:space="preserve">Registered; holds</w:t>
            </w:r>
          </w:p>
        </w:tc>
        <w:tc>
          <w:tcPr>
            <w:tcW w:w="2666" w:type="dxa"/>
          </w:tcPr>
          <w:p>
            <w:pPr>
              <w:pStyle w:val="Compact"/>
              <w:spacing w:before="0" w:after="0" w:lineRule="exact" w:line="220"/>
              <w:jc w:val="left"/>
            </w:pPr>
            <w:r>
              <w:rPr>
                <w:sz w:val="18"/>
              </w:rPr>
              <w:t xml:space="preserve">Extreme values capped (winsorised); a second run</w:t>
            </w:r>
          </w:p>
        </w:tc>
        <w:tc>
          <w:tcPr>
            <w:tcW w:w="845" w:type="dxa"/>
          </w:tcPr>
          <w:p>
            <w:pPr>
              <w:pStyle w:val="Compact"/>
              <w:spacing w:before="0" w:after="0" w:lineRule="exact" w:line="220"/>
              <w:jc w:val="left"/>
            </w:pPr>
            <w:r>
              <w:rPr>
                <w:sz w:val="18"/>
              </w:rPr>
              <w:t xml:space="preserve">5.4</w:t>
            </w:r>
          </w:p>
        </w:tc>
      </w:tr>
      <w:tr>
        <w:trPr>
          <w:cantSplit/>
        </w:trPr>
        <w:tc>
          <w:tcPr>
            <w:tcW w:w="2325" w:type="dxa"/>
          </w:tcPr>
          <w:p>
            <w:pPr>
              <w:pStyle w:val="Compact"/>
              <w:spacing w:before="0" w:after="0" w:lineRule="exact" w:line="220"/>
              <w:jc w:val="left"/>
            </w:pPr>
            <w:r>
              <w:rPr>
                <w:sz w:val="18"/>
              </w:rPr>
              <w:t xml:space="preserve">Markets value growth from a higher take rate less</w:t>
            </w:r>
          </w:p>
        </w:tc>
        <w:tc>
          <w:tcPr>
            <w:tcW w:w="2666" w:type="dxa"/>
          </w:tcPr>
          <w:p>
            <w:pPr>
              <w:pStyle w:val="Compact"/>
              <w:spacing w:before="0" w:after="0" w:lineRule="exact" w:line="220"/>
              <w:jc w:val="left"/>
            </w:pPr>
            <w:r>
              <w:rPr>
                <w:sz w:val="18"/>
              </w:rPr>
              <w:t xml:space="preserve">Registered; does not hold in the main sample</w:t>
            </w:r>
          </w:p>
        </w:tc>
        <w:tc>
          <w:tcPr>
            <w:tcW w:w="2666" w:type="dxa"/>
          </w:tcPr>
          <w:p>
            <w:pPr>
              <w:pStyle w:val="Compact"/>
              <w:spacing w:before="0" w:after="0" w:lineRule="exact" w:line="220"/>
              <w:jc w:val="left"/>
            </w:pPr>
            <w:r>
              <w:rPr>
                <w:sz w:val="18"/>
              </w:rPr>
              <w:t xml:space="preserve">Holds only in a second run that mixes segment figures</w:t>
            </w:r>
          </w:p>
        </w:tc>
        <w:tc>
          <w:tcPr>
            <w:tcW w:w="845" w:type="dxa"/>
          </w:tcPr>
          <w:p>
            <w:pPr>
              <w:pStyle w:val="Compact"/>
              <w:spacing w:before="0" w:after="0" w:lineRule="exact" w:line="220"/>
              <w:jc w:val="left"/>
            </w:pPr>
            <w:r>
              <w:rPr>
                <w:sz w:val="18"/>
              </w:rPr>
              <w:t xml:space="preserve">5.4</w:t>
            </w:r>
          </w:p>
        </w:tc>
      </w:tr>
      <w:tr>
        <w:trPr>
          <w:cantSplit/>
        </w:trPr>
        <w:tc>
          <w:tcPr>
            <w:tcW w:w="2325" w:type="dxa"/>
          </w:tcPr>
          <w:p>
            <w:pPr>
              <w:pStyle w:val="Compact"/>
              <w:spacing w:before="0" w:after="0" w:lineRule="exact" w:line="220"/>
              <w:jc w:val="left"/>
            </w:pPr>
            <w:r>
              <w:rPr>
                <w:iCs/>
                <w:i/>
                <w:sz w:val="18"/>
              </w:rPr>
              <w:t xml:space="preserve">Outer link: platform commerce and all online commerce</w:t>
            </w:r>
          </w:p>
        </w:tc>
        <w:tc>
          <w:tcPr>
            <w:tcW w:w="2666" w:type="dxa"/>
          </w:tcPr>
          <w:p>
            <w:pPr>
              <w:pStyle w:val="Compact"/>
              <w:spacing w:before="0" w:after="0" w:lineRule="exact" w:line="220"/>
              <w:jc w:val="left"/>
            </w:pPr>
          </w:p>
        </w:tc>
        <w:tc>
          <w:tcPr>
            <w:tcW w:w="2666" w:type="dxa"/>
          </w:tcPr>
          <w:p>
            <w:pPr>
              <w:pStyle w:val="Compact"/>
              <w:spacing w:before="0" w:after="0" w:lineRule="exact" w:line="220"/>
              <w:jc w:val="left"/>
            </w:pPr>
          </w:p>
        </w:tc>
        <w:tc>
          <w:tcPr>
            <w:tcW w:w="845" w:type="dxa"/>
          </w:tcPr>
          <w:p>
            <w:pPr>
              <w:pStyle w:val="Compact"/>
              <w:spacing w:before="0" w:after="0" w:lineRule="exact" w:line="220"/>
              <w:jc w:val="left"/>
            </w:pPr>
          </w:p>
        </w:tc>
      </w:tr>
      <w:tr>
        <w:trPr>
          <w:cantSplit/>
        </w:trPr>
        <w:tc>
          <w:tcPr>
            <w:tcW w:w="2325" w:type="dxa"/>
          </w:tcPr>
          <w:p>
            <w:pPr>
              <w:pStyle w:val="Compact"/>
              <w:spacing w:before="0" w:after="0" w:lineRule="exact" w:line="220"/>
              <w:jc w:val="left"/>
            </w:pPr>
            <w:r>
              <w:rPr>
                <w:sz w:val="18"/>
              </w:rPr>
              <w:t xml:space="preserve">Buying through platforms, and sellers’ own sales, did not boom in 2023</w:t>
            </w:r>
          </w:p>
        </w:tc>
        <w:tc>
          <w:tcPr>
            <w:tcW w:w="2666" w:type="dxa"/>
          </w:tcPr>
          <w:p>
            <w:pPr>
              <w:pStyle w:val="Compact"/>
              <w:spacing w:before="0" w:after="0" w:lineRule="exact" w:line="220"/>
              <w:jc w:val="left"/>
            </w:pPr>
            <w:r>
              <w:rPr>
                <w:sz w:val="18"/>
              </w:rPr>
              <w:t xml:space="preserve">Descriptive; registered for sellers’ sales, holds</w:t>
            </w:r>
          </w:p>
        </w:tc>
        <w:tc>
          <w:tcPr>
            <w:tcW w:w="2666" w:type="dxa"/>
          </w:tcPr>
          <w:p>
            <w:pPr>
              <w:pStyle w:val="Compact"/>
              <w:spacing w:before="0" w:after="0" w:lineRule="exact" w:line="220"/>
              <w:jc w:val="left"/>
            </w:pPr>
            <w:r>
              <w:rPr>
                <w:sz w:val="18"/>
              </w:rPr>
              <w:t xml:space="preserve">Six platform measures against household spending</w:t>
            </w:r>
          </w:p>
        </w:tc>
        <w:tc>
          <w:tcPr>
            <w:tcW w:w="845" w:type="dxa"/>
          </w:tcPr>
          <w:p>
            <w:pPr>
              <w:pStyle w:val="Compact"/>
              <w:spacing w:before="0" w:after="0" w:lineRule="exact" w:line="220"/>
              <w:jc w:val="left"/>
            </w:pPr>
            <w:r>
              <w:rPr>
                <w:sz w:val="18"/>
              </w:rPr>
              <w:t xml:space="preserve">5.5</w:t>
            </w:r>
          </w:p>
        </w:tc>
      </w:tr>
      <w:tr>
        <w:trPr>
          <w:cantSplit/>
        </w:trPr>
        <w:tc>
          <w:tcPr>
            <w:tcW w:w="2325" w:type="dxa"/>
          </w:tcPr>
          <w:p>
            <w:pPr>
              <w:pStyle w:val="Compact"/>
              <w:spacing w:before="0" w:after="0" w:lineRule="exact" w:line="220"/>
              <w:jc w:val="left"/>
            </w:pPr>
            <w:r>
              <w:rPr>
                <w:sz w:val="18"/>
              </w:rPr>
              <w:t xml:space="preserve">More businesses account for most national growth, so H2 holds</w:t>
            </w:r>
          </w:p>
        </w:tc>
        <w:tc>
          <w:tcPr>
            <w:tcW w:w="2666" w:type="dxa"/>
          </w:tcPr>
          <w:p>
            <w:pPr>
              <w:pStyle w:val="Compact"/>
              <w:spacing w:before="0" w:after="0" w:lineRule="exact" w:line="220"/>
              <w:jc w:val="left"/>
            </w:pPr>
            <w:r>
              <w:rPr>
                <w:sz w:val="18"/>
              </w:rPr>
              <w:t xml:space="preserve">Descriptive</w:t>
            </w:r>
          </w:p>
        </w:tc>
        <w:tc>
          <w:tcPr>
            <w:tcW w:w="2666" w:type="dxa"/>
          </w:tcPr>
          <w:p>
            <w:pPr>
              <w:pStyle w:val="Compact"/>
              <w:spacing w:before="0" w:after="0" w:lineRule="exact" w:line="220"/>
              <w:jc w:val="left"/>
            </w:pPr>
            <w:r>
              <w:rPr>
                <w:sz w:val="18"/>
              </w:rPr>
              <w:t xml:space="preserve">Both BPS counts for 2023; two periods</w:t>
            </w:r>
          </w:p>
        </w:tc>
        <w:tc>
          <w:tcPr>
            <w:tcW w:w="845" w:type="dxa"/>
          </w:tcPr>
          <w:p>
            <w:pPr>
              <w:pStyle w:val="Compact"/>
              <w:spacing w:before="0" w:after="0" w:lineRule="exact" w:line="220"/>
              <w:jc w:val="left"/>
            </w:pPr>
            <w:r>
              <w:rPr>
                <w:sz w:val="18"/>
              </w:rPr>
              <w:t xml:space="preserve">5.6</w:t>
            </w:r>
          </w:p>
        </w:tc>
      </w:tr>
      <w:tr>
        <w:trPr>
          <w:cantSplit/>
        </w:trPr>
        <w:tc>
          <w:tcPr>
            <w:tcW w:w="2325" w:type="dxa"/>
          </w:tcPr>
          <w:p>
            <w:pPr>
              <w:pStyle w:val="Compact"/>
              <w:spacing w:before="0" w:after="0" w:lineRule="exact" w:line="220"/>
              <w:jc w:val="left"/>
            </w:pPr>
            <w:r>
              <w:rPr>
                <w:sz w:val="18"/>
              </w:rPr>
              <w:t xml:space="preserve">Too few 2023 sellers were new to produce the rise in the count (13.45 against 21.5 percent)</w:t>
            </w:r>
          </w:p>
        </w:tc>
        <w:tc>
          <w:tcPr>
            <w:tcW w:w="2666" w:type="dxa"/>
          </w:tcPr>
          <w:p>
            <w:pPr>
              <w:pStyle w:val="Compact"/>
              <w:spacing w:before="0" w:after="0" w:lineRule="exact" w:line="220"/>
              <w:jc w:val="left"/>
            </w:pPr>
            <w:r>
              <w:rPr>
                <w:sz w:val="18"/>
              </w:rPr>
              <w:t xml:space="preserve">Registered; the entry test fails</w:t>
            </w:r>
          </w:p>
        </w:tc>
        <w:tc>
          <w:tcPr>
            <w:tcW w:w="2666" w:type="dxa"/>
          </w:tcPr>
          <w:p>
            <w:pPr>
              <w:pStyle w:val="Compact"/>
              <w:spacing w:before="0" w:after="0" w:lineRule="exact" w:line="220"/>
              <w:jc w:val="left"/>
            </w:pPr>
            <w:r>
              <w:rPr>
                <w:sz w:val="18"/>
              </w:rPr>
              <w:t xml:space="preserve">Recall error would favour passing</w:t>
            </w:r>
          </w:p>
        </w:tc>
        <w:tc>
          <w:tcPr>
            <w:tcW w:w="845" w:type="dxa"/>
          </w:tcPr>
          <w:p>
            <w:pPr>
              <w:pStyle w:val="Compact"/>
              <w:spacing w:before="0" w:after="0" w:lineRule="exact" w:line="220"/>
              <w:jc w:val="left"/>
            </w:pPr>
            <w:r>
              <w:rPr>
                <w:sz w:val="18"/>
              </w:rPr>
              <w:t xml:space="preserve">5.6</w:t>
            </w:r>
          </w:p>
        </w:tc>
      </w:tr>
      <w:tr>
        <w:trPr>
          <w:cantSplit/>
        </w:trPr>
        <w:tc>
          <w:tcPr>
            <w:tcW w:w="2325" w:type="dxa"/>
          </w:tcPr>
          <w:p>
            <w:pPr>
              <w:pStyle w:val="Compact"/>
              <w:spacing w:before="0" w:after="0" w:lineRule="exact" w:line="220"/>
              <w:jc w:val="left"/>
            </w:pPr>
            <w:r>
              <w:rPr>
                <w:sz w:val="18"/>
              </w:rPr>
              <w:t xml:space="preserve">About half of the rise is not explained by first-time entry</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With and without exits; cohorts; provinces; sampling error</w:t>
            </w:r>
          </w:p>
        </w:tc>
        <w:tc>
          <w:tcPr>
            <w:tcW w:w="845" w:type="dxa"/>
          </w:tcPr>
          <w:p>
            <w:pPr>
              <w:pStyle w:val="Compact"/>
              <w:spacing w:before="0" w:after="0" w:lineRule="exact" w:line="220"/>
              <w:jc w:val="left"/>
            </w:pPr>
            <w:r>
              <w:rPr>
                <w:sz w:val="18"/>
              </w:rPr>
              <w:t xml:space="preserve">5.7</w:t>
            </w:r>
          </w:p>
        </w:tc>
      </w:tr>
      <w:tr>
        <w:trPr>
          <w:cantSplit/>
        </w:trPr>
        <w:tc>
          <w:tcPr>
            <w:tcW w:w="2325" w:type="dxa"/>
          </w:tcPr>
          <w:p>
            <w:pPr>
              <w:pStyle w:val="Compact"/>
              <w:spacing w:before="0" w:after="0" w:lineRule="exact" w:line="220"/>
              <w:jc w:val="left"/>
            </w:pPr>
            <w:r>
              <w:rPr>
                <w:sz w:val="18"/>
              </w:rPr>
              <w:t xml:space="preserve">Read as wider coverage, the extra count leaves H2 near its threshold (about 42 to 54 percent)</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Count and sales removed together; two exit rates</w:t>
            </w:r>
          </w:p>
        </w:tc>
        <w:tc>
          <w:tcPr>
            <w:tcW w:w="845" w:type="dxa"/>
          </w:tcPr>
          <w:p>
            <w:pPr>
              <w:pStyle w:val="Compact"/>
              <w:spacing w:before="0" w:after="0" w:lineRule="exact" w:line="220"/>
              <w:jc w:val="left"/>
            </w:pPr>
            <w:r>
              <w:rPr>
                <w:sz w:val="18"/>
              </w:rPr>
              <w:t xml:space="preserve">5.7</w:t>
            </w:r>
          </w:p>
        </w:tc>
      </w:tr>
      <w:tr>
        <w:trPr>
          <w:cantSplit/>
        </w:trPr>
        <w:tc>
          <w:tcPr>
            <w:tcW w:w="2325" w:type="dxa"/>
          </w:tcPr>
          <w:p>
            <w:pPr>
              <w:pStyle w:val="Compact"/>
              <w:spacing w:before="0" w:after="0" w:lineRule="exact" w:line="220"/>
              <w:jc w:val="left"/>
            </w:pPr>
            <w:r>
              <w:rPr>
                <w:sz w:val="18"/>
              </w:rPr>
              <w:t xml:space="preserve">The extra count leaned toward long-running businesses; returning sellers cannot be ruled out</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Part-year selling</w:t>
            </w:r>
          </w:p>
        </w:tc>
        <w:tc>
          <w:tcPr>
            <w:tcW w:w="845" w:type="dxa"/>
          </w:tcPr>
          <w:p>
            <w:pPr>
              <w:pStyle w:val="Compact"/>
              <w:spacing w:before="0" w:after="0" w:lineRule="exact" w:line="220"/>
              <w:jc w:val="left"/>
            </w:pPr>
            <w:r>
              <w:rPr>
                <w:sz w:val="18"/>
              </w:rPr>
              <w:t xml:space="preserve">5.8</w:t>
            </w:r>
          </w:p>
        </w:tc>
      </w:tr>
      <w:tr>
        <w:trPr>
          <w:cantSplit/>
        </w:trPr>
        <w:tc>
          <w:tcPr>
            <w:tcW w:w="2325" w:type="dxa"/>
          </w:tcPr>
          <w:p>
            <w:pPr>
              <w:pStyle w:val="Compact"/>
              <w:spacing w:before="0" w:after="0" w:lineRule="exact" w:line="220"/>
              <w:jc w:val="left"/>
            </w:pPr>
            <w:r>
              <w:rPr>
                <w:sz w:val="18"/>
              </w:rPr>
              <w:t xml:space="preserve">Most online selling happens outside marketplaces, and records are thinner there</w:t>
            </w:r>
          </w:p>
        </w:tc>
        <w:tc>
          <w:tcPr>
            <w:tcW w:w="2666" w:type="dxa"/>
          </w:tcPr>
          <w:p>
            <w:pPr>
              <w:pStyle w:val="Compact"/>
              <w:spacing w:before="0" w:after="0" w:lineRule="exact" w:line="220"/>
              <w:jc w:val="left"/>
            </w:pPr>
            <w:r>
              <w:rPr>
                <w:sz w:val="18"/>
              </w:rPr>
              <w:t xml:space="preserve">Registered and descriptive</w:t>
            </w:r>
          </w:p>
        </w:tc>
        <w:tc>
          <w:tcPr>
            <w:tcW w:w="2666" w:type="dxa"/>
          </w:tcPr>
          <w:p>
            <w:pPr>
              <w:pStyle w:val="Compact"/>
              <w:spacing w:before="0" w:after="0" w:lineRule="exact" w:line="220"/>
              <w:jc w:val="left"/>
            </w:pPr>
            <w:r>
              <w:rPr>
                <w:sz w:val="18"/>
              </w:rPr>
              <w:t xml:space="preserve">Four survey years; World Bank surveys</w:t>
            </w:r>
          </w:p>
        </w:tc>
        <w:tc>
          <w:tcPr>
            <w:tcW w:w="845" w:type="dxa"/>
          </w:tcPr>
          <w:p>
            <w:pPr>
              <w:pStyle w:val="Compact"/>
              <w:spacing w:before="0" w:after="0" w:lineRule="exact" w:line="220"/>
              <w:jc w:val="left"/>
            </w:pPr>
            <w:r>
              <w:rPr>
                <w:sz w:val="18"/>
              </w:rPr>
              <w:t xml:space="preserve">5.9</w:t>
            </w:r>
          </w:p>
        </w:tc>
      </w:tr>
      <w:tr>
        <w:trPr>
          <w:cantSplit/>
        </w:trPr>
        <w:tc>
          <w:tcPr>
            <w:tcW w:w="2325" w:type="dxa"/>
          </w:tcPr>
          <w:p>
            <w:pPr>
              <w:pStyle w:val="Compact"/>
              <w:spacing w:before="0" w:after="0" w:lineRule="exact" w:line="220"/>
              <w:jc w:val="left"/>
            </w:pPr>
            <w:r>
              <w:rPr>
                <w:sz w:val="18"/>
              </w:rPr>
              <w:t xml:space="preserve">National figures agree only where they cover the same sellers</w:t>
            </w:r>
          </w:p>
        </w:tc>
        <w:tc>
          <w:tcPr>
            <w:tcW w:w="2666" w:type="dxa"/>
          </w:tcPr>
          <w:p>
            <w:pPr>
              <w:pStyle w:val="Compact"/>
              <w:spacing w:before="0" w:after="0" w:lineRule="exact" w:line="220"/>
              <w:jc w:val="left"/>
            </w:pPr>
            <w:r>
              <w:rPr>
                <w:sz w:val="18"/>
              </w:rPr>
              <w:t xml:space="preserve">Registered, with a mixed outcome, and descriptive</w:t>
            </w:r>
          </w:p>
        </w:tc>
        <w:tc>
          <w:tcPr>
            <w:tcW w:w="2666" w:type="dxa"/>
          </w:tcPr>
          <w:p>
            <w:pPr>
              <w:pStyle w:val="Compact"/>
              <w:spacing w:before="0" w:after="0" w:lineRule="exact" w:line="220"/>
              <w:jc w:val="left"/>
            </w:pPr>
            <w:r>
              <w:rPr>
                <w:sz w:val="18"/>
              </w:rPr>
              <w:t xml:space="preserve">Three value scenarios</w:t>
            </w:r>
          </w:p>
        </w:tc>
        <w:tc>
          <w:tcPr>
            <w:tcW w:w="845" w:type="dxa"/>
          </w:tcPr>
          <w:p>
            <w:pPr>
              <w:pStyle w:val="Compact"/>
              <w:spacing w:before="0" w:after="0" w:lineRule="exact" w:line="220"/>
              <w:jc w:val="left"/>
            </w:pPr>
            <w:r>
              <w:rPr>
                <w:sz w:val="18"/>
              </w:rPr>
              <w:t xml:space="preserve">5.10</w:t>
            </w:r>
          </w:p>
        </w:tc>
      </w:tr>
    </w:tbl>
    <w:bookmarkStart w:id="50"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9 shows each platform.</w:t>
      </w:r>
    </w:p>
    <w:p>
      <w:pPr>
        <w:pStyle w:val="TableCaption"/>
      </w:pPr>
      <w:r>
        <w:rPr>
          <w:b/>
        </w:rPr>
        <w:t>Table 9.</w:t>
      </w:r>
      <w:r>
        <w:rPr>
          <w:b w:val="0"/>
        </w:rPr>
        <w:t xml:space="preserve"> The invisible wedge of three platforms, 2023 (US$ billion)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116"/>
        <w:gridCol w:w="1225"/>
        <w:gridCol w:w="845"/>
        <w:gridCol w:w="655"/>
        <w:gridCol w:w="1035"/>
        <w:gridCol w:w="3626"/>
      </w:tblGrid>
      <w:tr>
        <w:trPr>
          <w:tblHeader w:val="true"/>
          <w:cantSplit/>
          <w:tblHeader/>
        </w:trPr>
        <w:tc>
          <w:tcPr>
            <w:tcW w:w="1116" w:type="dxa"/>
            <w:tcBorders>
              <w:bottom w:val="single" w:sz="5" w:space="0" w:color="000000"/>
            </w:tcBorders>
          </w:tcPr>
          <w:p>
            <w:pPr>
              <w:pStyle w:val="Compact"/>
              <w:spacing w:before="0" w:after="0" w:lineRule="exact" w:line="220"/>
              <w:jc w:val="left"/>
            </w:pPr>
            <w:r>
              <w:rPr>
                <w:b/>
                <w:sz w:val="18"/>
              </w:rPr>
              <w:t xml:space="preserve">Platform</w:t>
            </w:r>
          </w:p>
        </w:tc>
        <w:tc>
          <w:tcPr>
            <w:tcW w:w="1225" w:type="dxa"/>
            <w:tcBorders>
              <w:bottom w:val="single" w:sz="5" w:space="0" w:color="000000"/>
            </w:tcBorders>
          </w:tcPr>
          <w:p>
            <w:pPr>
              <w:pStyle w:val="Compact"/>
              <w:spacing w:before="0" w:after="0" w:lineRule="exact" w:line="220"/>
              <w:jc w:val="left"/>
            </w:pPr>
            <w:r>
              <w:rPr>
                <w:b/>
                <w:sz w:val="18"/>
              </w:rPr>
              <w:t xml:space="preserve">Transaction value</w:t>
            </w:r>
          </w:p>
        </w:tc>
        <w:tc>
          <w:tcPr>
            <w:tcW w:w="845" w:type="dxa"/>
            <w:tcBorders>
              <w:bottom w:val="single" w:sz="5" w:space="0" w:color="000000"/>
            </w:tcBorders>
          </w:tcPr>
          <w:p>
            <w:pPr>
              <w:pStyle w:val="Compact"/>
              <w:spacing w:before="0" w:after="0" w:lineRule="exact" w:line="220"/>
              <w:jc w:val="left"/>
            </w:pPr>
            <w:r>
              <w:rPr>
                <w:b/>
                <w:sz w:val="18"/>
              </w:rPr>
              <w:t xml:space="preserve">Revenue</w:t>
            </w:r>
          </w:p>
        </w:tc>
        <w:tc>
          <w:tcPr>
            <w:tcW w:w="655" w:type="dxa"/>
            <w:tcBorders>
              <w:bottom w:val="single" w:sz="5" w:space="0" w:color="000000"/>
            </w:tcBorders>
          </w:tcPr>
          <w:p>
            <w:pPr>
              <w:pStyle w:val="Compact"/>
              <w:spacing w:before="0" w:after="0" w:lineRule="exact" w:line="220"/>
              <w:jc w:val="left"/>
            </w:pPr>
            <w:r>
              <w:rPr>
                <w:b/>
                <w:sz w:val="18"/>
              </w:rPr>
              <w:t xml:space="preserve">Wedge</w:t>
            </w:r>
          </w:p>
        </w:tc>
        <w:tc>
          <w:tcPr>
            <w:tcW w:w="1035" w:type="dxa"/>
            <w:tcBorders>
              <w:bottom w:val="single" w:sz="5" w:space="0" w:color="000000"/>
            </w:tcBorders>
          </w:tcPr>
          <w:p>
            <w:pPr>
              <w:pStyle w:val="Compact"/>
              <w:spacing w:before="0" w:after="0" w:lineRule="exact" w:line="220"/>
              <w:jc w:val="left"/>
            </w:pPr>
            <w:r>
              <w:rPr>
                <w:b/>
                <w:sz w:val="18"/>
              </w:rPr>
              <w:t xml:space="preserve">Ecosystem ratio</w:t>
            </w:r>
          </w:p>
        </w:tc>
        <w:tc>
          <w:tcPr>
            <w:tcW w:w="3626" w:type="dxa"/>
            <w:tcBorders>
              <w:bottom w:val="single" w:sz="5" w:space="0" w:color="000000"/>
            </w:tcBorders>
          </w:tcPr>
          <w:p>
            <w:pPr>
              <w:pStyle w:val="Compact"/>
              <w:spacing w:before="0" w:after="0" w:lineRule="exact" w:line="220"/>
              <w:jc w:val="left"/>
            </w:pPr>
            <w:r>
              <w:rPr>
                <w:b/>
                <w:sz w:val="18"/>
              </w:rPr>
              <w:t xml:space="preserve">How it is labelled</w:t>
            </w:r>
          </w:p>
        </w:tc>
      </w:tr>
      <w:tr>
        <w:trPr>
          <w:cantSplit/>
        </w:trPr>
        <w:tc>
          <w:tcPr>
            <w:tcW w:w="1116" w:type="dxa"/>
          </w:tcPr>
          <w:p>
            <w:pPr>
              <w:pStyle w:val="Compact"/>
              <w:spacing w:before="0" w:after="0" w:lineRule="exact" w:line="220"/>
              <w:jc w:val="left"/>
            </w:pPr>
            <w:r>
              <w:rPr>
                <w:sz w:val="18"/>
              </w:rPr>
              <w:t xml:space="preserve">Tokopedia</w:t>
            </w:r>
          </w:p>
        </w:tc>
        <w:tc>
          <w:tcPr>
            <w:tcW w:w="1225" w:type="dxa"/>
          </w:tcPr>
          <w:p>
            <w:pPr>
              <w:pStyle w:val="Compact"/>
              <w:spacing w:before="0" w:after="0" w:lineRule="exact" w:line="220"/>
              <w:jc w:val="left"/>
            </w:pPr>
            <w:r>
              <w:rPr>
                <w:sz w:val="18"/>
              </w:rPr>
              <w:t xml:space="preserve">16.33</w:t>
            </w:r>
          </w:p>
        </w:tc>
        <w:tc>
          <w:tcPr>
            <w:tcW w:w="845" w:type="dxa"/>
          </w:tcPr>
          <w:p>
            <w:pPr>
              <w:pStyle w:val="Compact"/>
              <w:spacing w:before="0" w:after="0" w:lineRule="exact" w:line="220"/>
              <w:jc w:val="left"/>
            </w:pPr>
            <w:r>
              <w:rPr>
                <w:sz w:val="18"/>
              </w:rPr>
              <w:t xml:space="preserve">0.41</w:t>
            </w:r>
          </w:p>
        </w:tc>
        <w:tc>
          <w:tcPr>
            <w:tcW w:w="655" w:type="dxa"/>
          </w:tcPr>
          <w:p>
            <w:pPr>
              <w:pStyle w:val="Compact"/>
              <w:spacing w:before="0" w:after="0" w:lineRule="exact" w:line="220"/>
              <w:jc w:val="left"/>
            </w:pPr>
            <w:r>
              <w:rPr>
                <w:sz w:val="18"/>
              </w:rPr>
              <w:t xml:space="preserve">15.93</w:t>
            </w:r>
          </w:p>
        </w:tc>
        <w:tc>
          <w:tcPr>
            <w:tcW w:w="1035" w:type="dxa"/>
          </w:tcPr>
          <w:p>
            <w:pPr>
              <w:pStyle w:val="Compact"/>
              <w:spacing w:before="0" w:after="0" w:lineRule="exact" w:line="220"/>
              <w:jc w:val="left"/>
            </w:pPr>
            <w:r>
              <w:rPr>
                <w:sz w:val="18"/>
              </w:rPr>
              <w:t xml:space="preserve">39.3</w:t>
            </w:r>
          </w:p>
        </w:tc>
        <w:tc>
          <w:tcPr>
            <w:tcW w:w="3626" w:type="dxa"/>
          </w:tcPr>
          <w:p>
            <w:pPr>
              <w:pStyle w:val="Compact"/>
              <w:spacing w:before="0" w:after="0" w:lineRule="exact" w:line="220"/>
              <w:jc w:val="left"/>
            </w:pPr>
            <w:r>
              <w:rPr>
                <w:sz w:val="18"/>
              </w:rPr>
              <w:t xml:space="preserve">Both direct segment disclosure</w:t>
            </w:r>
          </w:p>
        </w:tc>
      </w:tr>
      <w:tr>
        <w:trPr>
          <w:cantSplit/>
        </w:trPr>
        <w:tc>
          <w:tcPr>
            <w:tcW w:w="1116" w:type="dxa"/>
          </w:tcPr>
          <w:p>
            <w:pPr>
              <w:pStyle w:val="Compact"/>
              <w:spacing w:before="0" w:after="0" w:lineRule="exact" w:line="220"/>
              <w:jc w:val="left"/>
            </w:pPr>
            <w:r>
              <w:rPr>
                <w:sz w:val="18"/>
              </w:rPr>
              <w:t xml:space="preserve">Shopee, Indonesia</w:t>
            </w:r>
          </w:p>
        </w:tc>
        <w:tc>
          <w:tcPr>
            <w:tcW w:w="1225" w:type="dxa"/>
          </w:tcPr>
          <w:p>
            <w:pPr>
              <w:pStyle w:val="Compact"/>
              <w:spacing w:before="0" w:after="0" w:lineRule="exact" w:line="220"/>
              <w:jc w:val="left"/>
            </w:pPr>
            <w:r>
              <w:rPr>
                <w:sz w:val="18"/>
              </w:rPr>
              <w:t xml:space="preserve">21.52</w:t>
            </w:r>
          </w:p>
        </w:tc>
        <w:tc>
          <w:tcPr>
            <w:tcW w:w="845" w:type="dxa"/>
          </w:tcPr>
          <w:p>
            <w:pPr>
              <w:pStyle w:val="Compact"/>
              <w:spacing w:before="0" w:after="0" w:lineRule="exact" w:line="220"/>
              <w:jc w:val="left"/>
            </w:pPr>
            <w:r>
              <w:rPr>
                <w:sz w:val="18"/>
              </w:rPr>
              <w:t xml:space="preserve">2.15</w:t>
            </w:r>
          </w:p>
        </w:tc>
        <w:tc>
          <w:tcPr>
            <w:tcW w:w="655" w:type="dxa"/>
          </w:tcPr>
          <w:p>
            <w:pPr>
              <w:pStyle w:val="Compact"/>
              <w:spacing w:before="0" w:after="0" w:lineRule="exact" w:line="220"/>
              <w:jc w:val="left"/>
            </w:pPr>
            <w:r>
              <w:rPr>
                <w:sz w:val="18"/>
              </w:rPr>
              <w:t xml:space="preserve">19.37</w:t>
            </w:r>
          </w:p>
        </w:tc>
        <w:tc>
          <w:tcPr>
            <w:tcW w:w="1035" w:type="dxa"/>
          </w:tcPr>
          <w:p>
            <w:pPr>
              <w:pStyle w:val="Compact"/>
              <w:spacing w:before="0" w:after="0" w:lineRule="exact" w:line="220"/>
              <w:jc w:val="left"/>
            </w:pPr>
            <w:r>
              <w:rPr>
                <w:sz w:val="18"/>
              </w:rPr>
              <w:t xml:space="preserve">9.0</w:t>
            </w:r>
          </w:p>
        </w:tc>
        <w:tc>
          <w:tcPr>
            <w:tcW w:w="3626" w:type="dxa"/>
          </w:tcPr>
          <w:p>
            <w:pPr>
              <w:pStyle w:val="Compact"/>
              <w:spacing w:before="0" w:after="0" w:lineRule="exact" w:line="220"/>
              <w:jc w:val="left"/>
            </w:pPr>
            <w:r>
              <w:rPr>
                <w:sz w:val="18"/>
              </w:rPr>
              <w:t xml:space="preserve">Transaction value is an outside estimate (Momentum Works); revenue is derived at an assumed take rate of 10 percent</w:t>
            </w:r>
          </w:p>
        </w:tc>
      </w:tr>
      <w:tr>
        <w:trPr>
          <w:cantSplit/>
        </w:trPr>
        <w:tc>
          <w:tcPr>
            <w:tcW w:w="1116" w:type="dxa"/>
          </w:tcPr>
          <w:p>
            <w:pPr>
              <w:pStyle w:val="Compact"/>
              <w:spacing w:before="0" w:after="0" w:lineRule="exact" w:line="220"/>
              <w:jc w:val="left"/>
            </w:pPr>
            <w:r>
              <w:rPr>
                <w:sz w:val="18"/>
              </w:rPr>
              <w:t xml:space="preserve">Grab, Indonesia</w:t>
            </w:r>
          </w:p>
        </w:tc>
        <w:tc>
          <w:tcPr>
            <w:tcW w:w="1225" w:type="dxa"/>
          </w:tcPr>
          <w:p>
            <w:pPr>
              <w:pStyle w:val="Compact"/>
              <w:spacing w:before="0" w:after="0" w:lineRule="exact" w:line="220"/>
              <w:jc w:val="left"/>
            </w:pPr>
            <w:r>
              <w:rPr>
                <w:sz w:val="18"/>
              </w:rPr>
              <w:t xml:space="preserve">5.38</w:t>
            </w:r>
          </w:p>
        </w:tc>
        <w:tc>
          <w:tcPr>
            <w:tcW w:w="845" w:type="dxa"/>
          </w:tcPr>
          <w:p>
            <w:pPr>
              <w:pStyle w:val="Compact"/>
              <w:spacing w:before="0" w:after="0" w:lineRule="exact" w:line="220"/>
              <w:jc w:val="left"/>
            </w:pPr>
            <w:r>
              <w:rPr>
                <w:sz w:val="18"/>
              </w:rPr>
              <w:t xml:space="preserve">0.60</w:t>
            </w:r>
          </w:p>
        </w:tc>
        <w:tc>
          <w:tcPr>
            <w:tcW w:w="655" w:type="dxa"/>
          </w:tcPr>
          <w:p>
            <w:pPr>
              <w:pStyle w:val="Compact"/>
              <w:spacing w:before="0" w:after="0" w:lineRule="exact" w:line="220"/>
              <w:jc w:val="left"/>
            </w:pPr>
            <w:r>
              <w:rPr>
                <w:sz w:val="18"/>
              </w:rPr>
              <w:t xml:space="preserve">4.78</w:t>
            </w:r>
          </w:p>
        </w:tc>
        <w:tc>
          <w:tcPr>
            <w:tcW w:w="1035" w:type="dxa"/>
          </w:tcPr>
          <w:p>
            <w:pPr>
              <w:pStyle w:val="Compact"/>
              <w:spacing w:before="0" w:after="0" w:lineRule="exact" w:line="220"/>
              <w:jc w:val="left"/>
            </w:pPr>
            <w:r>
              <w:rPr>
                <w:sz w:val="18"/>
              </w:rPr>
              <w:t xml:space="preserve">7.9</w:t>
            </w:r>
          </w:p>
        </w:tc>
        <w:tc>
          <w:tcPr>
            <w:tcW w:w="3626" w:type="dxa"/>
          </w:tcPr>
          <w:p>
            <w:pPr>
              <w:pStyle w:val="Compact"/>
              <w:spacing w:before="0" w:after="0" w:lineRule="exact" w:line="220"/>
              <w:jc w:val="left"/>
            </w:pPr>
            <w:r>
              <w:rPr>
                <w:sz w:val="18"/>
              </w:rPr>
              <w:t xml:space="preserve">Revenue is a direct country disclosure; transaction value is derived from Grab’s company-wide ratio</w:t>
            </w:r>
          </w:p>
        </w:tc>
      </w:tr>
      <w:tr>
        <w:trPr>
          <w:cantSplit/>
        </w:trPr>
        <w:tc>
          <w:tcPr>
            <w:tcW w:w="1116" w:type="dxa"/>
          </w:tcPr>
          <w:p>
            <w:pPr>
              <w:pStyle w:val="Compact"/>
              <w:spacing w:before="0" w:after="0" w:lineRule="exact" w:line="220"/>
              <w:jc w:val="left"/>
            </w:pPr>
            <w:r>
              <w:rPr>
                <w:sz w:val="18"/>
              </w:rPr>
              <w:t xml:space="preserve">Total</w:t>
            </w:r>
          </w:p>
        </w:tc>
        <w:tc>
          <w:tcPr>
            <w:tcW w:w="1225" w:type="dxa"/>
          </w:tcPr>
          <w:p>
            <w:pPr>
              <w:pStyle w:val="Compact"/>
              <w:spacing w:before="0" w:after="0" w:lineRule="exact" w:line="220"/>
              <w:jc w:val="left"/>
            </w:pPr>
            <w:r>
              <w:rPr>
                <w:sz w:val="18"/>
              </w:rPr>
              <w:t xml:space="preserve">43.23</w:t>
            </w:r>
          </w:p>
        </w:tc>
        <w:tc>
          <w:tcPr>
            <w:tcW w:w="845" w:type="dxa"/>
          </w:tcPr>
          <w:p>
            <w:pPr>
              <w:pStyle w:val="Compact"/>
              <w:spacing w:before="0" w:after="0" w:lineRule="exact" w:line="220"/>
              <w:jc w:val="left"/>
            </w:pPr>
            <w:r>
              <w:rPr>
                <w:sz w:val="18"/>
              </w:rPr>
              <w:t xml:space="preserve">3.16</w:t>
            </w:r>
          </w:p>
        </w:tc>
        <w:tc>
          <w:tcPr>
            <w:tcW w:w="655" w:type="dxa"/>
          </w:tcPr>
          <w:p>
            <w:pPr>
              <w:pStyle w:val="Compact"/>
              <w:spacing w:before="0" w:after="0" w:lineRule="exact" w:line="220"/>
              <w:jc w:val="left"/>
            </w:pPr>
            <w:r>
              <w:rPr>
                <w:sz w:val="18"/>
              </w:rPr>
              <w:t xml:space="preserve">40.07</w:t>
            </w:r>
          </w:p>
        </w:tc>
        <w:tc>
          <w:tcPr>
            <w:tcW w:w="1035" w:type="dxa"/>
          </w:tcPr>
          <w:p>
            <w:pPr>
              <w:pStyle w:val="Compact"/>
              <w:spacing w:before="0" w:after="0" w:lineRule="exact" w:line="220"/>
              <w:jc w:val="left"/>
            </w:pPr>
            <w:r>
              <w:rPr>
                <w:sz w:val="18"/>
              </w:rPr>
              <w:t xml:space="preserve">12.7</w:t>
            </w:r>
          </w:p>
        </w:tc>
        <w:tc>
          <w:tcPr>
            <w:tcW w:w="3626" w:type="dxa"/>
          </w:tcPr>
          <w:p>
            <w:pPr>
              <w:pStyle w:val="Compact"/>
              <w:spacing w:before="0" w:after="0" w:lineRule="exact" w:line="220"/>
              <w:jc w:val="left"/>
            </w:pPr>
            <w:r>
              <w:rPr>
                <w:sz w:val="18"/>
              </w:rPr>
              <w:t xml:space="preserve">Sum of three platforms, not a national total</w:t>
            </w:r>
          </w:p>
        </w:tc>
      </w:tr>
    </w:tbl>
    <w:p>
      <w:pPr>
        <w:pStyle w:val="TableNote"/>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0"/>
    <w:bookmarkStart w:id="54"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10 gives the test and its checks.</w:t>
      </w:r>
    </w:p>
    <w:p>
      <w:pPr>
        <w:pStyle w:val="TableCaption"/>
      </w:pPr>
      <w:r>
        <w:rPr>
          <w:b/>
        </w:rPr>
        <w:t>Table 10.</w:t>
      </w:r>
      <w:r>
        <w:rPr>
          <w:b w:val="0"/>
        </w:rPr>
        <w:t xml:space="preserve"> The test of H1</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657"/>
        <w:gridCol w:w="1320"/>
        <w:gridCol w:w="1711"/>
        <w:gridCol w:w="881"/>
        <w:gridCol w:w="933"/>
      </w:tblGrid>
      <w:tr>
        <w:trPr>
          <w:tblHeader w:val="true"/>
          <w:cantSplit/>
          <w:tblHeader/>
        </w:trPr>
        <w:tc>
          <w:tcPr>
            <w:tcW w:w="3657" w:type="dxa"/>
            <w:tcBorders>
              <w:bottom w:val="single" w:sz="5" w:space="0" w:color="000000"/>
            </w:tcBorders>
          </w:tcPr>
          <w:p>
            <w:pPr>
              <w:pStyle w:val="Compact"/>
              <w:spacing w:before="0" w:after="0" w:lineRule="exact" w:line="220"/>
              <w:jc w:val="left"/>
            </w:pPr>
            <w:r>
              <w:rPr>
                <w:b/>
                <w:sz w:val="18"/>
              </w:rPr>
              <w:t xml:space="preserve">Test</w:t>
            </w:r>
          </w:p>
        </w:tc>
        <w:tc>
          <w:tcPr>
            <w:tcW w:w="1320" w:type="dxa"/>
            <w:tcBorders>
              <w:bottom w:val="single" w:sz="5" w:space="0" w:color="000000"/>
            </w:tcBorders>
          </w:tcPr>
          <w:p>
            <w:pPr>
              <w:pStyle w:val="Compact"/>
              <w:spacing w:before="0" w:after="0" w:lineRule="exact" w:line="220"/>
              <w:jc w:val="left"/>
            </w:pPr>
            <w:r>
              <w:rPr>
                <w:b/>
                <w:sz w:val="18"/>
              </w:rPr>
              <w:t xml:space="preserve">Method</w:t>
            </w:r>
          </w:p>
        </w:tc>
        <w:tc>
          <w:tcPr>
            <w:tcW w:w="1711" w:type="dxa"/>
            <w:tcBorders>
              <w:bottom w:val="single" w:sz="5" w:space="0" w:color="000000"/>
            </w:tcBorders>
          </w:tcPr>
          <w:p>
            <w:pPr>
              <w:pStyle w:val="Compact"/>
              <w:spacing w:before="0" w:after="0" w:lineRule="exact" w:line="220"/>
              <w:jc w:val="left"/>
            </w:pPr>
            <w:r>
              <w:rPr>
                <w:b/>
                <w:sz w:val="18"/>
              </w:rPr>
              <w:t xml:space="preserve">Indonesian and regional group</w:t>
            </w:r>
          </w:p>
        </w:tc>
        <w:tc>
          <w:tcPr>
            <w:tcW w:w="881" w:type="dxa"/>
            <w:tcBorders>
              <w:bottom w:val="single" w:sz="5" w:space="0" w:color="000000"/>
            </w:tcBorders>
          </w:tcPr>
          <w:p>
            <w:pPr>
              <w:pStyle w:val="Compact"/>
              <w:spacing w:before="0" w:after="0" w:lineRule="exact" w:line="220"/>
              <w:jc w:val="left"/>
            </w:pPr>
            <w:r>
              <w:rPr>
                <w:b/>
                <w:sz w:val="18"/>
              </w:rPr>
              <w:t xml:space="preserve">Foreign group</w:t>
            </w:r>
          </w:p>
        </w:tc>
        <w:tc>
          <w:tcPr>
            <w:tcW w:w="933" w:type="dxa"/>
            <w:tcBorders>
              <w:bottom w:val="single" w:sz="5" w:space="0" w:color="000000"/>
            </w:tcBorders>
          </w:tcPr>
          <w:p>
            <w:pPr>
              <w:pStyle w:val="Compact"/>
              <w:spacing w:before="0" w:after="0" w:lineRule="exact" w:line="220"/>
              <w:jc w:val="left"/>
            </w:pPr>
            <w:r>
              <w:rPr>
                <w:b/>
                <w:sz w:val="18"/>
              </w:rPr>
              <w:t xml:space="preserve">p-value</w:t>
            </w:r>
          </w:p>
        </w:tc>
      </w:tr>
      <w:tr>
        <w:trPr>
          <w:cantSplit/>
        </w:trPr>
        <w:tc>
          <w:tcPr>
            <w:tcW w:w="3657" w:type="dxa"/>
          </w:tcPr>
          <w:p>
            <w:pPr>
              <w:pStyle w:val="Compact"/>
              <w:spacing w:before="0" w:after="0" w:lineRule="exact" w:line="220"/>
              <w:jc w:val="left"/>
            </w:pPr>
            <w:r>
              <w:rPr>
                <w:sz w:val="18"/>
              </w:rPr>
              <w:t xml:space="preserve">Yearly change in log take rate, 5 platforms against 27</w:t>
            </w:r>
          </w:p>
        </w:tc>
        <w:tc>
          <w:tcPr>
            <w:tcW w:w="1320" w:type="dxa"/>
          </w:tcPr>
          <w:p>
            <w:pPr>
              <w:pStyle w:val="Compact"/>
              <w:spacing w:before="0" w:after="0" w:lineRule="exact" w:line="220"/>
              <w:jc w:val="left"/>
            </w:pPr>
            <w:r>
              <w:rPr>
                <w:sz w:val="18"/>
              </w:rPr>
              <w:t xml:space="preserve">Mann–Whitney</w:t>
            </w:r>
          </w:p>
        </w:tc>
        <w:tc>
          <w:tcPr>
            <w:tcW w:w="1711" w:type="dxa"/>
          </w:tcPr>
          <w:p>
            <w:pPr>
              <w:pStyle w:val="Compact"/>
              <w:spacing w:before="0" w:after="0" w:lineRule="exact" w:line="220"/>
              <w:jc w:val="left"/>
            </w:pPr>
            <w:r>
              <w:rPr>
                <w:sz w:val="18"/>
              </w:rPr>
              <w:t xml:space="preserve">0.20</w:t>
            </w:r>
          </w:p>
        </w:tc>
        <w:tc>
          <w:tcPr>
            <w:tcW w:w="881" w:type="dxa"/>
          </w:tcPr>
          <w:p>
            <w:pPr>
              <w:pStyle w:val="Compact"/>
              <w:spacing w:before="0" w:after="0" w:lineRule="exact" w:line="220"/>
              <w:jc w:val="left"/>
            </w:pPr>
            <w:r>
              <w:rPr>
                <w:sz w:val="18"/>
              </w:rPr>
              <w:t xml:space="preserve">0.06</w:t>
            </w:r>
          </w:p>
        </w:tc>
        <w:tc>
          <w:tcPr>
            <w:tcW w:w="933" w:type="dxa"/>
          </w:tcPr>
          <w:p>
            <w:pPr>
              <w:pStyle w:val="Compact"/>
              <w:spacing w:before="0" w:after="0" w:lineRule="exact" w:line="220"/>
              <w:jc w:val="left"/>
            </w:pPr>
            <w:r>
              <w:rPr>
                <w:sz w:val="18"/>
              </w:rPr>
              <w:t xml:space="preserve">0.004</w:t>
            </w:r>
          </w:p>
        </w:tc>
      </w:tr>
      <w:tr>
        <w:trPr>
          <w:cantSplit/>
        </w:trPr>
        <w:tc>
          <w:tcPr>
            <w:tcW w:w="3657" w:type="dxa"/>
          </w:tcPr>
          <w:p>
            <w:pPr>
              <w:pStyle w:val="Compact"/>
              <w:spacing w:before="0" w:after="0" w:lineRule="exact" w:line="220"/>
              <w:jc w:val="left"/>
            </w:pPr>
            <w:r>
              <w:rPr>
                <w:sz w:val="18"/>
              </w:rPr>
              <w:t xml:space="preserve">The same</w:t>
            </w:r>
          </w:p>
        </w:tc>
        <w:tc>
          <w:tcPr>
            <w:tcW w:w="1320" w:type="dxa"/>
          </w:tcPr>
          <w:p>
            <w:pPr>
              <w:pStyle w:val="Compact"/>
              <w:spacing w:before="0" w:after="0" w:lineRule="exact" w:line="220"/>
              <w:jc w:val="left"/>
            </w:pPr>
            <w:r>
              <w:rPr>
                <w:sz w:val="18"/>
              </w:rPr>
              <w:t xml:space="preserve">Shuffle</w:t>
            </w:r>
          </w:p>
        </w:tc>
        <w:tc>
          <w:tcPr>
            <w:tcW w:w="1711" w:type="dxa"/>
          </w:tcPr>
          <w:p>
            <w:pPr>
              <w:pStyle w:val="Compact"/>
              <w:spacing w:before="0" w:after="0" w:lineRule="exact" w:line="220"/>
              <w:jc w:val="left"/>
            </w:pPr>
            <w:r>
              <w:rPr>
                <w:sz w:val="18"/>
              </w:rPr>
              <w:t xml:space="preserve">0.20</w:t>
            </w:r>
          </w:p>
        </w:tc>
        <w:tc>
          <w:tcPr>
            <w:tcW w:w="881" w:type="dxa"/>
          </w:tcPr>
          <w:p>
            <w:pPr>
              <w:pStyle w:val="Compact"/>
              <w:spacing w:before="0" w:after="0" w:lineRule="exact" w:line="220"/>
              <w:jc w:val="left"/>
            </w:pPr>
            <w:r>
              <w:rPr>
                <w:sz w:val="18"/>
              </w:rPr>
              <w:t xml:space="preserve">0.06</w:t>
            </w:r>
          </w:p>
        </w:tc>
        <w:tc>
          <w:tcPr>
            <w:tcW w:w="933" w:type="dxa"/>
          </w:tcPr>
          <w:p>
            <w:pPr>
              <w:pStyle w:val="Compact"/>
              <w:spacing w:before="0" w:after="0" w:lineRule="exact" w:line="220"/>
              <w:jc w:val="left"/>
            </w:pPr>
            <w:r>
              <w:rPr>
                <w:sz w:val="18"/>
              </w:rPr>
              <w:t xml:space="preserve">0.022</w:t>
            </w:r>
          </w:p>
        </w:tc>
      </w:tr>
      <w:tr>
        <w:trPr>
          <w:cantSplit/>
        </w:trPr>
        <w:tc>
          <w:tcPr>
            <w:tcW w:w="3657" w:type="dxa"/>
          </w:tcPr>
          <w:p>
            <w:pPr>
              <w:pStyle w:val="Compact"/>
              <w:spacing w:before="0" w:after="0" w:lineRule="exact" w:line="220"/>
              <w:jc w:val="left"/>
            </w:pPr>
            <w:r>
              <w:rPr>
                <w:sz w:val="18"/>
              </w:rPr>
              <w:t xml:space="preserve">Growth divergence in points, 5 platforms against 26</w:t>
            </w:r>
          </w:p>
        </w:tc>
        <w:tc>
          <w:tcPr>
            <w:tcW w:w="1320" w:type="dxa"/>
          </w:tcPr>
          <w:p>
            <w:pPr>
              <w:pStyle w:val="Compact"/>
              <w:spacing w:before="0" w:after="0" w:lineRule="exact" w:line="220"/>
              <w:jc w:val="left"/>
            </w:pPr>
            <w:r>
              <w:rPr>
                <w:sz w:val="18"/>
              </w:rPr>
              <w:t xml:space="preserve">Mann–Whitney</w:t>
            </w:r>
          </w:p>
        </w:tc>
        <w:tc>
          <w:tcPr>
            <w:tcW w:w="1711" w:type="dxa"/>
          </w:tcPr>
          <w:p>
            <w:pPr>
              <w:pStyle w:val="Compact"/>
              <w:spacing w:before="0" w:after="0" w:lineRule="exact" w:line="220"/>
              <w:jc w:val="left"/>
            </w:pPr>
            <w:r>
              <w:rPr>
                <w:sz w:val="18"/>
              </w:rPr>
              <w:t xml:space="preserve">27.0</w:t>
            </w:r>
          </w:p>
        </w:tc>
        <w:tc>
          <w:tcPr>
            <w:tcW w:w="881" w:type="dxa"/>
          </w:tcPr>
          <w:p>
            <w:pPr>
              <w:pStyle w:val="Compact"/>
              <w:spacing w:before="0" w:after="0" w:lineRule="exact" w:line="220"/>
              <w:jc w:val="left"/>
            </w:pPr>
            <w:r>
              <w:rPr>
                <w:sz w:val="18"/>
              </w:rPr>
              <w:t xml:space="preserve">6.5</w:t>
            </w:r>
          </w:p>
        </w:tc>
        <w:tc>
          <w:tcPr>
            <w:tcW w:w="933" w:type="dxa"/>
          </w:tcPr>
          <w:p>
            <w:pPr>
              <w:pStyle w:val="Compact"/>
              <w:spacing w:before="0" w:after="0" w:lineRule="exact" w:line="220"/>
              <w:jc w:val="left"/>
            </w:pPr>
            <w:r>
              <w:rPr>
                <w:sz w:val="18"/>
              </w:rPr>
              <w:t xml:space="preserve">0.005</w:t>
            </w:r>
          </w:p>
        </w:tc>
      </w:tr>
      <w:tr>
        <w:trPr>
          <w:cantSplit/>
        </w:trPr>
        <w:tc>
          <w:tcPr>
            <w:tcW w:w="3657" w:type="dxa"/>
          </w:tcPr>
          <w:p>
            <w:pPr>
              <w:pStyle w:val="Compact"/>
              <w:spacing w:before="0" w:after="0" w:lineRule="exact" w:line="220"/>
              <w:jc w:val="left"/>
            </w:pPr>
            <w:r>
              <w:rPr>
                <w:sz w:val="18"/>
              </w:rPr>
              <w:t xml:space="preserve">Drop each platform in turn, or treat Tokopedia and GoTo as one company</w:t>
            </w:r>
          </w:p>
        </w:tc>
        <w:tc>
          <w:tcPr>
            <w:tcW w:w="1320" w:type="dxa"/>
          </w:tcPr>
          <w:p>
            <w:pPr>
              <w:pStyle w:val="Compact"/>
              <w:spacing w:before="0" w:after="0" w:lineRule="exact" w:line="220"/>
              <w:jc w:val="left"/>
            </w:pPr>
            <w:r>
              <w:rPr>
                <w:sz w:val="18"/>
              </w:rPr>
              <w:t xml:space="preserve">Mann–Whitney</w:t>
            </w:r>
          </w:p>
        </w:tc>
        <w:tc>
          <w:tcPr>
            <w:tcW w:w="1711" w:type="dxa"/>
          </w:tcPr>
          <w:p>
            <w:pPr>
              <w:pStyle w:val="Compact"/>
              <w:spacing w:before="0" w:after="0" w:lineRule="exact" w:line="220"/>
              <w:jc w:val="left"/>
            </w:pPr>
            <w:r>
              <w:rPr>
                <w:sz w:val="18"/>
              </w:rPr>
              <w:t xml:space="preserve">0.17 to 0.23</w:t>
            </w:r>
          </w:p>
        </w:tc>
        <w:tc>
          <w:tcPr>
            <w:tcW w:w="881" w:type="dxa"/>
          </w:tcPr>
          <w:p>
            <w:pPr>
              <w:pStyle w:val="Compact"/>
              <w:spacing w:before="0" w:after="0" w:lineRule="exact" w:line="220"/>
              <w:jc w:val="left"/>
            </w:pPr>
            <w:r>
              <w:rPr>
                <w:sz w:val="18"/>
              </w:rPr>
              <w:t xml:space="preserve">0.06</w:t>
            </w:r>
          </w:p>
        </w:tc>
        <w:tc>
          <w:tcPr>
            <w:tcW w:w="933" w:type="dxa"/>
          </w:tcPr>
          <w:p>
            <w:pPr>
              <w:pStyle w:val="Compact"/>
              <w:spacing w:before="0" w:after="0" w:lineRule="exact" w:line="220"/>
              <w:jc w:val="left"/>
            </w:pPr>
            <w:r>
              <w:rPr>
                <w:sz w:val="18"/>
              </w:rPr>
              <w:t xml:space="preserve">0.003 to 0.016</w:t>
            </w:r>
          </w:p>
        </w:tc>
      </w:tr>
      <w:tr>
        <w:trPr>
          <w:cantSplit/>
        </w:trPr>
        <w:tc>
          <w:tcPr>
            <w:tcW w:w="3657" w:type="dxa"/>
          </w:tcPr>
          <w:p>
            <w:pPr>
              <w:pStyle w:val="Compact"/>
              <w:spacing w:before="0" w:after="0" w:lineRule="exact" w:line="220"/>
              <w:jc w:val="left"/>
            </w:pPr>
            <w:r>
              <w:rPr>
                <w:sz w:val="18"/>
              </w:rPr>
              <w:t xml:space="preserve">Quarterly pairs, 3 platforms against 8</w:t>
            </w:r>
          </w:p>
        </w:tc>
        <w:tc>
          <w:tcPr>
            <w:tcW w:w="1320" w:type="dxa"/>
          </w:tcPr>
          <w:p>
            <w:pPr>
              <w:pStyle w:val="Compact"/>
              <w:spacing w:before="0" w:after="0" w:lineRule="exact" w:line="220"/>
              <w:jc w:val="left"/>
            </w:pPr>
            <w:r>
              <w:rPr>
                <w:sz w:val="18"/>
              </w:rPr>
              <w:t xml:space="preserve">Mann–Whitney</w:t>
            </w:r>
          </w:p>
        </w:tc>
        <w:tc>
          <w:tcPr>
            <w:tcW w:w="1711" w:type="dxa"/>
          </w:tcPr>
          <w:p>
            <w:pPr>
              <w:pStyle w:val="Compact"/>
              <w:spacing w:before="0" w:after="0" w:lineRule="exact" w:line="220"/>
              <w:jc w:val="left"/>
            </w:pPr>
            <w:r>
              <w:rPr>
                <w:sz w:val="18"/>
              </w:rPr>
              <w:t xml:space="preserve">0.071</w:t>
            </w:r>
          </w:p>
        </w:tc>
        <w:tc>
          <w:tcPr>
            <w:tcW w:w="881" w:type="dxa"/>
          </w:tcPr>
          <w:p>
            <w:pPr>
              <w:pStyle w:val="Compact"/>
              <w:spacing w:before="0" w:after="0" w:lineRule="exact" w:line="220"/>
              <w:jc w:val="left"/>
            </w:pPr>
            <w:r>
              <w:rPr>
                <w:sz w:val="18"/>
              </w:rPr>
              <w:t xml:space="preserve">0.049</w:t>
            </w:r>
          </w:p>
        </w:tc>
        <w:tc>
          <w:tcPr>
            <w:tcW w:w="933" w:type="dxa"/>
          </w:tcPr>
          <w:p>
            <w:pPr>
              <w:pStyle w:val="Compact"/>
              <w:spacing w:before="0" w:after="0" w:lineRule="exact" w:line="220"/>
              <w:jc w:val="left"/>
            </w:pPr>
            <w:r>
              <w:rPr>
                <w:sz w:val="18"/>
              </w:rPr>
              <w:t xml:space="preserve">0.19</w:t>
            </w:r>
          </w:p>
        </w:tc>
      </w:tr>
    </w:tbl>
    <w:p>
      <w:pPr>
        <w:pStyle w:val="TableNote"/>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2 shows the three measures side by side. The test shows that take rates moved, but not what the platforms changed to move them.</w:t>
      </w:r>
    </w:p>
    <w:p>
      <w:pPr>
        <w:pStyle w:val="BodyText"/>
        <w:keepNext/>
        <w:spacing w:before="200" w:after="0" w:line="240" w:lineRule="auto"/>
        <w:jc w:val="center"/>
      </w:pPr>
      <w:r>
        <w:drawing>
          <wp:inline>
            <wp:extent cx="5400000" cy="1978392"/>
            <wp:effectExtent b="0" l="0" r="0" t="0"/>
            <wp:docPr descr="" title="" id="52" name="Picture"/>
            <a:graphic>
              <a:graphicData uri="http://schemas.openxmlformats.org/drawingml/2006/picture">
                <pic:pic>
                  <pic:nvPicPr>
                    <pic:cNvPr descr="figures/fig5_1_thin_slice.png" id="53" name="Picture"/>
                    <pic:cNvPicPr>
                      <a:picLocks noChangeArrowheads="1" noChangeAspect="1"/>
                    </pic:cNvPicPr>
                  </pic:nvPicPr>
                  <pic:blipFill>
                    <a:blip r:embed="rId51"/>
                    <a:stretch>
                      <a:fillRect/>
                    </a:stretch>
                  </pic:blipFill>
                  <pic:spPr bwMode="auto">
                    <a:xfrm>
                      <a:off x="0" y="0"/>
                      <a:ext cx="5400000" cy="1978392"/>
                    </a:xfrm>
                    <a:prstGeom prst="rect">
                      <a:avLst/>
                    </a:prstGeom>
                    <a:noFill/>
                    <a:ln w="9525">
                      <a:noFill/>
                      <a:headEnd/>
                      <a:tailEnd/>
                    </a:ln>
                  </pic:spPr>
                </pic:pic>
              </a:graphicData>
            </a:graphic>
          </wp:inline>
        </w:drawing>
      </w:r>
    </w:p>
    <w:p>
      <w:pPr>
        <w:pStyle w:val="FigureCaption"/>
        <w:keepNext/>
      </w:pPr>
      <w:r>
        <w:rPr>
          <w:b/>
        </w:rPr>
        <w:t>Figure 2.</w:t>
      </w:r>
      <w:r>
        <w:rPr>
          <w:b w:val="0"/>
        </w:rPr>
        <w:t xml:space="preserve"> The thin take rate.</w:t>
      </w:r>
    </w:p>
    <w:p>
      <w:pPr>
        <w:pStyle w:val="TableNote"/>
      </w:pP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4"/>
    <w:bookmarkStart w:id="58"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11 gives the seven traced windows. Fees and incentives are measured per unit of transaction value, and a negative share means that a part pulled revenue down. The windows of one platform overlap, so they are not seven independent cases.</w:t>
      </w:r>
    </w:p>
    <w:p>
      <w:pPr>
        <w:pStyle w:val="TableCaption"/>
      </w:pPr>
      <w:r>
        <w:rPr>
          <w:b/>
        </w:rPr>
        <w:t>Table 11.</w:t>
      </w:r>
      <w:r>
        <w:rPr>
          <w:b w:val="0"/>
        </w:rPr>
        <w:t xml:space="preserve"> What moved revenue in seven Indonesian and regional windows (share of the growth of revenue, percent)</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911"/>
        <w:gridCol w:w="1609"/>
        <w:gridCol w:w="1302"/>
        <w:gridCol w:w="1149"/>
        <w:gridCol w:w="1532"/>
      </w:tblGrid>
      <w:tr>
        <w:trPr>
          <w:tblHeader w:val="true"/>
          <w:cantSplit/>
          <w:tblHeader/>
        </w:trPr>
        <w:tc>
          <w:tcPr>
            <w:tcW w:w="2911" w:type="dxa"/>
            <w:tcBorders>
              <w:bottom w:val="single" w:sz="5" w:space="0" w:color="000000"/>
            </w:tcBorders>
          </w:tcPr>
          <w:p>
            <w:pPr>
              <w:pStyle w:val="Compact"/>
              <w:spacing w:before="0" w:after="0" w:lineRule="exact" w:line="220"/>
              <w:jc w:val="left"/>
            </w:pPr>
            <w:r>
              <w:rPr>
                <w:b/>
                <w:sz w:val="18"/>
              </w:rPr>
              <w:t xml:space="preserve">Platform and window</w:t>
            </w:r>
          </w:p>
        </w:tc>
        <w:tc>
          <w:tcPr>
            <w:tcW w:w="1609" w:type="dxa"/>
            <w:tcBorders>
              <w:bottom w:val="single" w:sz="5" w:space="0" w:color="000000"/>
            </w:tcBorders>
          </w:tcPr>
          <w:p>
            <w:pPr>
              <w:pStyle w:val="Compact"/>
              <w:spacing w:before="0" w:after="0" w:lineRule="exact" w:line="220"/>
              <w:jc w:val="left"/>
            </w:pPr>
            <w:r>
              <w:rPr>
                <w:b/>
                <w:sz w:val="18"/>
              </w:rPr>
              <w:t xml:space="preserve">Growth of revenue</w:t>
            </w:r>
          </w:p>
        </w:tc>
        <w:tc>
          <w:tcPr>
            <w:tcW w:w="1302" w:type="dxa"/>
            <w:tcBorders>
              <w:bottom w:val="single" w:sz="5" w:space="0" w:color="000000"/>
            </w:tcBorders>
          </w:tcPr>
          <w:p>
            <w:pPr>
              <w:pStyle w:val="Compact"/>
              <w:spacing w:before="0" w:after="0" w:lineRule="exact" w:line="220"/>
              <w:jc w:val="left"/>
            </w:pPr>
            <w:r>
              <w:rPr>
                <w:b/>
                <w:sz w:val="18"/>
              </w:rPr>
              <w:t xml:space="preserve">More commerce</w:t>
            </w:r>
          </w:p>
        </w:tc>
        <w:tc>
          <w:tcPr>
            <w:tcW w:w="1149" w:type="dxa"/>
            <w:tcBorders>
              <w:bottom w:val="single" w:sz="5" w:space="0" w:color="000000"/>
            </w:tcBorders>
          </w:tcPr>
          <w:p>
            <w:pPr>
              <w:pStyle w:val="Compact"/>
              <w:spacing w:before="0" w:after="0" w:lineRule="exact" w:line="220"/>
              <w:jc w:val="left"/>
            </w:pPr>
            <w:r>
              <w:rPr>
                <w:b/>
                <w:sz w:val="18"/>
              </w:rPr>
              <w:t xml:space="preserve">Higher fees</w:t>
            </w:r>
          </w:p>
        </w:tc>
        <w:tc>
          <w:tcPr>
            <w:tcW w:w="1532" w:type="dxa"/>
            <w:tcBorders>
              <w:bottom w:val="single" w:sz="5" w:space="0" w:color="000000"/>
            </w:tcBorders>
          </w:tcPr>
          <w:p>
            <w:pPr>
              <w:pStyle w:val="Compact"/>
              <w:spacing w:before="0" w:after="0" w:lineRule="exact" w:line="220"/>
              <w:jc w:val="left"/>
            </w:pPr>
            <w:r>
              <w:rPr>
                <w:b/>
                <w:sz w:val="18"/>
              </w:rPr>
              <w:t xml:space="preserve">Lower incentives</w:t>
            </w:r>
          </w:p>
        </w:tc>
      </w:tr>
      <w:tr>
        <w:trPr>
          <w:cantSplit/>
        </w:trPr>
        <w:tc>
          <w:tcPr>
            <w:tcW w:w="2911" w:type="dxa"/>
          </w:tcPr>
          <w:p>
            <w:pPr>
              <w:pStyle w:val="Compact"/>
              <w:spacing w:before="0" w:after="0" w:lineRule="exact" w:line="220"/>
              <w:jc w:val="left"/>
            </w:pPr>
            <w:r>
              <w:rPr>
                <w:sz w:val="18"/>
              </w:rPr>
              <w:t xml:space="preserve">Tokopedia, 2022–23</w:t>
            </w:r>
          </w:p>
        </w:tc>
        <w:tc>
          <w:tcPr>
            <w:tcW w:w="1609" w:type="dxa"/>
          </w:tcPr>
          <w:p>
            <w:pPr>
              <w:pStyle w:val="Compact"/>
              <w:spacing w:before="0" w:after="0" w:lineRule="exact" w:line="220"/>
              <w:jc w:val="left"/>
            </w:pPr>
            <w:r>
              <w:rPr>
                <w:sz w:val="18"/>
              </w:rPr>
              <w:t xml:space="preserve">+53%</w:t>
            </w:r>
          </w:p>
        </w:tc>
        <w:tc>
          <w:tcPr>
            <w:tcW w:w="1302" w:type="dxa"/>
          </w:tcPr>
          <w:p>
            <w:pPr>
              <w:pStyle w:val="Compact"/>
              <w:spacing w:before="0" w:after="0" w:lineRule="exact" w:line="220"/>
              <w:jc w:val="left"/>
            </w:pPr>
            <w:r>
              <w:rPr>
                <w:sz w:val="18"/>
              </w:rPr>
              <w:t xml:space="preserve">−22</w:t>
            </w:r>
          </w:p>
        </w:tc>
        <w:tc>
          <w:tcPr>
            <w:tcW w:w="1149" w:type="dxa"/>
          </w:tcPr>
          <w:p>
            <w:pPr>
              <w:pStyle w:val="Compact"/>
              <w:spacing w:before="0" w:after="0" w:lineRule="exact" w:line="220"/>
              <w:jc w:val="left"/>
            </w:pPr>
            <w:r>
              <w:rPr>
                <w:sz w:val="18"/>
              </w:rPr>
              <w:t xml:space="preserve">76</w:t>
            </w:r>
          </w:p>
        </w:tc>
        <w:tc>
          <w:tcPr>
            <w:tcW w:w="1532" w:type="dxa"/>
          </w:tcPr>
          <w:p>
            <w:pPr>
              <w:pStyle w:val="Compact"/>
              <w:spacing w:before="0" w:after="0" w:lineRule="exact" w:line="220"/>
              <w:jc w:val="left"/>
            </w:pPr>
            <w:r>
              <w:rPr>
                <w:sz w:val="18"/>
              </w:rPr>
              <w:t xml:space="preserve">45</w:t>
            </w:r>
          </w:p>
        </w:tc>
      </w:tr>
      <w:tr>
        <w:trPr>
          <w:cantSplit/>
        </w:trPr>
        <w:tc>
          <w:tcPr>
            <w:tcW w:w="2911" w:type="dxa"/>
          </w:tcPr>
          <w:p>
            <w:pPr>
              <w:pStyle w:val="Compact"/>
              <w:spacing w:before="0" w:after="0" w:lineRule="exact" w:line="220"/>
              <w:jc w:val="left"/>
            </w:pPr>
            <w:r>
              <w:rPr>
                <w:sz w:val="18"/>
              </w:rPr>
              <w:t xml:space="preserve">Blibli third-party retail, 2022–23</w:t>
            </w:r>
          </w:p>
        </w:tc>
        <w:tc>
          <w:tcPr>
            <w:tcW w:w="1609" w:type="dxa"/>
          </w:tcPr>
          <w:p>
            <w:pPr>
              <w:pStyle w:val="Compact"/>
              <w:spacing w:before="0" w:after="0" w:lineRule="exact" w:line="220"/>
              <w:jc w:val="left"/>
            </w:pPr>
            <w:r>
              <w:rPr>
                <w:sz w:val="18"/>
              </w:rPr>
              <w:t xml:space="preserve">+465%</w:t>
            </w:r>
          </w:p>
        </w:tc>
        <w:tc>
          <w:tcPr>
            <w:tcW w:w="1302" w:type="dxa"/>
          </w:tcPr>
          <w:p>
            <w:pPr>
              <w:pStyle w:val="Compact"/>
              <w:spacing w:before="0" w:after="0" w:lineRule="exact" w:line="220"/>
              <w:jc w:val="left"/>
            </w:pPr>
            <w:r>
              <w:rPr>
                <w:sz w:val="18"/>
              </w:rPr>
              <w:t xml:space="preserve">17</w:t>
            </w:r>
          </w:p>
        </w:tc>
        <w:tc>
          <w:tcPr>
            <w:tcW w:w="1149" w:type="dxa"/>
          </w:tcPr>
          <w:p>
            <w:pPr>
              <w:pStyle w:val="Compact"/>
              <w:spacing w:before="0" w:after="0" w:lineRule="exact" w:line="220"/>
              <w:jc w:val="left"/>
            </w:pPr>
            <w:r>
              <w:rPr>
                <w:sz w:val="18"/>
              </w:rPr>
              <w:t xml:space="preserve">20</w:t>
            </w:r>
          </w:p>
        </w:tc>
        <w:tc>
          <w:tcPr>
            <w:tcW w:w="1532" w:type="dxa"/>
          </w:tcPr>
          <w:p>
            <w:pPr>
              <w:pStyle w:val="Compact"/>
              <w:spacing w:before="0" w:after="0" w:lineRule="exact" w:line="220"/>
              <w:jc w:val="left"/>
            </w:pPr>
            <w:r>
              <w:rPr>
                <w:sz w:val="18"/>
              </w:rPr>
              <w:t xml:space="preserve">63</w:t>
            </w:r>
          </w:p>
        </w:tc>
      </w:tr>
      <w:tr>
        <w:trPr>
          <w:cantSplit/>
        </w:trPr>
        <w:tc>
          <w:tcPr>
            <w:tcW w:w="2911" w:type="dxa"/>
          </w:tcPr>
          <w:p>
            <w:pPr>
              <w:pStyle w:val="Compact"/>
              <w:spacing w:before="0" w:after="0" w:lineRule="exact" w:line="220"/>
              <w:jc w:val="left"/>
            </w:pPr>
            <w:r>
              <w:rPr>
                <w:sz w:val="18"/>
              </w:rPr>
              <w:t xml:space="preserve">Blibli third-party retail, 2022–25</w:t>
            </w:r>
          </w:p>
        </w:tc>
        <w:tc>
          <w:tcPr>
            <w:tcW w:w="1609" w:type="dxa"/>
          </w:tcPr>
          <w:p>
            <w:pPr>
              <w:pStyle w:val="Compact"/>
              <w:spacing w:before="0" w:after="0" w:lineRule="exact" w:line="220"/>
              <w:jc w:val="left"/>
            </w:pPr>
            <w:r>
              <w:rPr>
                <w:sz w:val="18"/>
              </w:rPr>
              <w:t xml:space="preserve">+679%</w:t>
            </w:r>
          </w:p>
        </w:tc>
        <w:tc>
          <w:tcPr>
            <w:tcW w:w="1302" w:type="dxa"/>
          </w:tcPr>
          <w:p>
            <w:pPr>
              <w:pStyle w:val="Compact"/>
              <w:spacing w:before="0" w:after="0" w:lineRule="exact" w:line="220"/>
              <w:jc w:val="left"/>
            </w:pPr>
            <w:r>
              <w:rPr>
                <w:sz w:val="18"/>
              </w:rPr>
              <w:t xml:space="preserve">18</w:t>
            </w:r>
          </w:p>
        </w:tc>
        <w:tc>
          <w:tcPr>
            <w:tcW w:w="1149" w:type="dxa"/>
          </w:tcPr>
          <w:p>
            <w:pPr>
              <w:pStyle w:val="Compact"/>
              <w:spacing w:before="0" w:after="0" w:lineRule="exact" w:line="220"/>
              <w:jc w:val="left"/>
            </w:pPr>
            <w:r>
              <w:rPr>
                <w:sz w:val="18"/>
              </w:rPr>
              <w:t xml:space="preserve">63</w:t>
            </w:r>
          </w:p>
        </w:tc>
        <w:tc>
          <w:tcPr>
            <w:tcW w:w="1532" w:type="dxa"/>
          </w:tcPr>
          <w:p>
            <w:pPr>
              <w:pStyle w:val="Compact"/>
              <w:spacing w:before="0" w:after="0" w:lineRule="exact" w:line="220"/>
              <w:jc w:val="left"/>
            </w:pPr>
            <w:r>
              <w:rPr>
                <w:sz w:val="18"/>
              </w:rPr>
              <w:t xml:space="preserve">20</w:t>
            </w:r>
          </w:p>
        </w:tc>
      </w:tr>
      <w:tr>
        <w:trPr>
          <w:cantSplit/>
        </w:trPr>
        <w:tc>
          <w:tcPr>
            <w:tcW w:w="2911" w:type="dxa"/>
          </w:tcPr>
          <w:p>
            <w:pPr>
              <w:pStyle w:val="Compact"/>
              <w:spacing w:before="0" w:after="0" w:lineRule="exact" w:line="220"/>
              <w:jc w:val="left"/>
            </w:pPr>
            <w:r>
              <w:rPr>
                <w:sz w:val="18"/>
              </w:rPr>
              <w:t xml:space="preserve">Grab on-demand, 2021–24</w:t>
            </w:r>
          </w:p>
        </w:tc>
        <w:tc>
          <w:tcPr>
            <w:tcW w:w="1609" w:type="dxa"/>
          </w:tcPr>
          <w:p>
            <w:pPr>
              <w:pStyle w:val="Compact"/>
              <w:spacing w:before="0" w:after="0" w:lineRule="exact" w:line="220"/>
              <w:jc w:val="left"/>
            </w:pPr>
            <w:r>
              <w:rPr>
                <w:sz w:val="18"/>
              </w:rPr>
              <w:t xml:space="preserve">+321%</w:t>
            </w:r>
          </w:p>
        </w:tc>
        <w:tc>
          <w:tcPr>
            <w:tcW w:w="1302" w:type="dxa"/>
          </w:tcPr>
          <w:p>
            <w:pPr>
              <w:pStyle w:val="Compact"/>
              <w:spacing w:before="0" w:after="0" w:lineRule="exact" w:line="220"/>
              <w:jc w:val="left"/>
            </w:pPr>
            <w:r>
              <w:rPr>
                <w:sz w:val="18"/>
              </w:rPr>
              <w:t xml:space="preserve">34</w:t>
            </w:r>
          </w:p>
        </w:tc>
        <w:tc>
          <w:tcPr>
            <w:tcW w:w="1149" w:type="dxa"/>
          </w:tcPr>
          <w:p>
            <w:pPr>
              <w:pStyle w:val="Compact"/>
              <w:spacing w:before="0" w:after="0" w:lineRule="exact" w:line="220"/>
              <w:jc w:val="left"/>
            </w:pPr>
            <w:r>
              <w:rPr>
                <w:sz w:val="18"/>
              </w:rPr>
              <w:t xml:space="preserve">34</w:t>
            </w:r>
          </w:p>
        </w:tc>
        <w:tc>
          <w:tcPr>
            <w:tcW w:w="1532" w:type="dxa"/>
          </w:tcPr>
          <w:p>
            <w:pPr>
              <w:pStyle w:val="Compact"/>
              <w:spacing w:before="0" w:after="0" w:lineRule="exact" w:line="220"/>
              <w:jc w:val="left"/>
            </w:pPr>
            <w:r>
              <w:rPr>
                <w:sz w:val="18"/>
              </w:rPr>
              <w:t xml:space="preserve">33</w:t>
            </w:r>
          </w:p>
        </w:tc>
      </w:tr>
      <w:tr>
        <w:trPr>
          <w:cantSplit/>
        </w:trPr>
        <w:tc>
          <w:tcPr>
            <w:tcW w:w="2911" w:type="dxa"/>
          </w:tcPr>
          <w:p>
            <w:pPr>
              <w:pStyle w:val="Compact"/>
              <w:spacing w:before="0" w:after="0" w:lineRule="exact" w:line="220"/>
              <w:jc w:val="left"/>
            </w:pPr>
            <w:r>
              <w:rPr>
                <w:sz w:val="18"/>
              </w:rPr>
              <w:t xml:space="preserve">Grab on-demand, 2022–24</w:t>
            </w:r>
          </w:p>
        </w:tc>
        <w:tc>
          <w:tcPr>
            <w:tcW w:w="1609" w:type="dxa"/>
          </w:tcPr>
          <w:p>
            <w:pPr>
              <w:pStyle w:val="Compact"/>
              <w:spacing w:before="0" w:after="0" w:lineRule="exact" w:line="220"/>
              <w:jc w:val="left"/>
            </w:pPr>
            <w:r>
              <w:rPr>
                <w:sz w:val="18"/>
              </w:rPr>
              <w:t xml:space="preserve">+86%</w:t>
            </w:r>
          </w:p>
        </w:tc>
        <w:tc>
          <w:tcPr>
            <w:tcW w:w="1302" w:type="dxa"/>
          </w:tcPr>
          <w:p>
            <w:pPr>
              <w:pStyle w:val="Compact"/>
              <w:spacing w:before="0" w:after="0" w:lineRule="exact" w:line="220"/>
              <w:jc w:val="left"/>
            </w:pPr>
            <w:r>
              <w:rPr>
                <w:sz w:val="18"/>
              </w:rPr>
              <w:t xml:space="preserve">42</w:t>
            </w:r>
          </w:p>
        </w:tc>
        <w:tc>
          <w:tcPr>
            <w:tcW w:w="1149" w:type="dxa"/>
          </w:tcPr>
          <w:p>
            <w:pPr>
              <w:pStyle w:val="Compact"/>
              <w:spacing w:before="0" w:after="0" w:lineRule="exact" w:line="220"/>
              <w:jc w:val="left"/>
            </w:pPr>
            <w:r>
              <w:rPr>
                <w:sz w:val="18"/>
              </w:rPr>
              <w:t xml:space="preserve">11</w:t>
            </w:r>
          </w:p>
        </w:tc>
        <w:tc>
          <w:tcPr>
            <w:tcW w:w="1532" w:type="dxa"/>
          </w:tcPr>
          <w:p>
            <w:pPr>
              <w:pStyle w:val="Compact"/>
              <w:spacing w:before="0" w:after="0" w:lineRule="exact" w:line="220"/>
              <w:jc w:val="left"/>
            </w:pPr>
            <w:r>
              <w:rPr>
                <w:sz w:val="18"/>
              </w:rPr>
              <w:t xml:space="preserve">47</w:t>
            </w:r>
          </w:p>
        </w:tc>
      </w:tr>
      <w:tr>
        <w:trPr>
          <w:cantSplit/>
        </w:trPr>
        <w:tc>
          <w:tcPr>
            <w:tcW w:w="2911" w:type="dxa"/>
          </w:tcPr>
          <w:p>
            <w:pPr>
              <w:pStyle w:val="Compact"/>
              <w:spacing w:before="0" w:after="0" w:lineRule="exact" w:line="220"/>
              <w:jc w:val="left"/>
            </w:pPr>
            <w:r>
              <w:rPr>
                <w:sz w:val="18"/>
              </w:rPr>
              <w:t xml:space="preserve">GoTo on-demand, 2022–25</w:t>
            </w:r>
          </w:p>
        </w:tc>
        <w:tc>
          <w:tcPr>
            <w:tcW w:w="1609" w:type="dxa"/>
          </w:tcPr>
          <w:p>
            <w:pPr>
              <w:pStyle w:val="Compact"/>
              <w:spacing w:before="0" w:after="0" w:lineRule="exact" w:line="220"/>
              <w:jc w:val="left"/>
            </w:pPr>
            <w:r>
              <w:rPr>
                <w:sz w:val="18"/>
              </w:rPr>
              <w:t xml:space="preserve">+111%</w:t>
            </w:r>
          </w:p>
        </w:tc>
        <w:tc>
          <w:tcPr>
            <w:tcW w:w="1302" w:type="dxa"/>
          </w:tcPr>
          <w:p>
            <w:pPr>
              <w:pStyle w:val="Compact"/>
              <w:spacing w:before="0" w:after="0" w:lineRule="exact" w:line="220"/>
              <w:jc w:val="left"/>
            </w:pPr>
            <w:r>
              <w:rPr>
                <w:sz w:val="18"/>
              </w:rPr>
              <w:t xml:space="preserve">12</w:t>
            </w:r>
          </w:p>
        </w:tc>
        <w:tc>
          <w:tcPr>
            <w:tcW w:w="1149" w:type="dxa"/>
          </w:tcPr>
          <w:p>
            <w:pPr>
              <w:pStyle w:val="Compact"/>
              <w:spacing w:before="0" w:after="0" w:lineRule="exact" w:line="220"/>
              <w:jc w:val="left"/>
            </w:pPr>
            <w:r>
              <w:rPr>
                <w:sz w:val="18"/>
              </w:rPr>
              <w:t xml:space="preserve">36</w:t>
            </w:r>
          </w:p>
        </w:tc>
        <w:tc>
          <w:tcPr>
            <w:tcW w:w="1532" w:type="dxa"/>
          </w:tcPr>
          <w:p>
            <w:pPr>
              <w:pStyle w:val="Compact"/>
              <w:spacing w:before="0" w:after="0" w:lineRule="exact" w:line="220"/>
              <w:jc w:val="left"/>
            </w:pPr>
            <w:r>
              <w:rPr>
                <w:sz w:val="18"/>
              </w:rPr>
              <w:t xml:space="preserve">52</w:t>
            </w:r>
          </w:p>
        </w:tc>
      </w:tr>
      <w:tr>
        <w:trPr>
          <w:cantSplit/>
        </w:trPr>
        <w:tc>
          <w:tcPr>
            <w:tcW w:w="2911" w:type="dxa"/>
          </w:tcPr>
          <w:p>
            <w:pPr>
              <w:pStyle w:val="Compact"/>
              <w:spacing w:before="0" w:after="0" w:lineRule="exact" w:line="220"/>
              <w:jc w:val="left"/>
            </w:pPr>
            <w:r>
              <w:rPr>
                <w:sz w:val="18"/>
              </w:rPr>
              <w:t xml:space="preserve">GoTo on-demand, 2023–25</w:t>
            </w:r>
          </w:p>
        </w:tc>
        <w:tc>
          <w:tcPr>
            <w:tcW w:w="1609" w:type="dxa"/>
          </w:tcPr>
          <w:p>
            <w:pPr>
              <w:pStyle w:val="Compact"/>
              <w:spacing w:before="0" w:after="0" w:lineRule="exact" w:line="220"/>
              <w:jc w:val="left"/>
            </w:pPr>
            <w:r>
              <w:rPr>
                <w:sz w:val="18"/>
              </w:rPr>
              <w:t xml:space="preserve">+114%</w:t>
            </w:r>
          </w:p>
        </w:tc>
        <w:tc>
          <w:tcPr>
            <w:tcW w:w="1302" w:type="dxa"/>
          </w:tcPr>
          <w:p>
            <w:pPr>
              <w:pStyle w:val="Compact"/>
              <w:spacing w:before="0" w:after="0" w:lineRule="exact" w:line="220"/>
              <w:jc w:val="left"/>
            </w:pPr>
            <w:r>
              <w:rPr>
                <w:sz w:val="18"/>
              </w:rPr>
              <w:t xml:space="preserve">27</w:t>
            </w:r>
          </w:p>
        </w:tc>
        <w:tc>
          <w:tcPr>
            <w:tcW w:w="1149" w:type="dxa"/>
          </w:tcPr>
          <w:p>
            <w:pPr>
              <w:pStyle w:val="Compact"/>
              <w:spacing w:before="0" w:after="0" w:lineRule="exact" w:line="220"/>
              <w:jc w:val="left"/>
            </w:pPr>
            <w:r>
              <w:rPr>
                <w:sz w:val="18"/>
              </w:rPr>
              <w:t xml:space="preserve">6</w:t>
            </w:r>
          </w:p>
        </w:tc>
        <w:tc>
          <w:tcPr>
            <w:tcW w:w="1532" w:type="dxa"/>
          </w:tcPr>
          <w:p>
            <w:pPr>
              <w:pStyle w:val="Compact"/>
              <w:spacing w:before="0" w:after="0" w:lineRule="exact" w:line="220"/>
              <w:jc w:val="left"/>
            </w:pPr>
            <w:r>
              <w:rPr>
                <w:sz w:val="18"/>
              </w:rPr>
              <w:t xml:space="preserve">67</w:t>
            </w:r>
          </w:p>
        </w:tc>
      </w:tr>
    </w:tbl>
    <w:p>
      <w:pPr>
        <w:pStyle w:val="TableNote"/>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11, higher fees account for more of the rise in the take rate. The two views differ only on which lever led (Figure 3).</w:t>
      </w:r>
    </w:p>
    <w:p>
      <w:pPr>
        <w:pStyle w:val="BodyText"/>
        <w:keepNext/>
        <w:spacing w:before="200" w:after="0" w:line="240" w:lineRule="auto"/>
        <w:jc w:val="center"/>
      </w:pPr>
      <w:r>
        <w:drawing>
          <wp:inline>
            <wp:extent cx="5400000" cy="1791704"/>
            <wp:effectExtent b="0" l="0" r="0" t="0"/>
            <wp:docPr descr="" title="" id="56" name="Picture"/>
            <a:graphic>
              <a:graphicData uri="http://schemas.openxmlformats.org/drawingml/2006/picture">
                <pic:pic>
                  <pic:nvPicPr>
                    <pic:cNvPr descr="figures/fig5_2_tokopedia_two_views.png" id="57" name="Picture"/>
                    <pic:cNvPicPr>
                      <a:picLocks noChangeArrowheads="1" noChangeAspect="1"/>
                    </pic:cNvPicPr>
                  </pic:nvPicPr>
                  <pic:blipFill>
                    <a:blip r:embed="rId55"/>
                    <a:stretch>
                      <a:fillRect/>
                    </a:stretch>
                  </pic:blipFill>
                  <pic:spPr bwMode="auto">
                    <a:xfrm>
                      <a:off x="0" y="0"/>
                      <a:ext cx="5400000" cy="1791704"/>
                    </a:xfrm>
                    <a:prstGeom prst="rect">
                      <a:avLst/>
                    </a:prstGeom>
                    <a:noFill/>
                    <a:ln w="9525">
                      <a:noFill/>
                      <a:headEnd/>
                      <a:tailEnd/>
                    </a:ln>
                  </pic:spPr>
                </pic:pic>
              </a:graphicData>
            </a:graphic>
          </wp:inline>
        </w:drawing>
      </w:r>
    </w:p>
    <w:p>
      <w:pPr>
        <w:pStyle w:val="FigureCaption"/>
        <w:keepNext/>
      </w:pPr>
      <w:r>
        <w:rPr>
          <w:b/>
        </w:rPr>
        <w:t>Figure 3.</w:t>
      </w:r>
      <w:r>
        <w:rPr>
          <w:b w:val="0"/>
        </w:rPr>
        <w:t xml:space="preserve"> Tokopedia, 2022 to 2023: two ways to split the rise in revenue.</w:t>
      </w:r>
    </w:p>
    <w:p>
      <w:pPr>
        <w:pStyle w:val="TableNote"/>
      </w:pP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58"/>
    <w:bookmarkStart w:id="59"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w:t>
      </w:r>
      <w:r>
        <w:rPr>
          <w:vertAlign w:val="subscript"/>
        </w:rPr>
        <w:t xml:space="preserve">V</w:t>
      </w:r>
      <w:r>
        <w:t xml:space="preserve"> </w:t>
      </w:r>
      <w:r>
        <w:t xml:space="preserve">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w:t>
      </w:r>
      <w:r>
        <w:rPr>
          <w:vertAlign w:val="subscript"/>
        </w:rPr>
        <w:t xml:space="preserve">m</w:t>
      </w:r>
      <w:r>
        <w:t xml:space="preserve">),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59"/>
    <w:bookmarkStart w:id="63"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4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4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keepNext/>
        <w:spacing w:before="200" w:after="0" w:line="240" w:lineRule="auto"/>
        <w:jc w:val="center"/>
      </w:pPr>
      <w:r>
        <w:drawing>
          <wp:inline>
            <wp:extent cx="5400000" cy="2890140"/>
            <wp:effectExtent b="0" l="0" r="0" t="0"/>
            <wp:docPr descr="" title="" id="61" name="Picture"/>
            <a:graphic>
              <a:graphicData uri="http://schemas.openxmlformats.org/drawingml/2006/picture">
                <pic:pic>
                  <pic:nvPicPr>
                    <pic:cNvPr descr="figures/fig5_3_growth_2023.png" id="62" name="Picture"/>
                    <pic:cNvPicPr>
                      <a:picLocks noChangeArrowheads="1" noChangeAspect="1"/>
                    </pic:cNvPicPr>
                  </pic:nvPicPr>
                  <pic:blipFill>
                    <a:blip r:embed="rId60"/>
                    <a:stretch>
                      <a:fillRect/>
                    </a:stretch>
                  </pic:blipFill>
                  <pic:spPr bwMode="auto">
                    <a:xfrm>
                      <a:off x="0" y="0"/>
                      <a:ext cx="5400000" cy="2890140"/>
                    </a:xfrm>
                    <a:prstGeom prst="rect">
                      <a:avLst/>
                    </a:prstGeom>
                    <a:noFill/>
                    <a:ln w="9525">
                      <a:noFill/>
                      <a:headEnd/>
                      <a:tailEnd/>
                    </a:ln>
                  </pic:spPr>
                </pic:pic>
              </a:graphicData>
            </a:graphic>
          </wp:inline>
        </w:drawing>
      </w:r>
    </w:p>
    <w:p>
      <w:pPr>
        <w:pStyle w:val="FigureCaption"/>
        <w:keepNext/>
      </w:pPr>
      <w:r>
        <w:rPr>
          <w:b/>
        </w:rPr>
        <w:t>Figure 4.</w:t>
      </w:r>
      <w:r>
        <w:rPr>
          <w:b w:val="0"/>
        </w:rPr>
        <w:t xml:space="preserve"> Growth in 2023 (percent).</w:t>
      </w:r>
    </w:p>
    <w:p>
      <w:pPr>
        <w:pStyle w:val="TableNote"/>
      </w:pP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3"/>
    <w:bookmarkStart w:id="64"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4"/>
    <w:bookmarkStart w:id="65"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12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TableCaption"/>
      </w:pPr>
      <w:r>
        <w:rPr>
          <w:b/>
        </w:rPr>
        <w:t>Table 12.</w:t>
      </w:r>
      <w:r>
        <w:rPr>
          <w:b w:val="0"/>
        </w:rPr>
        <w:t xml:space="preserve"> The 2023 rise in the count of online sellers (thousands)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4187"/>
        <w:gridCol w:w="1570"/>
        <w:gridCol w:w="2747"/>
      </w:tblGrid>
      <w:tr>
        <w:trPr>
          <w:tblHeader w:val="true"/>
          <w:cantSplit/>
          <w:tblHeader/>
        </w:trPr>
        <w:tc>
          <w:tcPr>
            <w:tcW w:w="4187" w:type="dxa"/>
            <w:tcBorders>
              <w:bottom w:val="single" w:sz="5" w:space="0" w:color="000000"/>
            </w:tcBorders>
          </w:tcPr>
          <w:p>
            <w:pPr>
              <w:pStyle w:val="Compact"/>
              <w:spacing w:before="0" w:after="0" w:lineRule="exact" w:line="220"/>
              <w:jc w:val="left"/>
            </w:pPr>
            <w:r>
              <w:rPr>
                <w:b/>
                <w:sz w:val="18"/>
              </w:rPr>
              <w:t xml:space="preserve">Part of the rise</w:t>
            </w:r>
          </w:p>
        </w:tc>
        <w:tc>
          <w:tcPr>
            <w:tcW w:w="1570" w:type="dxa"/>
            <w:tcBorders>
              <w:bottom w:val="single" w:sz="5" w:space="0" w:color="000000"/>
            </w:tcBorders>
          </w:tcPr>
          <w:p>
            <w:pPr>
              <w:pStyle w:val="Compact"/>
              <w:spacing w:before="0" w:after="0" w:lineRule="exact" w:line="220"/>
              <w:jc w:val="left"/>
            </w:pPr>
            <w:r>
              <w:rPr>
                <w:b/>
                <w:sz w:val="18"/>
              </w:rPr>
              <w:t xml:space="preserve">If no seller stopped</w:t>
            </w:r>
          </w:p>
        </w:tc>
        <w:tc>
          <w:tcPr>
            <w:tcW w:w="2747" w:type="dxa"/>
            <w:tcBorders>
              <w:bottom w:val="single" w:sz="5" w:space="0" w:color="000000"/>
            </w:tcBorders>
          </w:tcPr>
          <w:p>
            <w:pPr>
              <w:pStyle w:val="Compact"/>
              <w:spacing w:before="0" w:after="0" w:lineRule="exact" w:line="220"/>
              <w:jc w:val="left"/>
            </w:pPr>
            <w:r>
              <w:rPr>
                <w:b/>
                <w:sz w:val="18"/>
              </w:rPr>
              <w:t xml:space="preserve">If sellers stopped at 5 percent a year</w:t>
            </w:r>
          </w:p>
        </w:tc>
      </w:tr>
      <w:tr>
        <w:trPr>
          <w:cantSplit/>
        </w:trPr>
        <w:tc>
          <w:tcPr>
            <w:tcW w:w="4187" w:type="dxa"/>
          </w:tcPr>
          <w:p>
            <w:pPr>
              <w:pStyle w:val="Compact"/>
              <w:spacing w:before="0" w:after="0" w:lineRule="exact" w:line="220"/>
              <w:jc w:val="left"/>
            </w:pPr>
            <w:r>
              <w:rPr>
                <w:sz w:val="18"/>
              </w:rPr>
              <w:t xml:space="preserve">Rise between the weighted totals of the two files</w:t>
            </w:r>
          </w:p>
        </w:tc>
        <w:tc>
          <w:tcPr>
            <w:tcW w:w="1570" w:type="dxa"/>
          </w:tcPr>
          <w:p>
            <w:pPr>
              <w:pStyle w:val="Compact"/>
              <w:spacing w:before="0" w:after="0" w:lineRule="exact" w:line="220"/>
              <w:jc w:val="left"/>
            </w:pPr>
            <w:r>
              <w:rPr>
                <w:sz w:val="18"/>
              </w:rPr>
              <w:t xml:space="preserve">819 (100%)</w:t>
            </w:r>
          </w:p>
        </w:tc>
        <w:tc>
          <w:tcPr>
            <w:tcW w:w="2747" w:type="dxa"/>
          </w:tcPr>
          <w:p>
            <w:pPr>
              <w:pStyle w:val="Compact"/>
              <w:spacing w:before="0" w:after="0" w:lineRule="exact" w:line="220"/>
              <w:jc w:val="left"/>
            </w:pPr>
            <w:r>
              <w:rPr>
                <w:sz w:val="18"/>
              </w:rPr>
              <w:t xml:space="preserve">819 (100%)</w:t>
            </w:r>
          </w:p>
        </w:tc>
      </w:tr>
      <w:tr>
        <w:trPr>
          <w:cantSplit/>
        </w:trPr>
        <w:tc>
          <w:tcPr>
            <w:tcW w:w="4187" w:type="dxa"/>
          </w:tcPr>
          <w:p>
            <w:pPr>
              <w:pStyle w:val="Compact"/>
              <w:spacing w:before="0" w:after="0" w:lineRule="exact" w:line="220"/>
              <w:jc w:val="left"/>
            </w:pPr>
            <w:r>
              <w:rPr>
                <w:sz w:val="18"/>
              </w:rPr>
              <w:t xml:space="preserve">Net entry: sellers who began in 2023, less those who stopped</w:t>
            </w:r>
          </w:p>
        </w:tc>
        <w:tc>
          <w:tcPr>
            <w:tcW w:w="1570" w:type="dxa"/>
          </w:tcPr>
          <w:p>
            <w:pPr>
              <w:pStyle w:val="Compact"/>
              <w:spacing w:before="0" w:after="0" w:lineRule="exact" w:line="220"/>
              <w:jc w:val="left"/>
            </w:pPr>
            <w:r>
              <w:rPr>
                <w:sz w:val="18"/>
              </w:rPr>
              <w:t xml:space="preserve">513 (63%)</w:t>
            </w:r>
          </w:p>
        </w:tc>
        <w:tc>
          <w:tcPr>
            <w:tcW w:w="2747" w:type="dxa"/>
          </w:tcPr>
          <w:p>
            <w:pPr>
              <w:pStyle w:val="Compact"/>
              <w:spacing w:before="0" w:after="0" w:lineRule="exact" w:line="220"/>
              <w:jc w:val="left"/>
            </w:pPr>
            <w:r>
              <w:rPr>
                <w:sz w:val="18"/>
              </w:rPr>
              <w:t xml:space="preserve">361 (44%)</w:t>
            </w:r>
          </w:p>
        </w:tc>
      </w:tr>
      <w:tr>
        <w:trPr>
          <w:cantSplit/>
        </w:trPr>
        <w:tc>
          <w:tcPr>
            <w:tcW w:w="4187" w:type="dxa"/>
          </w:tcPr>
          <w:p>
            <w:pPr>
              <w:pStyle w:val="Compact"/>
              <w:spacing w:before="0" w:after="0" w:lineRule="exact" w:line="220"/>
              <w:jc w:val="left"/>
            </w:pPr>
            <w:r>
              <w:rPr>
                <w:sz w:val="18"/>
              </w:rPr>
              <w:t xml:space="preserve">Earlier sellers newly counted above the whole 2022 count</w:t>
            </w:r>
          </w:p>
        </w:tc>
        <w:tc>
          <w:tcPr>
            <w:tcW w:w="1570" w:type="dxa"/>
          </w:tcPr>
          <w:p>
            <w:pPr>
              <w:pStyle w:val="Compact"/>
              <w:spacing w:before="0" w:after="0" w:lineRule="exact" w:line="220"/>
              <w:jc w:val="left"/>
            </w:pPr>
            <w:r>
              <w:rPr>
                <w:sz w:val="18"/>
              </w:rPr>
              <w:t xml:space="preserve">306 (37%)</w:t>
            </w:r>
          </w:p>
        </w:tc>
        <w:tc>
          <w:tcPr>
            <w:tcW w:w="2747" w:type="dxa"/>
          </w:tcPr>
          <w:p>
            <w:pPr>
              <w:pStyle w:val="Compact"/>
              <w:spacing w:before="0" w:after="0" w:lineRule="exact" w:line="220"/>
              <w:jc w:val="left"/>
            </w:pPr>
            <w:r>
              <w:rPr>
                <w:sz w:val="18"/>
              </w:rPr>
              <w:t xml:space="preserve">458 (56%)</w:t>
            </w:r>
          </w:p>
        </w:tc>
      </w:tr>
    </w:tbl>
    <w:p>
      <w:pPr>
        <w:pStyle w:val="TableNote"/>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5"/>
    <w:bookmarkStart w:id="69"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12. Figure 5 compares each group’s share of the extra count with its share of the 2022 count.</w:t>
      </w:r>
    </w:p>
    <w:p>
      <w:pPr>
        <w:pStyle w:val="BodyText"/>
        <w:keepNext/>
        <w:spacing w:before="200" w:after="0" w:line="240" w:lineRule="auto"/>
        <w:jc w:val="center"/>
      </w:pPr>
      <w:r>
        <w:drawing>
          <wp:inline>
            <wp:extent cx="5400000" cy="2130577"/>
            <wp:effectExtent b="0" l="0" r="0" t="0"/>
            <wp:docPr descr="" title="" id="67" name="Picture"/>
            <a:graphic>
              <a:graphicData uri="http://schemas.openxmlformats.org/drawingml/2006/picture">
                <pic:pic>
                  <pic:nvPicPr>
                    <pic:cNvPr descr="figures/fig5_4_extra_sellers.png" id="68" name="Picture"/>
                    <pic:cNvPicPr>
                      <a:picLocks noChangeArrowheads="1" noChangeAspect="1"/>
                    </pic:cNvPicPr>
                  </pic:nvPicPr>
                  <pic:blipFill>
                    <a:blip r:embed="rId66"/>
                    <a:stretch>
                      <a:fillRect/>
                    </a:stretch>
                  </pic:blipFill>
                  <pic:spPr bwMode="auto">
                    <a:xfrm>
                      <a:off x="0" y="0"/>
                      <a:ext cx="5400000" cy="2130577"/>
                    </a:xfrm>
                    <a:prstGeom prst="rect">
                      <a:avLst/>
                    </a:prstGeom>
                    <a:noFill/>
                    <a:ln w="9525">
                      <a:noFill/>
                      <a:headEnd/>
                      <a:tailEnd/>
                    </a:ln>
                  </pic:spPr>
                </pic:pic>
              </a:graphicData>
            </a:graphic>
          </wp:inline>
        </w:drawing>
      </w:r>
    </w:p>
    <w:p>
      <w:pPr>
        <w:pStyle w:val="FigureCaption"/>
        <w:keepNext/>
      </w:pPr>
      <w:r>
        <w:rPr>
          <w:b/>
        </w:rPr>
        <w:t>Figure 5.</w:t>
      </w:r>
      <w:r>
        <w:rPr>
          <w:b w:val="0"/>
        </w:rPr>
        <w:t xml:space="preserve"> Who the extra sellers were.</w:t>
      </w:r>
    </w:p>
    <w:p>
      <w:pPr>
        <w:pStyle w:val="TableNote"/>
      </w:pP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69"/>
    <w:bookmarkStart w:id="73"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6 shows the share of all sellers who keep them falling. The fall from 2020 to 2022 came while the survey appears to have counted the same kinds of seller. The fall in 2023 may partly reflect the chat-only sellers added to the count.</w:t>
      </w:r>
    </w:p>
    <w:p>
      <w:pPr>
        <w:pStyle w:val="BodyText"/>
        <w:keepNext/>
        <w:spacing w:before="200" w:after="0" w:line="240" w:lineRule="auto"/>
        <w:jc w:val="center"/>
      </w:pPr>
      <w:r>
        <w:drawing>
          <wp:inline>
            <wp:extent cx="5400000" cy="2475737"/>
            <wp:effectExtent b="0" l="0" r="0" t="0"/>
            <wp:docPr descr="" title="" id="71" name="Picture"/>
            <a:graphic>
              <a:graphicData uri="http://schemas.openxmlformats.org/drawingml/2006/picture">
                <pic:pic>
                  <pic:nvPicPr>
                    <pic:cNvPr descr="figures/fig5_5_marketplace_and_records.png" id="72" name="Picture"/>
                    <pic:cNvPicPr>
                      <a:picLocks noChangeArrowheads="1" noChangeAspect="1"/>
                    </pic:cNvPicPr>
                  </pic:nvPicPr>
                  <pic:blipFill>
                    <a:blip r:embed="rId70"/>
                    <a:stretch>
                      <a:fillRect/>
                    </a:stretch>
                  </pic:blipFill>
                  <pic:spPr bwMode="auto">
                    <a:xfrm>
                      <a:off x="0" y="0"/>
                      <a:ext cx="5400000" cy="2475737"/>
                    </a:xfrm>
                    <a:prstGeom prst="rect">
                      <a:avLst/>
                    </a:prstGeom>
                    <a:noFill/>
                    <a:ln w="9525">
                      <a:noFill/>
                      <a:headEnd/>
                      <a:tailEnd/>
                    </a:ln>
                  </pic:spPr>
                </pic:pic>
              </a:graphicData>
            </a:graphic>
          </wp:inline>
        </w:drawing>
      </w:r>
    </w:p>
    <w:p>
      <w:pPr>
        <w:pStyle w:val="FigureCaption"/>
        <w:keepNext/>
      </w:pPr>
      <w:r>
        <w:rPr>
          <w:b/>
        </w:rPr>
        <w:t>Figure 6.</w:t>
      </w:r>
      <w:r>
        <w:rPr>
          <w:b w:val="0"/>
        </w:rPr>
        <w:t xml:space="preserve"> Marketplace use and financial statements, 2020 to 2024.</w:t>
      </w:r>
    </w:p>
    <w:p>
      <w:pPr>
        <w:pStyle w:val="TableNote"/>
      </w:pP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3"/>
    <w:bookmarkStart w:id="74"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7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4"/>
    <w:bookmarkEnd w:id="75"/>
    <w:bookmarkStart w:id="82" w:name="Xe0441c9582f81187c78ef6427e0713534e3618d"/>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6"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13 lists each rule with the part it acts on and the section of Chapter 5 that measures that part.</w:t>
      </w:r>
    </w:p>
    <w:p>
      <w:pPr>
        <w:pStyle w:val="TableCaption"/>
      </w:pPr>
      <w:r>
        <w:rPr>
          <w:b/>
        </w:rPr>
        <w:t>Table 13.</w:t>
      </w:r>
      <w:r>
        <w:rPr>
          <w:b w:val="0"/>
        </w:rPr>
        <w:t xml:space="preserve"> Indonesia’s recent rules and what each acts 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83"/>
        <w:gridCol w:w="2280"/>
        <w:gridCol w:w="1320"/>
        <w:gridCol w:w="940"/>
        <w:gridCol w:w="2280"/>
      </w:tblGrid>
      <w:tr>
        <w:trPr>
          <w:tblHeader w:val="true"/>
          <w:cantSplit/>
          <w:tblHeader/>
        </w:trPr>
        <w:tc>
          <w:tcPr>
            <w:tcW w:w="1683" w:type="dxa"/>
            <w:tcBorders>
              <w:bottom w:val="single" w:sz="5" w:space="0" w:color="000000"/>
            </w:tcBorders>
          </w:tcPr>
          <w:p>
            <w:pPr>
              <w:pStyle w:val="Compact"/>
              <w:spacing w:before="0" w:after="0" w:lineRule="exact" w:line="220"/>
              <w:jc w:val="left"/>
            </w:pPr>
            <w:r>
              <w:rPr>
                <w:b/>
                <w:sz w:val="18"/>
              </w:rPr>
              <w:t xml:space="preserve">Rule</w:t>
            </w:r>
          </w:p>
        </w:tc>
        <w:tc>
          <w:tcPr>
            <w:tcW w:w="2280" w:type="dxa"/>
            <w:tcBorders>
              <w:bottom w:val="single" w:sz="5" w:space="0" w:color="000000"/>
            </w:tcBorders>
          </w:tcPr>
          <w:p>
            <w:pPr>
              <w:pStyle w:val="Compact"/>
              <w:spacing w:before="0" w:after="0" w:lineRule="exact" w:line="220"/>
              <w:jc w:val="left"/>
            </w:pPr>
            <w:r>
              <w:rPr>
                <w:b/>
                <w:sz w:val="18"/>
              </w:rPr>
              <w:t xml:space="preserve">What it does</w:t>
            </w:r>
          </w:p>
        </w:tc>
        <w:tc>
          <w:tcPr>
            <w:tcW w:w="1320" w:type="dxa"/>
            <w:tcBorders>
              <w:bottom w:val="single" w:sz="5" w:space="0" w:color="000000"/>
            </w:tcBorders>
          </w:tcPr>
          <w:p>
            <w:pPr>
              <w:pStyle w:val="Compact"/>
              <w:spacing w:before="0" w:after="0" w:lineRule="exact" w:line="220"/>
              <w:jc w:val="left"/>
            </w:pPr>
            <w:r>
              <w:rPr>
                <w:b/>
                <w:sz w:val="18"/>
              </w:rPr>
              <w:t xml:space="preserve">What it acts on</w:t>
            </w:r>
          </w:p>
        </w:tc>
        <w:tc>
          <w:tcPr>
            <w:tcW w:w="940" w:type="dxa"/>
            <w:tcBorders>
              <w:bottom w:val="single" w:sz="5" w:space="0" w:color="000000"/>
            </w:tcBorders>
          </w:tcPr>
          <w:p>
            <w:pPr>
              <w:pStyle w:val="Compact"/>
              <w:spacing w:before="0" w:after="0" w:lineRule="exact" w:line="220"/>
              <w:jc w:val="left"/>
            </w:pPr>
            <w:r>
              <w:rPr>
                <w:b/>
                <w:sz w:val="18"/>
              </w:rPr>
              <w:t xml:space="preserve">Measured in</w:t>
            </w:r>
          </w:p>
        </w:tc>
        <w:tc>
          <w:tcPr>
            <w:tcW w:w="2280" w:type="dxa"/>
            <w:tcBorders>
              <w:bottom w:val="single" w:sz="5" w:space="0" w:color="000000"/>
            </w:tcBorders>
          </w:tcPr>
          <w:p>
            <w:pPr>
              <w:pStyle w:val="Compact"/>
              <w:spacing w:before="0" w:after="0" w:lineRule="exact" w:line="220"/>
              <w:jc w:val="left"/>
            </w:pPr>
            <w:r>
              <w:rPr>
                <w:b/>
                <w:sz w:val="18"/>
              </w:rPr>
              <w:t xml:space="preserve">Status of the text</w:t>
            </w:r>
          </w:p>
        </w:tc>
      </w:tr>
      <w:tr>
        <w:trPr>
          <w:cantSplit/>
        </w:trPr>
        <w:tc>
          <w:tcPr>
            <w:tcW w:w="1683" w:type="dxa"/>
          </w:tcPr>
          <w:p>
            <w:pPr>
              <w:pStyle w:val="Compact"/>
              <w:spacing w:before="0" w:after="0" w:lineRule="exact" w:line="220"/>
              <w:jc w:val="left"/>
            </w:pPr>
            <w:r>
              <w:rPr>
                <w:sz w:val="18"/>
              </w:rPr>
              <w:t xml:space="preserve">Commission cap (Transport Minister Decree KP-PHB 532/2026; Presidential Regulation 27/2026)</w:t>
            </w:r>
          </w:p>
        </w:tc>
        <w:tc>
          <w:tcPr>
            <w:tcW w:w="2280" w:type="dxa"/>
          </w:tcPr>
          <w:p>
            <w:pPr>
              <w:pStyle w:val="Compact"/>
              <w:spacing w:before="0" w:after="0" w:lineRule="exact" w:line="220"/>
              <w:jc w:val="left"/>
            </w:pPr>
            <w:r>
              <w:rPr>
                <w:sz w:val="18"/>
              </w:rPr>
              <w:t xml:space="preserve">Caps the commission on two-wheel passenger trips at 8 percent from 1 July 2026</w:t>
            </w:r>
          </w:p>
        </w:tc>
        <w:tc>
          <w:tcPr>
            <w:tcW w:w="1320" w:type="dxa"/>
          </w:tcPr>
          <w:p>
            <w:pPr>
              <w:pStyle w:val="Compact"/>
              <w:spacing w:before="0" w:after="0" w:lineRule="exact" w:line="220"/>
              <w:jc w:val="left"/>
            </w:pPr>
            <w:r>
              <w:rPr>
                <w:sz w:val="18"/>
              </w:rPr>
              <w:t xml:space="preserve">The fee rate, for one service</w:t>
            </w:r>
          </w:p>
        </w:tc>
        <w:tc>
          <w:tcPr>
            <w:tcW w:w="940" w:type="dxa"/>
          </w:tcPr>
          <w:p>
            <w:pPr>
              <w:pStyle w:val="Compact"/>
              <w:spacing w:before="0" w:after="0" w:lineRule="exact" w:line="220"/>
              <w:jc w:val="left"/>
            </w:pPr>
            <w:r>
              <w:rPr>
                <w:sz w:val="18"/>
              </w:rPr>
              <w:t xml:space="preserve">5.3</w:t>
            </w:r>
          </w:p>
        </w:tc>
        <w:tc>
          <w:tcPr>
            <w:tcW w:w="2280" w:type="dxa"/>
          </w:tcPr>
          <w:p>
            <w:pPr>
              <w:pStyle w:val="Compact"/>
              <w:spacing w:before="0" w:after="0" w:lineRule="exact" w:line="220"/>
              <w:jc w:val="left"/>
            </w:pPr>
            <w:r>
              <w:rPr>
                <w:sz w:val="18"/>
              </w:rPr>
              <w:t xml:space="preserve">Decree in force from July 2026; presidential regulation released 8 October 2026; neither text public when this thesis was written</w:t>
            </w:r>
          </w:p>
        </w:tc>
      </w:tr>
      <w:tr>
        <w:trPr>
          <w:cantSplit/>
        </w:trPr>
        <w:tc>
          <w:tcPr>
            <w:tcW w:w="1683" w:type="dxa"/>
          </w:tcPr>
          <w:p>
            <w:pPr>
              <w:pStyle w:val="Compact"/>
              <w:spacing w:before="0" w:after="0" w:lineRule="exact" w:line="220"/>
              <w:jc w:val="left"/>
            </w:pPr>
            <w:r>
              <w:rPr>
                <w:sz w:val="18"/>
              </w:rPr>
              <w:t xml:space="preserve">Discount rule (Trade Minister Regulation 19/2026, Art. 18)</w:t>
            </w:r>
          </w:p>
        </w:tc>
        <w:tc>
          <w:tcPr>
            <w:tcW w:w="2280" w:type="dxa"/>
          </w:tcPr>
          <w:p>
            <w:pPr>
              <w:pStyle w:val="Compact"/>
              <w:spacing w:before="0" w:after="0" w:lineRule="exact" w:line="220"/>
              <w:jc w:val="left"/>
            </w:pPr>
            <w:r>
              <w:rPr>
                <w:sz w:val="18"/>
              </w:rPr>
              <w:t xml:space="preserve">Requires every online trade operator, including ride-hailing apps that sell goods, to prevent repeated price subsidies that hurt local products and endless below-cost discounts</w:t>
            </w:r>
          </w:p>
        </w:tc>
        <w:tc>
          <w:tcPr>
            <w:tcW w:w="1320" w:type="dxa"/>
          </w:tcPr>
          <w:p>
            <w:pPr>
              <w:pStyle w:val="Compact"/>
              <w:spacing w:before="0" w:after="0" w:lineRule="exact" w:line="220"/>
              <w:jc w:val="left"/>
            </w:pPr>
            <w:r>
              <w:rPr>
                <w:sz w:val="18"/>
              </w:rPr>
              <w:t xml:space="preserve">The incentive rate</w:t>
            </w:r>
          </w:p>
        </w:tc>
        <w:tc>
          <w:tcPr>
            <w:tcW w:w="940" w:type="dxa"/>
          </w:tcPr>
          <w:p>
            <w:pPr>
              <w:pStyle w:val="Compact"/>
              <w:spacing w:before="0" w:after="0" w:lineRule="exact" w:line="220"/>
              <w:jc w:val="left"/>
            </w:pPr>
            <w:r>
              <w:rPr>
                <w:sz w:val="18"/>
              </w:rPr>
              <w:t xml:space="preserve">5.3</w:t>
            </w:r>
          </w:p>
        </w:tc>
        <w:tc>
          <w:tcPr>
            <w:tcW w:w="2280" w:type="dxa"/>
          </w:tcPr>
          <w:p>
            <w:pPr>
              <w:pStyle w:val="Compact"/>
              <w:spacing w:before="0" w:after="0" w:lineRule="exact" w:line="220"/>
              <w:jc w:val="left"/>
            </w:pPr>
            <w:r>
              <w:rPr>
                <w:sz w:val="18"/>
              </w:rPr>
              <w:t xml:space="preserve">Primary text read</w:t>
            </w:r>
          </w:p>
        </w:tc>
      </w:tr>
      <w:tr>
        <w:trPr>
          <w:cantSplit/>
        </w:trPr>
        <w:tc>
          <w:tcPr>
            <w:tcW w:w="1683" w:type="dxa"/>
          </w:tcPr>
          <w:p>
            <w:pPr>
              <w:pStyle w:val="Compact"/>
              <w:spacing w:before="0" w:after="0" w:lineRule="exact" w:line="220"/>
              <w:jc w:val="left"/>
            </w:pPr>
            <w:r>
              <w:rPr>
                <w:sz w:val="18"/>
              </w:rPr>
              <w:t xml:space="preserve">Marketplace tax (Finance Minister Regulation 37/2025)</w:t>
            </w:r>
          </w:p>
        </w:tc>
        <w:tc>
          <w:tcPr>
            <w:tcW w:w="2280" w:type="dxa"/>
          </w:tcPr>
          <w:p>
            <w:pPr>
              <w:pStyle w:val="Compact"/>
              <w:spacing w:before="0" w:after="0" w:lineRule="exact" w:line="220"/>
              <w:jc w:val="left"/>
            </w:pPr>
            <w:r>
              <w:rPr>
                <w:sz w:val="18"/>
              </w:rPr>
              <w:t xml:space="preserve">Designated marketplaces collect 0.5 percent of domestic sellers’ gross sales; individuals with sales up to Rp500 million a year are exempt; every seller gives a tax number or national ID</w:t>
            </w:r>
          </w:p>
        </w:tc>
        <w:tc>
          <w:tcPr>
            <w:tcW w:w="1320" w:type="dxa"/>
          </w:tcPr>
          <w:p>
            <w:pPr>
              <w:pStyle w:val="Compact"/>
              <w:spacing w:before="0" w:after="0" w:lineRule="exact" w:line="220"/>
              <w:jc w:val="left"/>
            </w:pPr>
            <w:r>
              <w:rPr>
                <w:sz w:val="18"/>
              </w:rPr>
              <w:t xml:space="preserve">Sellers’ sales inside marketplaces</w:t>
            </w:r>
          </w:p>
        </w:tc>
        <w:tc>
          <w:tcPr>
            <w:tcW w:w="940" w:type="dxa"/>
          </w:tcPr>
          <w:p>
            <w:pPr>
              <w:pStyle w:val="Compact"/>
              <w:spacing w:before="0" w:after="0" w:lineRule="exact" w:line="220"/>
              <w:jc w:val="left"/>
            </w:pPr>
            <w:r>
              <w:rPr>
                <w:sz w:val="18"/>
              </w:rPr>
              <w:t xml:space="preserve">5.9</w:t>
            </w:r>
          </w:p>
        </w:tc>
        <w:tc>
          <w:tcPr>
            <w:tcW w:w="2280" w:type="dxa"/>
          </w:tcPr>
          <w:p>
            <w:pPr>
              <w:pStyle w:val="Compact"/>
              <w:spacing w:before="0" w:after="0" w:lineRule="exact" w:line="220"/>
              <w:jc w:val="left"/>
            </w:pPr>
            <w:r>
              <w:rPr>
                <w:sz w:val="18"/>
              </w:rPr>
              <w:t xml:space="preserve">Primary text read; collected by Shopee, Tokopedia, Lazada and Blibli since 1 October 2026</w:t>
            </w:r>
          </w:p>
        </w:tc>
      </w:tr>
      <w:tr>
        <w:trPr>
          <w:cantSplit/>
        </w:trPr>
        <w:tc>
          <w:tcPr>
            <w:tcW w:w="1683" w:type="dxa"/>
          </w:tcPr>
          <w:p>
            <w:pPr>
              <w:pStyle w:val="Compact"/>
              <w:spacing w:before="0" w:after="0" w:lineRule="exact" w:line="220"/>
              <w:jc w:val="left"/>
            </w:pPr>
            <w:r>
              <w:rPr>
                <w:sz w:val="18"/>
              </w:rPr>
              <w:t xml:space="preserve">Small-business final tax (Government Regulation 20/2026)</w:t>
            </w:r>
          </w:p>
        </w:tc>
        <w:tc>
          <w:tcPr>
            <w:tcW w:w="2280" w:type="dxa"/>
          </w:tcPr>
          <w:p>
            <w:pPr>
              <w:pStyle w:val="Compact"/>
              <w:spacing w:before="0" w:after="0" w:lineRule="exact" w:line="220"/>
              <w:jc w:val="left"/>
            </w:pPr>
            <w:r>
              <w:rPr>
                <w:sz w:val="18"/>
              </w:rPr>
              <w:t xml:space="preserve">Keeps a 0.5 percent final tax on turnover up to Rp4.8 billion a year; excludes content creators</w:t>
            </w:r>
          </w:p>
        </w:tc>
        <w:tc>
          <w:tcPr>
            <w:tcW w:w="1320" w:type="dxa"/>
          </w:tcPr>
          <w:p>
            <w:pPr>
              <w:pStyle w:val="Compact"/>
              <w:spacing w:before="0" w:after="0" w:lineRule="exact" w:line="220"/>
              <w:jc w:val="left"/>
            </w:pPr>
            <w:r>
              <w:rPr>
                <w:sz w:val="18"/>
              </w:rPr>
              <w:t xml:space="preserve">Small sellers in every channel</w:t>
            </w:r>
          </w:p>
        </w:tc>
        <w:tc>
          <w:tcPr>
            <w:tcW w:w="940" w:type="dxa"/>
          </w:tcPr>
          <w:p>
            <w:pPr>
              <w:pStyle w:val="Compact"/>
              <w:spacing w:before="0" w:after="0" w:lineRule="exact" w:line="220"/>
              <w:jc w:val="left"/>
            </w:pPr>
            <w:r>
              <w:rPr>
                <w:sz w:val="18"/>
              </w:rPr>
              <w:t xml:space="preserve">Not measured</w:t>
            </w:r>
          </w:p>
        </w:tc>
        <w:tc>
          <w:tcPr>
            <w:tcW w:w="2280" w:type="dxa"/>
          </w:tcPr>
          <w:p>
            <w:pPr>
              <w:pStyle w:val="Compact"/>
              <w:spacing w:before="0" w:after="0" w:lineRule="exact" w:line="220"/>
              <w:jc w:val="left"/>
            </w:pPr>
            <w:r>
              <w:rPr>
                <w:sz w:val="18"/>
              </w:rPr>
              <w:t xml:space="preserve">Primary text read</w:t>
            </w:r>
          </w:p>
        </w:tc>
      </w:tr>
      <w:tr>
        <w:trPr>
          <w:cantSplit/>
        </w:trPr>
        <w:tc>
          <w:tcPr>
            <w:tcW w:w="1683" w:type="dxa"/>
          </w:tcPr>
          <w:p>
            <w:pPr>
              <w:pStyle w:val="Compact"/>
              <w:spacing w:before="0" w:after="0" w:lineRule="exact" w:line="220"/>
              <w:jc w:val="left"/>
            </w:pPr>
            <w:r>
              <w:rPr>
                <w:sz w:val="18"/>
              </w:rPr>
              <w:t xml:space="preserve">Platform data to BPS (BPS Regulation 4/2023)</w:t>
            </w:r>
          </w:p>
        </w:tc>
        <w:tc>
          <w:tcPr>
            <w:tcW w:w="2280" w:type="dxa"/>
          </w:tcPr>
          <w:p>
            <w:pPr>
              <w:pStyle w:val="Compact"/>
              <w:spacing w:before="0" w:after="0" w:lineRule="exact" w:line="220"/>
              <w:jc w:val="left"/>
            </w:pPr>
            <w:r>
              <w:rPr>
                <w:sz w:val="18"/>
              </w:rPr>
              <w:t xml:space="preserve">E-commerce operators must send BPS their revenue, transactions and numbers of sellers and buyers, with sanctions</w:t>
            </w:r>
          </w:p>
        </w:tc>
        <w:tc>
          <w:tcPr>
            <w:tcW w:w="1320" w:type="dxa"/>
          </w:tcPr>
          <w:p>
            <w:pPr>
              <w:pStyle w:val="Compact"/>
              <w:spacing w:before="0" w:after="0" w:lineRule="exact" w:line="220"/>
              <w:jc w:val="left"/>
            </w:pPr>
            <w:r>
              <w:rPr>
                <w:sz w:val="18"/>
              </w:rPr>
              <w:t xml:space="preserve">BPS’s coverage</w:t>
            </w:r>
          </w:p>
        </w:tc>
        <w:tc>
          <w:tcPr>
            <w:tcW w:w="940" w:type="dxa"/>
          </w:tcPr>
          <w:p>
            <w:pPr>
              <w:pStyle w:val="Compact"/>
              <w:spacing w:before="0" w:after="0" w:lineRule="exact" w:line="220"/>
              <w:jc w:val="left"/>
            </w:pPr>
            <w:r>
              <w:rPr>
                <w:sz w:val="18"/>
              </w:rPr>
              <w:t xml:space="preserve">5.10</w:t>
            </w:r>
          </w:p>
        </w:tc>
        <w:tc>
          <w:tcPr>
            <w:tcW w:w="2280" w:type="dxa"/>
          </w:tcPr>
          <w:p>
            <w:pPr>
              <w:pStyle w:val="Compact"/>
              <w:spacing w:before="0" w:after="0" w:lineRule="exact" w:line="220"/>
              <w:jc w:val="left"/>
            </w:pPr>
            <w:r>
              <w:rPr>
                <w:sz w:val="18"/>
              </w:rPr>
              <w:t xml:space="preserve">Primary text read</w:t>
            </w:r>
          </w:p>
        </w:tc>
      </w:tr>
      <w:tr>
        <w:trPr>
          <w:cantSplit/>
        </w:trPr>
        <w:tc>
          <w:tcPr>
            <w:tcW w:w="1683" w:type="dxa"/>
          </w:tcPr>
          <w:p>
            <w:pPr>
              <w:pStyle w:val="Compact"/>
              <w:spacing w:before="0" w:after="0" w:lineRule="exact" w:line="220"/>
              <w:jc w:val="left"/>
            </w:pPr>
            <w:r>
              <w:rPr>
                <w:sz w:val="18"/>
              </w:rPr>
              <w:t xml:space="preserve">Economic census 2026</w:t>
            </w:r>
          </w:p>
        </w:tc>
        <w:tc>
          <w:tcPr>
            <w:tcW w:w="2280" w:type="dxa"/>
          </w:tcPr>
          <w:p>
            <w:pPr>
              <w:pStyle w:val="Compact"/>
              <w:spacing w:before="0" w:after="0" w:lineRule="exact" w:line="220"/>
              <w:jc w:val="left"/>
            </w:pPr>
            <w:r>
              <w:rPr>
                <w:sz w:val="18"/>
              </w:rPr>
              <w:t xml:space="preserve">Door-to-door count of all businesses, including online selling, affiliates and influencers</w:t>
            </w:r>
          </w:p>
        </w:tc>
        <w:tc>
          <w:tcPr>
            <w:tcW w:w="1320" w:type="dxa"/>
          </w:tcPr>
          <w:p>
            <w:pPr>
              <w:pStyle w:val="Compact"/>
              <w:spacing w:before="0" w:after="0" w:lineRule="exact" w:line="220"/>
              <w:jc w:val="left"/>
            </w:pPr>
            <w:r>
              <w:rPr>
                <w:sz w:val="18"/>
              </w:rPr>
              <w:t xml:space="preserve">BPS’s sampling frame</w:t>
            </w:r>
          </w:p>
        </w:tc>
        <w:tc>
          <w:tcPr>
            <w:tcW w:w="940" w:type="dxa"/>
          </w:tcPr>
          <w:p>
            <w:pPr>
              <w:pStyle w:val="Compact"/>
              <w:spacing w:before="0" w:after="0" w:lineRule="exact" w:line="220"/>
              <w:jc w:val="left"/>
            </w:pPr>
            <w:r>
              <w:rPr>
                <w:sz w:val="18"/>
              </w:rPr>
              <w:t xml:space="preserve">5.7</w:t>
            </w:r>
          </w:p>
        </w:tc>
        <w:tc>
          <w:tcPr>
            <w:tcW w:w="2280" w:type="dxa"/>
          </w:tcPr>
          <w:p>
            <w:pPr>
              <w:pStyle w:val="Compact"/>
              <w:spacing w:before="0" w:after="0" w:lineRule="exact" w:line="220"/>
              <w:jc w:val="left"/>
            </w:pPr>
            <w:r>
              <w:rPr>
                <w:sz w:val="18"/>
              </w:rPr>
              <w:t xml:space="preserve">News reports; results not yet released</w:t>
            </w:r>
          </w:p>
        </w:tc>
      </w:tr>
      <w:tr>
        <w:trPr>
          <w:cantSplit/>
        </w:trPr>
        <w:tc>
          <w:tcPr>
            <w:tcW w:w="1683" w:type="dxa"/>
          </w:tcPr>
          <w:p>
            <w:pPr>
              <w:pStyle w:val="Compact"/>
              <w:spacing w:before="0" w:after="0" w:lineRule="exact" w:line="220"/>
              <w:jc w:val="left"/>
            </w:pPr>
            <w:r>
              <w:rPr>
                <w:sz w:val="18"/>
              </w:rPr>
              <w:t xml:space="preserve">Ban on payments on social media (Trade Minister Regulation 31/2023, carried into Regulation 19/2026)</w:t>
            </w:r>
          </w:p>
        </w:tc>
        <w:tc>
          <w:tcPr>
            <w:tcW w:w="2280" w:type="dxa"/>
          </w:tcPr>
          <w:p>
            <w:pPr>
              <w:pStyle w:val="Compact"/>
              <w:spacing w:before="0" w:after="0" w:lineRule="exact" w:line="220"/>
              <w:jc w:val="left"/>
            </w:pPr>
            <w:r>
              <w:rPr>
                <w:sz w:val="18"/>
              </w:rPr>
              <w:t xml:space="preserve">Bars social media platforms from handling payments for sales</w:t>
            </w:r>
          </w:p>
        </w:tc>
        <w:tc>
          <w:tcPr>
            <w:tcW w:w="1320" w:type="dxa"/>
          </w:tcPr>
          <w:p>
            <w:pPr>
              <w:pStyle w:val="Compact"/>
              <w:spacing w:before="0" w:after="0" w:lineRule="exact" w:line="220"/>
              <w:jc w:val="left"/>
            </w:pPr>
            <w:r>
              <w:rPr>
                <w:sz w:val="18"/>
              </w:rPr>
              <w:t xml:space="preserve">Where online sales are paid</w:t>
            </w:r>
          </w:p>
        </w:tc>
        <w:tc>
          <w:tcPr>
            <w:tcW w:w="940" w:type="dxa"/>
          </w:tcPr>
          <w:p>
            <w:pPr>
              <w:pStyle w:val="Compact"/>
              <w:spacing w:before="0" w:after="0" w:lineRule="exact" w:line="220"/>
              <w:jc w:val="left"/>
            </w:pPr>
            <w:r>
              <w:rPr>
                <w:sz w:val="18"/>
              </w:rPr>
              <w:t xml:space="preserve">5.9</w:t>
            </w:r>
          </w:p>
        </w:tc>
        <w:tc>
          <w:tcPr>
            <w:tcW w:w="2280" w:type="dxa"/>
          </w:tcPr>
          <w:p>
            <w:pPr>
              <w:pStyle w:val="Compact"/>
              <w:spacing w:before="0" w:after="0" w:lineRule="exact" w:line="220"/>
              <w:jc w:val="left"/>
            </w:pPr>
            <w:r>
              <w:rPr>
                <w:sz w:val="18"/>
              </w:rPr>
              <w:t xml:space="preserve">Primary text read</w:t>
            </w:r>
          </w:p>
        </w:tc>
      </w:tr>
    </w:tbl>
    <w:p>
      <w:pPr>
        <w:pStyle w:val="TableNote"/>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1, from the take rate outward.</w:t>
      </w:r>
    </w:p>
    <w:bookmarkEnd w:id="76"/>
    <w:bookmarkStart w:id="77"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11.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7"/>
    <w:bookmarkStart w:id="78"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78"/>
    <w:bookmarkStart w:id="79"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79"/>
    <w:bookmarkStart w:id="80"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14 lists them with the date each is scored.</w:t>
      </w:r>
    </w:p>
    <w:p>
      <w:pPr>
        <w:pStyle w:val="TableCaption"/>
      </w:pPr>
      <w:r>
        <w:rPr>
          <w:b/>
        </w:rPr>
        <w:t>Table 14.</w:t>
      </w:r>
      <w:r>
        <w:rPr>
          <w:b w:val="0"/>
        </w:rPr>
        <w:t xml:space="preserve"> Registered predictions on the 2026 rules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3688"/>
        <w:gridCol w:w="2271"/>
        <w:gridCol w:w="1320"/>
      </w:tblGrid>
      <w:tr>
        <w:trPr>
          <w:tblHeader w:val="true"/>
          <w:cantSplit/>
          <w:tblHeader/>
        </w:trPr>
        <w:tc>
          <w:tcPr>
            <w:tcW w:w="1225" w:type="dxa"/>
            <w:tcBorders>
              <w:bottom w:val="single" w:sz="5" w:space="0" w:color="000000"/>
            </w:tcBorders>
          </w:tcPr>
          <w:p>
            <w:pPr>
              <w:pStyle w:val="Compact"/>
              <w:spacing w:before="0" w:after="0" w:lineRule="exact" w:line="220"/>
              <w:jc w:val="left"/>
            </w:pPr>
            <w:r>
              <w:rPr>
                <w:b/>
                <w:sz w:val="18"/>
              </w:rPr>
              <w:t xml:space="preserve">Prediction</w:t>
            </w:r>
          </w:p>
        </w:tc>
        <w:tc>
          <w:tcPr>
            <w:tcW w:w="3688" w:type="dxa"/>
            <w:tcBorders>
              <w:bottom w:val="single" w:sz="5" w:space="0" w:color="000000"/>
            </w:tcBorders>
          </w:tcPr>
          <w:p>
            <w:pPr>
              <w:pStyle w:val="Compact"/>
              <w:spacing w:before="0" w:after="0" w:lineRule="exact" w:line="220"/>
              <w:jc w:val="left"/>
            </w:pPr>
            <w:r>
              <w:rPr>
                <w:b/>
                <w:sz w:val="18"/>
              </w:rPr>
              <w:t xml:space="preserve">What it expects</w:t>
            </w:r>
          </w:p>
        </w:tc>
        <w:tc>
          <w:tcPr>
            <w:tcW w:w="2271" w:type="dxa"/>
            <w:tcBorders>
              <w:bottom w:val="single" w:sz="5" w:space="0" w:color="000000"/>
            </w:tcBorders>
          </w:tcPr>
          <w:p>
            <w:pPr>
              <w:pStyle w:val="Compact"/>
              <w:spacing w:before="0" w:after="0" w:lineRule="exact" w:line="220"/>
              <w:jc w:val="left"/>
            </w:pPr>
            <w:r>
              <w:rPr>
                <w:b/>
                <w:sz w:val="18"/>
              </w:rPr>
              <w:t xml:space="preserve">Bears on</w:t>
            </w:r>
          </w:p>
        </w:tc>
        <w:tc>
          <w:tcPr>
            <w:tcW w:w="1320" w:type="dxa"/>
            <w:tcBorders>
              <w:bottom w:val="single" w:sz="5" w:space="0" w:color="000000"/>
            </w:tcBorders>
          </w:tcPr>
          <w:p>
            <w:pPr>
              <w:pStyle w:val="Compact"/>
              <w:spacing w:before="0" w:after="0" w:lineRule="exact" w:line="220"/>
              <w:jc w:val="left"/>
            </w:pPr>
            <w:r>
              <w:rPr>
                <w:b/>
                <w:sz w:val="18"/>
              </w:rPr>
              <w:t xml:space="preserve">Scored</w:t>
            </w:r>
          </w:p>
        </w:tc>
      </w:tr>
      <w:tr>
        <w:trPr>
          <w:cantSplit/>
        </w:trPr>
        <w:tc>
          <w:tcPr>
            <w:tcW w:w="1225" w:type="dxa"/>
          </w:tcPr>
          <w:p>
            <w:pPr>
              <w:pStyle w:val="Compact"/>
              <w:spacing w:before="0" w:after="0" w:lineRule="exact" w:line="220"/>
              <w:jc w:val="left"/>
            </w:pPr>
            <w:r>
              <w:rPr>
                <w:sz w:val="18"/>
              </w:rPr>
              <w:t xml:space="preserve">P1</w:t>
            </w:r>
          </w:p>
        </w:tc>
        <w:tc>
          <w:tcPr>
            <w:tcW w:w="3688" w:type="dxa"/>
          </w:tcPr>
          <w:p>
            <w:pPr>
              <w:pStyle w:val="Compact"/>
              <w:spacing w:before="0" w:after="0" w:lineRule="exact" w:line="220"/>
              <w:jc w:val="left"/>
            </w:pPr>
            <w:r>
              <w:rPr>
                <w:sz w:val="18"/>
              </w:rPr>
              <w:t xml:space="preserve">GoTo’s on-demand take rate falls by 0.3 to 2.5 points from the second quarter of 2026</w:t>
            </w:r>
          </w:p>
        </w:tc>
        <w:tc>
          <w:tcPr>
            <w:tcW w:w="2271" w:type="dxa"/>
          </w:tcPr>
          <w:p>
            <w:pPr>
              <w:pStyle w:val="Compact"/>
              <w:spacing w:before="0" w:after="0" w:lineRule="exact" w:line="220"/>
              <w:jc w:val="left"/>
            </w:pPr>
            <w:r>
              <w:rPr>
                <w:sz w:val="18"/>
              </w:rPr>
              <w:t xml:space="preserve">Commission cap</w:t>
            </w:r>
          </w:p>
        </w:tc>
        <w:tc>
          <w:tcPr>
            <w:tcW w:w="1320" w:type="dxa"/>
          </w:tcPr>
          <w:p>
            <w:pPr>
              <w:pStyle w:val="Compact"/>
              <w:spacing w:before="0" w:after="0" w:lineRule="exact" w:line="220"/>
              <w:jc w:val="left"/>
            </w:pPr>
            <w:r>
              <w:rPr>
                <w:sz w:val="18"/>
              </w:rPr>
              <w:t xml:space="preserve">Late October 2026</w:t>
            </w:r>
          </w:p>
        </w:tc>
      </w:tr>
      <w:tr>
        <w:trPr>
          <w:cantSplit/>
        </w:trPr>
        <w:tc>
          <w:tcPr>
            <w:tcW w:w="1225" w:type="dxa"/>
          </w:tcPr>
          <w:p>
            <w:pPr>
              <w:pStyle w:val="Compact"/>
              <w:spacing w:before="0" w:after="0" w:lineRule="exact" w:line="220"/>
              <w:jc w:val="left"/>
            </w:pPr>
            <w:r>
              <w:rPr>
                <w:sz w:val="18"/>
              </w:rPr>
              <w:t xml:space="preserve">P3</w:t>
            </w:r>
          </w:p>
        </w:tc>
        <w:tc>
          <w:tcPr>
            <w:tcW w:w="3688" w:type="dxa"/>
          </w:tcPr>
          <w:p>
            <w:pPr>
              <w:pStyle w:val="Compact"/>
              <w:spacing w:before="0" w:after="0" w:lineRule="exact" w:line="220"/>
              <w:jc w:val="left"/>
            </w:pPr>
            <w:r>
              <w:rPr>
                <w:sz w:val="18"/>
              </w:rPr>
              <w:t xml:space="preserve">GoTo’s on-demand transaction value grows by 0 to 12 percent on a year earlier</w:t>
            </w:r>
          </w:p>
        </w:tc>
        <w:tc>
          <w:tcPr>
            <w:tcW w:w="2271" w:type="dxa"/>
          </w:tcPr>
          <w:p>
            <w:pPr>
              <w:pStyle w:val="Compact"/>
              <w:spacing w:before="0" w:after="0" w:lineRule="exact" w:line="220"/>
              <w:jc w:val="left"/>
            </w:pPr>
            <w:r>
              <w:rPr>
                <w:sz w:val="18"/>
              </w:rPr>
              <w:t xml:space="preserve">Commission cap</w:t>
            </w:r>
          </w:p>
        </w:tc>
        <w:tc>
          <w:tcPr>
            <w:tcW w:w="1320" w:type="dxa"/>
          </w:tcPr>
          <w:p>
            <w:pPr>
              <w:pStyle w:val="Compact"/>
              <w:spacing w:before="0" w:after="0" w:lineRule="exact" w:line="220"/>
              <w:jc w:val="left"/>
            </w:pPr>
            <w:r>
              <w:rPr>
                <w:sz w:val="18"/>
              </w:rPr>
              <w:t xml:space="preserve">Late October 2026</w:t>
            </w:r>
          </w:p>
        </w:tc>
      </w:tr>
      <w:tr>
        <w:trPr>
          <w:cantSplit/>
        </w:trPr>
        <w:tc>
          <w:tcPr>
            <w:tcW w:w="1225" w:type="dxa"/>
          </w:tcPr>
          <w:p>
            <w:pPr>
              <w:pStyle w:val="Compact"/>
              <w:spacing w:before="0" w:after="0" w:lineRule="exact" w:line="220"/>
              <w:jc w:val="left"/>
            </w:pPr>
            <w:r>
              <w:rPr>
                <w:sz w:val="18"/>
              </w:rPr>
              <w:t xml:space="preserve">P5</w:t>
            </w:r>
          </w:p>
        </w:tc>
        <w:tc>
          <w:tcPr>
            <w:tcW w:w="3688" w:type="dxa"/>
          </w:tcPr>
          <w:p>
            <w:pPr>
              <w:pStyle w:val="Compact"/>
              <w:spacing w:before="0" w:after="0" w:lineRule="exact" w:line="220"/>
              <w:jc w:val="left"/>
            </w:pPr>
            <w:r>
              <w:rPr>
                <w:sz w:val="18"/>
              </w:rPr>
              <w:t xml:space="preserve">GoTo’s on-demand transaction value grows by at least 5 percent; the prediction fails only below 2 percent</w:t>
            </w:r>
          </w:p>
        </w:tc>
        <w:tc>
          <w:tcPr>
            <w:tcW w:w="2271" w:type="dxa"/>
          </w:tcPr>
          <w:p>
            <w:pPr>
              <w:pStyle w:val="Compact"/>
              <w:spacing w:before="0" w:after="0" w:lineRule="exact" w:line="220"/>
              <w:jc w:val="left"/>
            </w:pPr>
            <w:r>
              <w:rPr>
                <w:sz w:val="18"/>
              </w:rPr>
              <w:t xml:space="preserve">Commission cap, with spending on growth</w:t>
            </w:r>
          </w:p>
        </w:tc>
        <w:tc>
          <w:tcPr>
            <w:tcW w:w="1320" w:type="dxa"/>
          </w:tcPr>
          <w:p>
            <w:pPr>
              <w:pStyle w:val="Compact"/>
              <w:spacing w:before="0" w:after="0" w:lineRule="exact" w:line="220"/>
              <w:jc w:val="left"/>
            </w:pPr>
            <w:r>
              <w:rPr>
                <w:sz w:val="18"/>
              </w:rPr>
              <w:t xml:space="preserve">Late October 2026</w:t>
            </w:r>
          </w:p>
        </w:tc>
      </w:tr>
      <w:tr>
        <w:trPr>
          <w:cantSplit/>
        </w:trPr>
        <w:tc>
          <w:tcPr>
            <w:tcW w:w="1225" w:type="dxa"/>
          </w:tcPr>
          <w:p>
            <w:pPr>
              <w:pStyle w:val="Compact"/>
              <w:spacing w:before="0" w:after="0" w:lineRule="exact" w:line="220"/>
              <w:jc w:val="left"/>
            </w:pPr>
            <w:r>
              <w:rPr>
                <w:sz w:val="18"/>
              </w:rPr>
              <w:t xml:space="preserve">R1</w:t>
            </w:r>
          </w:p>
        </w:tc>
        <w:tc>
          <w:tcPr>
            <w:tcW w:w="3688" w:type="dxa"/>
          </w:tcPr>
          <w:p>
            <w:pPr>
              <w:pStyle w:val="Compact"/>
              <w:spacing w:before="0" w:after="0" w:lineRule="exact" w:line="220"/>
              <w:jc w:val="left"/>
            </w:pPr>
            <w:r>
              <w:rPr>
                <w:sz w:val="18"/>
              </w:rPr>
              <w:t xml:space="preserve">GoTo’s on-demand revenue growth less transaction value growth lies between −0.5 and +12.5 points; it follows from P1 and P3</w:t>
            </w:r>
          </w:p>
        </w:tc>
        <w:tc>
          <w:tcPr>
            <w:tcW w:w="2271" w:type="dxa"/>
          </w:tcPr>
          <w:p>
            <w:pPr>
              <w:pStyle w:val="Compact"/>
              <w:spacing w:before="0" w:after="0" w:lineRule="exact" w:line="220"/>
              <w:jc w:val="left"/>
            </w:pPr>
            <w:r>
              <w:rPr>
                <w:sz w:val="18"/>
              </w:rPr>
              <w:t xml:space="preserve">Commission cap</w:t>
            </w:r>
          </w:p>
        </w:tc>
        <w:tc>
          <w:tcPr>
            <w:tcW w:w="1320" w:type="dxa"/>
          </w:tcPr>
          <w:p>
            <w:pPr>
              <w:pStyle w:val="Compact"/>
              <w:spacing w:before="0" w:after="0" w:lineRule="exact" w:line="220"/>
              <w:jc w:val="left"/>
            </w:pPr>
            <w:r>
              <w:rPr>
                <w:sz w:val="18"/>
              </w:rPr>
              <w:t xml:space="preserve">Late October 2026</w:t>
            </w:r>
          </w:p>
        </w:tc>
      </w:tr>
      <w:tr>
        <w:trPr>
          <w:cantSplit/>
        </w:trPr>
        <w:tc>
          <w:tcPr>
            <w:tcW w:w="1225" w:type="dxa"/>
          </w:tcPr>
          <w:p>
            <w:pPr>
              <w:pStyle w:val="Compact"/>
              <w:spacing w:before="0" w:after="0" w:lineRule="exact" w:line="220"/>
              <w:jc w:val="left"/>
            </w:pPr>
            <w:r>
              <w:rPr>
                <w:sz w:val="18"/>
              </w:rPr>
              <w:t xml:space="preserve">R2</w:t>
            </w:r>
          </w:p>
        </w:tc>
        <w:tc>
          <w:tcPr>
            <w:tcW w:w="3688" w:type="dxa"/>
          </w:tcPr>
          <w:p>
            <w:pPr>
              <w:pStyle w:val="Compact"/>
              <w:spacing w:before="0" w:after="0" w:lineRule="exact" w:line="220"/>
              <w:jc w:val="left"/>
            </w:pPr>
            <w:r>
              <w:rPr>
                <w:sz w:val="18"/>
              </w:rPr>
              <w:t xml:space="preserve">GoTo’s on-demand transaction value grows more slowly than household spending</w:t>
            </w:r>
          </w:p>
        </w:tc>
        <w:tc>
          <w:tcPr>
            <w:tcW w:w="2271" w:type="dxa"/>
          </w:tcPr>
          <w:p>
            <w:pPr>
              <w:pStyle w:val="Compact"/>
              <w:spacing w:before="0" w:after="0" w:lineRule="exact" w:line="220"/>
              <w:jc w:val="left"/>
            </w:pPr>
            <w:r>
              <w:rPr>
                <w:sz w:val="18"/>
              </w:rPr>
              <w:t xml:space="preserve">Buying through platforms</w:t>
            </w:r>
          </w:p>
        </w:tc>
        <w:tc>
          <w:tcPr>
            <w:tcW w:w="1320" w:type="dxa"/>
          </w:tcPr>
          <w:p>
            <w:pPr>
              <w:pStyle w:val="Compact"/>
              <w:spacing w:before="0" w:after="0" w:lineRule="exact" w:line="220"/>
              <w:jc w:val="left"/>
            </w:pPr>
            <w:r>
              <w:rPr>
                <w:sz w:val="18"/>
              </w:rPr>
              <w:t xml:space="preserve">Early November 2026</w:t>
            </w:r>
          </w:p>
        </w:tc>
      </w:tr>
      <w:tr>
        <w:trPr>
          <w:cantSplit/>
        </w:trPr>
        <w:tc>
          <w:tcPr>
            <w:tcW w:w="1225" w:type="dxa"/>
          </w:tcPr>
          <w:p>
            <w:pPr>
              <w:pStyle w:val="Compact"/>
              <w:spacing w:before="0" w:after="0" w:lineRule="exact" w:line="220"/>
              <w:jc w:val="left"/>
            </w:pPr>
            <w:r>
              <w:rPr>
                <w:sz w:val="18"/>
              </w:rPr>
              <w:t xml:space="preserve">P2</w:t>
            </w:r>
          </w:p>
        </w:tc>
        <w:tc>
          <w:tcPr>
            <w:tcW w:w="3688" w:type="dxa"/>
          </w:tcPr>
          <w:p>
            <w:pPr>
              <w:pStyle w:val="Compact"/>
              <w:spacing w:before="0" w:after="0" w:lineRule="exact" w:line="220"/>
              <w:jc w:val="left"/>
            </w:pPr>
            <w:r>
              <w:rPr>
                <w:sz w:val="18"/>
              </w:rPr>
              <w:t xml:space="preserve">Grab’s on-demand take rate stays within −0.6 to +0.4 points of the second quarter</w:t>
            </w:r>
          </w:p>
        </w:tc>
        <w:tc>
          <w:tcPr>
            <w:tcW w:w="2271" w:type="dxa"/>
          </w:tcPr>
          <w:p>
            <w:pPr>
              <w:pStyle w:val="Compact"/>
              <w:spacing w:before="0" w:after="0" w:lineRule="exact" w:line="220"/>
              <w:jc w:val="left"/>
            </w:pPr>
            <w:r>
              <w:rPr>
                <w:sz w:val="18"/>
              </w:rPr>
              <w:t xml:space="preserve">Commission cap</w:t>
            </w:r>
          </w:p>
        </w:tc>
        <w:tc>
          <w:tcPr>
            <w:tcW w:w="1320" w:type="dxa"/>
          </w:tcPr>
          <w:p>
            <w:pPr>
              <w:pStyle w:val="Compact"/>
              <w:spacing w:before="0" w:after="0" w:lineRule="exact" w:line="220"/>
              <w:jc w:val="left"/>
            </w:pPr>
            <w:r>
              <w:rPr>
                <w:sz w:val="18"/>
              </w:rPr>
              <w:t xml:space="preserve">Mid-November 2026</w:t>
            </w:r>
          </w:p>
        </w:tc>
      </w:tr>
      <w:tr>
        <w:trPr>
          <w:cantSplit/>
        </w:trPr>
        <w:tc>
          <w:tcPr>
            <w:tcW w:w="1225" w:type="dxa"/>
          </w:tcPr>
          <w:p>
            <w:pPr>
              <w:pStyle w:val="Compact"/>
              <w:spacing w:before="0" w:after="0" w:lineRule="exact" w:line="220"/>
              <w:jc w:val="left"/>
            </w:pPr>
            <w:r>
              <w:rPr>
                <w:sz w:val="18"/>
              </w:rPr>
              <w:t xml:space="preserve">P4</w:t>
            </w:r>
          </w:p>
        </w:tc>
        <w:tc>
          <w:tcPr>
            <w:tcW w:w="3688" w:type="dxa"/>
          </w:tcPr>
          <w:p>
            <w:pPr>
              <w:pStyle w:val="Compact"/>
              <w:spacing w:before="0" w:after="0" w:lineRule="exact" w:line="220"/>
              <w:jc w:val="left"/>
            </w:pPr>
            <w:r>
              <w:rPr>
                <w:sz w:val="18"/>
              </w:rPr>
              <w:t xml:space="preserve">Grab’s change in the rides take rate, less its change in the deliveries take rate, is at most +0.3 points</w:t>
            </w:r>
          </w:p>
        </w:tc>
        <w:tc>
          <w:tcPr>
            <w:tcW w:w="2271" w:type="dxa"/>
          </w:tcPr>
          <w:p>
            <w:pPr>
              <w:pStyle w:val="Compact"/>
              <w:spacing w:before="0" w:after="0" w:lineRule="exact" w:line="220"/>
              <w:jc w:val="left"/>
            </w:pPr>
            <w:r>
              <w:rPr>
                <w:sz w:val="18"/>
              </w:rPr>
              <w:t xml:space="preserve">Commission cap</w:t>
            </w:r>
          </w:p>
        </w:tc>
        <w:tc>
          <w:tcPr>
            <w:tcW w:w="1320" w:type="dxa"/>
          </w:tcPr>
          <w:p>
            <w:pPr>
              <w:pStyle w:val="Compact"/>
              <w:spacing w:before="0" w:after="0" w:lineRule="exact" w:line="220"/>
              <w:jc w:val="left"/>
            </w:pPr>
            <w:r>
              <w:rPr>
                <w:sz w:val="18"/>
              </w:rPr>
              <w:t xml:space="preserve">Mid-November 2026</w:t>
            </w:r>
          </w:p>
        </w:tc>
      </w:tr>
      <w:tr>
        <w:trPr>
          <w:cantSplit/>
        </w:trPr>
        <w:tc>
          <w:tcPr>
            <w:tcW w:w="1225" w:type="dxa"/>
          </w:tcPr>
          <w:p>
            <w:pPr>
              <w:pStyle w:val="Compact"/>
              <w:spacing w:before="0" w:after="0" w:lineRule="exact" w:line="220"/>
              <w:jc w:val="left"/>
            </w:pPr>
            <w:r>
              <w:rPr>
                <w:sz w:val="18"/>
              </w:rPr>
              <w:t xml:space="preserve">R3</w:t>
            </w:r>
          </w:p>
        </w:tc>
        <w:tc>
          <w:tcPr>
            <w:tcW w:w="3688" w:type="dxa"/>
          </w:tcPr>
          <w:p>
            <w:pPr>
              <w:pStyle w:val="Compact"/>
              <w:spacing w:before="0" w:after="0" w:lineRule="exact" w:line="220"/>
              <w:jc w:val="left"/>
            </w:pPr>
            <w:r>
              <w:rPr>
                <w:sz w:val="18"/>
              </w:rPr>
              <w:t xml:space="preserve">Shopee’s revenue growth less its transaction value growth is at least +10 points</w:t>
            </w:r>
          </w:p>
        </w:tc>
        <w:tc>
          <w:tcPr>
            <w:tcW w:w="2271" w:type="dxa"/>
          </w:tcPr>
          <w:p>
            <w:pPr>
              <w:pStyle w:val="Compact"/>
              <w:spacing w:before="0" w:after="0" w:lineRule="exact" w:line="220"/>
              <w:jc w:val="left"/>
            </w:pPr>
            <w:r>
              <w:rPr>
                <w:sz w:val="18"/>
              </w:rPr>
              <w:t xml:space="preserve">Marketplace fees</w:t>
            </w:r>
          </w:p>
        </w:tc>
        <w:tc>
          <w:tcPr>
            <w:tcW w:w="1320" w:type="dxa"/>
          </w:tcPr>
          <w:p>
            <w:pPr>
              <w:pStyle w:val="Compact"/>
              <w:spacing w:before="0" w:after="0" w:lineRule="exact" w:line="220"/>
              <w:jc w:val="left"/>
            </w:pPr>
            <w:r>
              <w:rPr>
                <w:sz w:val="18"/>
              </w:rPr>
              <w:t xml:space="preserve">Mid-November 2026</w:t>
            </w:r>
          </w:p>
        </w:tc>
      </w:tr>
      <w:tr>
        <w:trPr>
          <w:cantSplit/>
        </w:trPr>
        <w:tc>
          <w:tcPr>
            <w:tcW w:w="1225" w:type="dxa"/>
          </w:tcPr>
          <w:p>
            <w:pPr>
              <w:pStyle w:val="Compact"/>
              <w:spacing w:before="0" w:after="0" w:lineRule="exact" w:line="220"/>
              <w:jc w:val="left"/>
            </w:pPr>
            <w:r>
              <w:rPr>
                <w:sz w:val="18"/>
              </w:rPr>
              <w:t xml:space="preserve">Marketplace share</w:t>
            </w:r>
          </w:p>
        </w:tc>
        <w:tc>
          <w:tcPr>
            <w:tcW w:w="3688" w:type="dxa"/>
          </w:tcPr>
          <w:p>
            <w:pPr>
              <w:pStyle w:val="Compact"/>
              <w:spacing w:before="0" w:after="0" w:lineRule="exact" w:line="220"/>
              <w:jc w:val="left"/>
            </w:pPr>
            <w:r>
              <w:rPr>
                <w:sz w:val="18"/>
              </w:rPr>
              <w:t xml:space="preserve">BPS’s next marketplace share of online sales value is at most 15.79 percent</w:t>
            </w:r>
          </w:p>
        </w:tc>
        <w:tc>
          <w:tcPr>
            <w:tcW w:w="2271" w:type="dxa"/>
          </w:tcPr>
          <w:p>
            <w:pPr>
              <w:pStyle w:val="Compact"/>
              <w:spacing w:before="0" w:after="0" w:lineRule="exact" w:line="220"/>
              <w:jc w:val="left"/>
            </w:pPr>
            <w:r>
              <w:rPr>
                <w:sz w:val="18"/>
              </w:rPr>
              <w:t xml:space="preserve">Reach of marketplace rules</w:t>
            </w:r>
          </w:p>
        </w:tc>
        <w:tc>
          <w:tcPr>
            <w:tcW w:w="1320" w:type="dxa"/>
          </w:tcPr>
          <w:p>
            <w:pPr>
              <w:pStyle w:val="Compact"/>
              <w:spacing w:before="0" w:after="0" w:lineRule="exact" w:line="220"/>
              <w:jc w:val="left"/>
            </w:pPr>
            <w:r>
              <w:rPr>
                <w:sz w:val="18"/>
              </w:rPr>
              <w:t xml:space="preserve">Next BPS release</w:t>
            </w:r>
          </w:p>
        </w:tc>
      </w:tr>
    </w:tbl>
    <w:p>
      <w:pPr>
        <w:pStyle w:val="TableNote"/>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bookmarkEnd w:id="80"/>
    <w:bookmarkStart w:id="81"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1"/>
    <w:bookmarkEnd w:id="82"/>
    <w:bookmarkStart w:id="88"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1. It then says what the answer adds for those who use the figures, reports the predictions that failed, states the limits of the evidence and sets out the next steps.</w:t>
      </w:r>
    </w:p>
    <w:bookmarkStart w:id="83"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3"/>
    <w:bookmarkStart w:id="84"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4"/>
    <w:bookmarkStart w:id="85"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5"/>
    <w:bookmarkStart w:id="86"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11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6"/>
    <w:bookmarkStart w:id="87"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7"/>
    <w:bookmarkEnd w:id="88"/>
    <w:bookmarkStart w:id="99"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3" w:name="X190ea442f22e8dfb253327d946eb3313b4f8b85"/>
    <w:p>
      <w:pPr>
        <w:pStyle w:val="Heading2"/>
      </w:pPr>
      <w:r>
        <w:t xml:space="preserve">Appendix A. Platforms, windows and the wedge by year</w:t>
      </w:r>
    </w:p>
    <w:bookmarkStart w:id="89" w:name="a.1-the-foreign-group-27-platforms"/>
    <w:p>
      <w:pPr>
        <w:pStyle w:val="Heading3"/>
      </w:pPr>
      <w:r>
        <w:t xml:space="preserve">A.1 The foreign group (27 platforms)</w:t>
      </w:r>
    </w:p>
    <w:p>
      <w:pPr>
        <w:pStyle w:val="FirstParagraph"/>
        <w:jc w:val="left"/>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20"/>
        <w:gridCol w:w="2025"/>
        <w:gridCol w:w="891"/>
        <w:gridCol w:w="3969"/>
      </w:tblGrid>
      <w:tr>
        <w:trPr>
          <w:tblHeader w:val="true"/>
          <w:cantSplit/>
          <w:tblHeader/>
        </w:trPr>
        <w:tc>
          <w:tcPr>
            <w:tcW w:w="1620" w:type="dxa"/>
            <w:tcBorders>
              <w:bottom w:val="single" w:sz="5" w:space="0" w:color="000000"/>
            </w:tcBorders>
          </w:tcPr>
          <w:p>
            <w:pPr>
              <w:pStyle w:val="Compact"/>
              <w:spacing w:before="0" w:after="0" w:lineRule="exact" w:line="220"/>
              <w:jc w:val="left"/>
            </w:pPr>
            <w:r>
              <w:rPr>
                <w:b/>
                <w:sz w:val="18"/>
              </w:rPr>
              <w:t xml:space="preserve">Platform</w:t>
            </w:r>
          </w:p>
        </w:tc>
        <w:tc>
          <w:tcPr>
            <w:tcW w:w="2025" w:type="dxa"/>
            <w:tcBorders>
              <w:bottom w:val="single" w:sz="5" w:space="0" w:color="000000"/>
            </w:tcBorders>
          </w:tcPr>
          <w:p>
            <w:pPr>
              <w:pStyle w:val="Compact"/>
              <w:spacing w:before="0" w:after="0" w:lineRule="exact" w:line="220"/>
              <w:jc w:val="left"/>
            </w:pPr>
            <w:r>
              <w:rPr>
                <w:b/>
                <w:sz w:val="18"/>
              </w:rPr>
              <w:t xml:space="preserve">Chosen first or added</w:t>
            </w:r>
          </w:p>
        </w:tc>
        <w:tc>
          <w:tcPr>
            <w:tcW w:w="891" w:type="dxa"/>
            <w:tcBorders>
              <w:bottom w:val="single" w:sz="5" w:space="0" w:color="000000"/>
            </w:tcBorders>
          </w:tcPr>
          <w:p>
            <w:pPr>
              <w:pStyle w:val="Compact"/>
              <w:spacing w:before="0" w:after="0" w:lineRule="exact" w:line="220"/>
              <w:jc w:val="left"/>
            </w:pPr>
            <w:r>
              <w:rPr>
                <w:b/>
                <w:sz w:val="18"/>
              </w:rPr>
              <w:t xml:space="preserve">Pairs</w:t>
            </w:r>
          </w:p>
        </w:tc>
        <w:tc>
          <w:tcPr>
            <w:tcW w:w="3969" w:type="dxa"/>
            <w:tcBorders>
              <w:bottom w:val="single" w:sz="5" w:space="0" w:color="000000"/>
            </w:tcBorders>
          </w:tcPr>
          <w:p>
            <w:pPr>
              <w:pStyle w:val="Compact"/>
              <w:spacing w:before="0" w:after="0" w:lineRule="exact" w:line="220"/>
              <w:jc w:val="left"/>
            </w:pPr>
            <w:r>
              <w:rPr>
                <w:b/>
                <w:sz w:val="18"/>
              </w:rPr>
              <w:t xml:space="preserve">Median size of yearly change in log take rate</w:t>
            </w:r>
          </w:p>
        </w:tc>
      </w:tr>
      <w:tr>
        <w:trPr>
          <w:cantSplit/>
        </w:trPr>
        <w:tc>
          <w:tcPr>
            <w:tcW w:w="1620" w:type="dxa"/>
          </w:tcPr>
          <w:p>
            <w:pPr>
              <w:pStyle w:val="Compact"/>
              <w:spacing w:before="0" w:after="0" w:lineRule="exact" w:line="220"/>
              <w:jc w:val="left"/>
            </w:pPr>
            <w:r>
              <w:rPr>
                <w:sz w:val="18"/>
              </w:rPr>
              <w:t xml:space="preserve">ACV Auctions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0.15</w:t>
            </w:r>
          </w:p>
        </w:tc>
      </w:tr>
      <w:tr>
        <w:trPr>
          <w:cantSplit/>
        </w:trPr>
        <w:tc>
          <w:tcPr>
            <w:tcW w:w="1620" w:type="dxa"/>
          </w:tcPr>
          <w:p>
            <w:pPr>
              <w:pStyle w:val="Compact"/>
              <w:spacing w:before="0" w:after="0" w:lineRule="exact" w:line="220"/>
              <w:jc w:val="left"/>
            </w:pPr>
            <w:r>
              <w:rPr>
                <w:sz w:val="18"/>
              </w:rPr>
              <w:t xml:space="preserve">Waitr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0.10</w:t>
            </w:r>
          </w:p>
        </w:tc>
      </w:tr>
      <w:tr>
        <w:trPr>
          <w:cantSplit/>
        </w:trPr>
        <w:tc>
          <w:tcPr>
            <w:tcW w:w="1620" w:type="dxa"/>
          </w:tcPr>
          <w:p>
            <w:pPr>
              <w:pStyle w:val="Compact"/>
              <w:spacing w:before="0" w:after="0" w:lineRule="exact" w:line="220"/>
              <w:jc w:val="left"/>
            </w:pPr>
            <w:r>
              <w:rPr>
                <w:sz w:val="18"/>
              </w:rPr>
              <w:t xml:space="preserve">Alibaba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Despegar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1stDibs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Expedia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Fiverr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spacing w:before="0" w:after="0" w:lineRule="exact" w:line="220"/>
              <w:jc w:val="left"/>
            </w:pPr>
            <w:r>
              <w:rPr>
                <w:sz w:val="18"/>
              </w:rPr>
              <w:t xml:space="preserve">Grubhub</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0.09</w:t>
            </w:r>
          </w:p>
        </w:tc>
      </w:tr>
      <w:tr>
        <w:trPr>
          <w:cantSplit/>
        </w:trPr>
        <w:tc>
          <w:tcPr>
            <w:tcW w:w="1620" w:type="dxa"/>
          </w:tcPr>
          <w:p>
            <w:pPr>
              <w:pStyle w:val="Compact"/>
              <w:spacing w:before="0" w:after="0" w:lineRule="exact" w:line="220"/>
              <w:jc w:val="left"/>
            </w:pPr>
            <w:r>
              <w:rPr>
                <w:sz w:val="18"/>
              </w:rPr>
              <w:t xml:space="preserve">Hepsiburada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Kaspi.kz</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0.08</w:t>
            </w:r>
          </w:p>
        </w:tc>
      </w:tr>
      <w:tr>
        <w:trPr>
          <w:cantSplit/>
        </w:trPr>
        <w:tc>
          <w:tcPr>
            <w:tcW w:w="1620" w:type="dxa"/>
          </w:tcPr>
          <w:p>
            <w:pPr>
              <w:pStyle w:val="Compact"/>
              <w:spacing w:before="0" w:after="0" w:lineRule="exact" w:line="220"/>
              <w:jc w:val="left"/>
            </w:pPr>
            <w:r>
              <w:rPr>
                <w:sz w:val="18"/>
              </w:rPr>
              <w:t xml:space="preserve">Mogu</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Ozon</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0.18</w:t>
            </w:r>
          </w:p>
        </w:tc>
      </w:tr>
      <w:tr>
        <w:trPr>
          <w:cantSplit/>
        </w:trPr>
        <w:tc>
          <w:tcPr>
            <w:tcW w:w="1620" w:type="dxa"/>
          </w:tcPr>
          <w:p>
            <w:pPr>
              <w:pStyle w:val="Compact"/>
              <w:spacing w:before="0" w:after="0" w:lineRule="exact" w:line="220"/>
              <w:jc w:val="left"/>
            </w:pPr>
            <w:r>
              <w:rPr>
                <w:sz w:val="18"/>
              </w:rPr>
              <w:t xml:space="preserve">PDD Holdings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0.13</w:t>
            </w:r>
          </w:p>
        </w:tc>
      </w:tr>
      <w:tr>
        <w:trPr>
          <w:cantSplit/>
        </w:trPr>
        <w:tc>
          <w:tcPr>
            <w:tcW w:w="1620" w:type="dxa"/>
          </w:tcPr>
          <w:p>
            <w:pPr>
              <w:pStyle w:val="Compact"/>
              <w:spacing w:before="0" w:after="0" w:lineRule="exact" w:line="220"/>
              <w:jc w:val="left"/>
            </w:pPr>
            <w:r>
              <w:rPr>
                <w:sz w:val="18"/>
              </w:rPr>
              <w:t xml:space="preserve">RB Global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The RealReal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Vivid Seats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Upwork</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Vacasa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Yatra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Etsy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Jumia</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0.16</w:t>
            </w:r>
          </w:p>
        </w:tc>
      </w:tr>
      <w:tr>
        <w:trPr>
          <w:cantSplit/>
        </w:trPr>
        <w:tc>
          <w:tcPr>
            <w:tcW w:w="1620" w:type="dxa"/>
          </w:tcPr>
          <w:p>
            <w:pPr>
              <w:pStyle w:val="Compact"/>
              <w:spacing w:before="0" w:after="0" w:lineRule="exact" w:line="220"/>
              <w:jc w:val="left"/>
            </w:pPr>
            <w:r>
              <w:rPr>
                <w:sz w:val="18"/>
              </w:rPr>
              <w:t xml:space="preserve">Mercado Libre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2</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Rakuten</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Sea / Shopee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0.25</w:t>
            </w:r>
          </w:p>
        </w:tc>
      </w:tr>
      <w:tr>
        <w:trPr>
          <w:cantSplit/>
        </w:trPr>
        <w:tc>
          <w:tcPr>
            <w:tcW w:w="1620" w:type="dxa"/>
          </w:tcPr>
          <w:p>
            <w:pPr>
              <w:pStyle w:val="Compact"/>
              <w:spacing w:before="0" w:after="0" w:lineRule="exact" w:line="220"/>
              <w:jc w:val="left"/>
            </w:pPr>
            <w:r>
              <w:rPr>
                <w:sz w:val="18"/>
              </w:rPr>
              <w:t xml:space="preserve">Shopify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spacing w:before="0" w:after="0" w:lineRule="exact" w:line="220"/>
              <w:jc w:val="left"/>
            </w:pPr>
            <w:r>
              <w:rPr>
                <w:sz w:val="18"/>
              </w:rPr>
              <w:t xml:space="preserve">Zalando</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eBay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0.03</w:t>
            </w:r>
          </w:p>
        </w:tc>
      </w:tr>
    </w:tbl>
    <w:p>
      <w:pPr>
        <w:pStyle w:val="BodyText"/>
        <w:spacing w:before="160"/>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89"/>
    <w:bookmarkStart w:id="90" w:name="a.2-the-indonesian-and-regional-group"/>
    <w:p>
      <w:pPr>
        <w:pStyle w:val="Heading3"/>
      </w:pPr>
      <w:r>
        <w:t xml:space="preserve">A.2 The Indonesian and regional group</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00"/>
        <w:gridCol w:w="682"/>
        <w:gridCol w:w="3041"/>
        <w:gridCol w:w="2979"/>
      </w:tblGrid>
      <w:tr>
        <w:trPr>
          <w:tblHeader w:val="true"/>
          <w:cantSplit/>
          <w:tblHeader/>
        </w:trPr>
        <w:tc>
          <w:tcPr>
            <w:tcW w:w="1800" w:type="dxa"/>
            <w:tcBorders>
              <w:bottom w:val="single" w:sz="5" w:space="0" w:color="000000"/>
            </w:tcBorders>
          </w:tcPr>
          <w:p>
            <w:pPr>
              <w:pStyle w:val="Compact"/>
              <w:spacing w:before="0" w:after="0" w:lineRule="exact" w:line="220"/>
              <w:jc w:val="left"/>
            </w:pPr>
            <w:r>
              <w:rPr>
                <w:b/>
                <w:sz w:val="18"/>
              </w:rPr>
              <w:t xml:space="preserve">Platform</w:t>
            </w:r>
          </w:p>
        </w:tc>
        <w:tc>
          <w:tcPr>
            <w:tcW w:w="682" w:type="dxa"/>
            <w:tcBorders>
              <w:bottom w:val="single" w:sz="5" w:space="0" w:color="000000"/>
            </w:tcBorders>
          </w:tcPr>
          <w:p>
            <w:pPr>
              <w:pStyle w:val="Compact"/>
              <w:spacing w:before="0" w:after="0" w:lineRule="exact" w:line="220"/>
              <w:jc w:val="left"/>
            </w:pPr>
            <w:r>
              <w:rPr>
                <w:b/>
                <w:sz w:val="18"/>
              </w:rPr>
              <w:t xml:space="preserve">Pairs</w:t>
            </w:r>
          </w:p>
        </w:tc>
        <w:tc>
          <w:tcPr>
            <w:tcW w:w="3041" w:type="dxa"/>
            <w:tcBorders>
              <w:bottom w:val="single" w:sz="5" w:space="0" w:color="000000"/>
            </w:tcBorders>
          </w:tcPr>
          <w:p>
            <w:pPr>
              <w:pStyle w:val="Compact"/>
              <w:spacing w:before="0" w:after="0" w:lineRule="exact" w:line="220"/>
              <w:jc w:val="left"/>
            </w:pPr>
            <w:r>
              <w:rPr>
                <w:b/>
                <w:sz w:val="18"/>
              </w:rPr>
              <w:t xml:space="preserve">Median size of yearly change in log take rate</w:t>
            </w:r>
          </w:p>
        </w:tc>
        <w:tc>
          <w:tcPr>
            <w:tcW w:w="2979" w:type="dxa"/>
            <w:tcBorders>
              <w:bottom w:val="single" w:sz="5" w:space="0" w:color="000000"/>
            </w:tcBorders>
          </w:tcPr>
          <w:p>
            <w:pPr>
              <w:pStyle w:val="Compact"/>
              <w:spacing w:before="0" w:after="0" w:lineRule="exact" w:line="220"/>
              <w:jc w:val="left"/>
            </w:pPr>
            <w:r>
              <w:rPr>
                <w:b/>
                <w:sz w:val="18"/>
              </w:rPr>
              <w:t xml:space="preserve">Share of pairs with a change of 0.10 or less</w:t>
            </w:r>
          </w:p>
        </w:tc>
      </w:tr>
      <w:tr>
        <w:trPr>
          <w:cantSplit/>
        </w:trPr>
        <w:tc>
          <w:tcPr>
            <w:tcW w:w="1800" w:type="dxa"/>
          </w:tcPr>
          <w:p>
            <w:pPr>
              <w:pStyle w:val="Compact"/>
              <w:spacing w:before="0" w:after="0" w:lineRule="exact" w:line="220"/>
              <w:jc w:val="left"/>
            </w:pPr>
            <w:r>
              <w:rPr>
                <w:sz w:val="18"/>
              </w:rPr>
              <w:t xml:space="preserve">Blibli third-party retail</w:t>
            </w:r>
          </w:p>
        </w:tc>
        <w:tc>
          <w:tcPr>
            <w:tcW w:w="682" w:type="dxa"/>
          </w:tcPr>
          <w:p>
            <w:pPr>
              <w:pStyle w:val="Compact"/>
              <w:spacing w:before="0" w:after="0" w:lineRule="exact" w:line="220"/>
              <w:jc w:val="left"/>
            </w:pPr>
            <w:r>
              <w:rPr>
                <w:sz w:val="18"/>
              </w:rPr>
              <w:t xml:space="preserve">4</w:t>
            </w:r>
          </w:p>
        </w:tc>
        <w:tc>
          <w:tcPr>
            <w:tcW w:w="3041" w:type="dxa"/>
          </w:tcPr>
          <w:p>
            <w:pPr>
              <w:pStyle w:val="Compact"/>
              <w:spacing w:before="0" w:after="0" w:lineRule="exact" w:line="220"/>
              <w:jc w:val="left"/>
            </w:pPr>
            <w:r>
              <w:rPr>
                <w:sz w:val="18"/>
              </w:rPr>
              <w:t xml:space="preserve">0.25</w:t>
            </w:r>
          </w:p>
        </w:tc>
        <w:tc>
          <w:tcPr>
            <w:tcW w:w="2979" w:type="dxa"/>
          </w:tcPr>
          <w:p>
            <w:pPr>
              <w:pStyle w:val="Compact"/>
              <w:spacing w:before="0" w:after="0" w:lineRule="exact" w:line="220"/>
              <w:jc w:val="left"/>
            </w:pPr>
            <w:r>
              <w:rPr>
                <w:sz w:val="18"/>
              </w:rPr>
              <w:t xml:space="preserve">0.00</w:t>
            </w:r>
          </w:p>
        </w:tc>
      </w:tr>
      <w:tr>
        <w:trPr>
          <w:cantSplit/>
        </w:trPr>
        <w:tc>
          <w:tcPr>
            <w:tcW w:w="1800" w:type="dxa"/>
          </w:tcPr>
          <w:p>
            <w:pPr>
              <w:pStyle w:val="Compact"/>
              <w:spacing w:before="0" w:after="0" w:lineRule="exact" w:line="220"/>
              <w:jc w:val="left"/>
            </w:pPr>
            <w:r>
              <w:rPr>
                <w:sz w:val="18"/>
              </w:rPr>
              <w:t xml:space="preserve">Bukalapak Group</w:t>
            </w:r>
          </w:p>
        </w:tc>
        <w:tc>
          <w:tcPr>
            <w:tcW w:w="682" w:type="dxa"/>
          </w:tcPr>
          <w:p>
            <w:pPr>
              <w:pStyle w:val="Compact"/>
              <w:spacing w:before="0" w:after="0" w:lineRule="exact" w:line="220"/>
              <w:jc w:val="left"/>
            </w:pPr>
            <w:r>
              <w:rPr>
                <w:sz w:val="18"/>
              </w:rPr>
              <w:t xml:space="preserve">3</w:t>
            </w:r>
          </w:p>
        </w:tc>
        <w:tc>
          <w:tcPr>
            <w:tcW w:w="3041" w:type="dxa"/>
          </w:tcPr>
          <w:p>
            <w:pPr>
              <w:pStyle w:val="Compact"/>
              <w:spacing w:before="0" w:after="0" w:lineRule="exact" w:line="220"/>
              <w:jc w:val="left"/>
            </w:pPr>
            <w:r>
              <w:rPr>
                <w:sz w:val="18"/>
              </w:rPr>
              <w:t xml:space="preserve">0.14</w:t>
            </w:r>
          </w:p>
        </w:tc>
        <w:tc>
          <w:tcPr>
            <w:tcW w:w="2979" w:type="dxa"/>
          </w:tcPr>
          <w:p>
            <w:pPr>
              <w:pStyle w:val="Compact"/>
              <w:spacing w:before="0" w:after="0" w:lineRule="exact" w:line="220"/>
              <w:jc w:val="left"/>
            </w:pPr>
            <w:r>
              <w:rPr>
                <w:sz w:val="18"/>
              </w:rPr>
              <w:t xml:space="preserve">0.33</w:t>
            </w:r>
          </w:p>
        </w:tc>
      </w:tr>
      <w:tr>
        <w:trPr>
          <w:cantSplit/>
        </w:trPr>
        <w:tc>
          <w:tcPr>
            <w:tcW w:w="1800" w:type="dxa"/>
          </w:tcPr>
          <w:p>
            <w:pPr>
              <w:pStyle w:val="Compact"/>
              <w:spacing w:before="0" w:after="0" w:lineRule="exact" w:line="220"/>
              <w:jc w:val="left"/>
            </w:pPr>
            <w:r>
              <w:rPr>
                <w:sz w:val="18"/>
              </w:rPr>
              <w:t xml:space="preserve">GoTo on-demand</w:t>
            </w:r>
          </w:p>
        </w:tc>
        <w:tc>
          <w:tcPr>
            <w:tcW w:w="682" w:type="dxa"/>
          </w:tcPr>
          <w:p>
            <w:pPr>
              <w:pStyle w:val="Compact"/>
              <w:spacing w:before="0" w:after="0" w:lineRule="exact" w:line="220"/>
              <w:jc w:val="left"/>
            </w:pPr>
            <w:r>
              <w:rPr>
                <w:sz w:val="18"/>
              </w:rPr>
              <w:t xml:space="preserve">3</w:t>
            </w:r>
          </w:p>
        </w:tc>
        <w:tc>
          <w:tcPr>
            <w:tcW w:w="3041" w:type="dxa"/>
          </w:tcPr>
          <w:p>
            <w:pPr>
              <w:pStyle w:val="Compact"/>
              <w:spacing w:before="0" w:after="0" w:lineRule="exact" w:line="220"/>
              <w:jc w:val="left"/>
            </w:pPr>
            <w:r>
              <w:rPr>
                <w:sz w:val="18"/>
              </w:rPr>
              <w:t xml:space="preserve">0.09</w:t>
            </w:r>
          </w:p>
        </w:tc>
        <w:tc>
          <w:tcPr>
            <w:tcW w:w="2979" w:type="dxa"/>
          </w:tcPr>
          <w:p>
            <w:pPr>
              <w:pStyle w:val="Compact"/>
              <w:spacing w:before="0" w:after="0" w:lineRule="exact" w:line="220"/>
              <w:jc w:val="left"/>
            </w:pPr>
            <w:r>
              <w:rPr>
                <w:sz w:val="18"/>
              </w:rPr>
              <w:t xml:space="preserve">0.67</w:t>
            </w:r>
          </w:p>
        </w:tc>
      </w:tr>
      <w:tr>
        <w:trPr>
          <w:cantSplit/>
        </w:trPr>
        <w:tc>
          <w:tcPr>
            <w:tcW w:w="1800" w:type="dxa"/>
          </w:tcPr>
          <w:p>
            <w:pPr>
              <w:pStyle w:val="Compact"/>
              <w:spacing w:before="0" w:after="0" w:lineRule="exact" w:line="220"/>
              <w:jc w:val="left"/>
            </w:pPr>
            <w:r>
              <w:rPr>
                <w:sz w:val="18"/>
              </w:rPr>
              <w:t xml:space="preserve">Grab on-demand</w:t>
            </w:r>
          </w:p>
        </w:tc>
        <w:tc>
          <w:tcPr>
            <w:tcW w:w="682" w:type="dxa"/>
          </w:tcPr>
          <w:p>
            <w:pPr>
              <w:pStyle w:val="Compact"/>
              <w:spacing w:before="0" w:after="0" w:lineRule="exact" w:line="220"/>
              <w:jc w:val="left"/>
            </w:pPr>
            <w:r>
              <w:rPr>
                <w:sz w:val="18"/>
              </w:rPr>
              <w:t xml:space="preserve">4</w:t>
            </w:r>
          </w:p>
        </w:tc>
        <w:tc>
          <w:tcPr>
            <w:tcW w:w="3041" w:type="dxa"/>
          </w:tcPr>
          <w:p>
            <w:pPr>
              <w:pStyle w:val="Compact"/>
              <w:spacing w:before="0" w:after="0" w:lineRule="exact" w:line="220"/>
              <w:jc w:val="left"/>
            </w:pPr>
            <w:r>
              <w:rPr>
                <w:sz w:val="18"/>
              </w:rPr>
              <w:t xml:space="preserve">0.20</w:t>
            </w:r>
          </w:p>
        </w:tc>
        <w:tc>
          <w:tcPr>
            <w:tcW w:w="2979" w:type="dxa"/>
          </w:tcPr>
          <w:p>
            <w:pPr>
              <w:pStyle w:val="Compact"/>
              <w:spacing w:before="0" w:after="0" w:lineRule="exact" w:line="220"/>
              <w:jc w:val="left"/>
            </w:pPr>
            <w:r>
              <w:rPr>
                <w:sz w:val="18"/>
              </w:rPr>
              <w:t xml:space="preserve">0.50</w:t>
            </w:r>
          </w:p>
        </w:tc>
      </w:tr>
      <w:tr>
        <w:trPr>
          <w:cantSplit/>
        </w:trPr>
        <w:tc>
          <w:tcPr>
            <w:tcW w:w="1800" w:type="dxa"/>
          </w:tcPr>
          <w:p>
            <w:pPr>
              <w:pStyle w:val="Compact"/>
              <w:spacing w:before="0" w:after="0" w:lineRule="exact" w:line="220"/>
              <w:jc w:val="left"/>
            </w:pPr>
            <w:r>
              <w:rPr>
                <w:sz w:val="18"/>
              </w:rPr>
              <w:t xml:space="preserve">Tokopedia</w:t>
            </w:r>
          </w:p>
        </w:tc>
        <w:tc>
          <w:tcPr>
            <w:tcW w:w="682" w:type="dxa"/>
          </w:tcPr>
          <w:p>
            <w:pPr>
              <w:pStyle w:val="Compact"/>
              <w:spacing w:before="0" w:after="0" w:lineRule="exact" w:line="220"/>
              <w:jc w:val="left"/>
            </w:pPr>
            <w:r>
              <w:rPr>
                <w:sz w:val="18"/>
              </w:rPr>
              <w:t xml:space="preserve">1</w:t>
            </w:r>
          </w:p>
        </w:tc>
        <w:tc>
          <w:tcPr>
            <w:tcW w:w="3041" w:type="dxa"/>
          </w:tcPr>
          <w:p>
            <w:pPr>
              <w:pStyle w:val="Compact"/>
              <w:spacing w:before="0" w:after="0" w:lineRule="exact" w:line="220"/>
              <w:jc w:val="left"/>
            </w:pPr>
            <w:r>
              <w:rPr>
                <w:sz w:val="18"/>
              </w:rPr>
              <w:t xml:space="preserve">0.52</w:t>
            </w:r>
          </w:p>
        </w:tc>
        <w:tc>
          <w:tcPr>
            <w:tcW w:w="2979" w:type="dxa"/>
          </w:tcPr>
          <w:p>
            <w:pPr>
              <w:pStyle w:val="Compact"/>
              <w:spacing w:before="0" w:after="0" w:lineRule="exact" w:line="220"/>
              <w:jc w:val="left"/>
            </w:pPr>
            <w:r>
              <w:rPr>
                <w:sz w:val="18"/>
              </w:rPr>
              <w:t xml:space="preserve">0.00</w:t>
            </w:r>
          </w:p>
        </w:tc>
      </w:tr>
    </w:tbl>
    <w:bookmarkEnd w:id="90"/>
    <w:bookmarkStart w:id="91" w:name="X78762f472a6a90df1a343c96b0604ebb0c7398b"/>
    <w:p>
      <w:pPr>
        <w:pStyle w:val="Heading3"/>
      </w:pPr>
      <w:r>
        <w:t xml:space="preserve">A.3 The seven windows traced (Table 11 in full)</w:t>
      </w:r>
    </w:p>
    <w:p>
      <w:pPr>
        <w:pStyle w:val="FirstParagraph"/>
        <w:jc w:val="left"/>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82"/>
        <w:gridCol w:w="1084"/>
        <w:gridCol w:w="1518"/>
        <w:gridCol w:w="1041"/>
        <w:gridCol w:w="954"/>
        <w:gridCol w:w="940"/>
        <w:gridCol w:w="750"/>
        <w:gridCol w:w="1130"/>
      </w:tblGrid>
      <w:tr>
        <w:trPr>
          <w:tblHeader w:val="true"/>
          <w:cantSplit/>
          <w:tblHeader/>
        </w:trPr>
        <w:tc>
          <w:tcPr>
            <w:tcW w:w="1082" w:type="dxa"/>
            <w:tcBorders>
              <w:bottom w:val="single" w:sz="5" w:space="0" w:color="000000"/>
            </w:tcBorders>
          </w:tcPr>
          <w:p>
            <w:pPr>
              <w:pStyle w:val="Compact"/>
              <w:spacing w:before="0" w:after="0" w:lineRule="exact" w:line="220"/>
              <w:jc w:val="left"/>
            </w:pPr>
            <w:r>
              <w:rPr>
                <w:b/>
                <w:sz w:val="18"/>
              </w:rPr>
              <w:t xml:space="preserve">Platform and window</w:t>
            </w:r>
          </w:p>
        </w:tc>
        <w:tc>
          <w:tcPr>
            <w:tcW w:w="1084" w:type="dxa"/>
            <w:tcBorders>
              <w:bottom w:val="single" w:sz="5" w:space="0" w:color="000000"/>
            </w:tcBorders>
          </w:tcPr>
          <w:p>
            <w:pPr>
              <w:pStyle w:val="Compact"/>
              <w:spacing w:before="0" w:after="0" w:lineRule="exact" w:line="220"/>
              <w:jc w:val="left"/>
            </w:pPr>
            <w:r>
              <w:rPr>
                <w:b/>
                <w:sz w:val="18"/>
              </w:rPr>
              <w:t xml:space="preserve">Growth of revenue (%)</w:t>
            </w:r>
          </w:p>
        </w:tc>
        <w:tc>
          <w:tcPr>
            <w:tcW w:w="1518" w:type="dxa"/>
            <w:tcBorders>
              <w:bottom w:val="single" w:sz="5" w:space="0" w:color="000000"/>
            </w:tcBorders>
          </w:tcPr>
          <w:p>
            <w:pPr>
              <w:pStyle w:val="Compact"/>
              <w:spacing w:before="0" w:after="0" w:lineRule="exact" w:line="220"/>
              <w:jc w:val="left"/>
            </w:pPr>
            <w:r>
              <w:rPr>
                <w:b/>
                <w:sz w:val="18"/>
              </w:rPr>
              <w:t xml:space="preserve">Growth of transaction value (%)</w:t>
            </w:r>
          </w:p>
        </w:tc>
        <w:tc>
          <w:tcPr>
            <w:tcW w:w="1041" w:type="dxa"/>
            <w:tcBorders>
              <w:bottom w:val="single" w:sz="5" w:space="0" w:color="000000"/>
            </w:tcBorders>
          </w:tcPr>
          <w:p>
            <w:pPr>
              <w:pStyle w:val="Compact"/>
              <w:spacing w:before="0" w:after="0" w:lineRule="exact" w:line="220"/>
              <w:jc w:val="left"/>
            </w:pPr>
            <w:r>
              <w:rPr>
                <w:b/>
                <w:sz w:val="18"/>
              </w:rPr>
              <w:t xml:space="preserve">Take rate, start (%)</w:t>
            </w:r>
          </w:p>
        </w:tc>
        <w:tc>
          <w:tcPr>
            <w:tcW w:w="954" w:type="dxa"/>
            <w:tcBorders>
              <w:bottom w:val="single" w:sz="5" w:space="0" w:color="000000"/>
            </w:tcBorders>
          </w:tcPr>
          <w:p>
            <w:pPr>
              <w:pStyle w:val="Compact"/>
              <w:spacing w:before="0" w:after="0" w:lineRule="exact" w:line="220"/>
              <w:jc w:val="left"/>
            </w:pPr>
            <w:r>
              <w:rPr>
                <w:b/>
                <w:sz w:val="18"/>
              </w:rPr>
              <w:t xml:space="preserve">Take rate, end (%)</w:t>
            </w:r>
          </w:p>
        </w:tc>
        <w:tc>
          <w:tcPr>
            <w:tcW w:w="940" w:type="dxa"/>
            <w:tcBorders>
              <w:bottom w:val="single" w:sz="5" w:space="0" w:color="000000"/>
            </w:tcBorders>
          </w:tcPr>
          <w:p>
            <w:pPr>
              <w:pStyle w:val="Compact"/>
              <w:spacing w:before="0" w:after="0" w:lineRule="exact" w:line="220"/>
              <w:jc w:val="left"/>
            </w:pPr>
            <w:r>
              <w:rPr>
                <w:b/>
                <w:sz w:val="18"/>
              </w:rPr>
              <w:t xml:space="preserve">More commerce</w:t>
            </w:r>
          </w:p>
        </w:tc>
        <w:tc>
          <w:tcPr>
            <w:tcW w:w="750" w:type="dxa"/>
            <w:tcBorders>
              <w:bottom w:val="single" w:sz="5" w:space="0" w:color="000000"/>
            </w:tcBorders>
          </w:tcPr>
          <w:p>
            <w:pPr>
              <w:pStyle w:val="Compact"/>
              <w:spacing w:before="0" w:after="0" w:lineRule="exact" w:line="220"/>
              <w:jc w:val="left"/>
            </w:pPr>
            <w:r>
              <w:rPr>
                <w:b/>
                <w:sz w:val="18"/>
              </w:rPr>
              <w:t xml:space="preserve">Higher fees</w:t>
            </w:r>
          </w:p>
        </w:tc>
        <w:tc>
          <w:tcPr>
            <w:tcW w:w="1130" w:type="dxa"/>
            <w:tcBorders>
              <w:bottom w:val="single" w:sz="5" w:space="0" w:color="000000"/>
            </w:tcBorders>
          </w:tcPr>
          <w:p>
            <w:pPr>
              <w:pStyle w:val="Compact"/>
              <w:spacing w:before="0" w:after="0" w:lineRule="exact" w:line="220"/>
              <w:jc w:val="left"/>
            </w:pPr>
            <w:r>
              <w:rPr>
                <w:b/>
                <w:sz w:val="18"/>
              </w:rPr>
              <w:t xml:space="preserve">Lower incentives</w:t>
            </w:r>
          </w:p>
        </w:tc>
      </w:tr>
      <w:tr>
        <w:trPr>
          <w:cantSplit/>
        </w:trPr>
        <w:tc>
          <w:tcPr>
            <w:tcW w:w="1082" w:type="dxa"/>
          </w:tcPr>
          <w:p>
            <w:pPr>
              <w:pStyle w:val="Compact"/>
              <w:spacing w:before="0" w:after="0" w:lineRule="exact" w:line="220"/>
              <w:jc w:val="left"/>
            </w:pPr>
            <w:r>
              <w:rPr>
                <w:sz w:val="18"/>
              </w:rPr>
              <w:t xml:space="preserve">Grab on-demand, 2021–24</w:t>
            </w:r>
          </w:p>
        </w:tc>
        <w:tc>
          <w:tcPr>
            <w:tcW w:w="1084" w:type="dxa"/>
          </w:tcPr>
          <w:p>
            <w:pPr>
              <w:pStyle w:val="Compact"/>
              <w:spacing w:before="0" w:after="0" w:lineRule="exact" w:line="220"/>
              <w:jc w:val="left"/>
            </w:pPr>
            <w:r>
              <w:rPr>
                <w:sz w:val="18"/>
              </w:rPr>
              <w:t xml:space="preserve">320.5</w:t>
            </w:r>
          </w:p>
        </w:tc>
        <w:tc>
          <w:tcPr>
            <w:tcW w:w="1518" w:type="dxa"/>
          </w:tcPr>
          <w:p>
            <w:pPr>
              <w:pStyle w:val="Compact"/>
              <w:spacing w:before="0" w:after="0" w:lineRule="exact" w:line="220"/>
              <w:jc w:val="left"/>
            </w:pPr>
            <w:r>
              <w:rPr>
                <w:sz w:val="18"/>
              </w:rPr>
              <w:t xml:space="preserve">62.3</w:t>
            </w:r>
          </w:p>
        </w:tc>
        <w:tc>
          <w:tcPr>
            <w:tcW w:w="1041" w:type="dxa"/>
          </w:tcPr>
          <w:p>
            <w:pPr>
              <w:pStyle w:val="Compact"/>
              <w:spacing w:before="0" w:after="0" w:lineRule="exact" w:line="220"/>
              <w:jc w:val="left"/>
            </w:pPr>
            <w:r>
              <w:rPr>
                <w:sz w:val="18"/>
              </w:rPr>
              <w:t xml:space="preserve">5.34</w:t>
            </w:r>
          </w:p>
        </w:tc>
        <w:tc>
          <w:tcPr>
            <w:tcW w:w="954" w:type="dxa"/>
          </w:tcPr>
          <w:p>
            <w:pPr>
              <w:pStyle w:val="Compact"/>
              <w:spacing w:before="0" w:after="0" w:lineRule="exact" w:line="220"/>
              <w:jc w:val="left"/>
            </w:pPr>
            <w:r>
              <w:rPr>
                <w:sz w:val="18"/>
              </w:rPr>
              <w:t xml:space="preserve">13.83</w:t>
            </w:r>
          </w:p>
        </w:tc>
        <w:tc>
          <w:tcPr>
            <w:tcW w:w="940" w:type="dxa"/>
          </w:tcPr>
          <w:p>
            <w:pPr>
              <w:pStyle w:val="Compact"/>
              <w:spacing w:before="0" w:after="0" w:lineRule="exact" w:line="220"/>
              <w:jc w:val="left"/>
            </w:pPr>
            <w:r>
              <w:rPr>
                <w:sz w:val="18"/>
              </w:rPr>
              <w:t xml:space="preserve">33.7</w:t>
            </w:r>
          </w:p>
        </w:tc>
        <w:tc>
          <w:tcPr>
            <w:tcW w:w="750" w:type="dxa"/>
          </w:tcPr>
          <w:p>
            <w:pPr>
              <w:pStyle w:val="Compact"/>
              <w:spacing w:before="0" w:after="0" w:lineRule="exact" w:line="220"/>
              <w:jc w:val="left"/>
            </w:pPr>
            <w:r>
              <w:rPr>
                <w:sz w:val="18"/>
              </w:rPr>
              <w:t xml:space="preserve">33.8</w:t>
            </w:r>
          </w:p>
        </w:tc>
        <w:tc>
          <w:tcPr>
            <w:tcW w:w="1130" w:type="dxa"/>
          </w:tcPr>
          <w:p>
            <w:pPr>
              <w:pStyle w:val="Compact"/>
              <w:spacing w:before="0" w:after="0" w:lineRule="exact" w:line="220"/>
              <w:jc w:val="left"/>
            </w:pPr>
            <w:r>
              <w:rPr>
                <w:sz w:val="18"/>
              </w:rPr>
              <w:t xml:space="preserve">32.5</w:t>
            </w:r>
          </w:p>
        </w:tc>
      </w:tr>
      <w:tr>
        <w:trPr>
          <w:cantSplit/>
        </w:trPr>
        <w:tc>
          <w:tcPr>
            <w:tcW w:w="1082" w:type="dxa"/>
          </w:tcPr>
          <w:p>
            <w:pPr>
              <w:pStyle w:val="Compact"/>
              <w:spacing w:before="0" w:after="0" w:lineRule="exact" w:line="220"/>
              <w:jc w:val="left"/>
            </w:pPr>
            <w:r>
              <w:rPr>
                <w:sz w:val="18"/>
              </w:rPr>
              <w:t xml:space="preserve">Grab on-demand, 2022–24</w:t>
            </w:r>
          </w:p>
        </w:tc>
        <w:tc>
          <w:tcPr>
            <w:tcW w:w="1084" w:type="dxa"/>
          </w:tcPr>
          <w:p>
            <w:pPr>
              <w:pStyle w:val="Compact"/>
              <w:spacing w:before="0" w:after="0" w:lineRule="exact" w:line="220"/>
              <w:jc w:val="left"/>
            </w:pPr>
            <w:r>
              <w:rPr>
                <w:sz w:val="18"/>
              </w:rPr>
              <w:t xml:space="preserve">85.8</w:t>
            </w:r>
          </w:p>
        </w:tc>
        <w:tc>
          <w:tcPr>
            <w:tcW w:w="1518" w:type="dxa"/>
          </w:tcPr>
          <w:p>
            <w:pPr>
              <w:pStyle w:val="Compact"/>
              <w:spacing w:before="0" w:after="0" w:lineRule="exact" w:line="220"/>
              <w:jc w:val="left"/>
            </w:pPr>
            <w:r>
              <w:rPr>
                <w:sz w:val="18"/>
              </w:rPr>
              <w:t xml:space="preserve">30.1</w:t>
            </w:r>
          </w:p>
        </w:tc>
        <w:tc>
          <w:tcPr>
            <w:tcW w:w="1041" w:type="dxa"/>
          </w:tcPr>
          <w:p>
            <w:pPr>
              <w:pStyle w:val="Compact"/>
              <w:spacing w:before="0" w:after="0" w:lineRule="exact" w:line="220"/>
              <w:jc w:val="left"/>
            </w:pPr>
            <w:r>
              <w:rPr>
                <w:sz w:val="18"/>
              </w:rPr>
              <w:t xml:space="preserve">9.69</w:t>
            </w:r>
          </w:p>
        </w:tc>
        <w:tc>
          <w:tcPr>
            <w:tcW w:w="954" w:type="dxa"/>
          </w:tcPr>
          <w:p>
            <w:pPr>
              <w:pStyle w:val="Compact"/>
              <w:spacing w:before="0" w:after="0" w:lineRule="exact" w:line="220"/>
              <w:jc w:val="left"/>
            </w:pPr>
            <w:r>
              <w:rPr>
                <w:sz w:val="18"/>
              </w:rPr>
              <w:t xml:space="preserve">13.83</w:t>
            </w:r>
          </w:p>
        </w:tc>
        <w:tc>
          <w:tcPr>
            <w:tcW w:w="940" w:type="dxa"/>
          </w:tcPr>
          <w:p>
            <w:pPr>
              <w:pStyle w:val="Compact"/>
              <w:spacing w:before="0" w:after="0" w:lineRule="exact" w:line="220"/>
              <w:jc w:val="left"/>
            </w:pPr>
            <w:r>
              <w:rPr>
                <w:sz w:val="18"/>
              </w:rPr>
              <w:t xml:space="preserve">42.5</w:t>
            </w:r>
          </w:p>
        </w:tc>
        <w:tc>
          <w:tcPr>
            <w:tcW w:w="750" w:type="dxa"/>
          </w:tcPr>
          <w:p>
            <w:pPr>
              <w:pStyle w:val="Compact"/>
              <w:spacing w:before="0" w:after="0" w:lineRule="exact" w:line="220"/>
              <w:jc w:val="left"/>
            </w:pPr>
            <w:r>
              <w:rPr>
                <w:sz w:val="18"/>
              </w:rPr>
              <w:t xml:space="preserve">10.6</w:t>
            </w:r>
          </w:p>
        </w:tc>
        <w:tc>
          <w:tcPr>
            <w:tcW w:w="1130" w:type="dxa"/>
          </w:tcPr>
          <w:p>
            <w:pPr>
              <w:pStyle w:val="Compact"/>
              <w:spacing w:before="0" w:after="0" w:lineRule="exact" w:line="220"/>
              <w:jc w:val="left"/>
            </w:pPr>
            <w:r>
              <w:rPr>
                <w:sz w:val="18"/>
              </w:rPr>
              <w:t xml:space="preserve">46.9</w:t>
            </w:r>
          </w:p>
        </w:tc>
      </w:tr>
      <w:tr>
        <w:trPr>
          <w:cantSplit/>
        </w:trPr>
        <w:tc>
          <w:tcPr>
            <w:tcW w:w="1082" w:type="dxa"/>
          </w:tcPr>
          <w:p>
            <w:pPr>
              <w:pStyle w:val="Compact"/>
              <w:spacing w:before="0" w:after="0" w:lineRule="exact" w:line="220"/>
              <w:jc w:val="left"/>
            </w:pPr>
            <w:r>
              <w:rPr>
                <w:sz w:val="18"/>
              </w:rPr>
              <w:t xml:space="preserve">GoTo on-demand, 2023–25</w:t>
            </w:r>
          </w:p>
        </w:tc>
        <w:tc>
          <w:tcPr>
            <w:tcW w:w="1084" w:type="dxa"/>
          </w:tcPr>
          <w:p>
            <w:pPr>
              <w:pStyle w:val="Compact"/>
              <w:spacing w:before="0" w:after="0" w:lineRule="exact" w:line="220"/>
              <w:jc w:val="left"/>
            </w:pPr>
            <w:r>
              <w:rPr>
                <w:sz w:val="18"/>
              </w:rPr>
              <w:t xml:space="preserve">114.2</w:t>
            </w:r>
          </w:p>
        </w:tc>
        <w:tc>
          <w:tcPr>
            <w:tcW w:w="1518" w:type="dxa"/>
          </w:tcPr>
          <w:p>
            <w:pPr>
              <w:pStyle w:val="Compact"/>
              <w:spacing w:before="0" w:after="0" w:lineRule="exact" w:line="220"/>
              <w:jc w:val="left"/>
            </w:pPr>
            <w:r>
              <w:rPr>
                <w:sz w:val="18"/>
              </w:rPr>
              <w:t xml:space="preserve">22.4</w:t>
            </w:r>
          </w:p>
        </w:tc>
        <w:tc>
          <w:tcPr>
            <w:tcW w:w="1041" w:type="dxa"/>
          </w:tcPr>
          <w:p>
            <w:pPr>
              <w:pStyle w:val="Compact"/>
              <w:spacing w:before="0" w:after="0" w:lineRule="exact" w:line="220"/>
              <w:jc w:val="left"/>
            </w:pPr>
            <w:r>
              <w:rPr>
                <w:sz w:val="18"/>
              </w:rPr>
              <w:t xml:space="preserve">10.62</w:t>
            </w:r>
          </w:p>
        </w:tc>
        <w:tc>
          <w:tcPr>
            <w:tcW w:w="954" w:type="dxa"/>
          </w:tcPr>
          <w:p>
            <w:pPr>
              <w:pStyle w:val="Compact"/>
              <w:spacing w:before="0" w:after="0" w:lineRule="exact" w:line="220"/>
              <w:jc w:val="left"/>
            </w:pPr>
            <w:r>
              <w:rPr>
                <w:sz w:val="18"/>
              </w:rPr>
              <w:t xml:space="preserve">18.58</w:t>
            </w:r>
          </w:p>
        </w:tc>
        <w:tc>
          <w:tcPr>
            <w:tcW w:w="940" w:type="dxa"/>
          </w:tcPr>
          <w:p>
            <w:pPr>
              <w:pStyle w:val="Compact"/>
              <w:spacing w:before="0" w:after="0" w:lineRule="exact" w:line="220"/>
              <w:jc w:val="left"/>
            </w:pPr>
            <w:r>
              <w:rPr>
                <w:sz w:val="18"/>
              </w:rPr>
              <w:t xml:space="preserve">26.6</w:t>
            </w:r>
          </w:p>
        </w:tc>
        <w:tc>
          <w:tcPr>
            <w:tcW w:w="750" w:type="dxa"/>
          </w:tcPr>
          <w:p>
            <w:pPr>
              <w:pStyle w:val="Compact"/>
              <w:spacing w:before="0" w:after="0" w:lineRule="exact" w:line="220"/>
              <w:jc w:val="left"/>
            </w:pPr>
            <w:r>
              <w:rPr>
                <w:sz w:val="18"/>
              </w:rPr>
              <w:t xml:space="preserve">6.1</w:t>
            </w:r>
          </w:p>
        </w:tc>
        <w:tc>
          <w:tcPr>
            <w:tcW w:w="1130" w:type="dxa"/>
          </w:tcPr>
          <w:p>
            <w:pPr>
              <w:pStyle w:val="Compact"/>
              <w:spacing w:before="0" w:after="0" w:lineRule="exact" w:line="220"/>
              <w:jc w:val="left"/>
            </w:pPr>
            <w:r>
              <w:rPr>
                <w:sz w:val="18"/>
              </w:rPr>
              <w:t xml:space="preserve">67.3</w:t>
            </w:r>
          </w:p>
        </w:tc>
      </w:tr>
      <w:tr>
        <w:trPr>
          <w:cantSplit/>
        </w:trPr>
        <w:tc>
          <w:tcPr>
            <w:tcW w:w="1082" w:type="dxa"/>
          </w:tcPr>
          <w:p>
            <w:pPr>
              <w:pStyle w:val="Compact"/>
              <w:spacing w:before="0" w:after="0" w:lineRule="exact" w:line="220"/>
              <w:jc w:val="left"/>
            </w:pPr>
            <w:r>
              <w:rPr>
                <w:sz w:val="18"/>
              </w:rPr>
              <w:t xml:space="preserve">GoTo on-demand, 2022–25</w:t>
            </w:r>
          </w:p>
        </w:tc>
        <w:tc>
          <w:tcPr>
            <w:tcW w:w="1084" w:type="dxa"/>
          </w:tcPr>
          <w:p>
            <w:pPr>
              <w:pStyle w:val="Compact"/>
              <w:spacing w:before="0" w:after="0" w:lineRule="exact" w:line="220"/>
              <w:jc w:val="left"/>
            </w:pPr>
            <w:r>
              <w:rPr>
                <w:sz w:val="18"/>
              </w:rPr>
              <w:t xml:space="preserve">110.7</w:t>
            </w:r>
          </w:p>
        </w:tc>
        <w:tc>
          <w:tcPr>
            <w:tcW w:w="1518" w:type="dxa"/>
          </w:tcPr>
          <w:p>
            <w:pPr>
              <w:pStyle w:val="Compact"/>
              <w:spacing w:before="0" w:after="0" w:lineRule="exact" w:line="220"/>
              <w:jc w:val="left"/>
            </w:pPr>
            <w:r>
              <w:rPr>
                <w:sz w:val="18"/>
              </w:rPr>
              <w:t xml:space="preserve">9.6</w:t>
            </w:r>
          </w:p>
        </w:tc>
        <w:tc>
          <w:tcPr>
            <w:tcW w:w="1041" w:type="dxa"/>
          </w:tcPr>
          <w:p>
            <w:pPr>
              <w:pStyle w:val="Compact"/>
              <w:spacing w:before="0" w:after="0" w:lineRule="exact" w:line="220"/>
              <w:jc w:val="left"/>
            </w:pPr>
            <w:r>
              <w:rPr>
                <w:sz w:val="18"/>
              </w:rPr>
              <w:t xml:space="preserve">9.66</w:t>
            </w:r>
          </w:p>
        </w:tc>
        <w:tc>
          <w:tcPr>
            <w:tcW w:w="954" w:type="dxa"/>
          </w:tcPr>
          <w:p>
            <w:pPr>
              <w:pStyle w:val="Compact"/>
              <w:spacing w:before="0" w:after="0" w:lineRule="exact" w:line="220"/>
              <w:jc w:val="left"/>
            </w:pPr>
            <w:r>
              <w:rPr>
                <w:sz w:val="18"/>
              </w:rPr>
              <w:t xml:space="preserve">18.58</w:t>
            </w:r>
          </w:p>
        </w:tc>
        <w:tc>
          <w:tcPr>
            <w:tcW w:w="940" w:type="dxa"/>
          </w:tcPr>
          <w:p>
            <w:pPr>
              <w:pStyle w:val="Compact"/>
              <w:spacing w:before="0" w:after="0" w:lineRule="exact" w:line="220"/>
              <w:jc w:val="left"/>
            </w:pPr>
            <w:r>
              <w:rPr>
                <w:sz w:val="18"/>
              </w:rPr>
              <w:t xml:space="preserve">12.3</w:t>
            </w:r>
          </w:p>
        </w:tc>
        <w:tc>
          <w:tcPr>
            <w:tcW w:w="750" w:type="dxa"/>
          </w:tcPr>
          <w:p>
            <w:pPr>
              <w:pStyle w:val="Compact"/>
              <w:spacing w:before="0" w:after="0" w:lineRule="exact" w:line="220"/>
              <w:jc w:val="left"/>
            </w:pPr>
            <w:r>
              <w:rPr>
                <w:sz w:val="18"/>
              </w:rPr>
              <w:t xml:space="preserve">36.1</w:t>
            </w:r>
          </w:p>
        </w:tc>
        <w:tc>
          <w:tcPr>
            <w:tcW w:w="1130" w:type="dxa"/>
          </w:tcPr>
          <w:p>
            <w:pPr>
              <w:pStyle w:val="Compact"/>
              <w:spacing w:before="0" w:after="0" w:lineRule="exact" w:line="220"/>
              <w:jc w:val="left"/>
            </w:pPr>
            <w:r>
              <w:rPr>
                <w:sz w:val="18"/>
              </w:rPr>
              <w:t xml:space="preserve">51.7</w:t>
            </w:r>
          </w:p>
        </w:tc>
      </w:tr>
      <w:tr>
        <w:trPr>
          <w:cantSplit/>
        </w:trPr>
        <w:tc>
          <w:tcPr>
            <w:tcW w:w="1082" w:type="dxa"/>
          </w:tcPr>
          <w:p>
            <w:pPr>
              <w:pStyle w:val="Compact"/>
              <w:spacing w:before="0" w:after="0" w:lineRule="exact" w:line="220"/>
              <w:jc w:val="left"/>
            </w:pPr>
            <w:r>
              <w:rPr>
                <w:sz w:val="18"/>
              </w:rPr>
              <w:t xml:space="preserve">Tokopedia, 2022–23</w:t>
            </w:r>
          </w:p>
        </w:tc>
        <w:tc>
          <w:tcPr>
            <w:tcW w:w="1084" w:type="dxa"/>
          </w:tcPr>
          <w:p>
            <w:pPr>
              <w:pStyle w:val="Compact"/>
              <w:spacing w:before="0" w:after="0" w:lineRule="exact" w:line="220"/>
              <w:jc w:val="left"/>
            </w:pPr>
            <w:r>
              <w:rPr>
                <w:sz w:val="18"/>
              </w:rPr>
              <w:t xml:space="preserve">53.2</w:t>
            </w:r>
          </w:p>
        </w:tc>
        <w:tc>
          <w:tcPr>
            <w:tcW w:w="1518" w:type="dxa"/>
          </w:tcPr>
          <w:p>
            <w:pPr>
              <w:pStyle w:val="Compact"/>
              <w:spacing w:before="0" w:after="0" w:lineRule="exact" w:line="220"/>
              <w:jc w:val="left"/>
            </w:pPr>
            <w:r>
              <w:rPr>
                <w:sz w:val="18"/>
              </w:rPr>
              <w:t xml:space="preserve">-8.9</w:t>
            </w:r>
          </w:p>
        </w:tc>
        <w:tc>
          <w:tcPr>
            <w:tcW w:w="1041" w:type="dxa"/>
          </w:tcPr>
          <w:p>
            <w:pPr>
              <w:pStyle w:val="Compact"/>
              <w:spacing w:before="0" w:after="0" w:lineRule="exact" w:line="220"/>
              <w:jc w:val="left"/>
            </w:pPr>
            <w:r>
              <w:rPr>
                <w:sz w:val="18"/>
              </w:rPr>
              <w:t xml:space="preserve">1.48</w:t>
            </w:r>
          </w:p>
        </w:tc>
        <w:tc>
          <w:tcPr>
            <w:tcW w:w="954" w:type="dxa"/>
          </w:tcPr>
          <w:p>
            <w:pPr>
              <w:pStyle w:val="Compact"/>
              <w:spacing w:before="0" w:after="0" w:lineRule="exact" w:line="220"/>
              <w:jc w:val="left"/>
            </w:pPr>
            <w:r>
              <w:rPr>
                <w:sz w:val="18"/>
              </w:rPr>
              <w:t xml:space="preserve">2.48</w:t>
            </w:r>
          </w:p>
        </w:tc>
        <w:tc>
          <w:tcPr>
            <w:tcW w:w="940" w:type="dxa"/>
          </w:tcPr>
          <w:p>
            <w:pPr>
              <w:pStyle w:val="Compact"/>
              <w:spacing w:before="0" w:after="0" w:lineRule="exact" w:line="220"/>
              <w:jc w:val="left"/>
            </w:pPr>
            <w:r>
              <w:rPr>
                <w:sz w:val="18"/>
              </w:rPr>
              <w:t xml:space="preserve">-21.9</w:t>
            </w:r>
          </w:p>
        </w:tc>
        <w:tc>
          <w:tcPr>
            <w:tcW w:w="750" w:type="dxa"/>
          </w:tcPr>
          <w:p>
            <w:pPr>
              <w:pStyle w:val="Compact"/>
              <w:spacing w:before="0" w:after="0" w:lineRule="exact" w:line="220"/>
              <w:jc w:val="left"/>
            </w:pPr>
            <w:r>
              <w:rPr>
                <w:sz w:val="18"/>
              </w:rPr>
              <w:t xml:space="preserve">76.5</w:t>
            </w:r>
          </w:p>
        </w:tc>
        <w:tc>
          <w:tcPr>
            <w:tcW w:w="1130" w:type="dxa"/>
          </w:tcPr>
          <w:p>
            <w:pPr>
              <w:pStyle w:val="Compact"/>
              <w:spacing w:before="0" w:after="0" w:lineRule="exact" w:line="220"/>
              <w:jc w:val="left"/>
            </w:pPr>
            <w:r>
              <w:rPr>
                <w:sz w:val="18"/>
              </w:rPr>
              <w:t xml:space="preserve">45.4</w:t>
            </w:r>
          </w:p>
        </w:tc>
      </w:tr>
      <w:tr>
        <w:trPr>
          <w:cantSplit/>
        </w:trPr>
        <w:tc>
          <w:tcPr>
            <w:tcW w:w="1082" w:type="dxa"/>
          </w:tcPr>
          <w:p>
            <w:pPr>
              <w:pStyle w:val="Compact"/>
              <w:spacing w:before="0" w:after="0" w:lineRule="exact" w:line="220"/>
              <w:jc w:val="left"/>
            </w:pPr>
            <w:r>
              <w:rPr>
                <w:sz w:val="18"/>
              </w:rPr>
              <w:t xml:space="preserve">Blibli third-party retail, 2022–25</w:t>
            </w:r>
          </w:p>
        </w:tc>
        <w:tc>
          <w:tcPr>
            <w:tcW w:w="1084" w:type="dxa"/>
          </w:tcPr>
          <w:p>
            <w:pPr>
              <w:pStyle w:val="Compact"/>
              <w:spacing w:before="0" w:after="0" w:lineRule="exact" w:line="220"/>
              <w:jc w:val="left"/>
            </w:pPr>
            <w:r>
              <w:rPr>
                <w:sz w:val="18"/>
              </w:rPr>
              <w:t xml:space="preserve">679.4</w:t>
            </w:r>
          </w:p>
        </w:tc>
        <w:tc>
          <w:tcPr>
            <w:tcW w:w="1518" w:type="dxa"/>
          </w:tcPr>
          <w:p>
            <w:pPr>
              <w:pStyle w:val="Compact"/>
              <w:spacing w:before="0" w:after="0" w:lineRule="exact" w:line="220"/>
              <w:jc w:val="left"/>
            </w:pPr>
            <w:r>
              <w:rPr>
                <w:sz w:val="18"/>
              </w:rPr>
              <w:t xml:space="preserve">43.6</w:t>
            </w:r>
          </w:p>
        </w:tc>
        <w:tc>
          <w:tcPr>
            <w:tcW w:w="1041" w:type="dxa"/>
          </w:tcPr>
          <w:p>
            <w:pPr>
              <w:pStyle w:val="Compact"/>
              <w:spacing w:before="0" w:after="0" w:lineRule="exact" w:line="220"/>
              <w:jc w:val="left"/>
            </w:pPr>
            <w:r>
              <w:rPr>
                <w:sz w:val="18"/>
              </w:rPr>
              <w:t xml:space="preserve">0.54</w:t>
            </w:r>
          </w:p>
        </w:tc>
        <w:tc>
          <w:tcPr>
            <w:tcW w:w="954" w:type="dxa"/>
          </w:tcPr>
          <w:p>
            <w:pPr>
              <w:pStyle w:val="Compact"/>
              <w:spacing w:before="0" w:after="0" w:lineRule="exact" w:line="220"/>
              <w:jc w:val="left"/>
            </w:pPr>
            <w:r>
              <w:rPr>
                <w:sz w:val="18"/>
              </w:rPr>
              <w:t xml:space="preserve">2.92</w:t>
            </w:r>
          </w:p>
        </w:tc>
        <w:tc>
          <w:tcPr>
            <w:tcW w:w="940" w:type="dxa"/>
          </w:tcPr>
          <w:p>
            <w:pPr>
              <w:pStyle w:val="Compact"/>
              <w:spacing w:before="0" w:after="0" w:lineRule="exact" w:line="220"/>
              <w:jc w:val="left"/>
            </w:pPr>
            <w:r>
              <w:rPr>
                <w:sz w:val="18"/>
              </w:rPr>
              <w:t xml:space="preserve">17.6</w:t>
            </w:r>
          </w:p>
        </w:tc>
        <w:tc>
          <w:tcPr>
            <w:tcW w:w="750" w:type="dxa"/>
          </w:tcPr>
          <w:p>
            <w:pPr>
              <w:pStyle w:val="Compact"/>
              <w:spacing w:before="0" w:after="0" w:lineRule="exact" w:line="220"/>
              <w:jc w:val="left"/>
            </w:pPr>
            <w:r>
              <w:rPr>
                <w:sz w:val="18"/>
              </w:rPr>
              <w:t xml:space="preserve">62.6</w:t>
            </w:r>
          </w:p>
        </w:tc>
        <w:tc>
          <w:tcPr>
            <w:tcW w:w="1130" w:type="dxa"/>
          </w:tcPr>
          <w:p>
            <w:pPr>
              <w:pStyle w:val="Compact"/>
              <w:spacing w:before="0" w:after="0" w:lineRule="exact" w:line="220"/>
              <w:jc w:val="left"/>
            </w:pPr>
            <w:r>
              <w:rPr>
                <w:sz w:val="18"/>
              </w:rPr>
              <w:t xml:space="preserve">19.8</w:t>
            </w:r>
          </w:p>
        </w:tc>
      </w:tr>
      <w:tr>
        <w:trPr>
          <w:cantSplit/>
        </w:trPr>
        <w:tc>
          <w:tcPr>
            <w:tcW w:w="1082" w:type="dxa"/>
          </w:tcPr>
          <w:p>
            <w:pPr>
              <w:pStyle w:val="Compact"/>
              <w:spacing w:before="0" w:after="0" w:lineRule="exact" w:line="220"/>
              <w:jc w:val="left"/>
            </w:pPr>
            <w:r>
              <w:rPr>
                <w:sz w:val="18"/>
              </w:rPr>
              <w:t xml:space="preserve">Blibli third-party retail, 2022–23</w:t>
            </w:r>
          </w:p>
        </w:tc>
        <w:tc>
          <w:tcPr>
            <w:tcW w:w="1084" w:type="dxa"/>
          </w:tcPr>
          <w:p>
            <w:pPr>
              <w:pStyle w:val="Compact"/>
              <w:spacing w:before="0" w:after="0" w:lineRule="exact" w:line="220"/>
              <w:jc w:val="left"/>
            </w:pPr>
            <w:r>
              <w:rPr>
                <w:sz w:val="18"/>
              </w:rPr>
              <w:t xml:space="preserve">465.3</w:t>
            </w:r>
          </w:p>
        </w:tc>
        <w:tc>
          <w:tcPr>
            <w:tcW w:w="1518" w:type="dxa"/>
          </w:tcPr>
          <w:p>
            <w:pPr>
              <w:pStyle w:val="Compact"/>
              <w:spacing w:before="0" w:after="0" w:lineRule="exact" w:line="220"/>
              <w:jc w:val="left"/>
            </w:pPr>
            <w:r>
              <w:rPr>
                <w:sz w:val="18"/>
              </w:rPr>
              <w:t xml:space="preserve">34.7</w:t>
            </w:r>
          </w:p>
        </w:tc>
        <w:tc>
          <w:tcPr>
            <w:tcW w:w="1041" w:type="dxa"/>
          </w:tcPr>
          <w:p>
            <w:pPr>
              <w:pStyle w:val="Compact"/>
              <w:spacing w:before="0" w:after="0" w:lineRule="exact" w:line="220"/>
              <w:jc w:val="left"/>
            </w:pPr>
            <w:r>
              <w:rPr>
                <w:sz w:val="18"/>
              </w:rPr>
              <w:t xml:space="preserve">0.54</w:t>
            </w:r>
          </w:p>
        </w:tc>
        <w:tc>
          <w:tcPr>
            <w:tcW w:w="954" w:type="dxa"/>
          </w:tcPr>
          <w:p>
            <w:pPr>
              <w:pStyle w:val="Compact"/>
              <w:spacing w:before="0" w:after="0" w:lineRule="exact" w:line="220"/>
              <w:jc w:val="left"/>
            </w:pPr>
            <w:r>
              <w:rPr>
                <w:sz w:val="18"/>
              </w:rPr>
              <w:t xml:space="preserve">2.25</w:t>
            </w:r>
          </w:p>
        </w:tc>
        <w:tc>
          <w:tcPr>
            <w:tcW w:w="940" w:type="dxa"/>
          </w:tcPr>
          <w:p>
            <w:pPr>
              <w:pStyle w:val="Compact"/>
              <w:spacing w:before="0" w:after="0" w:lineRule="exact" w:line="220"/>
              <w:jc w:val="left"/>
            </w:pPr>
            <w:r>
              <w:rPr>
                <w:sz w:val="18"/>
              </w:rPr>
              <w:t xml:space="preserve">17.2</w:t>
            </w:r>
          </w:p>
        </w:tc>
        <w:tc>
          <w:tcPr>
            <w:tcW w:w="750" w:type="dxa"/>
          </w:tcPr>
          <w:p>
            <w:pPr>
              <w:pStyle w:val="Compact"/>
              <w:spacing w:before="0" w:after="0" w:lineRule="exact" w:line="220"/>
              <w:jc w:val="left"/>
            </w:pPr>
            <w:r>
              <w:rPr>
                <w:sz w:val="18"/>
              </w:rPr>
              <w:t xml:space="preserve">20.1</w:t>
            </w:r>
          </w:p>
        </w:tc>
        <w:tc>
          <w:tcPr>
            <w:tcW w:w="1130" w:type="dxa"/>
          </w:tcPr>
          <w:p>
            <w:pPr>
              <w:pStyle w:val="Compact"/>
              <w:spacing w:before="0" w:after="0" w:lineRule="exact" w:line="220"/>
              <w:jc w:val="left"/>
            </w:pPr>
            <w:r>
              <w:rPr>
                <w:sz w:val="18"/>
              </w:rPr>
              <w:t xml:space="preserve">62.7</w:t>
            </w:r>
          </w:p>
        </w:tc>
      </w:tr>
    </w:tbl>
    <w:p>
      <w:pPr>
        <w:pStyle w:val="BodyText"/>
        <w:spacing w:before="160"/>
        <w:jc w:val="lef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1"/>
    <w:bookmarkStart w:id="92" w:name="Xb702da1138b9cc3d1e10d1a4085988b12c1d217"/>
    <w:p>
      <w:pPr>
        <w:pStyle w:val="Heading3"/>
      </w:pPr>
      <w:r>
        <w:t xml:space="preserve">A.4 Wedge and ecosystem ratio by platform-year, Indonesian series</w:t>
      </w:r>
    </w:p>
    <w:p>
      <w:pPr>
        <w:pStyle w:val="FirstParagraph"/>
        <w:jc w:val="left"/>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9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370"/>
        <w:gridCol w:w="560"/>
        <w:gridCol w:w="1225"/>
        <w:gridCol w:w="1035"/>
        <w:gridCol w:w="1225"/>
        <w:gridCol w:w="803"/>
        <w:gridCol w:w="1035"/>
        <w:gridCol w:w="1249"/>
      </w:tblGrid>
      <w:tr>
        <w:trPr>
          <w:tblHeader w:val="true"/>
          <w:cantSplit/>
          <w:tblHeader/>
        </w:trPr>
        <w:tc>
          <w:tcPr>
            <w:tcW w:w="1370" w:type="dxa"/>
            <w:tcBorders>
              <w:bottom w:val="single" w:sz="5" w:space="0" w:color="000000"/>
            </w:tcBorders>
          </w:tcPr>
          <w:p>
            <w:pPr>
              <w:pStyle w:val="Compact"/>
              <w:spacing w:before="0" w:after="0" w:lineRule="exact" w:line="220"/>
              <w:jc w:val="left"/>
            </w:pPr>
            <w:r>
              <w:rPr>
                <w:b/>
                <w:sz w:val="18"/>
              </w:rPr>
              <w:t xml:space="preserve">Series</w:t>
            </w:r>
          </w:p>
        </w:tc>
        <w:tc>
          <w:tcPr>
            <w:tcW w:w="560" w:type="dxa"/>
            <w:tcBorders>
              <w:bottom w:val="single" w:sz="5" w:space="0" w:color="000000"/>
            </w:tcBorders>
          </w:tcPr>
          <w:p>
            <w:pPr>
              <w:pStyle w:val="Compact"/>
              <w:spacing w:before="0" w:after="0" w:lineRule="exact" w:line="220"/>
              <w:jc w:val="left"/>
            </w:pPr>
            <w:r>
              <w:rPr>
                <w:b/>
                <w:sz w:val="18"/>
              </w:rPr>
              <w:t xml:space="preserve">Year</w:t>
            </w:r>
          </w:p>
        </w:tc>
        <w:tc>
          <w:tcPr>
            <w:tcW w:w="1225" w:type="dxa"/>
            <w:tcBorders>
              <w:bottom w:val="single" w:sz="5" w:space="0" w:color="000000"/>
            </w:tcBorders>
          </w:tcPr>
          <w:p>
            <w:pPr>
              <w:pStyle w:val="Compact"/>
              <w:spacing w:before="0" w:after="0" w:lineRule="exact" w:line="220"/>
              <w:jc w:val="left"/>
            </w:pPr>
            <w:r>
              <w:rPr>
                <w:b/>
                <w:sz w:val="18"/>
              </w:rPr>
              <w:t xml:space="preserve">Transaction value</w:t>
            </w:r>
          </w:p>
        </w:tc>
        <w:tc>
          <w:tcPr>
            <w:tcW w:w="1035" w:type="dxa"/>
            <w:tcBorders>
              <w:bottom w:val="single" w:sz="5" w:space="0" w:color="000000"/>
            </w:tcBorders>
          </w:tcPr>
          <w:p>
            <w:pPr>
              <w:pStyle w:val="Compact"/>
              <w:spacing w:before="0" w:after="0" w:lineRule="exact" w:line="220"/>
              <w:jc w:val="left"/>
            </w:pPr>
            <w:r>
              <w:rPr>
                <w:b/>
                <w:sz w:val="18"/>
              </w:rPr>
              <w:t xml:space="preserve">Revenue</w:t>
            </w:r>
          </w:p>
        </w:tc>
        <w:tc>
          <w:tcPr>
            <w:tcW w:w="1225" w:type="dxa"/>
            <w:tcBorders>
              <w:bottom w:val="single" w:sz="5" w:space="0" w:color="000000"/>
            </w:tcBorders>
          </w:tcPr>
          <w:p>
            <w:pPr>
              <w:pStyle w:val="Compact"/>
              <w:spacing w:before="0" w:after="0" w:lineRule="exact" w:line="220"/>
              <w:jc w:val="left"/>
            </w:pPr>
            <w:r>
              <w:rPr>
                <w:b/>
                <w:sz w:val="18"/>
              </w:rPr>
              <w:t xml:space="preserve">Wedge</w:t>
            </w:r>
          </w:p>
        </w:tc>
        <w:tc>
          <w:tcPr>
            <w:tcW w:w="803" w:type="dxa"/>
            <w:tcBorders>
              <w:bottom w:val="single" w:sz="5" w:space="0" w:color="000000"/>
            </w:tcBorders>
          </w:tcPr>
          <w:p>
            <w:pPr>
              <w:pStyle w:val="Compact"/>
              <w:spacing w:before="0" w:after="0" w:lineRule="exact" w:line="220"/>
              <w:jc w:val="left"/>
            </w:pPr>
            <w:r>
              <w:rPr>
                <w:b/>
                <w:sz w:val="18"/>
              </w:rPr>
              <w:t xml:space="preserve">Take rate (%)</w:t>
            </w:r>
          </w:p>
        </w:tc>
        <w:tc>
          <w:tcPr>
            <w:tcW w:w="1035" w:type="dxa"/>
            <w:tcBorders>
              <w:bottom w:val="single" w:sz="5" w:space="0" w:color="000000"/>
            </w:tcBorders>
          </w:tcPr>
          <w:p>
            <w:pPr>
              <w:pStyle w:val="Compact"/>
              <w:spacing w:before="0" w:after="0" w:lineRule="exact" w:line="220"/>
              <w:jc w:val="left"/>
            </w:pPr>
            <w:r>
              <w:rPr>
                <w:b/>
                <w:sz w:val="18"/>
              </w:rPr>
              <w:t xml:space="preserve">Ecosystem ratio</w:t>
            </w:r>
          </w:p>
        </w:tc>
        <w:tc>
          <w:tcPr>
            <w:tcW w:w="1249" w:type="dxa"/>
            <w:tcBorders>
              <w:bottom w:val="single" w:sz="5" w:space="0" w:color="000000"/>
            </w:tcBorders>
          </w:tcPr>
          <w:p>
            <w:pPr>
              <w:pStyle w:val="Compact"/>
              <w:spacing w:before="0" w:after="0" w:lineRule="exact" w:line="220"/>
              <w:jc w:val="left"/>
            </w:pPr>
            <w:r>
              <w:rPr>
                <w:b/>
                <w:sz w:val="18"/>
              </w:rPr>
              <w:t xml:space="preserve">Label</w:t>
            </w:r>
          </w:p>
        </w:tc>
      </w:tr>
      <w:tr>
        <w:trPr>
          <w:cantSplit/>
        </w:trPr>
        <w:tc>
          <w:tcPr>
            <w:tcW w:w="1370" w:type="dxa"/>
          </w:tcPr>
          <w:p>
            <w:pPr>
              <w:pStyle w:val="Compact"/>
              <w:spacing w:before="0" w:after="0" w:lineRule="exact" w:line="220"/>
              <w:jc w:val="left"/>
            </w:pPr>
            <w:r>
              <w:rPr>
                <w:sz w:val="18"/>
              </w:rPr>
              <w:t xml:space="preserve">Grab</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1.88</w:t>
            </w:r>
          </w:p>
        </w:tc>
        <w:tc>
          <w:tcPr>
            <w:tcW w:w="1035" w:type="dxa"/>
          </w:tcPr>
          <w:p>
            <w:pPr>
              <w:pStyle w:val="Compact"/>
              <w:spacing w:before="0" w:after="0" w:lineRule="exact" w:line="220"/>
              <w:jc w:val="left"/>
            </w:pPr>
            <w:r>
              <w:rPr>
                <w:sz w:val="18"/>
              </w:rPr>
              <w:t xml:space="preserve">0.08</w:t>
            </w:r>
          </w:p>
        </w:tc>
        <w:tc>
          <w:tcPr>
            <w:tcW w:w="1225" w:type="dxa"/>
          </w:tcPr>
          <w:p>
            <w:pPr>
              <w:pStyle w:val="Compact"/>
              <w:spacing w:before="0" w:after="0" w:lineRule="exact" w:line="220"/>
              <w:jc w:val="left"/>
            </w:pPr>
            <w:r>
              <w:rPr>
                <w:sz w:val="18"/>
              </w:rPr>
              <w:t xml:space="preserve">1.80</w:t>
            </w:r>
          </w:p>
        </w:tc>
        <w:tc>
          <w:tcPr>
            <w:tcW w:w="803" w:type="dxa"/>
          </w:tcPr>
          <w:p>
            <w:pPr>
              <w:pStyle w:val="Compact"/>
              <w:spacing w:before="0" w:after="0" w:lineRule="exact" w:line="220"/>
              <w:jc w:val="left"/>
            </w:pPr>
            <w:r>
              <w:rPr>
                <w:sz w:val="18"/>
              </w:rPr>
              <w:t xml:space="preserve">4.20</w:t>
            </w:r>
          </w:p>
        </w:tc>
        <w:tc>
          <w:tcPr>
            <w:tcW w:w="1035" w:type="dxa"/>
          </w:tcPr>
          <w:p>
            <w:pPr>
              <w:pStyle w:val="Compact"/>
              <w:spacing w:before="0" w:after="0" w:lineRule="exact" w:line="220"/>
              <w:jc w:val="left"/>
            </w:pPr>
            <w:r>
              <w:rPr>
                <w:sz w:val="18"/>
              </w:rPr>
              <w:t xml:space="preserve">22.8</w:t>
            </w:r>
          </w:p>
        </w:tc>
        <w:tc>
          <w:tcPr>
            <w:tcW w:w="1249" w:type="dxa"/>
          </w:tcPr>
          <w:p>
            <w:pPr>
              <w:pStyle w:val="Compac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Grab</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3.83</w:t>
            </w:r>
          </w:p>
        </w:tc>
        <w:tc>
          <w:tcPr>
            <w:tcW w:w="1035" w:type="dxa"/>
          </w:tcPr>
          <w:p>
            <w:pPr>
              <w:pStyle w:val="Compact"/>
              <w:spacing w:before="0" w:after="0" w:lineRule="exact" w:line="220"/>
              <w:jc w:val="left"/>
            </w:pPr>
            <w:r>
              <w:rPr>
                <w:sz w:val="18"/>
              </w:rPr>
              <w:t xml:space="preserve">0.28</w:t>
            </w:r>
          </w:p>
        </w:tc>
        <w:tc>
          <w:tcPr>
            <w:tcW w:w="1225" w:type="dxa"/>
          </w:tcPr>
          <w:p>
            <w:pPr>
              <w:pStyle w:val="Compact"/>
              <w:spacing w:before="0" w:after="0" w:lineRule="exact" w:line="220"/>
              <w:jc w:val="left"/>
            </w:pPr>
            <w:r>
              <w:rPr>
                <w:sz w:val="18"/>
              </w:rPr>
              <w:t xml:space="preserve">3.55</w:t>
            </w:r>
          </w:p>
        </w:tc>
        <w:tc>
          <w:tcPr>
            <w:tcW w:w="803" w:type="dxa"/>
          </w:tcPr>
          <w:p>
            <w:pPr>
              <w:pStyle w:val="Compact"/>
              <w:spacing w:before="0" w:after="0" w:lineRule="exact" w:line="220"/>
              <w:jc w:val="left"/>
            </w:pPr>
            <w:r>
              <w:rPr>
                <w:sz w:val="18"/>
              </w:rPr>
              <w:t xml:space="preserve">7.19</w:t>
            </w:r>
          </w:p>
        </w:tc>
        <w:tc>
          <w:tcPr>
            <w:tcW w:w="1035" w:type="dxa"/>
          </w:tcPr>
          <w:p>
            <w:pPr>
              <w:pStyle w:val="Compact"/>
              <w:spacing w:before="0" w:after="0" w:lineRule="exact" w:line="220"/>
              <w:jc w:val="left"/>
            </w:pPr>
            <w:r>
              <w:rPr>
                <w:sz w:val="18"/>
              </w:rPr>
              <w:t xml:space="preserve">12.9</w:t>
            </w:r>
          </w:p>
        </w:tc>
        <w:tc>
          <w:tcPr>
            <w:tcW w:w="1249" w:type="dxa"/>
          </w:tcPr>
          <w:p>
            <w:pPr>
              <w:pStyle w:val="Compac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Grab</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5.38</w:t>
            </w:r>
          </w:p>
        </w:tc>
        <w:tc>
          <w:tcPr>
            <w:tcW w:w="1035" w:type="dxa"/>
          </w:tcPr>
          <w:p>
            <w:pPr>
              <w:pStyle w:val="Compact"/>
              <w:spacing w:before="0" w:after="0" w:lineRule="exact" w:line="220"/>
              <w:jc w:val="left"/>
            </w:pPr>
            <w:r>
              <w:rPr>
                <w:sz w:val="18"/>
              </w:rPr>
              <w:t xml:space="preserve">0.60</w:t>
            </w:r>
          </w:p>
        </w:tc>
        <w:tc>
          <w:tcPr>
            <w:tcW w:w="1225" w:type="dxa"/>
          </w:tcPr>
          <w:p>
            <w:pPr>
              <w:pStyle w:val="Compact"/>
              <w:spacing w:before="0" w:after="0" w:lineRule="exact" w:line="220"/>
              <w:jc w:val="left"/>
            </w:pPr>
            <w:r>
              <w:rPr>
                <w:sz w:val="18"/>
              </w:rPr>
              <w:t xml:space="preserve">4.78</w:t>
            </w:r>
          </w:p>
        </w:tc>
        <w:tc>
          <w:tcPr>
            <w:tcW w:w="803" w:type="dxa"/>
          </w:tcPr>
          <w:p>
            <w:pPr>
              <w:pStyle w:val="Compact"/>
              <w:spacing w:before="0" w:after="0" w:lineRule="exact" w:line="220"/>
              <w:jc w:val="left"/>
            </w:pPr>
            <w:r>
              <w:rPr>
                <w:sz w:val="18"/>
              </w:rPr>
              <w:t xml:space="preserve">11.24</w:t>
            </w:r>
          </w:p>
        </w:tc>
        <w:tc>
          <w:tcPr>
            <w:tcW w:w="1035" w:type="dxa"/>
          </w:tcPr>
          <w:p>
            <w:pPr>
              <w:pStyle w:val="Compact"/>
              <w:spacing w:before="0" w:after="0" w:lineRule="exact" w:line="220"/>
              <w:jc w:val="left"/>
            </w:pPr>
            <w:r>
              <w:rPr>
                <w:sz w:val="18"/>
              </w:rPr>
              <w:t xml:space="preserve">7.9</w:t>
            </w:r>
          </w:p>
        </w:tc>
        <w:tc>
          <w:tcPr>
            <w:tcW w:w="1249" w:type="dxa"/>
          </w:tcPr>
          <w:p>
            <w:pPr>
              <w:pStyle w:val="Compac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18.68</w:t>
            </w:r>
          </w:p>
        </w:tc>
        <w:tc>
          <w:tcPr>
            <w:tcW w:w="1035" w:type="dxa"/>
          </w:tcPr>
          <w:p>
            <w:pPr>
              <w:pStyle w:val="Compact"/>
              <w:spacing w:before="0" w:after="0" w:lineRule="exact" w:line="220"/>
              <w:jc w:val="left"/>
            </w:pPr>
            <w:r>
              <w:rPr>
                <w:sz w:val="18"/>
              </w:rPr>
              <w:t xml:space="preserve">1.57</w:t>
            </w:r>
          </w:p>
        </w:tc>
        <w:tc>
          <w:tcPr>
            <w:tcW w:w="1225" w:type="dxa"/>
          </w:tcPr>
          <w:p>
            <w:pPr>
              <w:pStyle w:val="Compact"/>
              <w:spacing w:before="0" w:after="0" w:lineRule="exact" w:line="220"/>
              <w:jc w:val="left"/>
            </w:pPr>
            <w:r>
              <w:rPr>
                <w:sz w:val="18"/>
              </w:rPr>
              <w:t xml:space="preserve">17.11</w:t>
            </w:r>
          </w:p>
        </w:tc>
        <w:tc>
          <w:tcPr>
            <w:tcW w:w="803" w:type="dxa"/>
          </w:tcPr>
          <w:p>
            <w:pPr>
              <w:pStyle w:val="Compact"/>
              <w:spacing w:before="0" w:after="0" w:lineRule="exact" w:line="220"/>
              <w:jc w:val="left"/>
            </w:pPr>
            <w:r>
              <w:rPr>
                <w:sz w:val="18"/>
              </w:rPr>
              <w:t xml:space="preserve">8.40</w:t>
            </w:r>
          </w:p>
        </w:tc>
        <w:tc>
          <w:tcPr>
            <w:tcW w:w="1035" w:type="dxa"/>
          </w:tcPr>
          <w:p>
            <w:pPr>
              <w:pStyle w:val="Compact"/>
              <w:spacing w:before="0" w:after="0" w:lineRule="exact" w:line="220"/>
              <w:jc w:val="left"/>
            </w:pPr>
            <w:r>
              <w:rPr>
                <w:sz w:val="18"/>
              </w:rPr>
              <w:t xml:space="preserve">10.9</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21.52</w:t>
            </w:r>
          </w:p>
        </w:tc>
        <w:tc>
          <w:tcPr>
            <w:tcW w:w="1035" w:type="dxa"/>
          </w:tcPr>
          <w:p>
            <w:pPr>
              <w:pStyle w:val="Compact"/>
              <w:spacing w:before="0" w:after="0" w:lineRule="exact" w:line="220"/>
              <w:jc w:val="left"/>
            </w:pPr>
            <w:r>
              <w:rPr>
                <w:sz w:val="18"/>
              </w:rPr>
              <w:t xml:space="preserve">2.15</w:t>
            </w:r>
          </w:p>
        </w:tc>
        <w:tc>
          <w:tcPr>
            <w:tcW w:w="1225" w:type="dxa"/>
          </w:tcPr>
          <w:p>
            <w:pPr>
              <w:pStyle w:val="Compact"/>
              <w:spacing w:before="0" w:after="0" w:lineRule="exact" w:line="220"/>
              <w:jc w:val="left"/>
            </w:pPr>
            <w:r>
              <w:rPr>
                <w:sz w:val="18"/>
              </w:rPr>
              <w:t xml:space="preserve">19.37</w:t>
            </w:r>
          </w:p>
        </w:tc>
        <w:tc>
          <w:tcPr>
            <w:tcW w:w="803" w:type="dxa"/>
          </w:tcPr>
          <w:p>
            <w:pPr>
              <w:pStyle w:val="Compact"/>
              <w:spacing w:before="0" w:after="0" w:lineRule="exact" w:line="220"/>
              <w:jc w:val="left"/>
            </w:pPr>
            <w:r>
              <w:rPr>
                <w:sz w:val="18"/>
              </w:rPr>
              <w:t xml:space="preserve">10.00</w:t>
            </w:r>
          </w:p>
        </w:tc>
        <w:tc>
          <w:tcPr>
            <w:tcW w:w="1035" w:type="dxa"/>
          </w:tcPr>
          <w:p>
            <w:pPr>
              <w:pStyle w:val="Compact"/>
              <w:spacing w:before="0" w:after="0" w:lineRule="exact" w:line="220"/>
              <w:jc w:val="left"/>
            </w:pPr>
            <w:r>
              <w:rPr>
                <w:sz w:val="18"/>
              </w:rPr>
              <w:t xml:space="preserve">9.0</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25.99</w:t>
            </w:r>
          </w:p>
        </w:tc>
        <w:tc>
          <w:tcPr>
            <w:tcW w:w="1035" w:type="dxa"/>
          </w:tcPr>
          <w:p>
            <w:pPr>
              <w:pStyle w:val="Compact"/>
              <w:spacing w:before="0" w:after="0" w:lineRule="exact" w:line="220"/>
              <w:jc w:val="left"/>
            </w:pPr>
            <w:r>
              <w:rPr>
                <w:sz w:val="18"/>
              </w:rPr>
              <w:t xml:space="preserve">2.81</w:t>
            </w:r>
          </w:p>
        </w:tc>
        <w:tc>
          <w:tcPr>
            <w:tcW w:w="1225" w:type="dxa"/>
          </w:tcPr>
          <w:p>
            <w:pPr>
              <w:pStyle w:val="Compact"/>
              <w:spacing w:before="0" w:after="0" w:lineRule="exact" w:line="220"/>
              <w:jc w:val="left"/>
            </w:pPr>
            <w:r>
              <w:rPr>
                <w:sz w:val="18"/>
              </w:rPr>
              <w:t xml:space="preserve">23.18</w:t>
            </w:r>
          </w:p>
        </w:tc>
        <w:tc>
          <w:tcPr>
            <w:tcW w:w="803" w:type="dxa"/>
          </w:tcPr>
          <w:p>
            <w:pPr>
              <w:pStyle w:val="Compact"/>
              <w:spacing w:before="0" w:after="0" w:lineRule="exact" w:line="220"/>
              <w:jc w:val="left"/>
            </w:pPr>
            <w:r>
              <w:rPr>
                <w:sz w:val="18"/>
              </w:rPr>
              <w:t xml:space="preserve">10.80</w:t>
            </w:r>
          </w:p>
        </w:tc>
        <w:tc>
          <w:tcPr>
            <w:tcW w:w="1035" w:type="dxa"/>
          </w:tcPr>
          <w:p>
            <w:pPr>
              <w:pStyle w:val="Compact"/>
              <w:spacing w:before="0" w:after="0" w:lineRule="exact" w:line="220"/>
              <w:jc w:val="left"/>
            </w:pPr>
            <w:r>
              <w:rPr>
                <w:sz w:val="18"/>
              </w:rPr>
              <w:t xml:space="preserve">8.3</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273,146,166</w:t>
            </w:r>
          </w:p>
        </w:tc>
        <w:tc>
          <w:tcPr>
            <w:tcW w:w="1035" w:type="dxa"/>
          </w:tcPr>
          <w:p>
            <w:pPr>
              <w:pStyle w:val="Compact"/>
              <w:spacing w:before="0" w:after="0" w:lineRule="exact" w:line="220"/>
              <w:jc w:val="left"/>
            </w:pPr>
            <w:r>
              <w:rPr>
                <w:sz w:val="18"/>
              </w:rPr>
              <w:t xml:space="preserve">4,030,919</w:t>
            </w:r>
          </w:p>
        </w:tc>
        <w:tc>
          <w:tcPr>
            <w:tcW w:w="1225" w:type="dxa"/>
          </w:tcPr>
          <w:p>
            <w:pPr>
              <w:pStyle w:val="Compact"/>
              <w:spacing w:before="0" w:after="0" w:lineRule="exact" w:line="220"/>
              <w:jc w:val="left"/>
            </w:pPr>
            <w:r>
              <w:rPr>
                <w:sz w:val="18"/>
              </w:rPr>
              <w:t xml:space="preserve">269,115,247</w:t>
            </w:r>
          </w:p>
        </w:tc>
        <w:tc>
          <w:tcPr>
            <w:tcW w:w="803" w:type="dxa"/>
          </w:tcPr>
          <w:p>
            <w:pPr>
              <w:pStyle w:val="Compact"/>
              <w:spacing w:before="0" w:after="0" w:lineRule="exact" w:line="220"/>
              <w:jc w:val="left"/>
            </w:pPr>
            <w:r>
              <w:rPr>
                <w:sz w:val="18"/>
              </w:rPr>
              <w:t xml:space="preserve">1.48</w:t>
            </w:r>
          </w:p>
        </w:tc>
        <w:tc>
          <w:tcPr>
            <w:tcW w:w="1035" w:type="dxa"/>
          </w:tcPr>
          <w:p>
            <w:pPr>
              <w:pStyle w:val="Compact"/>
              <w:spacing w:before="0" w:after="0" w:lineRule="exact" w:line="220"/>
              <w:jc w:val="left"/>
            </w:pPr>
            <w:r>
              <w:rPr>
                <w:sz w:val="18"/>
              </w:rPr>
              <w:t xml:space="preserve">66.8</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248,836,156</w:t>
            </w:r>
          </w:p>
        </w:tc>
        <w:tc>
          <w:tcPr>
            <w:tcW w:w="1035" w:type="dxa"/>
          </w:tcPr>
          <w:p>
            <w:pPr>
              <w:pStyle w:val="Compact"/>
              <w:spacing w:before="0" w:after="0" w:lineRule="exact" w:line="220"/>
              <w:jc w:val="left"/>
            </w:pPr>
            <w:r>
              <w:rPr>
                <w:sz w:val="18"/>
              </w:rPr>
              <w:t xml:space="preserve">6,175,190</w:t>
            </w:r>
          </w:p>
        </w:tc>
        <w:tc>
          <w:tcPr>
            <w:tcW w:w="1225" w:type="dxa"/>
          </w:tcPr>
          <w:p>
            <w:pPr>
              <w:pStyle w:val="Compact"/>
              <w:spacing w:before="0" w:after="0" w:lineRule="exact" w:line="220"/>
              <w:jc w:val="left"/>
            </w:pPr>
            <w:r>
              <w:rPr>
                <w:sz w:val="18"/>
              </w:rPr>
              <w:t xml:space="preserve">242,660,966</w:t>
            </w:r>
          </w:p>
        </w:tc>
        <w:tc>
          <w:tcPr>
            <w:tcW w:w="803" w:type="dxa"/>
          </w:tcPr>
          <w:p>
            <w:pPr>
              <w:pStyle w:val="Compact"/>
              <w:spacing w:before="0" w:after="0" w:lineRule="exact" w:line="220"/>
              <w:jc w:val="left"/>
            </w:pPr>
            <w:r>
              <w:rPr>
                <w:sz w:val="18"/>
              </w:rPr>
              <w:t xml:space="preserve">2.48</w:t>
            </w:r>
          </w:p>
        </w:tc>
        <w:tc>
          <w:tcPr>
            <w:tcW w:w="1035" w:type="dxa"/>
          </w:tcPr>
          <w:p>
            <w:pPr>
              <w:pStyle w:val="Compact"/>
              <w:spacing w:before="0" w:after="0" w:lineRule="exact" w:line="220"/>
              <w:jc w:val="left"/>
            </w:pPr>
            <w:r>
              <w:rPr>
                <w:sz w:val="18"/>
              </w:rPr>
              <w:t xml:space="preserve">39.3</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15,746</w:t>
            </w:r>
          </w:p>
        </w:tc>
        <w:tc>
          <w:tcPr>
            <w:tcW w:w="1035" w:type="dxa"/>
          </w:tcPr>
          <w:p>
            <w:pPr>
              <w:pStyle w:val="Compact"/>
              <w:spacing w:before="0" w:after="0" w:lineRule="exact" w:line="220"/>
              <w:jc w:val="left"/>
            </w:pPr>
            <w:r>
              <w:rPr>
                <w:sz w:val="18"/>
              </w:rPr>
              <w:t xml:space="preserve">122</w:t>
            </w:r>
          </w:p>
        </w:tc>
        <w:tc>
          <w:tcPr>
            <w:tcW w:w="1225" w:type="dxa"/>
          </w:tcPr>
          <w:p>
            <w:pPr>
              <w:pStyle w:val="Compact"/>
              <w:spacing w:before="0" w:after="0" w:lineRule="exact" w:line="220"/>
              <w:jc w:val="left"/>
            </w:pPr>
            <w:r>
              <w:rPr>
                <w:sz w:val="18"/>
              </w:rPr>
              <w:t xml:space="preserve">15,624</w:t>
            </w:r>
          </w:p>
        </w:tc>
        <w:tc>
          <w:tcPr>
            <w:tcW w:w="803" w:type="dxa"/>
          </w:tcPr>
          <w:p>
            <w:pPr>
              <w:pStyle w:val="Compact"/>
              <w:spacing w:before="0" w:after="0" w:lineRule="exact" w:line="220"/>
              <w:jc w:val="left"/>
            </w:pPr>
            <w:r>
              <w:rPr>
                <w:sz w:val="18"/>
              </w:rPr>
              <w:t xml:space="preserve">0.77</w:t>
            </w:r>
          </w:p>
        </w:tc>
        <w:tc>
          <w:tcPr>
            <w:tcW w:w="1035" w:type="dxa"/>
          </w:tcPr>
          <w:p>
            <w:pPr>
              <w:pStyle w:val="Compact"/>
              <w:spacing w:before="0" w:after="0" w:lineRule="exact" w:line="220"/>
              <w:jc w:val="left"/>
            </w:pPr>
            <w:r>
              <w:rPr>
                <w:sz w:val="18"/>
              </w:rPr>
              <w:t xml:space="preserve">128.1</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37,050</w:t>
            </w:r>
          </w:p>
        </w:tc>
        <w:tc>
          <w:tcPr>
            <w:tcW w:w="1035" w:type="dxa"/>
          </w:tcPr>
          <w:p>
            <w:pPr>
              <w:pStyle w:val="Compact"/>
              <w:spacing w:before="0" w:after="0" w:lineRule="exact" w:line="220"/>
              <w:jc w:val="left"/>
            </w:pPr>
            <w:r>
              <w:rPr>
                <w:sz w:val="18"/>
              </w:rPr>
              <w:t xml:space="preserve">199</w:t>
            </w:r>
          </w:p>
        </w:tc>
        <w:tc>
          <w:tcPr>
            <w:tcW w:w="1225" w:type="dxa"/>
          </w:tcPr>
          <w:p>
            <w:pPr>
              <w:pStyle w:val="Compact"/>
              <w:spacing w:before="0" w:after="0" w:lineRule="exact" w:line="220"/>
              <w:jc w:val="left"/>
            </w:pPr>
            <w:r>
              <w:rPr>
                <w:sz w:val="18"/>
              </w:rPr>
              <w:t xml:space="preserve">36,851</w:t>
            </w:r>
          </w:p>
        </w:tc>
        <w:tc>
          <w:tcPr>
            <w:tcW w:w="803" w:type="dxa"/>
          </w:tcPr>
          <w:p>
            <w:pPr>
              <w:pStyle w:val="Compact"/>
              <w:spacing w:before="0" w:after="0" w:lineRule="exact" w:line="220"/>
              <w:jc w:val="left"/>
            </w:pPr>
            <w:r>
              <w:rPr>
                <w:sz w:val="18"/>
              </w:rPr>
              <w:t xml:space="preserve">0.54</w:t>
            </w:r>
          </w:p>
        </w:tc>
        <w:tc>
          <w:tcPr>
            <w:tcW w:w="1035" w:type="dxa"/>
          </w:tcPr>
          <w:p>
            <w:pPr>
              <w:pStyle w:val="Compact"/>
              <w:spacing w:before="0" w:after="0" w:lineRule="exact" w:line="220"/>
              <w:jc w:val="left"/>
            </w:pPr>
            <w:r>
              <w:rPr>
                <w:sz w:val="18"/>
              </w:rPr>
              <w:t xml:space="preserve">185.2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49,912</w:t>
            </w:r>
          </w:p>
        </w:tc>
        <w:tc>
          <w:tcPr>
            <w:tcW w:w="1035" w:type="dxa"/>
          </w:tcPr>
          <w:p>
            <w:pPr>
              <w:pStyle w:val="Compact"/>
              <w:spacing w:before="0" w:after="0" w:lineRule="exact" w:line="220"/>
              <w:jc w:val="left"/>
            </w:pPr>
            <w:r>
              <w:rPr>
                <w:sz w:val="18"/>
              </w:rPr>
              <w:t xml:space="preserve">1,125</w:t>
            </w:r>
          </w:p>
        </w:tc>
        <w:tc>
          <w:tcPr>
            <w:tcW w:w="1225" w:type="dxa"/>
          </w:tcPr>
          <w:p>
            <w:pPr>
              <w:pStyle w:val="Compact"/>
              <w:spacing w:before="0" w:after="0" w:lineRule="exact" w:line="220"/>
              <w:jc w:val="left"/>
            </w:pPr>
            <w:r>
              <w:rPr>
                <w:sz w:val="18"/>
              </w:rPr>
              <w:t xml:space="preserve">48,787</w:t>
            </w:r>
          </w:p>
        </w:tc>
        <w:tc>
          <w:tcPr>
            <w:tcW w:w="803" w:type="dxa"/>
          </w:tcPr>
          <w:p>
            <w:pPr>
              <w:pStyle w:val="Compact"/>
              <w:spacing w:before="0" w:after="0" w:lineRule="exact" w:line="220"/>
              <w:jc w:val="left"/>
            </w:pPr>
            <w:r>
              <w:rPr>
                <w:sz w:val="18"/>
              </w:rPr>
              <w:t xml:space="preserve">2.25</w:t>
            </w:r>
          </w:p>
        </w:tc>
        <w:tc>
          <w:tcPr>
            <w:tcW w:w="1035" w:type="dxa"/>
          </w:tcPr>
          <w:p>
            <w:pPr>
              <w:pStyle w:val="Compact"/>
              <w:spacing w:before="0" w:after="0" w:lineRule="exact" w:line="220"/>
              <w:jc w:val="left"/>
            </w:pPr>
            <w:r>
              <w:rPr>
                <w:sz w:val="18"/>
              </w:rPr>
              <w:t xml:space="preserve">43.4</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54,210</w:t>
            </w:r>
          </w:p>
        </w:tc>
        <w:tc>
          <w:tcPr>
            <w:tcW w:w="1035" w:type="dxa"/>
          </w:tcPr>
          <w:p>
            <w:pPr>
              <w:pStyle w:val="Compact"/>
              <w:spacing w:before="0" w:after="0" w:lineRule="exact" w:line="220"/>
              <w:jc w:val="left"/>
            </w:pPr>
            <w:r>
              <w:rPr>
                <w:sz w:val="18"/>
              </w:rPr>
              <w:t xml:space="preserve">1,384</w:t>
            </w:r>
          </w:p>
        </w:tc>
        <w:tc>
          <w:tcPr>
            <w:tcW w:w="1225" w:type="dxa"/>
          </w:tcPr>
          <w:p>
            <w:pPr>
              <w:pStyle w:val="Compact"/>
              <w:spacing w:before="0" w:after="0" w:lineRule="exact" w:line="220"/>
              <w:jc w:val="left"/>
            </w:pPr>
            <w:r>
              <w:rPr>
                <w:sz w:val="18"/>
              </w:rPr>
              <w:t xml:space="preserve">52,826</w:t>
            </w:r>
          </w:p>
        </w:tc>
        <w:tc>
          <w:tcPr>
            <w:tcW w:w="803" w:type="dxa"/>
          </w:tcPr>
          <w:p>
            <w:pPr>
              <w:pStyle w:val="Compact"/>
              <w:spacing w:before="0" w:after="0" w:lineRule="exact" w:line="220"/>
              <w:jc w:val="left"/>
            </w:pPr>
            <w:r>
              <w:rPr>
                <w:sz w:val="18"/>
              </w:rPr>
              <w:t xml:space="preserve">2.55</w:t>
            </w:r>
          </w:p>
        </w:tc>
        <w:tc>
          <w:tcPr>
            <w:tcW w:w="1035" w:type="dxa"/>
          </w:tcPr>
          <w:p>
            <w:pPr>
              <w:pStyle w:val="Compact"/>
              <w:spacing w:before="0" w:after="0" w:lineRule="exact" w:line="220"/>
              <w:jc w:val="left"/>
            </w:pPr>
            <w:r>
              <w:rPr>
                <w:sz w:val="18"/>
              </w:rPr>
              <w:t xml:space="preserve">38.2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2025</w:t>
            </w:r>
          </w:p>
        </w:tc>
        <w:tc>
          <w:tcPr>
            <w:tcW w:w="1225" w:type="dxa"/>
          </w:tcPr>
          <w:p>
            <w:pPr>
              <w:pStyle w:val="Compact"/>
              <w:spacing w:before="0" w:after="0" w:lineRule="exact" w:line="220"/>
              <w:jc w:val="left"/>
            </w:pPr>
            <w:r>
              <w:rPr>
                <w:sz w:val="18"/>
              </w:rPr>
              <w:t xml:space="preserve">53,187</w:t>
            </w:r>
          </w:p>
        </w:tc>
        <w:tc>
          <w:tcPr>
            <w:tcW w:w="1035" w:type="dxa"/>
          </w:tcPr>
          <w:p>
            <w:pPr>
              <w:pStyle w:val="Compact"/>
              <w:spacing w:before="0" w:after="0" w:lineRule="exact" w:line="220"/>
              <w:jc w:val="left"/>
            </w:pPr>
            <w:r>
              <w:rPr>
                <w:sz w:val="18"/>
              </w:rPr>
              <w:t xml:space="preserve">1,551</w:t>
            </w:r>
          </w:p>
        </w:tc>
        <w:tc>
          <w:tcPr>
            <w:tcW w:w="1225" w:type="dxa"/>
          </w:tcPr>
          <w:p>
            <w:pPr>
              <w:pStyle w:val="Compact"/>
              <w:spacing w:before="0" w:after="0" w:lineRule="exact" w:line="220"/>
              <w:jc w:val="left"/>
            </w:pPr>
            <w:r>
              <w:rPr>
                <w:sz w:val="18"/>
              </w:rPr>
              <w:t xml:space="preserve">51,636</w:t>
            </w:r>
          </w:p>
        </w:tc>
        <w:tc>
          <w:tcPr>
            <w:tcW w:w="803" w:type="dxa"/>
          </w:tcPr>
          <w:p>
            <w:pPr>
              <w:pStyle w:val="Compact"/>
              <w:spacing w:before="0" w:after="0" w:lineRule="exact" w:line="220"/>
              <w:jc w:val="left"/>
            </w:pPr>
            <w:r>
              <w:rPr>
                <w:sz w:val="18"/>
              </w:rPr>
              <w:t xml:space="preserve">2.92</w:t>
            </w:r>
          </w:p>
        </w:tc>
        <w:tc>
          <w:tcPr>
            <w:tcW w:w="1035" w:type="dxa"/>
          </w:tcPr>
          <w:p>
            <w:pPr>
              <w:pStyle w:val="Compact"/>
              <w:spacing w:before="0" w:after="0" w:lineRule="exact" w:line="220"/>
              <w:jc w:val="left"/>
            </w:pPr>
            <w:r>
              <w:rPr>
                <w:sz w:val="18"/>
              </w:rPr>
              <w:t xml:space="preserve">33.3</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2020</w:t>
            </w:r>
          </w:p>
        </w:tc>
        <w:tc>
          <w:tcPr>
            <w:tcW w:w="1225" w:type="dxa"/>
          </w:tcPr>
          <w:p>
            <w:pPr>
              <w:pStyle w:val="Compact"/>
              <w:spacing w:before="0" w:after="0" w:lineRule="exact" w:line="220"/>
              <w:jc w:val="left"/>
            </w:pPr>
            <w:r>
              <w:rPr>
                <w:sz w:val="18"/>
              </w:rPr>
              <w:t xml:space="preserve">85,081,843</w:t>
            </w:r>
          </w:p>
        </w:tc>
        <w:tc>
          <w:tcPr>
            <w:tcW w:w="1035" w:type="dxa"/>
          </w:tcPr>
          <w:p>
            <w:pPr>
              <w:pStyle w:val="Compact"/>
              <w:spacing w:before="0" w:after="0" w:lineRule="exact" w:line="220"/>
              <w:jc w:val="left"/>
            </w:pPr>
            <w:r>
              <w:rPr>
                <w:sz w:val="18"/>
              </w:rPr>
              <w:t xml:space="preserve">1,351,664</w:t>
            </w:r>
          </w:p>
        </w:tc>
        <w:tc>
          <w:tcPr>
            <w:tcW w:w="1225" w:type="dxa"/>
          </w:tcPr>
          <w:p>
            <w:pPr>
              <w:pStyle w:val="Compact"/>
              <w:spacing w:before="0" w:after="0" w:lineRule="exact" w:line="220"/>
              <w:jc w:val="left"/>
            </w:pPr>
            <w:r>
              <w:rPr>
                <w:sz w:val="18"/>
              </w:rPr>
              <w:t xml:space="preserve">83,730,179</w:t>
            </w:r>
          </w:p>
        </w:tc>
        <w:tc>
          <w:tcPr>
            <w:tcW w:w="803" w:type="dxa"/>
          </w:tcPr>
          <w:p>
            <w:pPr>
              <w:pStyle w:val="Compact"/>
              <w:spacing w:before="0" w:after="0" w:lineRule="exact" w:line="220"/>
              <w:jc w:val="left"/>
            </w:pPr>
            <w:r>
              <w:rPr>
                <w:sz w:val="18"/>
              </w:rPr>
              <w:t xml:space="preserve">1.59</w:t>
            </w:r>
          </w:p>
        </w:tc>
        <w:tc>
          <w:tcPr>
            <w:tcW w:w="1035" w:type="dxa"/>
          </w:tcPr>
          <w:p>
            <w:pPr>
              <w:pStyle w:val="Compact"/>
              <w:spacing w:before="0" w:after="0" w:lineRule="exact" w:line="220"/>
              <w:jc w:val="left"/>
            </w:pPr>
            <w:r>
              <w:rPr>
                <w:sz w:val="18"/>
              </w:rPr>
              <w:t xml:space="preserve">61.9</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122,618,794</w:t>
            </w:r>
          </w:p>
        </w:tc>
        <w:tc>
          <w:tcPr>
            <w:tcW w:w="1035" w:type="dxa"/>
          </w:tcPr>
          <w:p>
            <w:pPr>
              <w:pStyle w:val="Compact"/>
              <w:spacing w:before="0" w:after="0" w:lineRule="exact" w:line="220"/>
              <w:jc w:val="left"/>
            </w:pPr>
            <w:r>
              <w:rPr>
                <w:sz w:val="18"/>
              </w:rPr>
              <w:t xml:space="preserve">1,869,122</w:t>
            </w:r>
          </w:p>
        </w:tc>
        <w:tc>
          <w:tcPr>
            <w:tcW w:w="1225" w:type="dxa"/>
          </w:tcPr>
          <w:p>
            <w:pPr>
              <w:pStyle w:val="Compact"/>
              <w:spacing w:before="0" w:after="0" w:lineRule="exact" w:line="220"/>
              <w:jc w:val="left"/>
            </w:pPr>
            <w:r>
              <w:rPr>
                <w:sz w:val="18"/>
              </w:rPr>
              <w:t xml:space="preserve">120,749,672</w:t>
            </w:r>
          </w:p>
        </w:tc>
        <w:tc>
          <w:tcPr>
            <w:tcW w:w="803" w:type="dxa"/>
          </w:tcPr>
          <w:p>
            <w:pPr>
              <w:pStyle w:val="Compact"/>
              <w:spacing w:before="0" w:after="0" w:lineRule="exact" w:line="220"/>
              <w:jc w:val="left"/>
            </w:pPr>
            <w:r>
              <w:rPr>
                <w:sz w:val="18"/>
              </w:rPr>
              <w:t xml:space="preserve">1.52</w:t>
            </w:r>
          </w:p>
        </w:tc>
        <w:tc>
          <w:tcPr>
            <w:tcW w:w="1035" w:type="dxa"/>
          </w:tcPr>
          <w:p>
            <w:pPr>
              <w:pStyle w:val="Compact"/>
              <w:spacing w:before="0" w:after="0" w:lineRule="exact" w:line="220"/>
              <w:jc w:val="left"/>
            </w:pPr>
            <w:r>
              <w:rPr>
                <w:sz w:val="18"/>
              </w:rPr>
              <w:t xml:space="preserve">64.6</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153,738,958</w:t>
            </w:r>
          </w:p>
        </w:tc>
        <w:tc>
          <w:tcPr>
            <w:tcW w:w="1035" w:type="dxa"/>
          </w:tcPr>
          <w:p>
            <w:pPr>
              <w:pStyle w:val="Compact"/>
              <w:spacing w:before="0" w:after="0" w:lineRule="exact" w:line="220"/>
              <w:jc w:val="left"/>
            </w:pPr>
            <w:r>
              <w:rPr>
                <w:sz w:val="18"/>
              </w:rPr>
              <w:t xml:space="preserve">3,618,366</w:t>
            </w:r>
          </w:p>
        </w:tc>
        <w:tc>
          <w:tcPr>
            <w:tcW w:w="1225" w:type="dxa"/>
          </w:tcPr>
          <w:p>
            <w:pPr>
              <w:pStyle w:val="Compact"/>
              <w:spacing w:before="0" w:after="0" w:lineRule="exact" w:line="220"/>
              <w:jc w:val="left"/>
            </w:pPr>
            <w:r>
              <w:rPr>
                <w:sz w:val="18"/>
              </w:rPr>
              <w:t xml:space="preserve">150,120,592</w:t>
            </w:r>
          </w:p>
        </w:tc>
        <w:tc>
          <w:tcPr>
            <w:tcW w:w="803" w:type="dxa"/>
          </w:tcPr>
          <w:p>
            <w:pPr>
              <w:pStyle w:val="Compact"/>
              <w:spacing w:before="0" w:after="0" w:lineRule="exact" w:line="220"/>
              <w:jc w:val="left"/>
            </w:pPr>
            <w:r>
              <w:rPr>
                <w:sz w:val="18"/>
              </w:rPr>
              <w:t xml:space="preserve">2.35</w:t>
            </w:r>
          </w:p>
        </w:tc>
        <w:tc>
          <w:tcPr>
            <w:tcW w:w="1035" w:type="dxa"/>
          </w:tcPr>
          <w:p>
            <w:pPr>
              <w:pStyle w:val="Compact"/>
              <w:spacing w:before="0" w:after="0" w:lineRule="exact" w:line="220"/>
              <w:jc w:val="left"/>
            </w:pPr>
            <w:r>
              <w:rPr>
                <w:sz w:val="18"/>
              </w:rPr>
              <w:t xml:space="preserve">41.5</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164,380,065</w:t>
            </w:r>
          </w:p>
        </w:tc>
        <w:tc>
          <w:tcPr>
            <w:tcW w:w="1035" w:type="dxa"/>
          </w:tcPr>
          <w:p>
            <w:pPr>
              <w:pStyle w:val="Compact"/>
              <w:spacing w:before="0" w:after="0" w:lineRule="exact" w:line="220"/>
              <w:jc w:val="left"/>
            </w:pPr>
            <w:r>
              <w:rPr>
                <w:sz w:val="18"/>
              </w:rPr>
              <w:t xml:space="preserve">4,438,269</w:t>
            </w:r>
          </w:p>
        </w:tc>
        <w:tc>
          <w:tcPr>
            <w:tcW w:w="1225" w:type="dxa"/>
          </w:tcPr>
          <w:p>
            <w:pPr>
              <w:pStyle w:val="Compact"/>
              <w:spacing w:before="0" w:after="0" w:lineRule="exact" w:line="220"/>
              <w:jc w:val="left"/>
            </w:pPr>
            <w:r>
              <w:rPr>
                <w:sz w:val="18"/>
              </w:rPr>
              <w:t xml:space="preserve">159,941,796</w:t>
            </w:r>
          </w:p>
        </w:tc>
        <w:tc>
          <w:tcPr>
            <w:tcW w:w="803" w:type="dxa"/>
          </w:tcPr>
          <w:p>
            <w:pPr>
              <w:pStyle w:val="Compact"/>
              <w:spacing w:before="0" w:after="0" w:lineRule="exact" w:line="220"/>
              <w:jc w:val="left"/>
            </w:pPr>
            <w:r>
              <w:rPr>
                <w:sz w:val="18"/>
              </w:rPr>
              <w:t xml:space="preserve">2.70</w:t>
            </w:r>
          </w:p>
        </w:tc>
        <w:tc>
          <w:tcPr>
            <w:tcW w:w="1035" w:type="dxa"/>
          </w:tcPr>
          <w:p>
            <w:pPr>
              <w:pStyle w:val="Compact"/>
              <w:spacing w:before="0" w:after="0" w:lineRule="exact" w:line="220"/>
              <w:jc w:val="left"/>
            </w:pPr>
            <w:r>
              <w:rPr>
                <w:sz w:val="18"/>
              </w:rPr>
              <w:t xml:space="preserve">36.0</w:t>
            </w:r>
          </w:p>
        </w:tc>
        <w:tc>
          <w:tcPr>
            <w:tcW w:w="1249" w:type="dxa"/>
          </w:tcPr>
          <w:p>
            <w:pPr>
              <w:pStyle w:val="Compact"/>
              <w:spacing w:before="0" w:after="0" w:lineRule="exact" w:line="220"/>
              <w:jc w:val="left"/>
            </w:pPr>
            <w:r>
              <w:rPr>
                <w:sz w:val="18"/>
              </w:rPr>
              <w:t xml:space="preserve">Company-wide disclosure</w:t>
            </w:r>
          </w:p>
        </w:tc>
      </w:tr>
    </w:tbl>
    <w:bookmarkEnd w:id="92"/>
    <w:bookmarkEnd w:id="93"/>
    <w:bookmarkStart w:id="96" w:name="appendix-b.-the-checks-on-the-test-of-h1"/>
    <w:p>
      <w:pPr>
        <w:pStyle w:val="Heading2"/>
      </w:pPr>
      <w:r>
        <w:t xml:space="preserve">Appendix B. The checks on the test of H1</w:t>
      </w:r>
    </w:p>
    <w:bookmarkStart w:id="94" w:name="b.1-the-checks"/>
    <w:p>
      <w:pPr>
        <w:pStyle w:val="Heading3"/>
      </w:pPr>
      <w:r>
        <w:t xml:space="preserve">B.1 The checks</w:t>
      </w:r>
    </w:p>
    <w:p>
      <w:pPr>
        <w:pStyle w:val="FirstParagraph"/>
        <w:jc w:val="left"/>
      </w:pPr>
      <w:r>
        <w:t xml:space="preserve">The main test is in Table 10.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470"/>
        <w:gridCol w:w="1844"/>
        <w:gridCol w:w="1024"/>
        <w:gridCol w:w="1320"/>
        <w:gridCol w:w="845"/>
      </w:tblGrid>
      <w:tr>
        <w:trPr>
          <w:tblHeader w:val="true"/>
          <w:cantSplit/>
          <w:tblHeader/>
        </w:trPr>
        <w:tc>
          <w:tcPr>
            <w:tcW w:w="3470" w:type="dxa"/>
            <w:tcBorders>
              <w:bottom w:val="single" w:sz="5" w:space="0" w:color="000000"/>
            </w:tcBorders>
          </w:tcPr>
          <w:p>
            <w:pPr>
              <w:pStyle w:val="Compact"/>
              <w:spacing w:before="0" w:after="0" w:lineRule="exact" w:line="220"/>
              <w:jc w:val="left"/>
            </w:pPr>
            <w:r>
              <w:rPr>
                <w:b/>
                <w:sz w:val="18"/>
              </w:rPr>
              <w:t xml:space="preserve">Check</w:t>
            </w:r>
          </w:p>
        </w:tc>
        <w:tc>
          <w:tcPr>
            <w:tcW w:w="1844" w:type="dxa"/>
            <w:tcBorders>
              <w:bottom w:val="single" w:sz="5" w:space="0" w:color="000000"/>
            </w:tcBorders>
          </w:tcPr>
          <w:p>
            <w:pPr>
              <w:pStyle w:val="Compact"/>
              <w:spacing w:before="0" w:after="0" w:lineRule="exact" w:line="220"/>
              <w:jc w:val="left"/>
            </w:pPr>
            <w:r>
              <w:rPr>
                <w:b/>
                <w:sz w:val="18"/>
              </w:rPr>
              <w:t xml:space="preserve">Indonesian and regional (median)</w:t>
            </w:r>
          </w:p>
        </w:tc>
        <w:tc>
          <w:tcPr>
            <w:tcW w:w="1024" w:type="dxa"/>
            <w:tcBorders>
              <w:bottom w:val="single" w:sz="5" w:space="0" w:color="000000"/>
            </w:tcBorders>
          </w:tcPr>
          <w:p>
            <w:pPr>
              <w:pStyle w:val="Compact"/>
              <w:spacing w:before="0" w:after="0" w:lineRule="exact" w:line="220"/>
              <w:jc w:val="left"/>
            </w:pPr>
            <w:r>
              <w:rPr>
                <w:b/>
                <w:sz w:val="18"/>
              </w:rPr>
              <w:t xml:space="preserve">Foreign (median)</w:t>
            </w:r>
          </w:p>
        </w:tc>
        <w:tc>
          <w:tcPr>
            <w:tcW w:w="1320" w:type="dxa"/>
            <w:tcBorders>
              <w:bottom w:val="single" w:sz="5" w:space="0" w:color="000000"/>
            </w:tcBorders>
          </w:tcPr>
          <w:p>
            <w:pPr>
              <w:pStyle w:val="Compact"/>
              <w:spacing w:before="0" w:after="0" w:lineRule="exact" w:line="220"/>
              <w:jc w:val="left"/>
            </w:pPr>
            <w:r>
              <w:rPr>
                <w:b/>
                <w:sz w:val="18"/>
              </w:rPr>
              <w:t xml:space="preserve">Mann–Whitney p</w:t>
            </w:r>
          </w:p>
        </w:tc>
        <w:tc>
          <w:tcPr>
            <w:tcW w:w="845" w:type="dxa"/>
            <w:tcBorders>
              <w:bottom w:val="single" w:sz="5" w:space="0" w:color="000000"/>
            </w:tcBorders>
          </w:tcPr>
          <w:p>
            <w:pPr>
              <w:pStyle w:val="Compact"/>
              <w:spacing w:before="0" w:after="0" w:lineRule="exact" w:line="220"/>
              <w:jc w:val="left"/>
            </w:pPr>
            <w:r>
              <w:rPr>
                <w:b/>
                <w:sz w:val="18"/>
              </w:rPr>
              <w:t xml:space="preserve">Shuffle p</w:t>
            </w:r>
          </w:p>
        </w:tc>
      </w:tr>
      <w:tr>
        <w:trPr>
          <w:cantSplit/>
        </w:trPr>
        <w:tc>
          <w:tcPr>
            <w:tcW w:w="3470" w:type="dxa"/>
          </w:tcPr>
          <w:p>
            <w:pPr>
              <w:pStyle w:val="Compact"/>
              <w:spacing w:before="0" w:after="0" w:lineRule="exact" w:line="220"/>
              <w:jc w:val="left"/>
            </w:pPr>
            <w:r>
              <w:rPr>
                <w:sz w:val="18"/>
              </w:rPr>
              <w:t xml:space="preserve">Main test, 5 against 27</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0.0038</w:t>
            </w:r>
          </w:p>
        </w:tc>
        <w:tc>
          <w:tcPr>
            <w:tcW w:w="845" w:type="dxa"/>
          </w:tcPr>
          <w:p>
            <w:pPr>
              <w:pStyle w:val="Compact"/>
              <w:spacing w:before="0" w:after="0" w:lineRule="exact" w:line="220"/>
              <w:jc w:val="left"/>
            </w:pPr>
            <w:r>
              <w:rPr>
                <w:sz w:val="18"/>
              </w:rPr>
              <w:t xml:space="preserve">0.0221</w:t>
            </w:r>
          </w:p>
        </w:tc>
      </w:tr>
      <w:tr>
        <w:trPr>
          <w:cantSplit/>
        </w:trPr>
        <w:tc>
          <w:tcPr>
            <w:tcW w:w="3470" w:type="dxa"/>
          </w:tcPr>
          <w:p>
            <w:pPr>
              <w:pStyle w:val="Compact"/>
              <w:spacing w:before="0" w:after="0" w:lineRule="exact" w:line="220"/>
              <w:jc w:val="left"/>
            </w:pPr>
            <w:r>
              <w:rPr>
                <w:sz w:val="18"/>
              </w:rPr>
              <w:t xml:space="preserve">5 against the 8 chosen first</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0.055</w:t>
            </w:r>
          </w:p>
        </w:tc>
        <w:tc>
          <w:tcPr>
            <w:tcW w:w="1320" w:type="dxa"/>
          </w:tcPr>
          <w:p>
            <w:pPr>
              <w:pStyle w:val="Compact"/>
              <w:spacing w:before="0" w:after="0" w:lineRule="exact" w:line="220"/>
              <w:jc w:val="left"/>
            </w:pPr>
            <w:r>
              <w:rPr>
                <w:sz w:val="18"/>
              </w:rPr>
              <w:t xml:space="preserve">0.0225</w:t>
            </w:r>
          </w:p>
        </w:tc>
        <w:tc>
          <w:tcPr>
            <w:tcW w:w="845" w:type="dxa"/>
          </w:tcPr>
          <w:p>
            <w:pPr>
              <w:pStyle w:val="Compact"/>
              <w:spacing w:before="0" w:after="0" w:lineRule="exact" w:line="220"/>
              <w:jc w:val="left"/>
            </w:pPr>
            <w:r>
              <w:rPr>
                <w:sz w:val="18"/>
              </w:rPr>
              <w:t xml:space="preserve">0.0497</w:t>
            </w:r>
          </w:p>
        </w:tc>
      </w:tr>
      <w:tr>
        <w:trPr>
          <w:cantSplit/>
        </w:trPr>
        <w:tc>
          <w:tcPr>
            <w:tcW w:w="3470" w:type="dxa"/>
          </w:tcPr>
          <w:p>
            <w:pPr>
              <w:pStyle w:val="Compact"/>
              <w:spacing w:before="0" w:after="0" w:lineRule="exact" w:line="220"/>
              <w:jc w:val="left"/>
            </w:pPr>
            <w:r>
              <w:rPr>
                <w:sz w:val="18"/>
              </w:rPr>
              <w:t xml:space="preserve">5 against the 19 added</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0.070</w:t>
            </w:r>
          </w:p>
        </w:tc>
        <w:tc>
          <w:tcPr>
            <w:tcW w:w="1320" w:type="dxa"/>
          </w:tcPr>
          <w:p>
            <w:pPr>
              <w:pStyle w:val="Compact"/>
              <w:spacing w:before="0" w:after="0" w:lineRule="exact" w:line="220"/>
              <w:jc w:val="left"/>
            </w:pPr>
            <w:r>
              <w:rPr>
                <w:sz w:val="18"/>
              </w:rPr>
              <w:t xml:space="preserve">0.0046</w:t>
            </w:r>
          </w:p>
        </w:tc>
        <w:tc>
          <w:tcPr>
            <w:tcW w:w="845" w:type="dxa"/>
          </w:tcPr>
          <w:p>
            <w:pPr>
              <w:pStyle w:val="Compact"/>
              <w:spacing w:before="0" w:after="0" w:lineRule="exact" w:line="220"/>
              <w:jc w:val="left"/>
            </w:pPr>
            <w:r>
              <w:rPr>
                <w:sz w:val="18"/>
              </w:rPr>
              <w:t xml:space="preserve">0.0175</w:t>
            </w:r>
          </w:p>
        </w:tc>
      </w:tr>
      <w:tr>
        <w:trPr>
          <w:cantSplit/>
        </w:trPr>
        <w:tc>
          <w:tcPr>
            <w:tcW w:w="3470" w:type="dxa"/>
          </w:tcPr>
          <w:p>
            <w:pPr>
              <w:pStyle w:val="Compact"/>
              <w:spacing w:before="0" w:after="0" w:lineRule="exact" w:line="220"/>
              <w:jc w:val="left"/>
            </w:pPr>
            <w:r>
              <w:rPr>
                <w:sz w:val="18"/>
              </w:rPr>
              <w:t xml:space="preserve">Without the 8 foreign platforms that book shopper discounts as marketing costs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0.0035</w:t>
            </w:r>
          </w:p>
        </w:tc>
        <w:tc>
          <w:tcPr>
            <w:tcW w:w="845" w:type="dxa"/>
          </w:tcPr>
          <w:p>
            <w:pPr>
              <w:pStyle w:val="Compact"/>
              <w:spacing w:before="0" w:after="0" w:lineRule="exact" w:line="220"/>
              <w:jc w:val="left"/>
            </w:pPr>
            <w:r>
              <w:rPr>
                <w:sz w:val="18"/>
              </w:rPr>
              <w:t xml:space="preserve">0.0066</w:t>
            </w:r>
          </w:p>
        </w:tc>
      </w:tr>
      <w:tr>
        <w:trPr>
          <w:cantSplit/>
        </w:trPr>
        <w:tc>
          <w:tcPr>
            <w:tcW w:w="3470" w:type="dxa"/>
          </w:tcPr>
          <w:p>
            <w:pPr>
              <w:pStyle w:val="Compact"/>
              <w:spacing w:before="0" w:after="0" w:lineRule="exact" w:line="220"/>
              <w:jc w:val="left"/>
            </w:pPr>
            <w:r>
              <w:rPr>
                <w:sz w:val="18"/>
              </w:rPr>
              <w:t xml:space="preserve">Only the 11 foreign platforms that deduct shopper discounts from revenue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0.075</w:t>
            </w:r>
          </w:p>
        </w:tc>
        <w:tc>
          <w:tcPr>
            <w:tcW w:w="1320" w:type="dxa"/>
          </w:tcPr>
          <w:p>
            <w:pPr>
              <w:pStyle w:val="Compact"/>
              <w:spacing w:before="0" w:after="0" w:lineRule="exact" w:line="220"/>
              <w:jc w:val="left"/>
            </w:pPr>
            <w:r>
              <w:rPr>
                <w:sz w:val="18"/>
              </w:rPr>
              <w:t xml:space="preserve">0.0043</w:t>
            </w:r>
          </w:p>
        </w:tc>
        <w:tc>
          <w:tcPr>
            <w:tcW w:w="845" w:type="dxa"/>
          </w:tcPr>
          <w:p>
            <w:pPr>
              <w:pStyle w:val="Compact"/>
              <w:spacing w:before="0" w:after="0" w:lineRule="exact" w:line="220"/>
              <w:jc w:val="left"/>
            </w:pPr>
            <w:r>
              <w:rPr>
                <w:sz w:val="18"/>
              </w:rPr>
              <w:t xml:space="preserve">0.0052</w:t>
            </w:r>
          </w:p>
        </w:tc>
      </w:tr>
      <w:tr>
        <w:trPr>
          <w:cantSplit/>
        </w:trPr>
        <w:tc>
          <w:tcPr>
            <w:tcW w:w="3470" w:type="dxa"/>
          </w:tcPr>
          <w:p>
            <w:pPr>
              <w:pStyle w:val="Compact"/>
              <w:spacing w:before="0" w:after="0" w:lineRule="exact" w:line="220"/>
              <w:jc w:val="left"/>
            </w:pPr>
            <w:r>
              <w:rPr>
                <w:sz w:val="18"/>
              </w:rPr>
              <w:t xml:space="preserve">Growth divergence in points, 5 against 26</w:t>
            </w:r>
          </w:p>
        </w:tc>
        <w:tc>
          <w:tcPr>
            <w:tcW w:w="1844" w:type="dxa"/>
          </w:tcPr>
          <w:p>
            <w:pPr>
              <w:pStyle w:val="Compact"/>
              <w:spacing w:before="0" w:after="0" w:lineRule="exact" w:line="220"/>
              <w:jc w:val="left"/>
            </w:pPr>
            <w:r>
              <w:rPr>
                <w:sz w:val="18"/>
              </w:rPr>
              <w:t xml:space="preserve">27.0</w:t>
            </w:r>
          </w:p>
        </w:tc>
        <w:tc>
          <w:tcPr>
            <w:tcW w:w="1024" w:type="dxa"/>
          </w:tcPr>
          <w:p>
            <w:pPr>
              <w:pStyle w:val="Compact"/>
              <w:spacing w:before="0" w:after="0" w:lineRule="exact" w:line="220"/>
              <w:jc w:val="left"/>
            </w:pPr>
            <w:r>
              <w:rPr>
                <w:sz w:val="18"/>
              </w:rPr>
              <w:t xml:space="preserve">6.5</w:t>
            </w:r>
          </w:p>
        </w:tc>
        <w:tc>
          <w:tcPr>
            <w:tcW w:w="1320" w:type="dxa"/>
          </w:tcPr>
          <w:p>
            <w:pPr>
              <w:pStyle w:val="Compact"/>
              <w:spacing w:before="0" w:after="0" w:lineRule="exact" w:line="220"/>
              <w:jc w:val="left"/>
            </w:pPr>
            <w:r>
              <w:rPr>
                <w:sz w:val="18"/>
              </w:rPr>
              <w:t xml:space="preserve">0.0055</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Without Ozon,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0.0215</w:t>
            </w:r>
          </w:p>
        </w:tc>
      </w:tr>
      <w:tr>
        <w:trPr>
          <w:cantSplit/>
        </w:trPr>
        <w:tc>
          <w:tcPr>
            <w:tcW w:w="3470" w:type="dxa"/>
          </w:tcPr>
          <w:p>
            <w:pPr>
              <w:pStyle w:val="Compact"/>
              <w:spacing w:before="0" w:after="0" w:lineRule="exact" w:line="220"/>
              <w:jc w:val="left"/>
            </w:pPr>
            <w:r>
              <w:rPr>
                <w:sz w:val="18"/>
              </w:rPr>
              <w:t xml:space="preserve">Without Zalando,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0.064</w:t>
            </w:r>
          </w:p>
        </w:tc>
        <w:tc>
          <w:tcPr>
            <w:tcW w:w="1320" w:type="dxa"/>
          </w:tcPr>
          <w:p>
            <w:pPr>
              <w:pStyle w:val="Compact"/>
              <w:spacing w:before="0" w:after="0" w:lineRule="exact" w:line="220"/>
              <w:jc w:val="left"/>
            </w:pPr>
            <w:r>
              <w:rPr>
                <w:sz w:val="18"/>
              </w:rPr>
              <w:t xml:space="preserve">0.0045</w:t>
            </w:r>
          </w:p>
        </w:tc>
        <w:tc>
          <w:tcPr>
            <w:tcW w:w="845" w:type="dxa"/>
          </w:tcPr>
          <w:p>
            <w:pPr>
              <w:pStyle w:val="Compact"/>
              <w:spacing w:before="0" w:after="0" w:lineRule="exact" w:line="220"/>
              <w:jc w:val="left"/>
            </w:pPr>
            <w:r>
              <w:rPr>
                <w:sz w:val="18"/>
              </w:rPr>
              <w:t xml:space="preserve">0.0238</w:t>
            </w:r>
          </w:p>
        </w:tc>
      </w:tr>
      <w:tr>
        <w:trPr>
          <w:cantSplit/>
        </w:trPr>
        <w:tc>
          <w:tcPr>
            <w:tcW w:w="3470" w:type="dxa"/>
          </w:tcPr>
          <w:p>
            <w:pPr>
              <w:pStyle w:val="Compact"/>
              <w:spacing w:before="0" w:after="0" w:lineRule="exact" w:line="220"/>
              <w:jc w:val="left"/>
            </w:pPr>
            <w:r>
              <w:rPr>
                <w:sz w:val="18"/>
              </w:rPr>
              <w:t xml:space="preserve">Without Ozon and Zalando, 25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0.0036</w:t>
            </w:r>
          </w:p>
        </w:tc>
        <w:tc>
          <w:tcPr>
            <w:tcW w:w="845" w:type="dxa"/>
          </w:tcPr>
          <w:p>
            <w:pPr>
              <w:pStyle w:val="Compact"/>
              <w:spacing w:before="0" w:after="0" w:lineRule="exact" w:line="220"/>
              <w:jc w:val="left"/>
            </w:pPr>
            <w:r>
              <w:rPr>
                <w:sz w:val="18"/>
              </w:rPr>
              <w:t xml:space="preserve">0.0230</w:t>
            </w:r>
          </w:p>
        </w:tc>
      </w:tr>
      <w:tr>
        <w:trPr>
          <w:cantSplit/>
        </w:trPr>
        <w:tc>
          <w:tcPr>
            <w:tcW w:w="3470" w:type="dxa"/>
          </w:tcPr>
          <w:p>
            <w:pPr>
              <w:pStyle w:val="Compact"/>
              <w:spacing w:before="0" w:after="0" w:lineRule="exact" w:line="220"/>
              <w:jc w:val="left"/>
            </w:pPr>
            <w:r>
              <w:rPr>
                <w:sz w:val="18"/>
              </w:rPr>
              <w:t xml:space="preserve">Without Blibli third-party retail</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0.0137</w:t>
            </w:r>
          </w:p>
        </w:tc>
        <w:tc>
          <w:tcPr>
            <w:tcW w:w="845" w:type="dxa"/>
          </w:tcPr>
          <w:p>
            <w:pPr>
              <w:pStyle w:val="Compact"/>
              <w:spacing w:before="0" w:after="0" w:lineRule="exact" w:line="220"/>
              <w:jc w:val="left"/>
            </w:pPr>
            <w:r>
              <w:rPr>
                <w:sz w:val="18"/>
              </w:rPr>
              <w:t xml:space="preserve">0.0364</w:t>
            </w:r>
          </w:p>
        </w:tc>
      </w:tr>
      <w:tr>
        <w:trPr>
          <w:cantSplit/>
        </w:trPr>
        <w:tc>
          <w:tcPr>
            <w:tcW w:w="3470" w:type="dxa"/>
          </w:tcPr>
          <w:p>
            <w:pPr>
              <w:pStyle w:val="Compact"/>
              <w:spacing w:before="0" w:after="0" w:lineRule="exact" w:line="220"/>
              <w:jc w:val="left"/>
            </w:pPr>
            <w:r>
              <w:rPr>
                <w:sz w:val="18"/>
              </w:rPr>
              <w:t xml:space="preserve">Without Bukalapak Group</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0.0049</w:t>
            </w:r>
          </w:p>
        </w:tc>
        <w:tc>
          <w:tcPr>
            <w:tcW w:w="845" w:type="dxa"/>
          </w:tcPr>
          <w:p>
            <w:pPr>
              <w:pStyle w:val="Compact"/>
              <w:spacing w:before="0" w:after="0" w:lineRule="exact" w:line="220"/>
              <w:jc w:val="left"/>
            </w:pPr>
            <w:r>
              <w:rPr>
                <w:sz w:val="18"/>
              </w:rPr>
              <w:t xml:space="preserve">0.0070</w:t>
            </w:r>
          </w:p>
        </w:tc>
      </w:tr>
      <w:tr>
        <w:trPr>
          <w:cantSplit/>
        </w:trPr>
        <w:tc>
          <w:tcPr>
            <w:tcW w:w="3470" w:type="dxa"/>
          </w:tcPr>
          <w:p>
            <w:pPr>
              <w:pStyle w:val="Compact"/>
              <w:spacing w:before="0" w:after="0" w:lineRule="exact" w:line="220"/>
              <w:jc w:val="left"/>
            </w:pPr>
            <w:r>
              <w:rPr>
                <w:sz w:val="18"/>
              </w:rPr>
              <w:t xml:space="preserve">Without GoTo on-demand</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0.0071</w:t>
            </w:r>
          </w:p>
        </w:tc>
      </w:tr>
      <w:tr>
        <w:trPr>
          <w:cantSplit/>
        </w:trPr>
        <w:tc>
          <w:tcPr>
            <w:tcW w:w="3470" w:type="dxa"/>
          </w:tcPr>
          <w:p>
            <w:pPr>
              <w:pStyle w:val="Compact"/>
              <w:spacing w:before="0" w:after="0" w:lineRule="exact" w:line="220"/>
              <w:jc w:val="left"/>
            </w:pPr>
            <w:r>
              <w:rPr>
                <w:sz w:val="18"/>
              </w:rPr>
              <w:t xml:space="preserve">Without Grab on-demand</w:t>
            </w:r>
          </w:p>
        </w:tc>
        <w:tc>
          <w:tcPr>
            <w:tcW w:w="1844" w:type="dxa"/>
          </w:tcPr>
          <w:p>
            <w:pPr>
              <w:pStyle w:val="Compact"/>
              <w:spacing w:before="0" w:after="0" w:lineRule="exact" w:line="220"/>
              <w:jc w:val="left"/>
            </w:pPr>
            <w:r>
              <w:rPr>
                <w:sz w:val="18"/>
              </w:rPr>
              <w:t xml:space="preserve">0.194</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0.0094</w:t>
            </w:r>
          </w:p>
        </w:tc>
        <w:tc>
          <w:tcPr>
            <w:tcW w:w="845" w:type="dxa"/>
          </w:tcPr>
          <w:p>
            <w:pPr>
              <w:pStyle w:val="Compact"/>
              <w:spacing w:before="0" w:after="0" w:lineRule="exact" w:line="220"/>
              <w:jc w:val="left"/>
            </w:pPr>
            <w:r>
              <w:rPr>
                <w:sz w:val="18"/>
              </w:rPr>
              <w:t xml:space="preserve">0.0166</w:t>
            </w:r>
          </w:p>
        </w:tc>
      </w:tr>
      <w:tr>
        <w:trPr>
          <w:cantSplit/>
        </w:trPr>
        <w:tc>
          <w:tcPr>
            <w:tcW w:w="3470" w:type="dxa"/>
          </w:tcPr>
          <w:p>
            <w:pPr>
              <w:pStyle w:val="Compact"/>
              <w:spacing w:before="0" w:after="0" w:lineRule="exact" w:line="220"/>
              <w:jc w:val="left"/>
            </w:pPr>
            <w:r>
              <w:rPr>
                <w:sz w:val="18"/>
              </w:rPr>
              <w:t xml:space="preserve">Without Tokopedia</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0.0164</w:t>
            </w:r>
          </w:p>
        </w:tc>
        <w:tc>
          <w:tcPr>
            <w:tcW w:w="845" w:type="dxa"/>
          </w:tcPr>
          <w:p>
            <w:pPr>
              <w:pStyle w:val="Compact"/>
              <w:spacing w:before="0" w:after="0" w:lineRule="exact" w:line="220"/>
              <w:jc w:val="left"/>
            </w:pPr>
            <w:r>
              <w:rPr>
                <w:sz w:val="18"/>
              </w:rPr>
              <w:t xml:space="preserve">0.0409</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0.0022</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the 8 chosen first, one median per platform, absolute growth divergence in points (claims ledger C47,</w:t>
            </w:r>
            <w:r>
              <w:rPr>
                <w:sz w:val="18"/>
              </w:rPr>
              <w:t xml:space="preserve"> </w:t>
            </w:r>
            <w:r>
              <w:rPr>
                <w:rStyle w:val="VerbatimChar"/>
                <w:sz w:val="18"/>
              </w:rPr>
              <w:t xml:space="preserve">build_numbers.py</w:t>
            </w:r>
            <w:r>
              <w:rPr>
                <w:sz w:val="18"/>
              </w:rPr>
              <w:t xml:space="preserve">)</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0.0242</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 (without Sea)</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4.192</w:t>
            </w:r>
          </w:p>
        </w:tc>
        <w:tc>
          <w:tcPr>
            <w:tcW w:w="1320" w:type="dxa"/>
          </w:tcPr>
          <w:p>
            <w:pPr>
              <w:pStyle w:val="Compact"/>
              <w:spacing w:before="0" w:after="0" w:lineRule="exact" w:line="220"/>
              <w:jc w:val="left"/>
            </w:pPr>
            <w:r>
              <w:rPr>
                <w:sz w:val="18"/>
              </w:rPr>
              <w:t xml:space="preserve">&lt;0.0001</w:t>
            </w:r>
          </w:p>
        </w:tc>
        <w:tc>
          <w:tcPr>
            <w:tcW w:w="845" w:type="dxa"/>
          </w:tcPr>
          <w:p>
            <w:pPr>
              <w:pStyle w:val="Compact"/>
              <w:spacing w:before="0" w:after="0" w:lineRule="exact" w:line="220"/>
              <w:jc w:val="left"/>
            </w:pPr>
            <w:r>
              <w:rPr>
                <w:sz w:val="18"/>
              </w:rPr>
              <w:t xml:space="preserve">0.0083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0.055</w:t>
            </w:r>
          </w:p>
        </w:tc>
        <w:tc>
          <w:tcPr>
            <w:tcW w:w="1320" w:type="dxa"/>
          </w:tcPr>
          <w:p>
            <w:pPr>
              <w:pStyle w:val="Compact"/>
              <w:spacing w:before="0" w:after="0" w:lineRule="exact" w:line="220"/>
              <w:jc w:val="left"/>
            </w:pPr>
            <w:r>
              <w:rPr>
                <w:sz w:val="18"/>
              </w:rPr>
              <w:t xml:space="preserve">0.0037</w:t>
            </w:r>
          </w:p>
        </w:tc>
        <w:tc>
          <w:tcPr>
            <w:tcW w:w="845" w:type="dxa"/>
          </w:tcPr>
          <w:p>
            <w:pPr>
              <w:pStyle w:val="Compact"/>
              <w:spacing w:before="0" w:after="0" w:lineRule="exact" w:line="220"/>
              <w:jc w:val="left"/>
            </w:pPr>
            <w:r>
              <w:rPr>
                <w:sz w:val="18"/>
              </w:rPr>
              <w:t xml:space="preserve">0.0303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 (without Sea)</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0.033</w:t>
            </w:r>
          </w:p>
        </w:tc>
        <w:tc>
          <w:tcPr>
            <w:tcW w:w="1320" w:type="dxa"/>
          </w:tcPr>
          <w:p>
            <w:pPr>
              <w:pStyle w:val="Compact"/>
              <w:spacing w:before="0" w:after="0" w:lineRule="exact" w:line="220"/>
              <w:jc w:val="left"/>
            </w:pPr>
            <w:r>
              <w:rPr>
                <w:sz w:val="18"/>
              </w:rPr>
              <w:t xml:space="preserve">0.0001</w:t>
            </w:r>
          </w:p>
        </w:tc>
        <w:tc>
          <w:tcPr>
            <w:tcW w:w="845" w:type="dxa"/>
          </w:tcPr>
          <w:p>
            <w:pPr>
              <w:pStyle w:val="Compact"/>
              <w:spacing w:before="0" w:after="0" w:lineRule="exact" w:line="220"/>
              <w:jc w:val="left"/>
            </w:pPr>
            <w:r>
              <w:rPr>
                <w:sz w:val="18"/>
              </w:rPr>
              <w:t xml:space="preserve">0.0167</w:t>
            </w:r>
          </w:p>
        </w:tc>
      </w:tr>
      <w:tr>
        <w:trPr>
          <w:cantSplit/>
        </w:trPr>
        <w:tc>
          <w:tcPr>
            <w:tcW w:w="3470" w:type="dxa"/>
          </w:tcPr>
          <w:p>
            <w:pPr>
              <w:pStyle w:val="Compact"/>
              <w:spacing w:before="0" w:after="0" w:lineRule="exact" w:line="220"/>
              <w:jc w:val="left"/>
            </w:pPr>
            <w:r>
              <w:rPr>
                <w:sz w:val="18"/>
              </w:rPr>
              <w:t xml:space="preserve">Three marketplaces, dropping all three 2022–23 comparisons (5 pairs), absolute growth divergence in points</w:t>
            </w:r>
          </w:p>
        </w:tc>
        <w:tc>
          <w:tcPr>
            <w:tcW w:w="1844" w:type="dxa"/>
          </w:tcPr>
          <w:p>
            <w:pPr>
              <w:pStyle w:val="Compact"/>
              <w:spacing w:before="0" w:after="0" w:lineRule="exact" w:line="220"/>
              <w:jc w:val="left"/>
            </w:pPr>
            <w:r>
              <w:rPr>
                <w:sz w:val="18"/>
              </w:rPr>
              <w:t xml:space="preserve">14.411</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0.0248</w:t>
            </w:r>
          </w:p>
        </w:tc>
        <w:tc>
          <w:tcPr>
            <w:tcW w:w="845" w:type="dxa"/>
          </w:tcPr>
          <w:p>
            <w:pPr>
              <w:pStyle w:val="Compact"/>
              <w:spacing w:before="0" w:after="0" w:lineRule="exact" w:line="220"/>
              <w:jc w:val="left"/>
            </w:pPr>
            <w:r>
              <w:rPr>
                <w:sz w:val="18"/>
              </w:rPr>
              <w:t xml:space="preserve">0.2222</w:t>
            </w:r>
          </w:p>
        </w:tc>
      </w:tr>
      <w:tr>
        <w:trPr>
          <w:cantSplit/>
        </w:trPr>
        <w:tc>
          <w:tcPr>
            <w:tcW w:w="3470" w:type="dxa"/>
          </w:tcPr>
          <w:p>
            <w:pPr>
              <w:pStyle w:val="Compact"/>
              <w:spacing w:before="0" w:after="0" w:lineRule="exact" w:line="220"/>
              <w:jc w:val="left"/>
            </w:pPr>
            <w:r>
              <w:rPr>
                <w:sz w:val="18"/>
              </w:rPr>
              <w:t xml:space="preserve">Three marketplaces, dropping the largest comparison (7 pairs), absolute growth divergence in points</w:t>
            </w:r>
          </w:p>
        </w:tc>
        <w:tc>
          <w:tcPr>
            <w:tcW w:w="1844" w:type="dxa"/>
          </w:tcPr>
          <w:p>
            <w:pPr>
              <w:pStyle w:val="Compact"/>
              <w:spacing w:before="0" w:after="0" w:lineRule="exact" w:line="220"/>
              <w:jc w:val="left"/>
            </w:pPr>
            <w:r>
              <w:rPr>
                <w:sz w:val="18"/>
              </w:rPr>
              <w:t xml:space="preserve">15.738</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0.0061</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all 40 foreign pairs,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7.373</w:t>
            </w:r>
          </w:p>
        </w:tc>
        <w:tc>
          <w:tcPr>
            <w:tcW w:w="1320" w:type="dxa"/>
          </w:tcPr>
          <w:p>
            <w:pPr>
              <w:pStyle w:val="Compact"/>
              <w:spacing w:before="0" w:after="0" w:lineRule="exact" w:line="220"/>
              <w:jc w:val="left"/>
            </w:pPr>
            <w:r>
              <w:rPr>
                <w:sz w:val="18"/>
              </w:rPr>
              <w:t xml:space="preserve">0.0014</w:t>
            </w:r>
          </w:p>
        </w:tc>
        <w:tc>
          <w:tcPr>
            <w:tcW w:w="845" w:type="dxa"/>
          </w:tcPr>
          <w:p>
            <w:pPr>
              <w:pStyle w:val="Compact"/>
              <w:spacing w:before="0" w:after="0" w:lineRule="exact" w:line="220"/>
              <w:jc w:val="left"/>
            </w:pPr>
            <w:r>
              <w:rPr>
                <w:sz w:val="18"/>
              </w:rPr>
              <w:t xml:space="preserve">0.0121</w:t>
            </w:r>
          </w:p>
        </w:tc>
      </w:tr>
      <w:tr>
        <w:trPr>
          <w:cantSplit/>
        </w:trPr>
        <w:tc>
          <w:tcPr>
            <w:tcW w:w="3470" w:type="dxa"/>
          </w:tcPr>
          <w:p>
            <w:pPr>
              <w:pStyle w:val="Compact"/>
              <w:spacing w:before="0" w:after="0" w:lineRule="exact" w:line="220"/>
              <w:jc w:val="left"/>
            </w:pPr>
            <w:r>
              <w:rPr>
                <w:sz w:val="18"/>
              </w:rPr>
              <w:t xml:space="preserve">Five Indonesian and regional series including constructed Grab and Shopee (12 pairs) against the 8 chosen first, absolute growth divergence in points</w:t>
            </w:r>
          </w:p>
        </w:tc>
        <w:tc>
          <w:tcPr>
            <w:tcW w:w="1844" w:type="dxa"/>
          </w:tcPr>
          <w:p>
            <w:pPr>
              <w:pStyle w:val="Compact"/>
              <w:spacing w:before="0" w:after="0" w:lineRule="exact" w:line="220"/>
              <w:jc w:val="left"/>
            </w:pPr>
            <w:r>
              <w:rPr>
                <w:sz w:val="18"/>
              </w:rPr>
              <w:t xml:space="preserve">42.017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0.0006</w:t>
            </w:r>
          </w:p>
        </w:tc>
        <w:tc>
          <w:tcPr>
            <w:tcW w:w="845" w:type="dxa"/>
          </w:tcPr>
          <w:p>
            <w:pPr>
              <w:pStyle w:val="Compact"/>
              <w:spacing w:before="0" w:after="0" w:lineRule="exact" w:line="220"/>
              <w:jc w:val="left"/>
            </w:pPr>
            <w:r>
              <w:rPr>
                <w:sz w:val="18"/>
              </w:rPr>
              <w:t xml:space="preserve">0.0225</w:t>
            </w:r>
          </w:p>
        </w:tc>
      </w:tr>
      <w:tr>
        <w:trPr>
          <w:cantSplit/>
        </w:trPr>
        <w:tc>
          <w:tcPr>
            <w:tcW w:w="3470" w:type="dxa"/>
          </w:tcPr>
          <w:p>
            <w:pPr>
              <w:pStyle w:val="Compact"/>
              <w:spacing w:before="0" w:after="0" w:lineRule="exact" w:line="220"/>
              <w:jc w:val="left"/>
            </w:pPr>
            <w:r>
              <w:rPr>
                <w:sz w:val="18"/>
              </w:rPr>
              <w:t xml:space="preserve">Tokopedia and GoTo on-demand as one company, 4 against 27</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w:t>
            </w:r>
          </w:p>
        </w:tc>
        <w:tc>
          <w:tcPr>
            <w:tcW w:w="845" w:type="dxa"/>
          </w:tcPr>
          <w:p>
            <w:pPr>
              <w:pStyle w:val="Compact"/>
              <w:spacing w:before="0" w:after="0" w:lineRule="exact" w:line="220"/>
              <w:jc w:val="left"/>
            </w:pPr>
            <w:r>
              <w:rPr>
                <w:sz w:val="18"/>
              </w:rPr>
              <w:t xml:space="preserve">0.007</w:t>
            </w:r>
          </w:p>
        </w:tc>
      </w:tr>
      <w:tr>
        <w:trPr>
          <w:cantSplit/>
        </w:trPr>
        <w:tc>
          <w:tcPr>
            <w:tcW w:w="3470" w:type="dxa"/>
          </w:tcPr>
          <w:p>
            <w:pPr>
              <w:pStyle w:val="Compact"/>
              <w:spacing w:before="0" w:after="0" w:lineRule="exact" w:line="220"/>
              <w:jc w:val="left"/>
            </w:pPr>
            <w:r>
              <w:rPr>
                <w:sz w:val="18"/>
              </w:rPr>
              <w:t xml:space="preserve">Exact tests over all 201,376 ways to pick the five platforms, main test (exploratory, 22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0.0038</w:t>
            </w:r>
          </w:p>
        </w:tc>
        <w:tc>
          <w:tcPr>
            <w:tcW w:w="845" w:type="dxa"/>
          </w:tcPr>
          <w:p>
            <w:pPr>
              <w:pStyle w:val="Compact"/>
              <w:spacing w:before="0" w:after="0" w:lineRule="exact" w:line="220"/>
              <w:jc w:val="left"/>
            </w:pPr>
            <w:r>
              <w:rPr>
                <w:sz w:val="18"/>
              </w:rPr>
              <w:t xml:space="preserve">0.0214</w:t>
            </w:r>
          </w:p>
        </w:tc>
      </w:tr>
      <w:tr>
        <w:trPr>
          <w:cantSplit/>
        </w:trPr>
        <w:tc>
          <w:tcPr>
            <w:tcW w:w="3470" w:type="dxa"/>
          </w:tcPr>
          <w:p>
            <w:pPr>
              <w:pStyle w:val="Compact"/>
              <w:spacing w:before="0" w:after="0" w:lineRule="exact" w:line="220"/>
              <w:jc w:val="left"/>
            </w:pPr>
            <w:r>
              <w:rPr>
                <w:sz w:val="18"/>
              </w:rPr>
              <w:t xml:space="preserve">Sea moved to the regional group, 6 against 26 (exploratory, 22 Oct 2026; exact tests)</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0.0004</w:t>
            </w:r>
          </w:p>
        </w:tc>
        <w:tc>
          <w:tcPr>
            <w:tcW w:w="845" w:type="dxa"/>
          </w:tcPr>
          <w:p>
            <w:pPr>
              <w:pStyle w:val="Compact"/>
              <w:spacing w:before="0" w:after="0" w:lineRule="exact" w:line="220"/>
              <w:jc w:val="left"/>
            </w:pPr>
            <w:r>
              <w:rPr>
                <w:sz w:val="18"/>
              </w:rPr>
              <w:t xml:space="preserve">0.0006</w:t>
            </w:r>
          </w:p>
        </w:tc>
      </w:tr>
      <w:tr>
        <w:trPr>
          <w:cantSplit/>
        </w:trPr>
        <w:tc>
          <w:tcPr>
            <w:tcW w:w="3470" w:type="dxa"/>
          </w:tcPr>
          <w:p>
            <w:pPr>
              <w:pStyle w:val="Compact"/>
              <w:spacing w:before="0" w:after="0" w:lineRule="exact" w:line="220"/>
              <w:jc w:val="left"/>
            </w:pPr>
            <w:r>
              <w:rPr>
                <w:sz w:val="18"/>
              </w:rPr>
              <w:t xml:space="preserve">Dropping any two of the five platforms, 10 cases (exploratory, 22 Oct 2026; exact test)</w:t>
            </w:r>
          </w:p>
        </w:tc>
        <w:tc>
          <w:tcPr>
            <w:tcW w:w="1844" w:type="dxa"/>
          </w:tcPr>
          <w:p>
            <w:pPr>
              <w:pStyle w:val="Compact"/>
              <w:spacing w:before="0" w:after="0" w:lineRule="exact" w:line="220"/>
              <w:jc w:val="left"/>
            </w:pPr>
            <w:r>
              <w:rPr>
                <w:sz w:val="18"/>
              </w:rPr>
              <w:t xml:space="preserve">0.137 to 0.250</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 to 0.058</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Only years up to 5 after listing, 4 against 18 platforms (exploratory, 22 Oct 2026; exact test)</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r>
              <w:rPr>
                <w:sz w:val="18"/>
              </w:rPr>
              <w:t xml:space="preserve">0.069</w:t>
            </w:r>
          </w:p>
        </w:tc>
        <w:tc>
          <w:tcPr>
            <w:tcW w:w="1320" w:type="dxa"/>
          </w:tcPr>
          <w:p>
            <w:pPr>
              <w:pStyle w:val="Compact"/>
              <w:spacing w:before="0" w:after="0" w:lineRule="exact" w:line="220"/>
              <w:jc w:val="left"/>
            </w:pPr>
            <w:r>
              <w:rPr>
                <w:sz w:val="18"/>
              </w:rPr>
              <w:t xml:space="preserve">0.059</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Quarterly pairs, 3 against 8 (same quarter a year earlier)</w:t>
            </w:r>
          </w:p>
        </w:tc>
        <w:tc>
          <w:tcPr>
            <w:tcW w:w="1844" w:type="dxa"/>
          </w:tcPr>
          <w:p>
            <w:pPr>
              <w:pStyle w:val="Compact"/>
              <w:spacing w:before="0" w:after="0" w:lineRule="exact" w:line="220"/>
              <w:jc w:val="left"/>
            </w:pPr>
            <w:r>
              <w:rPr>
                <w:sz w:val="18"/>
              </w:rPr>
              <w:t xml:space="preserve">0.071</w:t>
            </w:r>
          </w:p>
        </w:tc>
        <w:tc>
          <w:tcPr>
            <w:tcW w:w="1024" w:type="dxa"/>
          </w:tcPr>
          <w:p>
            <w:pPr>
              <w:pStyle w:val="Compact"/>
              <w:spacing w:before="0" w:after="0" w:lineRule="exact" w:line="220"/>
              <w:jc w:val="left"/>
            </w:pPr>
            <w:r>
              <w:rPr>
                <w:sz w:val="18"/>
              </w:rPr>
              <w:t xml:space="preserve">0.049</w:t>
            </w:r>
          </w:p>
        </w:tc>
        <w:tc>
          <w:tcPr>
            <w:tcW w:w="1320" w:type="dxa"/>
          </w:tcPr>
          <w:p>
            <w:pPr>
              <w:pStyle w:val="Compact"/>
              <w:spacing w:before="0" w:after="0" w:lineRule="exact" w:line="220"/>
              <w:jc w:val="left"/>
            </w:pPr>
            <w:r>
              <w:rPr>
                <w:sz w:val="18"/>
              </w:rPr>
              <w:t xml:space="preserve">0.19</w:t>
            </w:r>
          </w:p>
        </w:tc>
        <w:tc>
          <w:tcPr>
            <w:tcW w:w="845" w:type="dxa"/>
          </w:tcPr>
          <w:p>
            <w:pPr>
              <w:pStyle w:val="Compact"/>
              <w:spacing w:before="0" w:after="0" w:lineRule="exact" w:line="220"/>
              <w:jc w:val="left"/>
            </w:pPr>
            <w:r>
              <w:rPr>
                <w:sz w:val="18"/>
              </w:rPr>
              <w:t xml:space="preserve">0.33</w:t>
            </w:r>
          </w:p>
        </w:tc>
      </w:tr>
    </w:tbl>
    <w:p>
      <w:pPr>
        <w:pStyle w:val="BodyText"/>
        <w:spacing w:before="160"/>
        <w:jc w:val="left"/>
      </w:pPr>
      <w:r>
        <w:t xml:space="preserve">The four rows marked 22 Oct 2026 were added after all other results were known, so they are exploratory. They use exact tests, which list every possible split of the 32 platforms, and they agree with the approximations in Table 10.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jc w:val="lef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jc w:val="lef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4"/>
    <w:bookmarkStart w:id="95" w:name="X37cde8a079398bfdfe609378b26a4d5794a5319"/>
    <w:p>
      <w:pPr>
        <w:pStyle w:val="Heading3"/>
      </w:pPr>
      <w:r>
        <w:t xml:space="preserve">B.2 Where the 2023 break sits (exploratory)</w:t>
      </w:r>
    </w:p>
    <w:p>
      <w:pPr>
        <w:pStyle w:val="FirstParagraph"/>
        <w:jc w:val="left"/>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jc w:val="lef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5"/>
    <w:bookmarkEnd w:id="96"/>
    <w:bookmarkStart w:id="97" w:name="X67e1483049b7627842872d160395e7f1a5f4538"/>
    <w:p>
      <w:pPr>
        <w:pStyle w:val="Heading2"/>
      </w:pPr>
      <w:r>
        <w:t xml:space="preserve">Appendix C. Registered tests and their outcomes</w:t>
      </w:r>
    </w:p>
    <w:p>
      <w:pPr>
        <w:pStyle w:val="FirstParagraph"/>
        <w:jc w:val="left"/>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2183"/>
        <w:gridCol w:w="2548"/>
        <w:gridCol w:w="2548"/>
      </w:tblGrid>
      <w:tr>
        <w:trPr>
          <w:tblHeader w:val="true"/>
          <w:cantSplit/>
          <w:tblHeader/>
        </w:trPr>
        <w:tc>
          <w:tcPr>
            <w:tcW w:w="1225" w:type="dxa"/>
            <w:tcBorders>
              <w:bottom w:val="single" w:sz="5" w:space="0" w:color="000000"/>
            </w:tcBorders>
          </w:tcPr>
          <w:p>
            <w:pPr>
              <w:pStyle w:val="Compact"/>
              <w:spacing w:before="0" w:after="0" w:lineRule="exact" w:line="220"/>
              <w:jc w:val="left"/>
            </w:pPr>
            <w:r>
              <w:rPr>
                <w:b/>
                <w:sz w:val="18"/>
              </w:rPr>
              <w:t xml:space="preserve">Test</w:t>
            </w:r>
          </w:p>
        </w:tc>
        <w:tc>
          <w:tcPr>
            <w:tcW w:w="2183" w:type="dxa"/>
            <w:tcBorders>
              <w:bottom w:val="single" w:sz="5" w:space="0" w:color="000000"/>
            </w:tcBorders>
          </w:tcPr>
          <w:p>
            <w:pPr>
              <w:pStyle w:val="Compact"/>
              <w:spacing w:before="0" w:after="0" w:lineRule="exact" w:line="220"/>
              <w:jc w:val="left"/>
            </w:pPr>
            <w:r>
              <w:rPr>
                <w:b/>
                <w:sz w:val="18"/>
              </w:rPr>
              <w:t xml:space="preserve">What it predicted</w:t>
            </w:r>
          </w:p>
        </w:tc>
        <w:tc>
          <w:tcPr>
            <w:tcW w:w="2548" w:type="dxa"/>
            <w:tcBorders>
              <w:bottom w:val="single" w:sz="5" w:space="0" w:color="000000"/>
            </w:tcBorders>
          </w:tcPr>
          <w:p>
            <w:pPr>
              <w:pStyle w:val="Compact"/>
              <w:spacing w:before="0" w:after="0" w:lineRule="exact" w:line="220"/>
              <w:jc w:val="left"/>
            </w:pPr>
            <w:r>
              <w:rPr>
                <w:b/>
                <w:sz w:val="18"/>
              </w:rPr>
              <w:t xml:space="preserve">Registered</w:t>
            </w:r>
          </w:p>
        </w:tc>
        <w:tc>
          <w:tcPr>
            <w:tcW w:w="2548" w:type="dxa"/>
            <w:tcBorders>
              <w:bottom w:val="single" w:sz="5" w:space="0" w:color="000000"/>
            </w:tcBorders>
          </w:tcPr>
          <w:p>
            <w:pPr>
              <w:pStyle w:val="Compact"/>
              <w:spacing w:before="0" w:after="0" w:lineRule="exact" w:line="220"/>
              <w:jc w:val="left"/>
            </w:pPr>
            <w:r>
              <w:rPr>
                <w:b/>
                <w:sz w:val="18"/>
              </w:rPr>
              <w:t xml:space="preserve">Outcome</w:t>
            </w:r>
          </w:p>
        </w:tc>
      </w:tr>
      <w:tr>
        <w:trPr>
          <w:cantSplit/>
        </w:trPr>
        <w:tc>
          <w:tcPr>
            <w:tcW w:w="1225" w:type="dxa"/>
          </w:tcPr>
          <w:p>
            <w:pPr>
              <w:pStyle w:val="Compact"/>
              <w:spacing w:before="0" w:after="0" w:lineRule="exact" w:line="220"/>
              <w:jc w:val="left"/>
            </w:pPr>
            <w:r>
              <w:rPr>
                <w:sz w:val="18"/>
              </w:rPr>
              <w:t xml:space="preserve">E1</w:t>
            </w:r>
          </w:p>
        </w:tc>
        <w:tc>
          <w:tcPr>
            <w:tcW w:w="2183" w:type="dxa"/>
          </w:tcPr>
          <w:p>
            <w:pPr>
              <w:pStyle w:val="Compact"/>
              <w:spacing w:before="0" w:after="0" w:lineRule="exact" w:line="220"/>
              <w:jc w:val="left"/>
            </w:pPr>
            <w:r>
              <w:rPr>
                <w:sz w:val="18"/>
              </w:rPr>
              <w:t xml:space="preserve">Sellers without financial statements hold a smaller share of online value than of the count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as a range (25.7 to 40.4 percent of value against 79.3 percent of the count)</w:t>
            </w:r>
          </w:p>
        </w:tc>
      </w:tr>
      <w:tr>
        <w:trPr>
          <w:cantSplit/>
        </w:trPr>
        <w:tc>
          <w:tcPr>
            <w:tcW w:w="1225" w:type="dxa"/>
          </w:tcPr>
          <w:p>
            <w:pPr>
              <w:pStyle w:val="Compact"/>
              <w:spacing w:before="0" w:after="0" w:lineRule="exact" w:line="220"/>
              <w:jc w:val="left"/>
            </w:pPr>
            <w:r>
              <w:rPr>
                <w:sz w:val="18"/>
              </w:rPr>
              <w:t xml:space="preserve">E2</w:t>
            </w:r>
          </w:p>
        </w:tc>
        <w:tc>
          <w:tcPr>
            <w:tcW w:w="2183" w:type="dxa"/>
          </w:tcPr>
          <w:p>
            <w:pPr>
              <w:pStyle w:val="Compact"/>
              <w:spacing w:before="0" w:after="0" w:lineRule="exact" w:line="220"/>
              <w:jc w:val="left"/>
            </w:pPr>
            <w:r>
              <w:rPr>
                <w:sz w:val="18"/>
              </w:rPr>
              <w:t xml:space="preserve">The marketplace share of online value in 2022 is above the published 2023 figure</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as a range (22.6 to 25.6 percent)</w:t>
            </w:r>
          </w:p>
        </w:tc>
      </w:tr>
      <w:tr>
        <w:trPr>
          <w:cantSplit/>
        </w:trPr>
        <w:tc>
          <w:tcPr>
            <w:tcW w:w="1225" w:type="dxa"/>
          </w:tcPr>
          <w:p>
            <w:pPr>
              <w:pStyle w:val="Compact"/>
              <w:spacing w:before="0" w:after="0" w:lineRule="exact" w:line="220"/>
              <w:jc w:val="left"/>
            </w:pPr>
            <w:r>
              <w:rPr>
                <w:sz w:val="18"/>
              </w:rPr>
              <w:t xml:space="preserve">E2b, E2c</w:t>
            </w:r>
          </w:p>
        </w:tc>
        <w:tc>
          <w:tcPr>
            <w:tcW w:w="2183" w:type="dxa"/>
          </w:tcPr>
          <w:p>
            <w:pPr>
              <w:pStyle w:val="Compact"/>
              <w:spacing w:before="0" w:after="0" w:lineRule="exact" w:line="220"/>
              <w:jc w:val="left"/>
            </w:pPr>
            <w:r>
              <w:rPr>
                <w:sz w:val="18"/>
              </w:rPr>
              <w:t xml:space="preserve">Marketplace use did not rise between 2020 and 2024</w:t>
            </w:r>
          </w:p>
        </w:tc>
        <w:tc>
          <w:tcPr>
            <w:tcW w:w="2548" w:type="dxa"/>
          </w:tcPr>
          <w:p>
            <w:pPr>
              <w:pStyle w:val="Compact"/>
              <w:spacing w:before="0" w:after="0" w:lineRule="exact" w:line="220"/>
              <w:jc w:val="left"/>
            </w:pPr>
            <w:r>
              <w:rPr>
                <w:sz w:val="18"/>
              </w:rPr>
              <w:t xml:space="preserve">2 Oct and 3 Oct 2026</w:t>
            </w:r>
          </w:p>
        </w:tc>
        <w:tc>
          <w:tcPr>
            <w:tcW w:w="2548" w:type="dxa"/>
          </w:tcPr>
          <w:p>
            <w:pPr>
              <w:pStyle w:val="Compact"/>
              <w:spacing w:before="0" w:after="0" w:lineRule="exact" w:line="220"/>
              <w:jc w:val="left"/>
            </w:pPr>
            <w:r>
              <w:rPr>
                <w:sz w:val="18"/>
              </w:rPr>
              <w:t xml:space="preserve">Hold (21.6, 19.8, 17.8 and 17.2 percent)</w:t>
            </w:r>
          </w:p>
        </w:tc>
      </w:tr>
      <w:tr>
        <w:trPr>
          <w:cantSplit/>
        </w:trPr>
        <w:tc>
          <w:tcPr>
            <w:tcW w:w="1225" w:type="dxa"/>
          </w:tcPr>
          <w:p>
            <w:pPr>
              <w:pStyle w:val="Compact"/>
              <w:spacing w:before="0" w:after="0" w:lineRule="exact" w:line="220"/>
              <w:jc w:val="left"/>
            </w:pPr>
            <w:r>
              <w:rPr>
                <w:sz w:val="18"/>
              </w:rPr>
              <w:t xml:space="preserve">E3</w:t>
            </w:r>
          </w:p>
        </w:tc>
        <w:tc>
          <w:tcPr>
            <w:tcW w:w="2183" w:type="dxa"/>
          </w:tcPr>
          <w:p>
            <w:pPr>
              <w:pStyle w:val="Compact"/>
              <w:spacing w:before="0" w:after="0" w:lineRule="exact" w:line="220"/>
              <w:jc w:val="left"/>
            </w:pPr>
            <w:r>
              <w:rPr>
                <w:sz w:val="18"/>
              </w:rPr>
              <w:t xml:space="preserve">Shopee reaches at least as many sellers as Tokopedia</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(7.5 against 2.2 percent of all sellers)</w:t>
            </w:r>
          </w:p>
        </w:tc>
      </w:tr>
      <w:tr>
        <w:trPr>
          <w:cantSplit/>
        </w:trPr>
        <w:tc>
          <w:tcPr>
            <w:tcW w:w="1225" w:type="dxa"/>
          </w:tcPr>
          <w:p>
            <w:pPr>
              <w:pStyle w:val="Compact"/>
              <w:spacing w:before="0" w:after="0" w:lineRule="exact" w:line="220"/>
              <w:jc w:val="left"/>
            </w:pPr>
            <w:r>
              <w:rPr>
                <w:sz w:val="18"/>
              </w:rPr>
              <w:t xml:space="preserve">E4</w:t>
            </w:r>
          </w:p>
        </w:tc>
        <w:tc>
          <w:tcPr>
            <w:tcW w:w="2183" w:type="dxa"/>
          </w:tcPr>
          <w:p>
            <w:pPr>
              <w:pStyle w:val="Compact"/>
              <w:spacing w:before="0" w:after="0" w:lineRule="exact" w:line="220"/>
              <w:jc w:val="left"/>
            </w:pPr>
            <w:r>
              <w:rPr>
                <w:sz w:val="18"/>
              </w:rPr>
              <w:t xml:space="preserve">Entrants use chat or social media at least as often as earlier sellers</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with no power (nearly everyone uses them)</w:t>
            </w:r>
          </w:p>
        </w:tc>
      </w:tr>
      <w:tr>
        <w:trPr>
          <w:cantSplit/>
        </w:trPr>
        <w:tc>
          <w:tcPr>
            <w:tcW w:w="1225" w:type="dxa"/>
          </w:tcPr>
          <w:p>
            <w:pPr>
              <w:pStyle w:val="Compact"/>
              <w:spacing w:before="0" w:after="0" w:lineRule="exact" w:line="220"/>
              <w:jc w:val="left"/>
            </w:pPr>
            <w:r>
              <w:rPr>
                <w:sz w:val="18"/>
              </w:rPr>
              <w:t xml:space="preserve">E5</w:t>
            </w:r>
          </w:p>
        </w:tc>
        <w:tc>
          <w:tcPr>
            <w:tcW w:w="2183" w:type="dxa"/>
          </w:tcPr>
          <w:p>
            <w:pPr>
              <w:pStyle w:val="Compact"/>
              <w:spacing w:before="0" w:after="0" w:lineRule="exact" w:line="220"/>
              <w:jc w:val="left"/>
            </w:pPr>
            <w:r>
              <w:rPr>
                <w:sz w:val="18"/>
              </w:rPr>
              <w:t xml:space="preserve">At least 21.5 percent of 2023 sellers began in 2023 (the entry test)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rPr>
          <w:cantSplit/>
        </w:trPr>
        <w:tc>
          <w:tcPr>
            <w:tcW w:w="1225" w:type="dxa"/>
          </w:tcPr>
          <w:p>
            <w:pPr>
              <w:pStyle w:val="Compact"/>
              <w:spacing w:before="0" w:after="0" w:lineRule="exact" w:line="220"/>
              <w:jc w:val="left"/>
            </w:pPr>
            <w:r>
              <w:rPr>
                <w:sz w:val="18"/>
              </w:rPr>
              <w:t xml:space="preserve">E6</w:t>
            </w:r>
          </w:p>
        </w:tc>
        <w:tc>
          <w:tcPr>
            <w:tcW w:w="2183" w:type="dxa"/>
          </w:tcPr>
          <w:p>
            <w:pPr>
              <w:pStyle w:val="Compact"/>
              <w:spacing w:before="0" w:after="0" w:lineRule="exact" w:line="220"/>
              <w:jc w:val="left"/>
            </w:pPr>
            <w:r>
              <w:rPr>
                <w:sz w:val="18"/>
              </w:rPr>
              <w:t xml:space="preserve">The median change in sales of sellers already online is at most 10.36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(median 0 percent)</w:t>
            </w:r>
          </w:p>
        </w:tc>
      </w:tr>
      <w:tr>
        <w:trPr>
          <w:cantSplit/>
        </w:trPr>
        <w:tc>
          <w:tcPr>
            <w:tcW w:w="1225" w:type="dxa"/>
          </w:tcPr>
          <w:p>
            <w:pPr>
              <w:pStyle w:val="Compact"/>
              <w:spacing w:before="0" w:after="0" w:lineRule="exact" w:line="220"/>
              <w:jc w:val="left"/>
            </w:pPr>
            <w:r>
              <w:rPr>
                <w:sz w:val="18"/>
              </w:rPr>
              <w:t xml:space="preserve">E7</w:t>
            </w:r>
          </w:p>
        </w:tc>
        <w:tc>
          <w:tcPr>
            <w:tcW w:w="2183" w:type="dxa"/>
          </w:tcPr>
          <w:p>
            <w:pPr>
              <w:pStyle w:val="Compact"/>
              <w:spacing w:before="0" w:after="0" w:lineRule="exact" w:line="220"/>
              <w:jc w:val="left"/>
            </w:pPr>
            <w:r>
              <w:rPr>
                <w:sz w:val="18"/>
              </w:rPr>
              <w:t xml:space="preserve">The share of value held by sellers without statements fell by at most 5 points from 2020 to 2022</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narrowly (5.8 points; 3.3 on the second version)</w:t>
            </w:r>
          </w:p>
        </w:tc>
      </w:tr>
      <w:tr>
        <w:trPr>
          <w:cantSplit/>
        </w:trPr>
        <w:tc>
          <w:tcPr>
            <w:tcW w:w="1225" w:type="dxa"/>
          </w:tcPr>
          <w:p>
            <w:pPr>
              <w:pStyle w:val="Compact"/>
              <w:spacing w:before="0" w:after="0" w:lineRule="exact" w:line="220"/>
              <w:jc w:val="left"/>
            </w:pPr>
            <w:r>
              <w:rPr>
                <w:sz w:val="18"/>
              </w:rPr>
              <w:t xml:space="preserve">E8</w:t>
            </w:r>
          </w:p>
        </w:tc>
        <w:tc>
          <w:tcPr>
            <w:tcW w:w="2183" w:type="dxa"/>
          </w:tcPr>
          <w:p>
            <w:pPr>
              <w:pStyle w:val="Compact"/>
              <w:spacing w:before="0" w:after="0" w:lineRule="exact" w:line="220"/>
              <w:jc w:val="left"/>
            </w:pPr>
            <w:r>
              <w:rPr>
                <w:sz w:val="18"/>
              </w:rPr>
              <w:t xml:space="preserve">Sellers with revenue of Rp300 million a year or more hold over half of marketplace value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(92.2 percent, middle scenario, an upper bound)</w:t>
            </w:r>
          </w:p>
        </w:tc>
      </w:tr>
      <w:tr>
        <w:trPr>
          <w:cantSplit/>
        </w:trPr>
        <w:tc>
          <w:tcPr>
            <w:tcW w:w="1225" w:type="dxa"/>
          </w:tcPr>
          <w:p>
            <w:pPr>
              <w:pStyle w:val="Compact"/>
              <w:spacing w:before="0" w:after="0" w:lineRule="exact" w:line="220"/>
              <w:jc w:val="left"/>
            </w:pPr>
            <w:r>
              <w:rPr>
                <w:sz w:val="18"/>
              </w:rPr>
              <w:t xml:space="preserve">RBI</w:t>
            </w:r>
          </w:p>
        </w:tc>
        <w:tc>
          <w:tcPr>
            <w:tcW w:w="2183" w:type="dxa"/>
          </w:tcPr>
          <w:p>
            <w:pPr>
              <w:pStyle w:val="Compact"/>
              <w:spacing w:before="0" w:after="0" w:lineRule="exact" w:line="220"/>
              <w:jc w:val="left"/>
            </w:pPr>
            <w:r>
              <w:rPr>
                <w:sz w:val="18"/>
              </w:rPr>
              <w:t xml:space="preserve">The marketplace part sold to final consumers is below Bank Indonesia’s 2022 figure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the low (0.16) and middle (0.68) scenarios; fails in the high one (1.62)</w:t>
            </w:r>
          </w:p>
        </w:tc>
      </w:tr>
      <w:tr>
        <w:trPr>
          <w:cantSplit/>
        </w:trPr>
        <w:tc>
          <w:tcPr>
            <w:tcW w:w="1225" w:type="dxa"/>
          </w:tcPr>
          <w:p>
            <w:pPr>
              <w:pStyle w:val="Compact"/>
              <w:spacing w:before="0" w:after="0" w:lineRule="exact" w:line="220"/>
              <w:jc w:val="left"/>
            </w:pPr>
            <w:r>
              <w:rPr>
                <w:sz w:val="18"/>
              </w:rPr>
              <w:t xml:space="preserve">W1, W2</w:t>
            </w:r>
          </w:p>
        </w:tc>
        <w:tc>
          <w:tcPr>
            <w:tcW w:w="2183" w:type="dxa"/>
          </w:tcPr>
          <w:p>
            <w:pPr>
              <w:pStyle w:val="Compact"/>
              <w:spacing w:before="0" w:after="0" w:lineRule="exact" w:line="220"/>
              <w:jc w:val="left"/>
            </w:pPr>
            <w:r>
              <w:rPr>
                <w:sz w:val="18"/>
              </w:rPr>
              <w:t xml:space="preserve">Unregistered firms using social media keep written records and take digital payments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 (29.9 against 12.3 percent; 11.5 against 2.7 percent)</w:t>
            </w:r>
          </w:p>
        </w:tc>
      </w:tr>
      <w:tr>
        <w:trPr>
          <w:cantSplit/>
        </w:trPr>
        <w:tc>
          <w:tcPr>
            <w:tcW w:w="1225" w:type="dxa"/>
          </w:tcPr>
          <w:p>
            <w:pPr>
              <w:pStyle w:val="Compact"/>
              <w:spacing w:before="0" w:after="0" w:lineRule="exact" w:line="220"/>
              <w:jc w:val="left"/>
            </w:pPr>
            <w:r>
              <w:rPr>
                <w:sz w:val="18"/>
              </w:rPr>
              <w:t xml:space="preserve">W3</w:t>
            </w:r>
          </w:p>
        </w:tc>
        <w:tc>
          <w:tcPr>
            <w:tcW w:w="2183" w:type="dxa"/>
          </w:tcPr>
          <w:p>
            <w:pPr>
              <w:pStyle w:val="Compact"/>
              <w:spacing w:before="0" w:after="0" w:lineRule="exact" w:line="220"/>
              <w:jc w:val="left"/>
            </w:pPr>
            <w:r>
              <w:rPr>
                <w:sz w:val="18"/>
              </w:rPr>
              <w:t xml:space="preserve">Their mean annual sales are below Rp100 million (about US$6,600)</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(mean Rp111 million; median Rp60 million)</w:t>
            </w:r>
          </w:p>
        </w:tc>
      </w:tr>
      <w:tr>
        <w:trPr>
          <w:cantSplit/>
        </w:trPr>
        <w:tc>
          <w:tcPr>
            <w:tcW w:w="1225" w:type="dxa"/>
          </w:tcPr>
          <w:p>
            <w:pPr>
              <w:pStyle w:val="Compact"/>
              <w:spacing w:before="0" w:after="0" w:lineRule="exact" w:line="220"/>
              <w:jc w:val="left"/>
            </w:pPr>
            <w:r>
              <w:rPr>
                <w:sz w:val="18"/>
              </w:rPr>
              <w:t xml:space="preserve">F1, F2</w:t>
            </w:r>
          </w:p>
        </w:tc>
        <w:tc>
          <w:tcPr>
            <w:tcW w:w="2183" w:type="dxa"/>
          </w:tcPr>
          <w:p>
            <w:pPr>
              <w:pStyle w:val="Compact"/>
              <w:spacing w:before="0" w:after="0" w:lineRule="exact" w:line="220"/>
              <w:jc w:val="left"/>
            </w:pPr>
            <w:r>
              <w:rPr>
                <w:sz w:val="18"/>
              </w:rPr>
              <w:t xml:space="preserve">Formal firms with a website take more e-payments and file taxes online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w:t>
            </w:r>
          </w:p>
        </w:tc>
      </w:tr>
      <w:tr>
        <w:trPr>
          <w:cantSplit/>
        </w:trPr>
        <w:tc>
          <w:tcPr>
            <w:tcW w:w="1225" w:type="dxa"/>
          </w:tcPr>
          <w:p>
            <w:pPr>
              <w:pStyle w:val="Compact"/>
              <w:spacing w:before="0" w:after="0" w:lineRule="exact" w:line="220"/>
              <w:jc w:val="left"/>
            </w:pPr>
            <w:r>
              <w:rPr>
                <w:sz w:val="18"/>
              </w:rPr>
              <w:t xml:space="preserve">F3</w:t>
            </w:r>
          </w:p>
        </w:tc>
        <w:tc>
          <w:tcPr>
            <w:tcW w:w="2183" w:type="dxa"/>
          </w:tcPr>
          <w:p>
            <w:pPr>
              <w:pStyle w:val="Compact"/>
              <w:spacing w:before="0" w:after="0" w:lineRule="exact" w:line="220"/>
              <w:jc w:val="left"/>
            </w:pPr>
            <w:r>
              <w:rPr>
                <w:sz w:val="18"/>
              </w:rPr>
              <w:t xml:space="preserve">More than one third of formal firms have neither a website nor online tax filing</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(39.9 percent), after a disclosed coding fix: the first run read</w:t>
            </w:r>
            <w:r>
              <w:rPr>
                <w:sz w:val="18"/>
              </w:rPr>
              <w:t xml:space="preserve"> </w:t>
            </w:r>
            <w:r>
              <w:rPr>
                <w:sz w:val="18"/>
              </w:rPr>
              <w:t xml:space="preserve">“</w:t>
            </w:r>
            <w:r>
              <w:rPr>
                <w:sz w:val="18"/>
              </w:rPr>
              <w:t xml:space="preserve">yes, partially</w:t>
            </w:r>
            <w:r>
              <w:rPr>
                <w:sz w:val="18"/>
              </w:rPr>
              <w:t xml:space="preserve">”</w:t>
            </w:r>
            <w:r>
              <w:rPr>
                <w:sz w:val="18"/>
              </w:rPr>
              <w:t xml:space="preserve"> </w:t>
            </w:r>
            <w:r>
              <w:rPr>
                <w:sz w:val="18"/>
              </w:rPr>
              <w:t xml:space="preserve">as no for online filing and gave 13.0 percent; the questionnaire counts it as yes</w:t>
            </w:r>
          </w:p>
        </w:tc>
      </w:tr>
      <w:tr>
        <w:trPr>
          <w:cantSplit/>
        </w:trPr>
        <w:tc>
          <w:tcPr>
            <w:tcW w:w="1225" w:type="dxa"/>
          </w:tcPr>
          <w:p>
            <w:pPr>
              <w:pStyle w:val="Compact"/>
              <w:spacing w:before="0" w:after="0" w:lineRule="exact" w:line="220"/>
              <w:jc w:val="left"/>
            </w:pPr>
            <w:r>
              <w:rPr>
                <w:sz w:val="18"/>
              </w:rPr>
              <w:t xml:space="preserve">X3</w:t>
            </w:r>
          </w:p>
        </w:tc>
        <w:tc>
          <w:tcPr>
            <w:tcW w:w="2183" w:type="dxa"/>
          </w:tcPr>
          <w:p>
            <w:pPr>
              <w:pStyle w:val="Compact"/>
              <w:spacing w:before="0" w:after="0" w:lineRule="exact" w:line="220"/>
              <w:jc w:val="left"/>
            </w:pPr>
            <w:r>
              <w:rPr>
                <w:sz w:val="18"/>
              </w:rPr>
              <w:t xml:space="preserve">Indonesia’s share of firms with neither is the highest of the countries compared</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Withdrawn as a test (addendum of 16 Oct 2026): published e-filing shares seen at registration already capped every other country below Indonesia. Reported as descriptive (Malaysia 9.1, Thailand 8.7)</w:t>
            </w:r>
          </w:p>
        </w:tc>
      </w:tr>
      <w:tr>
        <w:trPr>
          <w:cantSplit/>
        </w:trPr>
        <w:tc>
          <w:tcPr>
            <w:tcW w:w="1225" w:type="dxa"/>
          </w:tcPr>
          <w:p>
            <w:pPr>
              <w:pStyle w:val="Compact"/>
              <w:spacing w:before="0" w:after="0" w:lineRule="exact" w:line="220"/>
              <w:jc w:val="left"/>
            </w:pPr>
            <w:r>
              <w:rPr>
                <w:sz w:val="18"/>
              </w:rPr>
              <w:t xml:space="preserve">X2</w:t>
            </w:r>
          </w:p>
        </w:tc>
        <w:tc>
          <w:tcPr>
            <w:tcW w:w="2183" w:type="dxa"/>
          </w:tcPr>
          <w:p>
            <w:pPr>
              <w:pStyle w:val="Compact"/>
              <w:spacing w:before="0" w:after="0" w:lineRule="exact" w:line="220"/>
              <w:jc w:val="left"/>
            </w:pPr>
            <w:r>
              <w:rPr>
                <w:sz w:val="18"/>
              </w:rPr>
              <w:t xml:space="preserve">Firms with a website file taxes online more often, in at least 3 of 4 countries</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4 of 4</w:t>
            </w:r>
          </w:p>
        </w:tc>
      </w:tr>
      <w:tr>
        <w:trPr>
          <w:cantSplit/>
        </w:trPr>
        <w:tc>
          <w:tcPr>
            <w:tcW w:w="1225" w:type="dxa"/>
          </w:tcPr>
          <w:p>
            <w:pPr>
              <w:pStyle w:val="Compact"/>
              <w:spacing w:before="0" w:after="0" w:lineRule="exact" w:line="220"/>
              <w:jc w:val="left"/>
            </w:pPr>
            <w:r>
              <w:rPr>
                <w:sz w:val="18"/>
              </w:rPr>
              <w:t xml:space="preserve">Q1</w:t>
            </w:r>
          </w:p>
        </w:tc>
        <w:tc>
          <w:tcPr>
            <w:tcW w:w="2183" w:type="dxa"/>
          </w:tcPr>
          <w:p>
            <w:pPr>
              <w:pStyle w:val="Compact"/>
              <w:spacing w:before="0" w:after="0" w:lineRule="exact" w:line="220"/>
              <w:jc w:val="left"/>
            </w:pPr>
            <w:r>
              <w:rPr>
                <w:sz w:val="18"/>
              </w:rPr>
              <w:t xml:space="preserve">The test of H1 with quarterly pairs rejects H1</w:t>
            </w:r>
          </w:p>
        </w:tc>
        <w:tc>
          <w:tcPr>
            <w:tcW w:w="2548" w:type="dxa"/>
          </w:tcPr>
          <w:p>
            <w:pPr>
              <w:pStyle w:val="Compact"/>
              <w:spacing w:before="0" w:after="0" w:lineRule="exact" w:line="220"/>
              <w:jc w:val="left"/>
            </w:pPr>
            <w:r>
              <w:rPr>
                <w:sz w:val="18"/>
              </w:rPr>
              <w:t xml:space="preserve">7 Oct 2026, before it was run, but after the quarterly series had been built and the annual result was known, so it is a robustness check</w:t>
            </w:r>
          </w:p>
        </w:tc>
        <w:tc>
          <w:tcPr>
            <w:tcW w:w="2548" w:type="dxa"/>
          </w:tcPr>
          <w:p>
            <w:pPr>
              <w:pStyle w:val="Compact"/>
              <w:spacing w:before="0" w:after="0" w:lineRule="exact" w:line="220"/>
              <w:jc w:val="left"/>
            </w:pPr>
            <w:r>
              <w:rPr>
                <w:sz w:val="18"/>
              </w:rPr>
              <w:t xml:space="preserve">Falsified (p = 0.19)</w:t>
            </w:r>
          </w:p>
        </w:tc>
      </w:tr>
      <w:tr>
        <w:trPr>
          <w:cantSplit/>
        </w:trPr>
        <w:tc>
          <w:tcPr>
            <w:tcW w:w="1225" w:type="dxa"/>
          </w:tcPr>
          <w:p>
            <w:pPr>
              <w:pStyle w:val="Compact"/>
              <w:spacing w:before="0" w:after="0" w:lineRule="exact" w:line="220"/>
              <w:jc w:val="left"/>
            </w:pPr>
            <w:r>
              <w:rPr>
                <w:sz w:val="18"/>
              </w:rPr>
              <w:t xml:space="preserve">M1</w:t>
            </w:r>
          </w:p>
        </w:tc>
        <w:tc>
          <w:tcPr>
            <w:tcW w:w="2183" w:type="dxa"/>
          </w:tcPr>
          <w:p>
            <w:pPr>
              <w:pStyle w:val="Compact"/>
              <w:spacing w:before="0" w:after="0" w:lineRule="exact" w:line="220"/>
              <w:jc w:val="left"/>
            </w:pPr>
            <w:r>
              <w:rPr>
                <w:sz w:val="18"/>
              </w:rPr>
              <w:t xml:space="preserve">Markets value growth from more transactions more than growth from a higher take rate</w:t>
            </w:r>
          </w:p>
        </w:tc>
        <w:tc>
          <w:tcPr>
            <w:tcW w:w="2548" w:type="dxa"/>
          </w:tcPr>
          <w:p>
            <w:pPr>
              <w:pStyle w:val="Compact"/>
              <w:spacing w:before="0" w:after="0" w:lineRule="exact" w:line="220"/>
              <w:jc w:val="left"/>
            </w:pPr>
            <w:r>
              <w:rPr>
                <w:sz w:val="18"/>
              </w:rPr>
              <w:t xml:space="preserve">8 Oct 2026, before the market values were pulled</w:t>
            </w:r>
          </w:p>
        </w:tc>
        <w:tc>
          <w:tcPr>
            <w:tcW w:w="2548" w:type="dxa"/>
          </w:tcPr>
          <w:p>
            <w:pPr>
              <w:pStyle w:val="Compact"/>
              <w:spacing w:before="0" w:after="0" w:lineRule="exact" w:line="220"/>
              <w:jc w:val="left"/>
            </w:pPr>
            <w:r>
              <w:rPr>
                <w:sz w:val="18"/>
              </w:rPr>
              <w:t xml:space="preserve">Falsified in the main sample (p = 0.20) and with extreme values capped (p = 0.16); holds in the second run of 34 platforms (p = 0.004), which mixes segment figures with whole-company values</w:t>
            </w:r>
          </w:p>
        </w:tc>
      </w:tr>
      <w:tr>
        <w:trPr>
          <w:cantSplit/>
        </w:trPr>
        <w:tc>
          <w:tcPr>
            <w:tcW w:w="1225" w:type="dxa"/>
          </w:tcPr>
          <w:p>
            <w:pPr>
              <w:pStyle w:val="Compact"/>
              <w:spacing w:before="0" w:after="0" w:lineRule="exact" w:line="220"/>
              <w:jc w:val="left"/>
            </w:pPr>
            <w:r>
              <w:rPr>
                <w:sz w:val="18"/>
              </w:rPr>
              <w:t xml:space="preserve">M2</w:t>
            </w:r>
          </w:p>
        </w:tc>
        <w:tc>
          <w:tcPr>
            <w:tcW w:w="2183" w:type="dxa"/>
          </w:tcPr>
          <w:p>
            <w:pPr>
              <w:pStyle w:val="Compact"/>
              <w:spacing w:before="0" w:after="0" w:lineRule="exact" w:line="220"/>
              <w:jc w:val="left"/>
            </w:pPr>
            <w:r>
              <w:rPr>
                <w:sz w:val="18"/>
              </w:rPr>
              <w:t xml:space="preserve">Market value moves with transaction value</w:t>
            </w:r>
          </w:p>
        </w:tc>
        <w:tc>
          <w:tcPr>
            <w:tcW w:w="2548" w:type="dxa"/>
          </w:tcPr>
          <w:p>
            <w:pPr>
              <w:pStyle w:val="Compact"/>
              <w:spacing w:before="0" w:after="0" w:lineRule="exact" w:line="220"/>
              <w:jc w:val="left"/>
            </w:pPr>
            <w:r>
              <w:rPr>
                <w:sz w:val="18"/>
              </w:rPr>
              <w:t xml:space="preserve">8 Oct 2026</w:t>
            </w:r>
          </w:p>
        </w:tc>
        <w:tc>
          <w:tcPr>
            <w:tcW w:w="2548" w:type="dxa"/>
          </w:tcPr>
          <w:p>
            <w:pPr>
              <w:pStyle w:val="Compact"/>
              <w:spacing w:before="0" w:after="0" w:lineRule="exact" w:line="220"/>
              <w:jc w:val="left"/>
            </w:pPr>
            <w:r>
              <w:rPr>
                <w:sz w:val="18"/>
              </w:rPr>
              <w:t xml:space="preserve">Holds (p = 0.002)</w:t>
            </w:r>
          </w:p>
        </w:tc>
      </w:tr>
      <w:tr>
        <w:trPr>
          <w:cantSplit/>
        </w:trPr>
        <w:tc>
          <w:tcPr>
            <w:tcW w:w="1225" w:type="dxa"/>
          </w:tcPr>
          <w:p>
            <w:pPr>
              <w:pStyle w:val="Compact"/>
              <w:spacing w:before="0" w:after="0" w:lineRule="exact" w:line="220"/>
              <w:jc w:val="left"/>
            </w:pPr>
            <w:r>
              <w:rPr>
                <w:sz w:val="18"/>
              </w:rPr>
              <w:t xml:space="preserve">L (P1 to P3)</w:t>
            </w:r>
          </w:p>
        </w:tc>
        <w:tc>
          <w:tcPr>
            <w:tcW w:w="2183" w:type="dxa"/>
          </w:tcPr>
          <w:p>
            <w:pPr>
              <w:pStyle w:val="Compact"/>
              <w:spacing w:before="0" w:after="0" w:lineRule="exact" w:line="220"/>
              <w:jc w:val="left"/>
            </w:pPr>
            <w:r>
              <w:rPr>
                <w:sz w:val="18"/>
              </w:rPr>
              <w:t xml:space="preserve">Large take-rate moves driven by discounts occur only where incentives are at least as large as revenue (L of 1 or more)</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Thin support out of sample: P1 holds on 2 of 2 cases; P3 fails at the main threshold (median move 0.117 against 0.10); rank correlation 0.20 (p = 0.43)</w:t>
            </w:r>
          </w:p>
        </w:tc>
      </w:tr>
      <w:tr>
        <w:trPr>
          <w:cantSplit/>
        </w:trPr>
        <w:tc>
          <w:tcPr>
            <w:tcW w:w="1225" w:type="dxa"/>
          </w:tcPr>
          <w:p>
            <w:pPr>
              <w:pStyle w:val="Compact"/>
              <w:spacing w:before="0" w:after="0" w:lineRule="exact" w:line="220"/>
              <w:jc w:val="left"/>
            </w:pPr>
            <w:r>
              <w:rPr>
                <w:sz w:val="18"/>
              </w:rPr>
              <w:t xml:space="preserve">P1 to P5, R1 to R3</w:t>
            </w:r>
          </w:p>
        </w:tc>
        <w:tc>
          <w:tcPr>
            <w:tcW w:w="2183" w:type="dxa"/>
          </w:tcPr>
          <w:p>
            <w:pPr>
              <w:pStyle w:val="Compact"/>
              <w:spacing w:before="0" w:after="0" w:lineRule="exact" w:line="220"/>
              <w:jc w:val="left"/>
            </w:pPr>
            <w:r>
              <w:rPr>
                <w:sz w:val="18"/>
              </w:rPr>
              <w:t xml:space="preserve">Predictions on the third-quarter 2026 results of GoTo, Grab and Sea</w:t>
            </w:r>
          </w:p>
        </w:tc>
        <w:tc>
          <w:tcPr>
            <w:tcW w:w="2548" w:type="dxa"/>
          </w:tcPr>
          <w:p>
            <w:pPr>
              <w:pStyle w:val="Compact"/>
              <w:spacing w:before="0" w:after="0" w:lineRule="exact" w:line="220"/>
              <w:jc w:val="left"/>
            </w:pPr>
            <w:r>
              <w:rPr>
                <w:sz w:val="18"/>
              </w:rPr>
              <w:t xml:space="preserve">2 and 3 Oct 2026</w:t>
            </w:r>
          </w:p>
        </w:tc>
        <w:tc>
          <w:tcPr>
            <w:tcW w:w="2548" w:type="dxa"/>
          </w:tcPr>
          <w:p>
            <w:pPr>
              <w:pStyle w:val="Compact"/>
              <w:spacing w:before="0" w:after="0" w:lineRule="exact" w:line="220"/>
              <w:jc w:val="left"/>
            </w:pPr>
            <w:r>
              <w:rPr>
                <w:sz w:val="18"/>
              </w:rPr>
              <w:t xml:space="preserve">Not yet scored; first results are due on 27 Oct 2026</w:t>
            </w:r>
          </w:p>
        </w:tc>
      </w:tr>
      <w:tr>
        <w:trPr>
          <w:cantSplit/>
        </w:trPr>
        <w:tc>
          <w:tcPr>
            <w:tcW w:w="1225" w:type="dxa"/>
          </w:tcPr>
          <w:p>
            <w:pPr>
              <w:pStyle w:val="Compact"/>
              <w:spacing w:before="0" w:after="0" w:lineRule="exact" w:line="220"/>
              <w:jc w:val="left"/>
            </w:pPr>
            <w:r>
              <w:rPr>
                <w:sz w:val="18"/>
              </w:rPr>
              <w:t xml:space="preserve">Marketplace tax start</w:t>
            </w:r>
          </w:p>
        </w:tc>
        <w:tc>
          <w:tcPr>
            <w:tcW w:w="2183" w:type="dxa"/>
          </w:tcPr>
          <w:p>
            <w:pPr>
              <w:pStyle w:val="Compact"/>
              <w:spacing w:before="0" w:after="0" w:lineRule="exact" w:line="220"/>
              <w:jc w:val="left"/>
            </w:pPr>
            <w:r>
              <w:rPr>
                <w:sz w:val="18"/>
              </w:rPr>
              <w:t xml:space="preserve">The tax start slips again</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Withdrawn: collection began on 1 Oct 2026, before the prediction was registered (addendum of 15 Oct 2026)</w:t>
            </w:r>
          </w:p>
        </w:tc>
      </w:tr>
      <w:tr>
        <w:trPr>
          <w:cantSplit/>
        </w:trPr>
        <w:tc>
          <w:tcPr>
            <w:tcW w:w="1225" w:type="dxa"/>
          </w:tcPr>
          <w:p>
            <w:pPr>
              <w:pStyle w:val="Compact"/>
              <w:spacing w:before="0" w:after="0" w:lineRule="exact" w:line="220"/>
              <w:jc w:val="left"/>
            </w:pPr>
            <w:r>
              <w:rPr>
                <w:sz w:val="18"/>
              </w:rPr>
              <w:t xml:space="preserve">BPS marketplace share</w:t>
            </w:r>
          </w:p>
        </w:tc>
        <w:tc>
          <w:tcPr>
            <w:tcW w:w="2183" w:type="dxa"/>
          </w:tcPr>
          <w:p>
            <w:pPr>
              <w:pStyle w:val="Compact"/>
              <w:spacing w:before="0" w:after="0" w:lineRule="exact" w:line="220"/>
              <w:jc w:val="left"/>
            </w:pPr>
            <w:r>
              <w:rPr>
                <w:sz w:val="18"/>
              </w:rPr>
              <w:t xml:space="preserve">The next published marketplace share is at most 15.79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Not yet scored</w:t>
            </w:r>
          </w:p>
        </w:tc>
      </w:tr>
    </w:tbl>
    <w:bookmarkEnd w:id="97"/>
    <w:bookmarkStart w:id="98" w:name="X1475841d701e4c4164d9bef03c7682e2ab857a8"/>
    <w:p>
      <w:pPr>
        <w:pStyle w:val="Heading2"/>
      </w:pPr>
      <w:r>
        <w:t xml:space="preserve">Appendix D. The values behind Figures 4 to 6</w:t>
      </w:r>
    </w:p>
    <w:p>
      <w:pPr>
        <w:pStyle w:val="FirstParagraph"/>
        <w:jc w:val="left"/>
      </w:pPr>
      <w:r>
        <w:rPr>
          <w:bCs/>
          <w:b/>
        </w:rPr>
        <w:t xml:space="preserve">Growth in 2023, percent (Figure 4).</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jc w:val="left"/>
      </w:pPr>
      <w:r>
        <w:rPr>
          <w:bCs/>
          <w:b/>
        </w:rPr>
        <w:t xml:space="preserve">Who the extra sellers were, percent (Figure 5).</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jc w:val="left"/>
      </w:pPr>
      <w:r>
        <w:rPr>
          <w:bCs/>
          <w:b/>
        </w:rPr>
        <w:t xml:space="preserve">Marketplace use and financial statements, percent of sellers (Figure 6).</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jc w:val="lef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98"/>
    <w:bookmarkEnd w:id="99"/>
    <w:bookmarkStart w:id="100"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0"/>
    <w:sectPr>
      <w:footerReference r:id="rId9" w:type="default"/>
      <w:pgSz w:h="16838" w:w="11906"/>
      <w:pgMar w:bottom="1134" w:footer="567" w:header="850" w:left="2268" w:right="1134" w:top="1984"/>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60" w:before="0" w:line="276" w:lineRule="auto"/>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360" w:before="1800" w:line="312" w:lineRule="auto"/>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800" w:before="0" w:line="312" w:lineRule="auto"/>
      <w:jc w:val="center"/>
    </w:pPr>
    <w:rPr>
      <w:rFonts w:ascii="Times New Roman" w:cs="Times New Roman" w:eastAsia="Times New Roman" w:hAnsi="Times New Roman"/>
      <w:b w:val="0"/>
      <w:i/>
      <w:color w:val="000000"/>
      <w:sz w:val="24"/>
      <w:szCs w:val="30"/>
    </w:rPr>
  </w:style>
  <w:style w:customStyle="1" w:styleId="Author" w:type="paragraph">
    <w:name w:val="Author"/>
    <w:next w:val="BodyText"/>
    <w:qFormat/>
    <w:pPr>
      <w:keepNext/>
      <w:keepLines/>
      <w:spacing w:after="80" w:before="0" w:line="312" w:lineRule="auto"/>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80" w:before="0" w:line="312" w:lineRule="auto"/>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480" w:before="0" w:line="312" w:lineRule="auto"/>
      <w:jc w:val="center"/>
      <w:outlineLvl w:val="0"/>
    </w:pPr>
    <w:rPr>
      <w:rFonts w:ascii="Times New Roman" w:cs="Times New Roman" w:eastAsia="Times New Roman" w:hAnsi="Times New Roman"/>
      <w:b/>
      <w:bCs/>
      <w:i w:val="0"/>
      <w:color w:val="000000"/>
      <w:sz w:val="32"/>
      <w:szCs w:val="32"/>
    </w:rPr>
  </w:style>
  <w:style w:styleId="Heading2" w:type="paragraph">
    <w:name w:val="Heading 2"/>
    <w:basedOn w:val="Normal"/>
    <w:next w:val="BodyText"/>
    <w:uiPriority w:val="9"/>
    <w:unhideWhenUsed/>
    <w:qFormat/>
    <w:pPr>
      <w:keepNext/>
      <w:keepLines/>
      <w:spacing w:after="120" w:before="280" w:line="312" w:lineRule="auto"/>
      <w:jc w:val="left"/>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80" w:before="200" w:line="312"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60" w:before="160" w:line="312" w:lineRule="auto"/>
      <w:jc w:val="left"/>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60" w:line="360" w:lineRule="auto"/>
      <w:ind w:firstLine="0" w:left="567" w:right="567"/>
      <w:jc w:val="left"/>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pPr>
      <w:spacing w:after="40" w:before="0" w:line="240" w:lineRule="auto"/>
      <w:jc w:val="left"/>
    </w:pPr>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40" w:line="276" w:lineRule="auto"/>
      <w:jc w:val="left"/>
    </w:pPr>
    <w:rPr>
      <w:rFonts w:ascii="Times New Roman" w:cs="Times New Roman" w:eastAsia="Times New Roman" w:hAnsi="Times New Roman"/>
      <w:b w:val="0"/>
      <w:i w:val="0"/>
      <w:color w:val="000000"/>
      <w:sz w:val="22"/>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eastAsia="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rontHeading" w:type="paragraph">
    <w:name w:val="Front Heading"/>
    <w:basedOn w:val="Normal"/>
    <w:pPr>
      <w:keepNext/>
      <w:pageBreakBefore/>
      <w:spacing w:after="480" w:before="0" w:line="312" w:lineRule="auto"/>
      <w:jc w:val="center"/>
    </w:pPr>
    <w:rPr>
      <w:rFonts w:ascii="Times New Roman" w:cs="Times New Roman" w:eastAsia="Times New Roman" w:hAnsi="Times New Roman"/>
      <w:b/>
      <w:i w:val="0"/>
      <w:color w:val="000000"/>
      <w:sz w:val="32"/>
    </w:rPr>
  </w:style>
  <w:style w:customStyle="1" w:styleId="FieldSlot" w:type="paragraph">
    <w:name w:val="Field Slot"/>
    <w:basedOn w:val="Normal"/>
    <w:pPr>
      <w:spacing w:after="0" w:before="0" w:line="240" w:lineRule="auto"/>
      <w:jc w:val="left"/>
    </w:pPr>
    <w:rPr>
      <w:rFonts w:ascii="Times New Roman" w:cs="Times New Roman" w:eastAsia="Times New Roman" w:hAnsi="Times New Roman"/>
      <w:color w:val="000000"/>
      <w:sz w:val="24"/>
    </w:rPr>
  </w:style>
  <w:style w:customStyle="1" w:styleId="FigureCaption" w:type="paragraph">
    <w:name w:val="Figure Caption"/>
    <w:basedOn w:val="Normal"/>
    <w:pPr>
      <w:spacing w:after="60" w:before="80" w:line="276" w:lineRule="auto"/>
      <w:jc w:val="left"/>
    </w:pPr>
    <w:rPr>
      <w:rFonts w:ascii="Times New Roman" w:cs="Times New Roman" w:eastAsia="Times New Roman" w:hAnsi="Times New Roman"/>
      <w:b w:val="0"/>
      <w:i w:val="0"/>
      <w:color w:val="000000"/>
      <w:sz w:val="22"/>
    </w:rPr>
  </w:style>
  <w:style w:customStyle="1" w:styleId="TableNote" w:type="paragraph">
    <w:name w:val="Table Note"/>
    <w:basedOn w:val="Normal"/>
    <w:pPr>
      <w:spacing w:after="240" w:before="40" w:line="264" w:lineRule="auto"/>
      <w:jc w:val="left"/>
    </w:pPr>
    <w:rPr>
      <w:rFonts w:ascii="Times New Roman" w:cs="Times New Roman" w:eastAsia="Times New Roman" w:hAnsi="Times New Roman"/>
      <w:b w:val="0"/>
      <w:i w:val="0"/>
      <w:color w:val="000000"/>
      <w:sz w:val="19"/>
    </w:rPr>
  </w:style>
  <w:style w:customStyle="1" w:styleId="Equation" w:type="paragraph">
    <w:name w:val="Equation"/>
    <w:basedOn w:val="Normal"/>
    <w:pPr>
      <w:keepLines/>
      <w:tabs>
        <w:tab w:pos="4252" w:val="center"/>
        <w:tab w:pos="8504" w:val="right"/>
      </w:tabs>
      <w:spacing w:after="160" w:before="120" w:line="312" w:lineRule="auto"/>
      <w:jc w:val="left"/>
    </w:pPr>
    <w:rPr>
      <w:rFonts w:ascii="Times New Roman" w:cs="Times New Roman" w:eastAsia="Times New Roman" w:hAnsi="Times New Roman"/>
      <w:color w:val="000000"/>
      <w:sz w:val="24"/>
    </w:rPr>
  </w:style>
  <w:style w:customStyle="1" w:styleId="toc1" w:type="paragraph">
    <w:name w:val="toc 1"/>
    <w:basedOn w:val="Normal"/>
    <w:pPr>
      <w:tabs>
        <w:tab w:leader="dot" w:pos="8504" w:val="right"/>
      </w:tabs>
      <w:spacing w:after="40" w:before="80" w:line="276" w:lineRule="auto"/>
      <w:ind w:left="0"/>
      <w:jc w:val="left"/>
    </w:pPr>
    <w:rPr>
      <w:rFonts w:ascii="Times New Roman" w:cs="Times New Roman" w:eastAsia="Times New Roman" w:hAnsi="Times New Roman"/>
      <w:b/>
      <w:color w:val="000000"/>
      <w:sz w:val="24"/>
    </w:rPr>
  </w:style>
  <w:style w:customStyle="1" w:styleId="toc2" w:type="paragraph">
    <w:name w:val="toc 2"/>
    <w:basedOn w:val="Normal"/>
    <w:pPr>
      <w:tabs>
        <w:tab w:leader="dot" w:pos="8504" w:val="right"/>
      </w:tabs>
      <w:spacing w:after="40" w:before="0" w:line="276" w:lineRule="auto"/>
      <w:ind w:left="397"/>
      <w:jc w:val="left"/>
    </w:pPr>
    <w:rPr>
      <w:rFonts w:ascii="Times New Roman" w:cs="Times New Roman" w:eastAsia="Times New Roman" w:hAnsi="Times New Roman"/>
      <w:b w:val="0"/>
      <w:color w:val="000000"/>
      <w:sz w:val="24"/>
    </w:rPr>
  </w:style>
  <w:style w:customStyle="1" w:styleId="tableoffigures" w:type="paragraph">
    <w:name w:val="table of figures"/>
    <w:basedOn w:val="Normal"/>
    <w:pPr>
      <w:tabs>
        <w:tab w:leader="dot" w:pos="8504" w:val="right"/>
      </w:tabs>
      <w:spacing w:after="40" w:before="0" w:line="276" w:lineRule="auto"/>
      <w:ind w:left="0"/>
      <w:jc w:val="left"/>
    </w:pPr>
    <w:rPr>
      <w:rFonts w:ascii="Times New Roman" w:cs="Times New Roman" w:eastAsia="Times New Roman" w:hAnsi="Times New Roman"/>
      <w:b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9" Type="http://schemas.openxmlformats.org/officeDocument/2006/relationships/image" Target="media/rId29.png"/><Relationship Id="rId51" Type="http://schemas.openxmlformats.org/officeDocument/2006/relationships/image" Target="media/rId51.png"/><Relationship Id="rId55" Type="http://schemas.openxmlformats.org/officeDocument/2006/relationships/image" Target="media/rId55.png"/><Relationship Id="rId60" Type="http://schemas.openxmlformats.org/officeDocument/2006/relationships/image" Target="media/rId60.png"/><Relationship Id="rId66" Type="http://schemas.openxmlformats.org/officeDocument/2006/relationships/image" Target="media/rId66.png"/><Relationship Id="rId70" Type="http://schemas.openxmlformats.org/officeDocument/2006/relationships/image" Target="media/rId70.png"/><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creator>Christopher Ongko (王新福); Advisor: Prof. De-Rong Kong (孔德蓉); College of Management, Yuan Ze University</dc:creator>
  <dc:language>en</dc:language>
  <cp:keywords/>
  <dcterms:created xsi:type="dcterms:W3CDTF">2026-10-24T08:35:30Z</dcterms:created>
  <dcterms:modified xsi:type="dcterms:W3CDTF">2026-10-24T08:35:30Z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Master’s thesis</vt:lpwstr>
  </property>
</Properties>
</file>