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result with BPS-Statistics Indonesia e-commerce data and Bank Indonesia payment records. In 2023, three major platforms processed US$43.23 billion of transaction value against US$3.16 billion of recognized revenue, a ratio of 13.7 to 1 and a wedge equivalent to about 2.9 percent of Indonesian GDP. Across twelve year-to-year comparisons, revenue grew faster than transaction value in ten, so the relationship is not stable. National statistics place 98.5 percent of recent e-commerce growth outside the marketplace component, and payment measures grew up to eleven times as fast as e-commerce value. Eight platform businesses outside Indonesia provide external corroboration. The proposal treats these records as distinct measurement layers and tests whether substituting one for another changes conclusions about the scale and growth of digital activity.</w:t>
      </w:r>
    </w:p>
    <w:p>
      <w:pPr>
        <w:pStyle w:val="Heading1"/>
        <w:keepNext/>
        <w:spacing w:before="140" w:after="80"/>
        <w:jc w:val="left"/>
      </w:pPr>
      <w:r>
        <w:rPr>
          <w:rFonts w:ascii="Times New Roman" w:hAnsi="Times New Roman" w:cs="Times New Roman" w:eastAsia="Times New Roman"/>
          <w:b/>
          <w:sz w:val="24"/>
        </w:rPr>
        <w:t>1. Introduction</w:t>
      </w:r>
    </w:p>
    <w:p>
      <w:pPr>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90" w:after="30"/>
      </w:pPr>
      <w:r>
        <w:rPr>
          <w:rFonts w:ascii="Times New Roman" w:hAnsi="Times New Roman" w:eastAsia="Times New Roman"/>
          <w:b/>
          <w:i w:val="0"/>
          <w:sz w:val="24"/>
        </w:rPr>
        <w:t>1.1 Research question and objectives</w:t>
      </w:r>
    </w:p>
    <w:p>
      <w:pPr>
        <w:spacing w:after="80" w:line="247" w:lineRule="auto"/>
        <w:jc w:val="both"/>
      </w:pPr>
      <w:r>
        <w:rPr>
          <w:rFonts w:ascii="Times New Roman" w:hAnsi="Times New Roman" w:eastAsia="Times New Roman"/>
          <w:b w:val="0"/>
          <w:i w:val="0"/>
          <w:sz w:val="24"/>
        </w:rPr>
        <w:t>One question drives the proposal:</w:t>
      </w:r>
    </w:p>
    <w:p>
      <w:pPr>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90" w:after="30"/>
      </w:pPr>
      <w:r>
        <w:rPr>
          <w:rFonts w:ascii="Times New Roman" w:hAnsi="Times New Roman" w:eastAsia="Times New Roman"/>
          <w:b/>
          <w:i w:val="0"/>
          <w:sz w:val="24"/>
        </w:rPr>
        <w:t>1.2 Contributions</w:t>
      </w:r>
    </w:p>
    <w:p>
      <w:pPr>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90" w:after="30"/>
      </w:pPr>
      <w:r>
        <w:rPr>
          <w:rFonts w:ascii="Times New Roman" w:hAnsi="Times New Roman" w:eastAsia="Times New Roman"/>
          <w:b/>
          <w:i w:val="0"/>
          <w:sz w:val="24"/>
        </w:rPr>
        <w:t>1.3 Positioning the contribution</w:t>
      </w:r>
    </w:p>
    <w:p>
      <w:pPr>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140" w:after="80"/>
        <w:jc w:val="left"/>
      </w:pPr>
      <w:r>
        <w:rPr>
          <w:rFonts w:ascii="Times New Roman" w:hAnsi="Times New Roman" w:cs="Times New Roman" w:eastAsia="Times New Roman"/>
          <w:b/>
          <w:sz w:val="24"/>
        </w:rPr>
        <w:t>2. Literature Review and Research Gap</w:t>
      </w:r>
    </w:p>
    <w:p>
      <w:pPr>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90" w:after="30"/>
      </w:pPr>
      <w:r>
        <w:rPr>
          <w:rFonts w:ascii="Times New Roman" w:hAnsi="Times New Roman" w:eastAsia="Times New Roman"/>
          <w:b/>
          <w:i w:val="0"/>
          <w:sz w:val="24"/>
        </w:rPr>
        <w:t>2.1 Platform Economics and Revenue Recognition</w:t>
      </w:r>
    </w:p>
    <w:p>
      <w:pPr>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90" w:after="30"/>
      </w:pPr>
      <w:r>
        <w:rPr>
          <w:rFonts w:ascii="Times New Roman" w:hAnsi="Times New Roman" w:eastAsia="Times New Roman"/>
          <w:b/>
          <w:i w:val="0"/>
          <w:sz w:val="24"/>
        </w:rPr>
        <w:t>2.2 Digital Records and Third-Party Information</w:t>
      </w:r>
    </w:p>
    <w:p>
      <w:pPr>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90" w:after="30"/>
      </w:pPr>
      <w:r>
        <w:rPr>
          <w:rFonts w:ascii="Times New Roman" w:hAnsi="Times New Roman" w:eastAsia="Times New Roman"/>
          <w:b/>
          <w:i w:val="0"/>
          <w:sz w:val="24"/>
        </w:rPr>
        <w:t>2.3 Measuring the Digital Economy</w:t>
      </w:r>
    </w:p>
    <w:p>
      <w:pPr>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90" w:after="30"/>
      </w:pPr>
      <w:r>
        <w:rPr>
          <w:rFonts w:ascii="Times New Roman" w:hAnsi="Times New Roman" w:eastAsia="Times New Roman"/>
          <w:b/>
          <w:i w:val="0"/>
          <w:sz w:val="24"/>
        </w:rPr>
        <w:t>2.4 Research Gap</w:t>
      </w:r>
    </w:p>
    <w:p>
      <w:pPr>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140" w:after="80"/>
        <w:jc w:val="left"/>
      </w:pPr>
      <w:r>
        <w:rPr>
          <w:rFonts w:ascii="Times New Roman" w:hAnsi="Times New Roman" w:eastAsia="Times New Roman"/>
          <w:b/>
          <w:i w:val="0"/>
          <w:sz w:val="24"/>
        </w:rPr>
        <w:t>3. Theoretical Framework and Hypotheses</w:t>
      </w:r>
    </w:p>
    <w:p>
      <w:pPr>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90" w:after="30"/>
        <w:jc w:val="left"/>
      </w:pPr>
      <w:r>
        <w:rPr>
          <w:rFonts w:ascii="Times New Roman" w:hAnsi="Times New Roman" w:eastAsia="Times New Roman"/>
          <w:b/>
          <w:i w:val="0"/>
          <w:sz w:val="24"/>
        </w:rPr>
        <w:t>3.1 Measurement Framework</w:t>
      </w:r>
    </w:p>
    <w:p>
      <w:pPr>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80" w:line="24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w:t>
      </w:r>
    </w:p>
    <w:p>
      <w:pPr>
        <w:spacing w:after="80" w:line="24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90" w:after="30"/>
        <w:jc w:val="left"/>
      </w:pPr>
      <w:r>
        <w:rPr>
          <w:rFonts w:ascii="Times New Roman" w:hAnsi="Times New Roman" w:eastAsia="Times New Roman"/>
          <w:b/>
          <w:i w:val="0"/>
          <w:sz w:val="24"/>
        </w:rPr>
        <w:t>3.2 Hypotheses</w:t>
      </w:r>
    </w:p>
    <w:p>
      <w:pPr>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 Table 1 pairs each hypothesis with the evidence that tests it.</w:t>
      </w:r>
    </w:p>
    <w:p>
      <w:pPr>
        <w:keepNext/>
        <w:spacing w:after="80" w:line="247" w:lineRule="auto"/>
        <w:jc w:val="left"/>
      </w:pPr>
      <w:r>
        <w:rPr>
          <w:rFonts w:ascii="Times New Roman" w:hAnsi="Times New Roman" w:eastAsia="Times New Roman"/>
          <w:b/>
          <w:i w:val="0"/>
          <w:sz w:val="24"/>
        </w:rPr>
        <w:t>H1. Transaction value and platform revenue diverge materially within the same platform over time.</w:t>
      </w:r>
    </w:p>
    <w:p>
      <w:pPr>
        <w:spacing w:after="80" w:line="24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80" w:line="24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80" w:line="24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This asks whether marketplace-mediated activity is associated with a different recordkeeping pattern from other e-commerce activity. Association does not imply that marketplace participation causes formalization.</w:t>
      </w:r>
    </w:p>
    <w:p>
      <w:pPr>
        <w:keepNext/>
        <w:spacing w:after="80" w:line="247" w:lineRule="auto"/>
        <w:jc w:val="left"/>
      </w:pPr>
      <w:r>
        <w:rPr>
          <w:rFonts w:ascii="Times New Roman" w:hAnsi="Times New Roman" w:eastAsia="Times New Roman"/>
          <w:b/>
          <w:i w:val="0"/>
          <w:sz w:val="24"/>
        </w:rPr>
        <w:t>H4. Measurement choices materially alter conclusions about the scale and growth of digital economic activity.</w:t>
      </w:r>
    </w:p>
    <w:p>
      <w:pPr>
        <w:spacing w:after="80" w:line="247" w:lineRule="auto"/>
        <w:jc w:val="both"/>
      </w:pPr>
      <w:r>
        <w:rPr>
          <w:rFonts w:ascii="Times New Roman" w:hAnsi="Times New Roman" w:eastAsia="Times New Roman"/>
          <w:b w:val="0"/>
          <w:i w:val="0"/>
          <w:sz w:val="24"/>
        </w:rPr>
        <w:t>This asks whether platform accounts, national e-commerce statistics, and payment records produce the same economic account when they observe different parts of digital activity.</w:t>
      </w:r>
    </w:p>
    <w:p>
      <w:pPr>
        <w:keepNext/>
        <w:spacing w:before="60" w:after="3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center"/>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center"/>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140" w:after="80"/>
        <w:jc w:val="left"/>
      </w:pPr>
      <w:r>
        <w:rPr>
          <w:rFonts w:ascii="Times New Roman" w:hAnsi="Times New Roman" w:eastAsia="Times New Roman"/>
          <w:b/>
          <w:i w:val="0"/>
          <w:sz w:val="24"/>
        </w:rPr>
        <w:t>4. Data and Methodology</w:t>
      </w:r>
    </w:p>
    <w:p>
      <w:pPr>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90" w:after="30"/>
        <w:jc w:val="left"/>
      </w:pPr>
      <w:r>
        <w:rPr>
          <w:rFonts w:ascii="Times New Roman" w:hAnsi="Times New Roman" w:eastAsia="Times New Roman"/>
          <w:b/>
          <w:i w:val="0"/>
          <w:sz w:val="24"/>
        </w:rPr>
        <w:t>4.1 Selecting the Platform Evidence</w:t>
      </w:r>
    </w:p>
    <w:p>
      <w:pPr>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80" w:line="24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60" w:after="3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center"/>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center"/>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center"/>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center"/>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Table 2 groups the retained evidence by how directly it maps to Indonesia. An annual observation means one matched transaction-and-revenue pair for one platform in one year, and the 17 retained observations produce 12 year-to-year comparisons because the same platforms are not available in every year.</w:t>
      </w:r>
    </w:p>
    <w:p>
      <w:pPr>
        <w:spacing w:after="80" w:line="24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90" w:after="30"/>
        <w:jc w:val="left"/>
      </w:pPr>
      <w:r>
        <w:rPr>
          <w:rFonts w:ascii="Times New Roman" w:hAnsi="Times New Roman" w:eastAsia="Times New Roman"/>
          <w:b/>
          <w:i w:val="0"/>
          <w:sz w:val="24"/>
        </w:rPr>
        <w:t>4.2 Comparing Platform Activity Through Time</w:t>
      </w:r>
    </w:p>
    <w:p>
      <w:pPr>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80" w:line="24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80" w:line="24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This proposal uses GTV throughout, and each issuer's own label and definition are checked rather than assumed to be identical.</w:t>
      </w:r>
      <w:r>
        <w:rPr>
          <w:rFonts w:ascii="Times New Roman" w:hAnsi="Times New Roman" w:eastAsia="Times New Roman"/>
          <w:sz w:val="24"/>
          <w:vertAlign w:val="superscript"/>
        </w:rPr>
        <w:footnoteReference w:id="2"/>
      </w:r>
    </w:p>
    <w:p>
      <w:pPr>
        <w:spacing w:after="80" w:line="24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90" w:after="30"/>
        <w:jc w:val="left"/>
      </w:pPr>
      <w:r>
        <w:rPr>
          <w:rFonts w:ascii="Times New Roman" w:hAnsi="Times New Roman" w:eastAsia="Times New Roman"/>
          <w:b/>
          <w:i w:val="0"/>
          <w:sz w:val="24"/>
        </w:rPr>
        <w:t>4.3 Direct and Constructed Indonesia Measures</w:t>
      </w:r>
    </w:p>
    <w:p>
      <w:pPr>
        <w:spacing w:after="80" w:line="24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60" w:after="3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center"/>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center"/>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center"/>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The Group monetization rate is platform revenue divided by gross transaction value, and the result is treated as a reconstruction rather than a direct disclosure.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research firm whose annual Southeast Asian e-commerce report is the main published source of country-level platform transaction estimates for this market, and Indonesian revenue is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90" w:after="30"/>
        <w:jc w:val="left"/>
      </w:pPr>
      <w:r>
        <w:rPr>
          <w:rFonts w:ascii="Times New Roman" w:hAnsi="Times New Roman" w:eastAsia="Times New Roman"/>
          <w:b/>
          <w:i w:val="0"/>
          <w:sz w:val="24"/>
        </w:rPr>
        <w:t>4.4 Evidence Beyond Platform Accounts</w:t>
      </w:r>
    </w:p>
    <w:p>
      <w:pPr>
        <w:keepNext/>
        <w:spacing w:before="60" w:after="3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center"/>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center"/>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center"/>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spacing w:before="120" w:after="80" w:line="247" w:lineRule="auto"/>
        <w:jc w:val="both"/>
      </w:pPr>
      <w:r>
        <w:rPr>
          <w:rFonts w:ascii="Times New Roman" w:hAnsi="Times New Roman" w:eastAsia="Times New Roman"/>
          <w:b w:val="0"/>
          <w:i w:val="0"/>
          <w:sz w:val="24"/>
        </w:rPr>
        <w:t>Table 4 gives each source a single role. The modules answer different questions, so they are reported separately rather than pooled into one estimate.</w:t>
      </w:r>
    </w:p>
    <w:p>
      <w:pPr>
        <w:spacing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80" w:line="24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90" w:after="30"/>
        <w:jc w:val="left"/>
      </w:pPr>
      <w:r>
        <w:rPr>
          <w:rFonts w:ascii="Times New Roman" w:hAnsi="Times New Roman" w:eastAsia="Times New Roman"/>
          <w:b/>
          <w:i w:val="0"/>
          <w:sz w:val="24"/>
        </w:rPr>
        <w:t>4.5 External Evidence and Robustness</w:t>
      </w:r>
    </w:p>
    <w:p>
      <w:pPr>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80" w:line="24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140" w:after="80"/>
        <w:jc w:val="left"/>
      </w:pPr>
      <w:r>
        <w:rPr>
          <w:rFonts w:ascii="Times New Roman" w:hAnsi="Times New Roman" w:eastAsia="Times New Roman"/>
          <w:b/>
          <w:i w:val="0"/>
          <w:sz w:val="24"/>
        </w:rPr>
        <w:t>5. Preliminary Evidence and Feasibility</w:t>
      </w:r>
    </w:p>
    <w:p>
      <w:pPr>
        <w:spacing w:after="80" w:line="24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90" w:after="30"/>
        <w:jc w:val="left"/>
      </w:pPr>
      <w:r>
        <w:rPr>
          <w:rFonts w:ascii="Times New Roman" w:hAnsi="Times New Roman" w:eastAsia="Times New Roman"/>
          <w:b/>
          <w:i w:val="0"/>
          <w:sz w:val="24"/>
        </w:rPr>
        <w:t>5.1 Platform Scale and Movement</w:t>
      </w:r>
    </w:p>
    <w:p>
      <w:pPr>
        <w:spacing w:after="80" w:line="247" w:lineRule="auto"/>
        <w:jc w:val="both"/>
      </w:pPr>
      <w:r>
        <w:rPr>
          <w:rFonts w:ascii="Times New Roman" w:hAnsi="Times New Roman" w:eastAsia="Times New Roman"/>
          <w:b w:val="0"/>
          <w:i w:val="0"/>
          <w:sz w:val="24"/>
        </w:rPr>
        <w:t>The 2023 fiscal year provides a common comparison across Grab, Tokopedia, and Shopee.</w:t>
      </w:r>
    </w:p>
    <w:p>
      <w:pPr>
        <w:keepNext/>
        <w:spacing w:before="60" w:after="3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center"/>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center"/>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80" w:line="247" w:lineRule="auto"/>
        <w:jc w:val="both"/>
      </w:pPr>
      <w:r>
        <w:rPr>
          <w:rFonts w:ascii="Times New Roman" w:hAnsi="Times New Roman" w:eastAsia="Times New Roman"/>
          <w:b w:val="0"/>
          <w:i w:val="0"/>
          <w:sz w:val="24"/>
        </w:rPr>
        <w:t>Table 5 reports that cross-section. Across the three cases, US$43.23 billion of transaction value corresponds to US$3.16 billion of recognized platform revenue, leaving a US$40.07 billion wedge, so transaction value is approximately 13.7 times recognized revenue. For scale, that wedge is equivalent in magnitude to about 2.9 percent of Indonesia's 2023 nominal GDP of US$1.371 trillion.</w:t>
      </w:r>
    </w:p>
    <w:p>
      <w:pPr>
        <w:spacing w:after="80" w:line="24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spacing w:after="80" w:line="24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80" w:line="24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90" w:after="30"/>
        <w:jc w:val="left"/>
      </w:pPr>
      <w:r>
        <w:rPr>
          <w:rFonts w:ascii="Times New Roman" w:hAnsi="Times New Roman" w:eastAsia="Times New Roman"/>
          <w:b/>
          <w:i w:val="0"/>
          <w:sz w:val="24"/>
        </w:rPr>
        <w:t>5.2 Evidence Beyond Platform Revenue</w:t>
      </w:r>
    </w:p>
    <w:p>
      <w:pPr>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60" w:after="3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300"/>
        <w:gridCol w:w="4100"/>
        <w:gridCol w:w="3147"/>
      </w:tblGrid>
      <w:tr>
        <w:trPr>
          <w:tblHeader w:val="true"/>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center"/>
            <w:tcW w:w="2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center"/>
            <w:tcW w:w="4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center"/>
            <w:tcW w:w="31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80" w:line="24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80" w:line="24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90" w:after="30"/>
        <w:jc w:val="left"/>
      </w:pPr>
      <w:r>
        <w:rPr>
          <w:rFonts w:ascii="Times New Roman" w:hAnsi="Times New Roman" w:eastAsia="Times New Roman"/>
          <w:b/>
          <w:i w:val="0"/>
          <w:sz w:val="24"/>
        </w:rPr>
        <w:t>5.3 Feasibility and Scope of the Preliminary Findings</w:t>
      </w:r>
    </w:p>
    <w:p>
      <w:pPr>
        <w:spacing w:after="80" w:line="24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80" w:line="247" w:lineRule="auto"/>
        <w:jc w:val="both"/>
      </w:pPr>
      <w:r>
        <w:rPr>
          <w:rFonts w:ascii="Times New Roman" w:hAnsi="Times New Roman" w:eastAsia="Times New Roman"/>
          <w:b w:val="0"/>
          <w:i w:val="0"/>
          <w:sz w:val="24"/>
        </w:rPr>
        <w:t>A separate comparison of eight platform businesses outside Indonesia provides additional evidence that the transaction-revenue boundary is not unique to the Indonesian setting. It is used as corroboration rather than added to the Indonesian sample.</w:t>
      </w:r>
    </w:p>
    <w:p>
      <w:pPr>
        <w:spacing w:after="80" w:line="247" w:lineRule="auto"/>
        <w:jc w:val="both"/>
      </w:pPr>
      <w:r>
        <w:rPr>
          <w:rFonts w:ascii="Times New Roman" w:hAnsi="Times New Roman" w:eastAsia="Times New Roman"/>
          <w:b w:val="0"/>
          <w:i w:val="0"/>
          <w:sz w:val="24"/>
        </w:rPr>
        <w:t>Indonesia's marketplace reporting regime provides an institutional application of the same distinction. PMK 37/2025, administered by the Directorate General of Taxes (DJP),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w:t>
      </w:r>
    </w:p>
    <w:p>
      <w:pPr>
        <w:spacing w:after="80" w:line="24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 The remaining analysis tests how robust those conclusions are to alternative evidence and measurement choices.</w:t>
      </w:r>
    </w:p>
    <w:p>
      <w:pPr>
        <w:pStyle w:val="Heading1"/>
        <w:keepNext/>
        <w:spacing w:before="140" w:after="80"/>
        <w:jc w:val="left"/>
      </w:pPr>
      <w:r>
        <w:rPr>
          <w:rFonts w:ascii="Times New Roman" w:hAnsi="Times New Roman" w:eastAsia="Times New Roman"/>
          <w:b/>
          <w:i w:val="0"/>
          <w:sz w:val="24"/>
        </w:rPr>
        <w:t>6. Why the Problem Matters</w:t>
      </w:r>
    </w:p>
    <w:p>
      <w:pPr>
        <w:spacing w:after="80" w:line="247" w:lineRule="auto"/>
        <w:jc w:val="both"/>
      </w:pPr>
      <w:r>
        <w:rPr>
          <w:rFonts w:ascii="Times New Roman" w:hAnsi="Times New Roman" w:eastAsia="Times New Roman"/>
          <w:b w:val="0"/>
          <w:i w:val="0"/>
          <w:sz w:val="24"/>
        </w:rPr>
        <w:t>The problem is not that these records differ; they are designed to measure different things.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80" w:line="24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80" w:line="24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140" w:after="80"/>
        <w:jc w:val="left"/>
      </w:pPr>
      <w:r>
        <w:rPr>
          <w:rFonts w:ascii="Times New Roman" w:hAnsi="Times New Roman" w:eastAsia="Times New Roman"/>
          <w:b/>
          <w:i w:val="0"/>
          <w:sz w:val="24"/>
        </w:rPr>
        <w:t>7. Limitations and Robustness</w:t>
      </w:r>
    </w:p>
    <w:p>
      <w:pPr>
        <w:spacing w:after="80" w:line="247" w:lineRule="auto"/>
        <w:jc w:val="both"/>
      </w:pPr>
      <w:r>
        <w:rPr>
          <w:rFonts w:ascii="Times New Roman" w:hAnsi="Times New Roman" w:eastAsia="Times New Roman"/>
          <w:b w:val="0"/>
          <w:i w:val="0"/>
          <w:sz w:val="24"/>
        </w:rPr>
        <w:t>The evidence supports several conclusions, but the interpretation of each result is deliberately bounded. Table 7 pairs each supported conclusion with what it does not establish.</w:t>
      </w:r>
    </w:p>
    <w:p>
      <w:pPr>
        <w:keepNext/>
        <w:spacing w:before="60" w:after="3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center"/>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center"/>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80" w:line="24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pStyle w:val="Heading1"/>
        <w:keepNext/>
        <w:spacing w:before="140" w:after="80"/>
        <w:jc w:val="left"/>
      </w:pPr>
      <w:r>
        <w:rPr>
          <w:rFonts w:ascii="Times New Roman" w:hAnsi="Times New Roman" w:eastAsia="Times New Roman"/>
          <w:b/>
          <w:i w:val="0"/>
          <w:sz w:val="24"/>
        </w:rPr>
        <w:t>8. Next Steps</w:t>
      </w:r>
    </w:p>
    <w:p>
      <w:pPr>
        <w:spacing w:after="80" w:line="24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 Table 8 sets out that schedule.</w:t>
      </w:r>
    </w:p>
    <w:p>
      <w:pPr>
        <w:keepNext/>
        <w:spacing w:before="60" w:after="3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center"/>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center"/>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140" w:after="80"/>
        <w:jc w:val="left"/>
      </w:pPr>
      <w:r>
        <w:rPr>
          <w:rFonts w:ascii="Times New Roman" w:hAnsi="Times New Roman" w:eastAsia="Times New Roman"/>
          <w:b/>
          <w:i w:val="0"/>
          <w:sz w:val="24"/>
        </w:rPr>
        <w:t>Appendix A - Data Sources by Evidence Type</w:t>
      </w:r>
    </w:p>
    <w:p>
      <w:pPr>
        <w:keepNext/>
        <w:spacing w:before="60" w:after="3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center"/>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center"/>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center"/>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spacing w:before="120" w:after="80" w:line="247" w:lineRule="auto"/>
        <w:jc w:val="both"/>
      </w:pPr>
      <w:r>
        <w:rPr>
          <w:rFonts w:ascii="Times New Roman" w:hAnsi="Times New Roman" w:eastAsia="Times New Roman"/>
          <w:b w:val="0"/>
          <w:i w:val="0"/>
          <w:sz w:val="24"/>
        </w:rPr>
        <w:t>Table A1 traces each evidence type to its sources. 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Sea Limited and Blibli report GMV, Grab reports GMV for deliveries and TPV for financial services, and GoTo reports GTV. The labels describe the same quantity, the value of transactions processed through the platform, and GTV is used throughout this proposal.</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