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keepNext/>
        <w:jc w:val="center"/>
      </w:pPr>
      <w:r>
        <w:rPr>
          <w:rFonts w:ascii="Times New Roman" w:hAnsi="Times New Roman" w:cs="Times New Roman" w:eastAsia="Times New Roman"/>
          <w:b/>
          <w:sz w:val="24"/>
        </w:rPr>
        <w:t>碩士論文計畫書</w:t>
        <w:br/>
        <w:t>MASTER'S THESIS PROPOSAL</w:t>
      </w:r>
    </w:p>
    <w:p/>
    <w:p>
      <w:pPr>
        <w:keepNext/>
        <w:jc w:val="center"/>
      </w:pPr>
      <w:r>
        <w:rPr>
          <w:rFonts w:ascii="Times New Roman" w:hAnsi="Times New Roman" w:cs="Times New Roman" w:eastAsia="Times New Roman"/>
          <w:b/>
          <w:sz w:val="24"/>
        </w:rPr>
        <w:t>隱形帳簿：量化印尼平台經濟中的隱形楔子</w:t>
      </w:r>
    </w:p>
    <w:p>
      <w:pPr>
        <w:keepNext/>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eastAsia="Times New Roman"/>
          <w:sz w:val="24"/>
        </w:rPr>
        <w:br w:type="page"/>
      </w:r>
    </w:p>
    <w:p>
      <w:pPr>
        <w:pStyle w:val="Heading1"/>
        <w:keepNext/>
        <w:spacing w:after="80" w:before="180" w:line="276" w:lineRule="auto"/>
        <w:jc w:val="left"/>
      </w:pPr>
      <w:r>
        <w:rPr>
          <w:rFonts w:ascii="Times New Roman" w:hAnsi="Times New Roman" w:cs="Times New Roman" w:eastAsia="Times New Roman"/>
          <w:b/>
          <w:color w:val="000000"/>
          <w:sz w:val="26"/>
        </w:rPr>
        <w:t>Abstract</w:t>
      </w:r>
    </w:p>
    <w:p>
      <w:pPr>
        <w:spacing w:after="60" w:before="0" w:line="276" w:lineRule="auto"/>
        <w:jc w:val="both"/>
      </w:pPr>
      <w:r>
        <w:rPr>
          <w:rFonts w:ascii="Times New Roman" w:hAnsi="Times New Roman" w:cs="Times New Roman" w:eastAsia="Times New Roman"/>
          <w:color w:val="00000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after="80" w:before="180" w:line="276" w:lineRule="auto"/>
        <w:jc w:val="left"/>
      </w:pPr>
      <w:r>
        <w:rPr>
          <w:rFonts w:ascii="Times New Roman" w:hAnsi="Times New Roman" w:cs="Times New Roman" w:eastAsia="Times New Roman"/>
          <w:b/>
          <w:color w:val="000000"/>
          <w:sz w:val="26"/>
        </w:rPr>
        <w:t>1. Introduction</w:t>
      </w:r>
    </w:p>
    <w:p>
      <w:pPr>
        <w:spacing w:after="60" w:before="0" w:line="276" w:lineRule="auto"/>
        <w:jc w:val="both"/>
      </w:pPr>
      <w:r>
        <w:rPr>
          <w:rFonts w:ascii="Times New Roman" w:hAnsi="Times New Roman" w:cs="Times New Roman" w:eastAsia="Times New Roman"/>
          <w:color w:val="00000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after="60" w:before="0" w:line="276" w:lineRule="auto"/>
        <w:jc w:val="both"/>
      </w:pPr>
      <w:r>
        <w:rPr>
          <w:rFonts w:ascii="Times New Roman" w:hAnsi="Times New Roman" w:cs="Times New Roman" w:eastAsia="Times New Roman"/>
          <w:color w:val="00000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after="60" w:before="0" w:line="276" w:lineRule="auto"/>
        <w:jc w:val="both"/>
      </w:pPr>
      <w:r>
        <w:rPr>
          <w:rFonts w:ascii="Times New Roman" w:hAnsi="Times New Roman" w:cs="Times New Roman" w:eastAsia="Times New Roman"/>
          <w:color w:val="00000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after="60" w:before="0" w:line="276" w:lineRule="auto"/>
        <w:jc w:val="both"/>
      </w:pPr>
      <w:r>
        <w:rPr>
          <w:rFonts w:ascii="Times New Roman" w:hAnsi="Times New Roman" w:cs="Times New Roman" w:eastAsia="Times New Roman"/>
          <w:color w:val="00000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after="40" w:before="120" w:line="276" w:lineRule="auto"/>
        <w:jc w:val="left"/>
      </w:pPr>
      <w:r>
        <w:rPr>
          <w:rFonts w:ascii="Times New Roman" w:hAnsi="Times New Roman" w:cs="Times New Roman" w:eastAsia="Times New Roman"/>
          <w:b/>
          <w:color w:val="000000"/>
          <w:sz w:val="24"/>
        </w:rPr>
        <w:t>1.1 Research question and objectives</w:t>
      </w:r>
    </w:p>
    <w:p>
      <w:pPr>
        <w:spacing w:after="60" w:before="0" w:line="276" w:lineRule="auto"/>
        <w:jc w:val="both"/>
      </w:pPr>
      <w:r>
        <w:rPr>
          <w:rFonts w:ascii="Times New Roman" w:hAnsi="Times New Roman" w:cs="Times New Roman" w:eastAsia="Times New Roman"/>
          <w:color w:val="000000"/>
          <w:sz w:val="24"/>
        </w:rPr>
        <w:t>One question drives the proposal:</w:t>
      </w:r>
    </w:p>
    <w:p>
      <w:pPr>
        <w:spacing w:after="100" w:before="80" w:line="276" w:lineRule="auto"/>
        <w:jc w:val="center"/>
      </w:pPr>
      <w:r>
        <w:rPr>
          <w:rFonts w:ascii="Times New Roman" w:hAnsi="Times New Roman" w:cs="Times New Roman" w:eastAsia="Times New Roman"/>
          <w:i/>
          <w:color w:val="000000"/>
          <w:sz w:val="24"/>
        </w:rPr>
        <w:t>How large is the invisible wedge in Indonesia, how does it change over time, and what explains those changes?</w:t>
      </w:r>
    </w:p>
    <w:p>
      <w:pPr>
        <w:spacing w:after="60" w:before="0" w:line="276" w:lineRule="auto"/>
        <w:jc w:val="both"/>
      </w:pPr>
      <w:r>
        <w:rPr>
          <w:rFonts w:ascii="Times New Roman" w:hAnsi="Times New Roman" w:cs="Times New Roman" w:eastAsia="Times New Roman"/>
          <w:color w:val="00000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after="40" w:before="120" w:line="276" w:lineRule="auto"/>
        <w:jc w:val="left"/>
      </w:pPr>
      <w:r>
        <w:rPr>
          <w:rFonts w:ascii="Times New Roman" w:hAnsi="Times New Roman" w:cs="Times New Roman" w:eastAsia="Times New Roman"/>
          <w:b/>
          <w:color w:val="000000"/>
          <w:sz w:val="24"/>
        </w:rPr>
        <w:t>1.2 Contributions</w:t>
      </w:r>
    </w:p>
    <w:p>
      <w:pPr>
        <w:spacing w:after="60" w:before="0" w:line="276" w:lineRule="auto"/>
        <w:jc w:val="both"/>
      </w:pPr>
      <w:r>
        <w:rPr>
          <w:rFonts w:ascii="Times New Roman" w:hAnsi="Times New Roman" w:cs="Times New Roman" w:eastAsia="Times New Roman"/>
          <w:color w:val="000000"/>
          <w:sz w:val="24"/>
        </w:rPr>
        <w:t>First, longitudinal measurement. The evidence base expands from a one-year comparison to candidate observations spanning FY2019–FY2025, while keeping direct Indonesia-aligned, direct scope-pending, and conditional observations separate.</w:t>
      </w:r>
    </w:p>
    <w:p>
      <w:pPr>
        <w:spacing w:after="60" w:before="0" w:line="276" w:lineRule="auto"/>
        <w:jc w:val="both"/>
      </w:pPr>
      <w:r>
        <w:rPr>
          <w:rFonts w:ascii="Times New Roman" w:hAnsi="Times New Roman" w:cs="Times New Roman" w:eastAsia="Times New Roman"/>
          <w:color w:val="00000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after="60" w:before="0" w:line="276" w:lineRule="auto"/>
        <w:jc w:val="both"/>
      </w:pPr>
      <w:r>
        <w:rPr>
          <w:rFonts w:ascii="Times New Roman" w:hAnsi="Times New Roman" w:cs="Times New Roman" w:eastAsia="Times New Roman"/>
          <w:color w:val="00000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1"/>
        <w:keepNext/>
        <w:spacing w:after="80" w:before="180" w:line="276" w:lineRule="auto"/>
        <w:jc w:val="left"/>
      </w:pPr>
      <w:r>
        <w:rPr>
          <w:rFonts w:ascii="Times New Roman" w:hAnsi="Times New Roman" w:cs="Times New Roman" w:eastAsia="Times New Roman"/>
          <w:b/>
          <w:color w:val="000000"/>
          <w:sz w:val="26"/>
        </w:rPr>
        <w:t>2. Literature Review and Research Gap</w:t>
      </w:r>
    </w:p>
    <w:p>
      <w:pPr>
        <w:pStyle w:val="Heading2"/>
        <w:keepNext/>
        <w:spacing w:after="40" w:before="120" w:line="276" w:lineRule="auto"/>
        <w:jc w:val="left"/>
      </w:pPr>
      <w:r>
        <w:rPr>
          <w:rFonts w:ascii="Times New Roman" w:hAnsi="Times New Roman" w:cs="Times New Roman" w:eastAsia="Times New Roman"/>
          <w:b/>
          <w:color w:val="000000"/>
          <w:sz w:val="24"/>
        </w:rPr>
        <w:t>2.1 Platform economics and revenue recognition</w:t>
      </w:r>
    </w:p>
    <w:p>
      <w:pPr>
        <w:spacing w:after="60" w:before="0" w:line="276" w:lineRule="auto"/>
        <w:jc w:val="both"/>
      </w:pPr>
      <w:r>
        <w:rPr>
          <w:rFonts w:ascii="Times New Roman" w:hAnsi="Times New Roman" w:cs="Times New Roman" w:eastAsia="Times New Roman"/>
          <w:color w:val="00000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after="40" w:before="120" w:line="276" w:lineRule="auto"/>
        <w:jc w:val="left"/>
      </w:pPr>
      <w:r>
        <w:rPr>
          <w:rFonts w:ascii="Times New Roman" w:hAnsi="Times New Roman" w:cs="Times New Roman" w:eastAsia="Times New Roman"/>
          <w:b/>
          <w:color w:val="000000"/>
          <w:sz w:val="24"/>
        </w:rPr>
        <w:t>2.2 Informality, digital records, and third-party information</w:t>
      </w:r>
    </w:p>
    <w:p>
      <w:pPr>
        <w:spacing w:after="60" w:before="0" w:line="276" w:lineRule="auto"/>
        <w:jc w:val="both"/>
      </w:pPr>
      <w:r>
        <w:rPr>
          <w:rFonts w:ascii="Times New Roman" w:hAnsi="Times New Roman" w:cs="Times New Roman" w:eastAsia="Times New Roman"/>
          <w:color w:val="00000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after="60" w:before="0" w:line="276" w:lineRule="auto"/>
        <w:jc w:val="both"/>
      </w:pPr>
      <w:r>
        <w:rPr>
          <w:rFonts w:ascii="Times New Roman" w:hAnsi="Times New Roman" w:cs="Times New Roman" w:eastAsia="Times New Roman"/>
          <w:color w:val="00000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after="40" w:before="120" w:line="276" w:lineRule="auto"/>
        <w:jc w:val="left"/>
      </w:pPr>
      <w:r>
        <w:rPr>
          <w:rFonts w:ascii="Times New Roman" w:hAnsi="Times New Roman" w:cs="Times New Roman" w:eastAsia="Times New Roman"/>
          <w:b/>
          <w:color w:val="000000"/>
          <w:sz w:val="24"/>
        </w:rPr>
        <w:t>2.3 Research gap</w:t>
      </w:r>
    </w:p>
    <w:p>
      <w:pPr>
        <w:spacing w:after="60" w:before="0" w:line="276" w:lineRule="auto"/>
        <w:jc w:val="both"/>
      </w:pPr>
      <w:r>
        <w:rPr>
          <w:rFonts w:ascii="Times New Roman" w:hAnsi="Times New Roman" w:cs="Times New Roman" w:eastAsia="Times New Roman"/>
          <w:color w:val="00000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after="80" w:before="180" w:line="276" w:lineRule="auto"/>
        <w:jc w:val="left"/>
      </w:pPr>
      <w:r>
        <w:rPr>
          <w:rFonts w:ascii="Times New Roman" w:hAnsi="Times New Roman" w:cs="Times New Roman" w:eastAsia="Times New Roman"/>
          <w:b/>
          <w:color w:val="000000"/>
          <w:sz w:val="26"/>
        </w:rPr>
        <w:t>3. Theoretical Framework and Key Variables</w:t>
      </w:r>
    </w:p>
    <w:p>
      <w:pPr>
        <w:spacing w:after="60" w:before="0" w:line="276" w:lineRule="auto"/>
        <w:jc w:val="both"/>
      </w:pPr>
      <w:r>
        <w:rPr>
          <w:rFonts w:ascii="Times New Roman" w:hAnsi="Times New Roman" w:cs="Times New Roman" w:eastAsia="Times New Roman"/>
          <w:color w:val="000000"/>
          <w:sz w:val="24"/>
        </w:rPr>
        <w:t>Let V denote transaction value and R platform-recognized revenue for a matched platform scope and period. The core measures are:</w:t>
      </w:r>
    </w:p>
    <w:p>
      <w:pPr>
        <w:spacing w:after="100" w:before="80" w:line="276" w:lineRule="auto"/>
        <w:jc w:val="center"/>
      </w:pPr>
      <w:r>
        <w:rPr>
          <w:rFonts w:ascii="Times New Roman" w:hAnsi="Times New Roman" w:cs="Times New Roman" w:eastAsia="Times New Roman"/>
          <w:i/>
          <w:color w:val="000000"/>
          <w:sz w:val="24"/>
        </w:rPr>
        <w:t>W = V − R</w:t>
      </w:r>
    </w:p>
    <w:p>
      <w:pPr>
        <w:spacing w:after="100" w:before="80" w:line="276" w:lineRule="auto"/>
        <w:jc w:val="center"/>
      </w:pPr>
      <w:r>
        <w:rPr>
          <w:rFonts w:ascii="Times New Roman" w:hAnsi="Times New Roman" w:cs="Times New Roman" w:eastAsia="Times New Roman"/>
          <w:i/>
          <w:color w:val="000000"/>
          <w:sz w:val="24"/>
        </w:rPr>
        <w:t>E = (V − R) / R</w:t>
      </w:r>
    </w:p>
    <w:p>
      <w:pPr>
        <w:spacing w:after="100" w:before="80" w:line="276" w:lineRule="auto"/>
        <w:jc w:val="center"/>
      </w:pPr>
      <w:r>
        <w:rPr>
          <w:rFonts w:ascii="Times New Roman" w:hAnsi="Times New Roman" w:cs="Times New Roman" w:eastAsia="Times New Roman"/>
          <w:i/>
          <w:color w:val="000000"/>
          <w:sz w:val="24"/>
        </w:rPr>
        <w:t>D = g(V) − g(R)</w:t>
      </w:r>
    </w:p>
    <w:p>
      <w:pPr>
        <w:spacing w:after="60" w:before="0" w:line="276" w:lineRule="auto"/>
        <w:jc w:val="both"/>
      </w:pPr>
      <w:r>
        <w:rPr>
          <w:rFonts w:ascii="Times New Roman" w:hAnsi="Times New Roman" w:cs="Times New Roman" w:eastAsia="Times New Roman"/>
          <w:color w:val="00000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after="60" w:before="0" w:line="276" w:lineRule="auto"/>
        <w:jc w:val="both"/>
      </w:pPr>
      <w:r>
        <w:rPr>
          <w:rFonts w:ascii="Times New Roman" w:hAnsi="Times New Roman" w:cs="Times New Roman" w:eastAsia="Times New Roman"/>
          <w:color w:val="000000"/>
          <w:sz w:val="24"/>
        </w:rPr>
        <w:t>Gross transaction value (GTV) is used as the proposal's common label for the value processed through a platform. Issuers use different labels—GMV or TPV among them—and those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1"/>
        <w:keepNext/>
        <w:spacing w:after="80" w:before="180" w:line="276" w:lineRule="auto"/>
        <w:jc w:val="left"/>
      </w:pPr>
      <w:r>
        <w:rPr>
          <w:rFonts w:ascii="Times New Roman" w:hAnsi="Times New Roman" w:cs="Times New Roman" w:eastAsia="Times New Roman"/>
          <w:b/>
          <w:color w:val="000000"/>
          <w:sz w:val="26"/>
        </w:rPr>
        <w:t>4. Data and Methodology</w:t>
      </w:r>
    </w:p>
    <w:p>
      <w:pPr>
        <w:pStyle w:val="Heading2"/>
        <w:keepNext/>
        <w:spacing w:after="40" w:before="120" w:line="276" w:lineRule="auto"/>
        <w:jc w:val="left"/>
      </w:pPr>
      <w:r>
        <w:rPr>
          <w:rFonts w:ascii="Times New Roman" w:hAnsi="Times New Roman" w:cs="Times New Roman" w:eastAsia="Times New Roman"/>
          <w:b/>
          <w:color w:val="000000"/>
          <w:sz w:val="24"/>
        </w:rPr>
        <w:t>4.1 Admission rules and evidence tiers</w:t>
      </w:r>
    </w:p>
    <w:p>
      <w:pPr>
        <w:spacing w:after="60" w:before="0" w:line="276" w:lineRule="auto"/>
        <w:jc w:val="both"/>
      </w:pPr>
      <w:r>
        <w:rPr>
          <w:rFonts w:ascii="Times New Roman" w:hAnsi="Times New Roman" w:cs="Times New Roman" w:eastAsia="Times New Roman"/>
          <w:color w:val="00000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after="40" w:before="140" w:line="276" w:lineRule="auto"/>
        <w:jc w:val="left"/>
      </w:pPr>
      <w:r>
        <w:rPr>
          <w:rFonts w:ascii="Times New Roman" w:hAnsi="Times New Roman" w:cs="Times New Roman" w:eastAsia="Times New Roman"/>
          <w:i/>
          <w:color w:val="000000"/>
          <w:sz w:val="19"/>
        </w:rPr>
        <w:t>Table 1. Evidence tiers for Indonesian platform observations. Tiers differ in how directly each series maps to Indonesia; they are never pooled into a single monetary total.</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tier</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Series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Retained levels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Transitions</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Indonesia-aligned segment</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3P Retail; Bukalapak Group</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 Shopee Indonesia</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All tiers, inventory diagnostic</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Five series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Table 1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after="60" w:before="0" w:line="276" w:lineRule="auto"/>
        <w:jc w:val="both"/>
      </w:pPr>
      <w:r>
        <w:rPr>
          <w:rFonts w:ascii="Times New Roman" w:hAnsi="Times New Roman" w:cs="Times New Roman" w:eastAsia="Times New Roman"/>
          <w:color w:val="000000"/>
          <w:sz w:val="24"/>
        </w:rPr>
        <w:t>The 13 direct candidate periods reported in the advisor-facing eligibility census are not the same count as the 11 direct levels retained in the executed tiered inventory above. The direct-candidate longitudinal sensitivity applies its own admission rule—including a Blibli FY2020 prospectus observation—and contains 9 transitions. These counts answer different construction questions and are therefore reported separately rather than collapsed into one N.</w:t>
      </w:r>
    </w:p>
    <w:p>
      <w:pPr>
        <w:pStyle w:val="Heading2"/>
        <w:keepNext/>
        <w:spacing w:after="40" w:before="120" w:line="276" w:lineRule="auto"/>
        <w:jc w:val="left"/>
      </w:pPr>
      <w:r>
        <w:rPr>
          <w:rFonts w:ascii="Times New Roman" w:hAnsi="Times New Roman" w:cs="Times New Roman" w:eastAsia="Times New Roman"/>
          <w:b/>
          <w:color w:val="000000"/>
          <w:sz w:val="24"/>
        </w:rPr>
        <w:t>4.2 Conditional country evidence</w:t>
      </w:r>
    </w:p>
    <w:p>
      <w:pPr>
        <w:spacing w:after="60" w:before="0" w:line="276" w:lineRule="auto"/>
        <w:jc w:val="both"/>
      </w:pPr>
      <w:r>
        <w:rPr>
          <w:rFonts w:ascii="Times New Roman" w:hAnsi="Times New Roman" w:cs="Times New Roman" w:eastAsia="Times New Roman"/>
          <w:color w:val="000000"/>
          <w:sz w:val="24"/>
        </w:rPr>
        <w:t>Grab discloses Indonesia revenue but not Indonesia transaction value. Its conditional country transaction value is therefore derived as:</w:t>
      </w:r>
    </w:p>
    <w:p>
      <w:pPr>
        <w:spacing w:after="100" w:before="80" w:line="276" w:lineRule="auto"/>
        <w:jc w:val="center"/>
      </w:pPr>
      <w:r>
        <w:rPr>
          <w:rFonts w:ascii="Times New Roman" w:hAnsi="Times New Roman" w:cs="Times New Roman" w:eastAsia="Times New Roman"/>
          <w:i/>
          <w:color w:val="000000"/>
          <w:sz w:val="24"/>
        </w:rPr>
        <w:t>Indonesia GTV = Indonesia revenue × Group GTV / Group revenue</w:t>
      </w:r>
    </w:p>
    <w:p>
      <w:pPr>
        <w:spacing w:after="60" w:before="0" w:line="276" w:lineRule="auto"/>
        <w:jc w:val="both"/>
      </w:pPr>
      <w:r>
        <w:rPr>
          <w:rFonts w:ascii="Times New Roman" w:hAnsi="Times New Roman" w:cs="Times New Roman" w:eastAsia="Times New Roman"/>
          <w:color w:val="00000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after="80" w:before="180" w:line="276" w:lineRule="auto"/>
        <w:jc w:val="left"/>
      </w:pPr>
      <w:r>
        <w:rPr>
          <w:rFonts w:ascii="Times New Roman" w:hAnsi="Times New Roman" w:cs="Times New Roman" w:eastAsia="Times New Roman"/>
          <w:b/>
          <w:color w:val="000000"/>
          <w:sz w:val="26"/>
        </w:rPr>
        <w:t>5. Preliminary Evidence and Feasibility</w:t>
      </w:r>
    </w:p>
    <w:p>
      <w:pPr>
        <w:pStyle w:val="Heading2"/>
        <w:keepNext/>
        <w:spacing w:after="40" w:before="120" w:line="276" w:lineRule="auto"/>
        <w:jc w:val="left"/>
      </w:pPr>
      <w:r>
        <w:rPr>
          <w:rFonts w:ascii="Times New Roman" w:hAnsi="Times New Roman" w:cs="Times New Roman" w:eastAsia="Times New Roman"/>
          <w:b/>
          <w:color w:val="000000"/>
          <w:sz w:val="24"/>
        </w:rPr>
        <w:t>5.1 FY2023 scale</w:t>
      </w:r>
    </w:p>
    <w:p>
      <w:pPr>
        <w:keepNext/>
        <w:spacing w:after="40" w:before="140" w:line="276" w:lineRule="auto"/>
        <w:jc w:val="left"/>
      </w:pPr>
      <w:r>
        <w:rPr>
          <w:rFonts w:ascii="Times New Roman" w:hAnsi="Times New Roman" w:cs="Times New Roman" w:eastAsia="Times New Roman"/>
          <w:i/>
          <w:color w:val="000000"/>
          <w:sz w:val="19"/>
        </w:rPr>
        <w:t>Table 2.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Case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V</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W</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class</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5.381</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0.605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4.776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7.895×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16.331</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0.405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15.926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39.296×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pair</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Shopee Indonesia</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21.520</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19.368</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9.000×</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 and R</w:t>
            </w:r>
          </w:p>
        </w:tc>
      </w:tr>
      <w:tr>
        <w:trPr>
          <w:cantSplit/>
        </w:trPr>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Selected platforms</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43.233</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3.162</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40.070</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12.671×</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Sum, not national total</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Table 2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after="40" w:before="120" w:line="276" w:lineRule="auto"/>
        <w:jc w:val="left"/>
      </w:pPr>
      <w:r>
        <w:rPr>
          <w:rFonts w:ascii="Times New Roman" w:hAnsi="Times New Roman" w:cs="Times New Roman" w:eastAsia="Times New Roman"/>
          <w:b/>
          <w:color w:val="000000"/>
          <w:sz w:val="24"/>
        </w:rPr>
        <w:t>5.2 Longitudinal movement and mechanism</w:t>
      </w:r>
    </w:p>
    <w:p>
      <w:pPr>
        <w:keepNext/>
        <w:spacing w:after="40" w:before="140" w:line="276" w:lineRule="auto"/>
        <w:jc w:val="left"/>
      </w:pPr>
      <w:r>
        <w:rPr>
          <w:rFonts w:ascii="Times New Roman" w:hAnsi="Times New Roman" w:cs="Times New Roman" w:eastAsia="Times New Roman"/>
          <w:i/>
          <w:color w:val="000000"/>
          <w:sz w:val="19"/>
        </w:rPr>
        <w:t>Table 3. Within-series annual divergence under two admission rules. Counts differ because evidence admission differs; both are reported rather than resolved into one headline.</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All-tier inventory</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Direct-candidate sensitivity</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Transitions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Revenue grows faster</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10</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grows faster</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Opposite-sign transitions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Median absolute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42.02 pp</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42.94 pp</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Table 3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pStyle w:val="Heading2"/>
        <w:keepNext/>
        <w:spacing w:after="40" w:before="120" w:line="276" w:lineRule="auto"/>
        <w:jc w:val="left"/>
      </w:pPr>
      <w:r>
        <w:rPr>
          <w:rFonts w:ascii="Times New Roman" w:hAnsi="Times New Roman" w:cs="Times New Roman" w:eastAsia="Times New Roman"/>
          <w:b/>
          <w:color w:val="000000"/>
          <w:sz w:val="24"/>
        </w:rPr>
        <w:t>5.3 Wider Indonesian activity and reporting</w:t>
      </w:r>
    </w:p>
    <w:p>
      <w:pPr>
        <w:spacing w:after="60" w:before="0" w:line="276" w:lineRule="auto"/>
        <w:jc w:val="both"/>
      </w:pPr>
      <w:r>
        <w:rPr>
          <w:rFonts w:ascii="Times New Roman" w:hAnsi="Times New Roman" w:cs="Times New Roman" w:eastAsia="Times New Roman"/>
          <w:color w:val="00000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after="60" w:before="0" w:line="276" w:lineRule="auto"/>
        <w:jc w:val="both"/>
      </w:pPr>
      <w:r>
        <w:rPr>
          <w:rFonts w:ascii="Times New Roman" w:hAnsi="Times New Roman" w:cs="Times New Roman" w:eastAsia="Times New Roman"/>
          <w:color w:val="00000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after="60" w:before="0" w:line="276" w:lineRule="auto"/>
        <w:jc w:val="both"/>
      </w:pPr>
      <w:r>
        <w:rPr>
          <w:rFonts w:ascii="Times New Roman" w:hAnsi="Times New Roman" w:cs="Times New Roman" w:eastAsia="Times New Roman"/>
          <w:color w:val="00000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1"/>
        <w:keepNext/>
        <w:spacing w:after="80" w:before="180" w:line="276" w:lineRule="auto"/>
        <w:jc w:val="left"/>
      </w:pPr>
      <w:r>
        <w:rPr>
          <w:rFonts w:ascii="Times New Roman" w:hAnsi="Times New Roman" w:cs="Times New Roman" w:eastAsia="Times New Roman"/>
          <w:b/>
          <w:color w:val="000000"/>
          <w:sz w:val="26"/>
        </w:rPr>
        <w:t>6. Limitations and Proposal Decisions</w:t>
      </w:r>
    </w:p>
    <w:p>
      <w:pPr>
        <w:spacing w:after="60" w:before="0" w:line="276" w:lineRule="auto"/>
        <w:jc w:val="both"/>
      </w:pPr>
      <w:r>
        <w:rPr>
          <w:rFonts w:ascii="Times New Roman" w:hAnsi="Times New Roman" w:cs="Times New Roman" w:eastAsia="Times New Roman"/>
          <w:color w:val="000000"/>
          <w:sz w:val="24"/>
        </w:rPr>
        <w:t>The proposal makes four boundaries explicit. First, V − R is not participant profit, taxable income, unpaid tax, tax evasion, or missing GDP. Second, evidence tiers differ in directness and cannot be silently pooled. Third, issuer-component reconciliations are arithmetic rather than causal. Fourth, BPS and PMK evidence establish aggregate patterns and institutional design, not firm-level causal effects or completed policy outcomes.</w:t>
      </w:r>
    </w:p>
    <w:p>
      <w:pPr>
        <w:spacing w:after="60" w:before="0" w:line="276" w:lineRule="auto"/>
        <w:jc w:val="both"/>
      </w:pPr>
      <w:r>
        <w:rPr>
          <w:rFonts w:ascii="Times New Roman" w:hAnsi="Times New Roman" w:cs="Times New Roman" w:eastAsia="Times New Roman"/>
          <w:color w:val="00000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after="80" w:before="180" w:line="276" w:lineRule="auto"/>
        <w:jc w:val="left"/>
      </w:pPr>
      <w:r>
        <w:rPr>
          <w:rFonts w:ascii="Times New Roman" w:hAnsi="Times New Roman" w:cs="Times New Roman" w:eastAsia="Times New Roman"/>
          <w:b/>
          <w:color w:val="000000"/>
          <w:sz w:val="26"/>
        </w:rPr>
        <w:t>7. Next Step</w:t>
      </w:r>
    </w:p>
    <w:p>
      <w:pPr>
        <w:spacing w:after="60" w:before="0" w:line="276" w:lineRule="auto"/>
        <w:jc w:val="both"/>
      </w:pPr>
      <w:r>
        <w:rPr>
          <w:rFonts w:ascii="Times New Roman" w:hAnsi="Times New Roman" w:cs="Times New Roman" w:eastAsia="Times New Roman"/>
          <w:color w:val="00000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w:t>
      </w:r>
    </w:p>
    <w:p>
      <w:pPr>
        <w:pStyle w:val="Heading1"/>
        <w:keepNext/>
        <w:spacing w:after="80" w:before="180" w:line="276" w:lineRule="auto"/>
        <w:jc w:val="left"/>
      </w:pPr>
      <w:r>
        <w:rPr>
          <w:rFonts w:ascii="Times New Roman" w:hAnsi="Times New Roman" w:cs="Times New Roman" w:eastAsia="Times New Roman"/>
          <w:b/>
          <w:color w:val="000000"/>
          <w:sz w:val="26"/>
        </w:rPr>
        <w:t>Appendix A — data sources by evidence tier</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Tier</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Series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Source of V</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Source of R</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Indonesia-aligned</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GoTo annual report, e-commerce segment metrics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GoTo annual report, segment note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scope-pending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3P Retail</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Global Digital Niaga prospectus and results releases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Same issuer filings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scope-pending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Bukalapak Group</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Bukalapak annual and sustainability reports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Same issuer filings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reconstruction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disclosed Indonesia revenue and the Group monetization rate (Form 20-F)</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Form 20-F</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reconstruction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Shopee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Momentum Works Southeast Asia e-commerce estimate (third-party)</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Sea Limited Form 20-F</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statistics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BPS-Statistics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E-Commerce Statistics 2023, 2024; BPS directorate presentation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Regulatory</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PMK 37/2025; DJP</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Ministry of Finance of the Republic of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Every figure used in this proposal traces to a named file and locator in the accompanying data package.</w:t>
      </w:r>
    </w:p>
    <w:p>
      <w:pPr>
        <w:pStyle w:val="Heading1"/>
        <w:keepNext/>
        <w:spacing w:after="80" w:before="180" w:line="276" w:lineRule="auto"/>
        <w:jc w:val="left"/>
      </w:pPr>
      <w:r>
        <w:rPr>
          <w:rFonts w:ascii="Times New Roman" w:hAnsi="Times New Roman" w:cs="Times New Roman" w:eastAsia="Times New Roman"/>
          <w:b/>
          <w:color w:val="000000"/>
          <w:sz w:val="26"/>
        </w:rPr>
        <w:t>References</w:t>
      </w:r>
    </w:p>
    <w:p>
      <w:pPr>
        <w:spacing w:after="20" w:before="0" w:line="276" w:lineRule="auto"/>
        <w:ind w:left="360" w:hanging="360"/>
        <w:jc w:val="both"/>
      </w:pPr>
      <w:r>
        <w:rPr>
          <w:rFonts w:ascii="Times New Roman" w:hAnsi="Times New Roman" w:cs="Times New Roman" w:eastAsia="Times New Roman"/>
          <w:color w:val="000000"/>
          <w:sz w:val="22"/>
        </w:rPr>
        <w:t>Armstrong, M. (2006). Competition in two-sided markets. RAND Journal of Economics, 37(3), 668–691.</w:t>
      </w:r>
    </w:p>
    <w:p>
      <w:pPr>
        <w:spacing w:after="20" w:before="0" w:line="276" w:lineRule="auto"/>
        <w:ind w:left="360" w:hanging="360"/>
        <w:jc w:val="both"/>
      </w:pPr>
      <w:r>
        <w:rPr>
          <w:rFonts w:ascii="Times New Roman" w:hAnsi="Times New Roman" w:cs="Times New Roman" w:eastAsia="Times New Roman"/>
          <w:color w:val="000000"/>
          <w:sz w:val="22"/>
        </w:rPr>
        <w:t>Barrios, J. M., Hochberg, Y. V., &amp; Yi, H. (2022). Launching with a parachute: The gig economy and new business formation. Journal of Financial Economics, 144(1), 22–43.</w:t>
      </w:r>
    </w:p>
    <w:p>
      <w:pPr>
        <w:spacing w:after="20" w:before="0" w:line="276" w:lineRule="auto"/>
        <w:ind w:left="360" w:hanging="360"/>
        <w:jc w:val="both"/>
      </w:pPr>
      <w:r>
        <w:rPr>
          <w:rFonts w:ascii="Times New Roman" w:hAnsi="Times New Roman" w:cs="Times New Roman" w:eastAsia="Times New Roman"/>
          <w:color w:val="000000"/>
          <w:sz w:val="22"/>
        </w:rPr>
        <w:t>Berg, T., Burg, V., Gombović, A., &amp; Puri, M. (2020). On the rise of FinTechs: Credit scoring using digital footprints. Review of Financial Studies, 33(7), 2845–2897.</w:t>
      </w:r>
    </w:p>
    <w:p>
      <w:pPr>
        <w:spacing w:after="20" w:before="0" w:line="276" w:lineRule="auto"/>
        <w:ind w:left="360" w:hanging="360"/>
        <w:jc w:val="both"/>
      </w:pPr>
      <w:r>
        <w:rPr>
          <w:rFonts w:ascii="Times New Roman" w:hAnsi="Times New Roman" w:cs="Times New Roman" w:eastAsia="Times New Roman"/>
          <w:color w:val="000000"/>
          <w:sz w:val="22"/>
        </w:rPr>
        <w:t>Caillaud, B., &amp; Jullien, B. (2003). Chicken and egg: Competition among intermediation service providers. RAND Journal of Economics, 34(2), 309–328.</w:t>
      </w:r>
    </w:p>
    <w:p>
      <w:pPr>
        <w:spacing w:after="20" w:before="0" w:line="276" w:lineRule="auto"/>
        <w:ind w:left="360" w:hanging="360"/>
        <w:jc w:val="both"/>
      </w:pPr>
      <w:r>
        <w:rPr>
          <w:rFonts w:ascii="Times New Roman" w:hAnsi="Times New Roman" w:cs="Times New Roman" w:eastAsia="Times New Roman"/>
          <w:color w:val="000000"/>
          <w:sz w:val="22"/>
        </w:rPr>
        <w:t>De Franco, G., Kothari, S. P., &amp; Verdi, R. S. (2011). The benefits of financial statement comparability. Journal of Accounting Research, 49(4), 895–931.</w:t>
      </w:r>
    </w:p>
    <w:p>
      <w:pPr>
        <w:spacing w:after="20" w:before="0" w:line="276" w:lineRule="auto"/>
        <w:ind w:left="360" w:hanging="360"/>
        <w:jc w:val="both"/>
      </w:pPr>
      <w:r>
        <w:rPr>
          <w:rFonts w:ascii="Times New Roman" w:hAnsi="Times New Roman" w:cs="Times New Roman" w:eastAsia="Times New Roman"/>
          <w:color w:val="000000"/>
          <w:sz w:val="22"/>
        </w:rPr>
        <w:t>Denes, M. R., Lagaras, S., &amp; Tsoutsoura, M. (2025). Entrepreneurship and the gig economy: Evidence from U.S. tax returns. Journal of Financial Economics, 173, 104156.</w:t>
      </w:r>
    </w:p>
    <w:p>
      <w:pPr>
        <w:spacing w:after="20" w:before="0" w:line="276" w:lineRule="auto"/>
        <w:ind w:left="360" w:hanging="360"/>
        <w:jc w:val="both"/>
      </w:pPr>
      <w:r>
        <w:rPr>
          <w:rFonts w:ascii="Times New Roman" w:hAnsi="Times New Roman" w:cs="Times New Roman" w:eastAsia="Times New Roman"/>
          <w:color w:val="000000"/>
          <w:sz w:val="22"/>
        </w:rPr>
        <w:t>European Union. (2021). Council Directive (EU) 2021/514 amending Directive 2011/16/EU (DAC7).</w:t>
      </w:r>
    </w:p>
    <w:p>
      <w:pPr>
        <w:spacing w:after="20" w:before="0" w:line="276" w:lineRule="auto"/>
        <w:ind w:left="360" w:hanging="360"/>
        <w:jc w:val="both"/>
      </w:pPr>
      <w:r>
        <w:rPr>
          <w:rFonts w:ascii="Times New Roman" w:hAnsi="Times New Roman" w:cs="Times New Roman" w:eastAsia="Times New Roman"/>
          <w:color w:val="000000"/>
          <w:sz w:val="22"/>
        </w:rPr>
        <w:t>Google, Temasek, &amp; Bain &amp; Company. (2020). e-Conomy SEA 2020: At Full Velocity.</w:t>
      </w:r>
    </w:p>
    <w:p>
      <w:pPr>
        <w:spacing w:after="20" w:before="0" w:line="276" w:lineRule="auto"/>
        <w:ind w:left="360" w:hanging="360"/>
        <w:jc w:val="both"/>
      </w:pPr>
      <w:r>
        <w:rPr>
          <w:rFonts w:ascii="Times New Roman" w:hAnsi="Times New Roman" w:cs="Times New Roman" w:eastAsia="Times New Roman"/>
          <w:color w:val="000000"/>
          <w:sz w:val="22"/>
        </w:rPr>
        <w:t>Google, Temasek, &amp; Bain &amp; Company. (2024). e-Conomy SEA 2024: Profits on the Rise.</w:t>
      </w:r>
    </w:p>
    <w:p>
      <w:pPr>
        <w:spacing w:after="20" w:before="0" w:line="276" w:lineRule="auto"/>
        <w:ind w:left="360" w:hanging="360"/>
        <w:jc w:val="both"/>
      </w:pPr>
      <w:r>
        <w:rPr>
          <w:rFonts w:ascii="Times New Roman" w:hAnsi="Times New Roman" w:cs="Times New Roman" w:eastAsia="Times New Roman"/>
          <w:color w:val="000000"/>
          <w:sz w:val="22"/>
        </w:rPr>
        <w:t>Hagiu, A., &amp; Wright, J. (2015). Multi-sided platforms. International Journal of Industrial Organization, 43, 162–174.</w:t>
      </w:r>
    </w:p>
    <w:p>
      <w:pPr>
        <w:spacing w:after="20" w:before="0" w:line="276" w:lineRule="auto"/>
        <w:ind w:left="360" w:hanging="360"/>
        <w:jc w:val="both"/>
      </w:pPr>
      <w:r>
        <w:rPr>
          <w:rFonts w:ascii="Times New Roman" w:hAnsi="Times New Roman" w:cs="Times New Roman" w:eastAsia="Times New Roman"/>
          <w:color w:val="000000"/>
          <w:sz w:val="22"/>
        </w:rPr>
        <w:t>International Accounting Standards Board. (2014). IFRS 15: Revenue from Contracts with Customers.</w:t>
      </w:r>
    </w:p>
    <w:p>
      <w:pPr>
        <w:spacing w:after="20" w:before="0" w:line="276" w:lineRule="auto"/>
        <w:ind w:left="360" w:hanging="360"/>
        <w:jc w:val="both"/>
      </w:pPr>
      <w:r>
        <w:rPr>
          <w:rFonts w:ascii="Times New Roman" w:hAnsi="Times New Roman" w:cs="Times New Roman" w:eastAsia="Times New Roman"/>
          <w:color w:val="000000"/>
          <w:sz w:val="22"/>
        </w:rPr>
        <w:t>Kleven, H. J., Knudsen, M. B., Kreiner, C. T., Pedersen, S., &amp; Saez, E. (2011). Unwilling or unable to cheat? Evidence from a tax audit experiment in Denmark. Econometrica, 79(3), 651–692.</w:t>
      </w:r>
    </w:p>
    <w:p>
      <w:pPr>
        <w:spacing w:after="20" w:before="0" w:line="276" w:lineRule="auto"/>
        <w:ind w:left="360" w:hanging="360"/>
        <w:jc w:val="both"/>
      </w:pPr>
      <w:r>
        <w:rPr>
          <w:rFonts w:ascii="Times New Roman" w:hAnsi="Times New Roman" w:cs="Times New Roman" w:eastAsia="Times New Roman"/>
          <w:color w:val="000000"/>
          <w:sz w:val="22"/>
        </w:rPr>
        <w:t>Kleven, H. J., Kreiner, C. T., &amp; Saez, E. (2016). Why can modern governments tax so much? Economica, 83(330), 219–246.</w:t>
      </w:r>
    </w:p>
    <w:p>
      <w:pPr>
        <w:spacing w:after="20" w:before="0" w:line="276" w:lineRule="auto"/>
        <w:ind w:left="360" w:hanging="360"/>
        <w:jc w:val="both"/>
      </w:pPr>
      <w:r>
        <w:rPr>
          <w:rFonts w:ascii="Times New Roman" w:hAnsi="Times New Roman" w:cs="Times New Roman" w:eastAsia="Times New Roman"/>
          <w:color w:val="000000"/>
          <w:sz w:val="22"/>
        </w:rPr>
        <w:t>La Porta, R., &amp; Shleifer, A. (2014). Informality and development. Journal of Economic Perspectives, 28(3), 109–126.</w:t>
      </w:r>
    </w:p>
    <w:p>
      <w:pPr>
        <w:spacing w:after="20" w:before="0" w:line="276" w:lineRule="auto"/>
        <w:ind w:left="360" w:hanging="360"/>
        <w:jc w:val="both"/>
      </w:pPr>
      <w:r>
        <w:rPr>
          <w:rFonts w:ascii="Times New Roman" w:hAnsi="Times New Roman" w:cs="Times New Roman" w:eastAsia="Times New Roman"/>
          <w:color w:val="000000"/>
          <w:sz w:val="22"/>
        </w:rPr>
        <w:t>Medina, L., &amp; Schneider, F. (2019). Shedding light on the shadow economy: A global database. CESifo Working Paper 7981.</w:t>
      </w:r>
    </w:p>
    <w:p>
      <w:pPr>
        <w:spacing w:after="20" w:before="0" w:line="276" w:lineRule="auto"/>
        <w:ind w:left="360" w:hanging="360"/>
        <w:jc w:val="both"/>
      </w:pPr>
      <w:r>
        <w:rPr>
          <w:rFonts w:ascii="Times New Roman" w:hAnsi="Times New Roman" w:cs="Times New Roman" w:eastAsia="Times New Roman"/>
          <w:color w:val="000000"/>
          <w:sz w:val="22"/>
        </w:rPr>
        <w:t>OECD. (2020). Model Rules for Reporting by Platform Operators with respect to Sellers in the Sharing and Gig Economy.</w:t>
      </w:r>
    </w:p>
    <w:p>
      <w:pPr>
        <w:spacing w:after="20" w:before="0" w:line="276" w:lineRule="auto"/>
        <w:ind w:left="360" w:hanging="360"/>
        <w:jc w:val="both"/>
      </w:pPr>
      <w:r>
        <w:rPr>
          <w:rFonts w:ascii="Times New Roman" w:hAnsi="Times New Roman" w:cs="Times New Roman" w:eastAsia="Times New Roman"/>
          <w:color w:val="000000"/>
          <w:sz w:val="22"/>
        </w:rPr>
        <w:t>Pomeranz, D. (2015). No taxation without information: Deterrence and self-enforcement in the value added tax. American Economic Review, 105(8), 2539–2569.</w:t>
      </w:r>
    </w:p>
    <w:p>
      <w:pPr>
        <w:spacing w:after="20" w:before="0" w:line="276" w:lineRule="auto"/>
        <w:ind w:left="360" w:hanging="360"/>
        <w:jc w:val="both"/>
      </w:pPr>
      <w:r>
        <w:rPr>
          <w:rFonts w:ascii="Times New Roman" w:hAnsi="Times New Roman" w:cs="Times New Roman" w:eastAsia="Times New Roman"/>
          <w:color w:val="000000"/>
          <w:sz w:val="22"/>
        </w:rPr>
        <w:t>Rochet, J.-C., &amp; Tirole, J. (2003). Platform competition in two-sided markets. Journal of the European Economic Association, 1(4), 990–1029.</w:t>
      </w:r>
    </w:p>
    <w:p>
      <w:pPr>
        <w:spacing w:after="20" w:before="0" w:line="276" w:lineRule="auto"/>
        <w:ind w:left="360" w:hanging="360"/>
        <w:jc w:val="both"/>
      </w:pPr>
      <w:r>
        <w:rPr>
          <w:rFonts w:ascii="Times New Roman" w:hAnsi="Times New Roman" w:cs="Times New Roman" w:eastAsia="Times New Roman"/>
          <w:color w:val="000000"/>
          <w:sz w:val="22"/>
        </w:rPr>
        <w:t>Slemrod, J. (2019). Tax compliance and enforcement. Journal of Economic Literature, 57(4), 904–954.</w:t>
      </w:r>
    </w:p>
    <w:p>
      <w:pPr>
        <w:spacing w:after="20" w:before="0" w:line="276" w:lineRule="auto"/>
        <w:ind w:left="360" w:hanging="360"/>
        <w:jc w:val="both"/>
      </w:pPr>
      <w:r>
        <w:rPr>
          <w:rFonts w:ascii="Times New Roman" w:hAnsi="Times New Roman" w:cs="Times New Roman" w:eastAsia="Times New Roman"/>
          <w:color w:val="000000"/>
          <w:sz w:val="22"/>
        </w:rPr>
        <w:t>Ulyssea, G. (2018). Firms, informality, and development: Theory and evidence from Brazil. American Economic Review, 108(8), 2015–2047.</w:t>
      </w:r>
    </w:p>
    <w:p>
      <w:pPr>
        <w:pStyle w:val="Heading1"/>
        <w:keepNext/>
        <w:spacing w:after="60" w:before="120" w:line="276" w:lineRule="auto"/>
        <w:jc w:val="left"/>
      </w:pPr>
      <w:r>
        <w:rPr>
          <w:rFonts w:ascii="Times New Roman" w:hAnsi="Times New Roman" w:cs="Times New Roman" w:eastAsia="Times New Roman"/>
          <w:b/>
          <w:color w:val="000000"/>
          <w:sz w:val="26"/>
        </w:rPr>
        <w:t>Primary and Institutional Sources</w:t>
      </w:r>
    </w:p>
    <w:p>
      <w:pPr>
        <w:spacing w:after="60" w:before="0" w:line="276" w:lineRule="auto"/>
        <w:jc w:val="both"/>
      </w:pPr>
      <w:r>
        <w:rPr>
          <w:rFonts w:ascii="Times New Roman" w:hAnsi="Times New Roman" w:cs="Times New Roman" w:eastAsia="Times New Roman"/>
          <w:color w:val="000000"/>
          <w:sz w:val="22"/>
        </w:rPr>
        <w:t>Data statement. Company filings, annual reports, prospectuses and results materials provide the platform data. BPS, Bank Indonesia, the Ministry of Finance and DJP publications provide the business, payment and policy evidence. The working data file records source, definition, publication date, currency and scope for every measure, so each figure can be checked against the original disclosure.</w:t>
      </w:r>
    </w:p>
    <w:p>
      <w:pPr>
        <w:spacing w:after="20" w:before="0" w:line="276" w:lineRule="auto"/>
        <w:ind w:left="360" w:hanging="360"/>
        <w:jc w:val="both"/>
      </w:pPr>
      <w:r>
        <w:rPr>
          <w:rFonts w:ascii="Times New Roman" w:hAnsi="Times New Roman" w:cs="Times New Roman" w:eastAsia="Times New Roman"/>
          <w:color w:val="000000"/>
          <w:sz w:val="22"/>
        </w:rPr>
        <w:t>BPS-Statistics Indonesia. E-Commerce Statistics 2023 and 2024; published marketplace-use analysis.</w:t>
      </w:r>
    </w:p>
    <w:p>
      <w:pPr>
        <w:spacing w:after="20" w:before="0" w:line="276" w:lineRule="auto"/>
        <w:ind w:left="360" w:hanging="360"/>
        <w:jc w:val="both"/>
      </w:pPr>
      <w:r>
        <w:rPr>
          <w:rFonts w:ascii="Times New Roman" w:hAnsi="Times New Roman" w:cs="Times New Roman" w:eastAsia="Times New Roman"/>
          <w:color w:val="000000"/>
          <w:sz w:val="22"/>
        </w:rPr>
        <w:t>Bank Indonesia. Payment System Statistics (SPIP); QRIS reports.</w:t>
      </w:r>
    </w:p>
    <w:p>
      <w:pPr>
        <w:spacing w:after="20" w:before="0" w:line="276" w:lineRule="auto"/>
        <w:ind w:left="360" w:hanging="360"/>
        <w:jc w:val="both"/>
      </w:pPr>
      <w:r>
        <w:rPr>
          <w:rFonts w:ascii="Times New Roman" w:hAnsi="Times New Roman" w:cs="Times New Roman" w:eastAsia="Times New Roman"/>
          <w:color w:val="000000"/>
          <w:sz w:val="22"/>
        </w:rPr>
        <w:t>Ministry of Finance, Republic of Indonesia. PMK 37/2025.</w:t>
      </w:r>
    </w:p>
    <w:p>
      <w:pPr>
        <w:spacing w:after="20" w:before="0" w:line="276" w:lineRule="auto"/>
        <w:ind w:left="360" w:hanging="360"/>
        <w:jc w:val="both"/>
      </w:pPr>
      <w:r>
        <w:rPr>
          <w:rFonts w:ascii="Times New Roman" w:hAnsi="Times New Roman" w:cs="Times New Roman" w:eastAsia="Times New Roman"/>
          <w:color w:val="000000"/>
          <w:sz w:val="22"/>
        </w:rPr>
        <w:t>Directorate General of Taxes. Marketplace guidance; designation of 1 July 2026; postponement announcement.</w:t>
      </w:r>
    </w:p>
    <w:p>
      <w:pPr>
        <w:spacing w:after="20" w:before="0" w:line="276" w:lineRule="auto"/>
        <w:ind w:left="360" w:hanging="360"/>
        <w:jc w:val="both"/>
      </w:pPr>
      <w:r>
        <w:rPr>
          <w:rFonts w:ascii="Times New Roman" w:hAnsi="Times New Roman" w:cs="Times New Roman" w:eastAsia="Times New Roman"/>
          <w:color w:val="000000"/>
          <w:sz w:val="22"/>
        </w:rPr>
        <w:t>PT Global Digital Niaga Tbk; PT Bukalapak.com Tbk; PT GoTo Gojek Tokopedia Tbk. Annual reports and results materials.</w:t>
      </w:r>
    </w:p>
    <w:p>
      <w:pPr>
        <w:spacing w:after="20" w:before="0" w:line="276" w:lineRule="auto"/>
        <w:ind w:left="360" w:hanging="360"/>
        <w:jc w:val="both"/>
      </w:pPr>
      <w:r>
        <w:rPr>
          <w:rFonts w:ascii="Times New Roman" w:hAnsi="Times New Roman" w:cs="Times New Roman" w:eastAsia="Times New Roman"/>
          <w:color w:val="000000"/>
          <w:sz w:val="22"/>
        </w:rPr>
        <w:t>Grab Holdings Limited; Sea Limited. Annual reports and Forms 20-F.</w:t>
      </w:r>
    </w:p>
    <w:p>
      <w:pPr>
        <w:spacing w:after="20" w:before="0" w:line="276" w:lineRule="auto"/>
        <w:ind w:left="360" w:hanging="360"/>
        <w:jc w:val="both"/>
      </w:pPr>
      <w:r>
        <w:rPr>
          <w:rFonts w:ascii="Times New Roman" w:hAnsi="Times New Roman" w:cs="Times New Roman" w:eastAsia="Times New Roman"/>
          <w:color w:val="000000"/>
          <w:sz w:val="22"/>
        </w:rPr>
        <w:t>Momentum Works. (2024). Ecommerce in Southeast Asia.</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304"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4"/>
      </w:rPr>
      <w:t xml:space="preserve">Yuan Ze University | Master of Science in Finance | September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cs="Times New Roman"/>
      <w:b/>
      <w:bCs/>
      <w:color w:val="1F1F1F"/>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cs="Times New Roman"/>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Times New Roman" w:hAnsi="Times New Roman" w:eastAsia="Times New Roman"/>
      <w:b/>
      <w:bCs/>
      <w:color w:val="40404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D4D4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4D4D4D"/>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4D4D4D"/>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D4D4D"/>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D4D4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D4D4D"/>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F1F1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33333"/>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0404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F1F1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F1F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9595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D4D4D"/>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4D4D4D"/>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4D4D4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D4D4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D4D4D"/>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D4D4D"/>
      <w:sz w:val="20"/>
      <w:szCs w:val="20"/>
    </w:rPr>
  </w:style>
  <w:style w:type="paragraph" w:styleId="Caption">
    <w:name w:val="caption"/>
    <w:basedOn w:val="Normal"/>
    <w:next w:val="Normal"/>
    <w:uiPriority w:val="35"/>
    <w:semiHidden/>
    <w:unhideWhenUsed/>
    <w:qFormat/>
    <w:rsid w:val="00FC693F"/>
    <w:pPr>
      <w:spacing w:line="240" w:lineRule="auto"/>
    </w:pPr>
    <w:rPr>
      <w:b/>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04040"/>
    </w:rPr>
  </w:style>
  <w:style w:type="character" w:customStyle="1" w:styleId="IntenseQuoteChar">
    <w:name w:val="Intense Quote Char"/>
    <w:basedOn w:val="DefaultParagraphFont"/>
    <w:link w:val="IntenseQuote"/>
    <w:uiPriority w:val="30"/>
    <w:rsid w:val="00FC693F"/>
    <w:rPr>
      <w:b/>
      <w:bCs/>
      <w:i/>
      <w:iCs/>
      <w:color w:val="40404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0404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