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1.png" ContentType="image/png"/>
  <Override PartName="/word/media/rId55.png" ContentType="image/png"/>
  <Override PartName="/word/media/rId60.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w:t>
      </w:r>
      <w:r>
        <w:t xml:space="preserve">Invisible Ledger: thesis draft, Chapters 1 to 7</w:t>
      </w:r>
      <w:r>
        <w:t xml:space="preserve">”</w:t>
      </w:r>
    </w:p>
    <w:p>
      <w:pPr>
        <w:pStyle w:val="BodyText"/>
      </w:pPr>
      <w:r>
        <w:t xml:space="preserve">subtitle:</w:t>
      </w:r>
      <w:r>
        <w:t xml:space="preserve"> </w:t>
      </w:r>
      <w:r>
        <w:t xml:space="preserve">“</w:t>
      </w:r>
      <w:r>
        <w:t xml:space="preserve">Reading copy, 15 October 2026. Chapters 6 and 7 are drafts; Section 6.5 has a slot for results due from 27 October.</w:t>
      </w:r>
      <w:r>
        <w:t xml:space="preserve">”</w:t>
      </w:r>
    </w:p>
    <w:p>
      <w:r>
        <w:pict>
          <v:rect style="width:0;height:1.5pt" o:hralign="center" o:hrstd="t" o:hr="t"/>
        </w:pict>
      </w:r>
    </w:p>
    <w:bookmarkStart w:id="23" w:name="chapter-1.-introduction"/>
    <w:p>
      <w:pPr>
        <w:pStyle w:val="Heading1"/>
      </w:pPr>
      <w:r>
        <w:t xml:space="preserve">Chapter 1. Introduction</w:t>
      </w:r>
    </w:p>
    <w:p>
      <w:pPr>
        <w:pStyle w:val="FirstParagraph"/>
      </w:pPr>
      <w:r>
        <w:t xml:space="preserve">Digital commerce has changed how goods and services are bought and sold in Indonesia. Sellers in small towns reach buyers across the country, businesses run from mobile phones, and customers pay by QR code. The figures that measure this activity disagree on both its size and its growth.</w:t>
      </w:r>
    </w:p>
    <w:p>
      <w:pPr>
        <w:pStyle w:val="BodyText"/>
      </w:pPr>
      <w:r>
        <w:t xml:space="preserve">In 2023, traders at Tanah Abang, a major wholesale market in Jakarta, said their customers had moved to sellers on TikTok Shop (AFP 2023). The government then banned transactions on social media platforms, and TikTok Shop closed in Indonesia soon after (Ministry of Trade of the Republic of Indonesia 2023; Mandagie 2023). That year the national statistics office, BPS, reported that online sales rose by about 41 percent (BPS 2025a). The central bank’s measure of online shopping fell by about 5 percent (Bank Indonesia 2023; KabarBursa 2024). The two official figures moved in opposite directions.</w:t>
      </w:r>
    </w:p>
    <w:p>
      <w:pPr>
        <w:pStyle w:val="BodyText"/>
      </w:pPr>
      <w:r>
        <w:t xml:space="preserve">Tokopedia, an Indonesian online marketplace, shows revenue and sales moving apart inside one company. Between 2022 and 2023, its net revenue rose by 53 percent while the value of transactions on the platform, its transaction value, fell by 9 percent (GoTo Gojek Tokopedia 2024a, 2024b). The two are different amounts. A platform keeps only part of each sale, as commissions and fees. The rest is the seller’s receipts, the driver’s fare or another amount that passes through. This thesis calls the difference the invisible wedge. The term means what a revenue-only measure leaves out. It does not mean activity that goes unrecorded.</w:t>
      </w:r>
    </w:p>
    <w:p>
      <w:pPr>
        <w:pStyle w:val="BodyText"/>
      </w:pPr>
      <w:r>
        <w:t xml:space="preserve">The share a platform keeps is not fixed. When it rises, revenue can grow even while transaction value falls. In Tokopedia’s accounts, about 60 percent of the extra revenue came from smaller discounts and incentives, which a platform pays for out of what it earns (GoTo Gojek Tokopedia 2024b).</w:t>
      </w:r>
    </w:p>
    <w:p>
      <w:pPr>
        <w:pStyle w:val="BodyText"/>
      </w:pPr>
      <w:r>
        <w:t xml:space="preserve">Platform and online sales figures carry weight well beyond Indonesia. Businesses in 43 economies sold almost US$27 trillion online in 2022, by the United Nations’ estimate (UNCTAD 2024), and platforms carry a growing part of that trade. Investors value the companies that run them largely on reported growth. If part of that growth is a platform keeping more of each sale, then part of the share price rests on a pricing decision. Governments use the same figures to size their digital economies and to tax online sellers.</w:t>
      </w:r>
    </w:p>
    <w:p>
      <w:pPr>
        <w:pStyle w:val="BodyText"/>
      </w:pPr>
      <w:r>
        <w:t xml:space="preserve">Research explains why platform revenue and national sales figures can differ, but not when a figure stops moving with the activity it represents, or by how much. Answering that takes two things that are rarely found together. One is a platform’s revenue and transaction value over several years. The other is a national count of online sellers whose underlying answers can be examined.</w:t>
      </w:r>
    </w:p>
    <w:p>
      <w:pPr>
        <w:pStyle w:val="BodyText"/>
      </w:pPr>
      <w:r>
        <w:t xml:space="preserve">In Indonesia, several platforms report revenue and transaction value each year, and BPS asks online sellers when they began and how their sales changed. The stakes are concrete. For 2024, BPS gives about US$81 billion for online sales and the central bank about US$31 billion, more than two to one (BPS 2025b; Bank Indonesia 2025). The government has set new rules on platform commissions, discounts and tax. Its tax on marketplace sellers can raise about US$60 million a year on one measure of the market and about US$300 million on another, before exemptions (Ministry of Finance of the Republic of Indonesia 2025; author’s calculation). Most online sellers work through messaging and social media, outside the marketplaces, so platform and survey figures are likely to part. The events of 2023 suggest that they did.</w:t>
      </w:r>
    </w:p>
    <w:bookmarkStart w:id="20"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that platforms carry. In BPS’s survey, the marketplaces carry only about a fifth of online sales value. In Indonesia, platform revenue also grew faster than the commerce behind it, mainly because platforms kept a larger share of each sale and not because buyers bought more. National growth came mainly from more sellers, as H2 states, but about half of the 2023 rise in the count of sellers is not explained by first-time entry.</w:t>
      </w:r>
    </w:p>
    <w:bookmarkEnd w:id="20"/>
    <w:bookmarkStart w:id="21"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those who value platforms, the thesis shows how small a part of the commerce a platform’s revenue records. It shows why this matters for growth as well as scale: the larger the wedge is next to revenue, the more a small change in fees or discounts moves revenue growth. It also traces why revenue moved, which gives investors a check on whether reported growth came from more commerce or from a larger share of each sale. A prediction registered in advance then tests how market value moves with each of the two.</w:t>
      </w:r>
    </w:p>
    <w:p>
      <w:pPr>
        <w:pStyle w:val="BodyText"/>
      </w:pPr>
      <w:r>
        <w:t xml:space="preserve">For those who measure the economy,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those who design tax and regulation, the thesis measures how far rules based on platform records reach. A rule built on platform records reaches only the sellers who use platforms, so where most sellers work outside them, such rules cover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The contribution of this thesis is connected evidence for one country. It draws on the platforms’ accounts, the sellers’ own survey responses and the rules that act on those figures.</w:t>
      </w:r>
    </w:p>
    <w:bookmarkEnd w:id="21"/>
    <w:bookmarkStart w:id="22"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which come from platform reports, BPS survey files and national and market figures,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2"/>
    <w:bookmarkEnd w:id="23"/>
    <w:bookmarkStart w:id="28"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4"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sales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the sales.</w:t>
      </w:r>
    </w:p>
    <w:p>
      <w:pPr>
        <w:pStyle w:val="BodyText"/>
      </w:pPr>
      <w:r>
        <w:t xml:space="preserve">Platform economics explains why revenue is only a small share of the sales.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sales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sales behind it (Bowen, Davis and Rajgopal 2002). Studies of how investors valued those firms, and how analysts forecast their revenue, relied on web traffic as their measure of activity (Trueman, Wong and Zhang 2000, 2001; Rajgopal, Venkatachalam and Kotha 2003). 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4"/>
    <w:bookmarkStart w:id="25"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Official statistics address the question in two ways. National accounts separate the sale between a buyer and a seller from the platform’s fee, and they count only the fee as the platform’s output (Ahmad and Schreyer 2016; International Monetary Fund 2018; Organisation for Economic Co-operation and Development [OECD] 2023; United Nations et al. 2025). Research on measurement also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National accounting guidance defines the platform’s output, and it does not track how platform sales and national sales grow. The test of one figure against another has been applied to national income and night-time lights. Among the studies reviewed here, it has not been applied to platform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5"/>
    <w:bookmarkStart w:id="26"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6"/>
    <w:bookmarkStart w:id="27"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sales,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sales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which explains why the share is small and can move but does not test whether reported revenue stays a fair guide to the sales.</w:t>
      </w:r>
    </w:p>
    <w:p>
      <w:pPr>
        <w:numPr>
          <w:ilvl w:val="0"/>
          <w:numId w:val="1001"/>
        </w:numPr>
        <w:pStyle w:val="Compact"/>
      </w:pPr>
      <w:r>
        <w:rPr>
          <w:bCs/>
          <w:b/>
        </w:rPr>
        <w:t xml:space="preserve">Does the choice of figure change the conclusion about growth?</w:t>
      </w:r>
      <w:r>
        <w:t xml:space="preserve"> </w:t>
      </w:r>
      <w:r>
        <w:t xml:space="preserve">This follows from Section 2.2, which shows that figures differ but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which shows that platform records are valuable but not how much of online selling they cover.</w:t>
      </w:r>
    </w:p>
    <w:bookmarkEnd w:id="27"/>
    <w:bookmarkEnd w:id="28"/>
    <w:bookmarkStart w:id="38"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CaptionedFigure"/>
      </w:pPr>
      <w:r>
        <w:drawing>
          <wp:inline>
            <wp:extent cx="5302908" cy="2896109"/>
            <wp:effectExtent b="0" l="0" r="0" t="0"/>
            <wp:docPr descr="Figure 3.1" title="" id="30" name="Picture"/>
            <a:graphic>
              <a:graphicData uri="http://schemas.openxmlformats.org/drawingml/2006/picture">
                <pic:pic>
                  <pic:nvPicPr>
                    <pic:cNvPr descr="figures/fig3_1_two_links.png" id="31" name="Picture"/>
                    <pic:cNvPicPr>
                      <a:picLocks noChangeArrowheads="1" noChangeAspect="1"/>
                    </pic:cNvPicPr>
                  </pic:nvPicPr>
                  <pic:blipFill>
                    <a:blip r:embed="rId29"/>
                    <a:stretch>
                      <a:fillRect/>
                    </a:stretch>
                  </pic:blipFill>
                  <pic:spPr bwMode="auto">
                    <a:xfrm>
                      <a:off x="0" y="0"/>
                      <a:ext cx="5302908" cy="2896109"/>
                    </a:xfrm>
                    <a:prstGeom prst="rect">
                      <a:avLst/>
                    </a:prstGeom>
                    <a:noFill/>
                    <a:ln w="9525">
                      <a:noFill/>
                      <a:headEnd/>
                      <a:tailEnd/>
                    </a:ln>
                  </pic:spPr>
                </pic:pic>
              </a:graphicData>
            </a:graphic>
          </wp:inline>
        </w:drawing>
      </w:r>
    </w:p>
    <w:p>
      <w:pPr>
        <w:pStyle w:val="ImageCaption"/>
      </w:pPr>
      <w:r>
        <w:t xml:space="preserve">Figure 3.1</w:t>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the survey of online sellers run by BPS, the national statistics office.</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2"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2"/>
    <w:bookmarkStart w:id="33"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3"/>
    <w:bookmarkStart w:id="34"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4"/>
    <w:bookmarkStart w:id="35"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 Trade economists split a country’s exports in the same way, into more of each good and more kinds of goods (Hummels and Klenow 2005).</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5"/>
    <w:bookmarkStart w:id="36"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People tend to report past events as more recent than they were (Neter and Waksberg 1964).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Small firms that stop are more often young firms with young owners (McKenzie and Paffhausen 2019). So the age of the sellers behind the rise bears on the second reading. Chapter 5 weighs the two readings with that evidence.</w:t>
      </w:r>
    </w:p>
    <w:bookmarkEnd w:id="36"/>
    <w:bookmarkStart w:id="37"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 Early studies of internet companies found that markets priced measures of web activity beyond reported earnings (Trueman, Wong and Zhang 2000).</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Research on tax shows that reports from a third party improve compliance where they exist (Kleven et al. 2011).</w:t>
      </w:r>
    </w:p>
    <w:p>
      <w:pPr>
        <w:pStyle w:val="BodyText"/>
      </w:pPr>
      <w:r>
        <w:t xml:space="preserve">The reach of a rule built on platform records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 Chapter 6 develops the reach of the rules.</w:t>
      </w:r>
    </w:p>
    <w:p>
      <w:pPr>
        <w:pStyle w:val="BodyText"/>
      </w:pPr>
      <w:r>
        <w:t xml:space="preserve">The comparison of national figures extends the outer link in Figure 3.1. Platform reports, BPS’s survey, Bank Indonesia’s statistics and industry estimates count different things. Their values change with the definition used (UNCTAD 2024).</w:t>
      </w:r>
    </w:p>
    <w:p>
      <w:pPr>
        <w:pStyle w:val="BodyText"/>
      </w:pPr>
      <w:r>
        <w:t xml:space="preserve">If two national figures move in opposite directions in the same year, the conclusion about growth depends on the figure chosen. The thesis compares their growth rates, each in its own unit, and compares levels only after reconciling what each source covers. Household spending, from the national accounts, serves as a further point of comparison. Chapter 4 describes the data and methods behind each test and analysis.</w:t>
      </w:r>
    </w:p>
    <w:bookmarkEnd w:id="37"/>
    <w:bookmarkEnd w:id="38"/>
    <w:bookmarkStart w:id="49"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and the extraction tables keep the source file and the quoted passage beside every value. Where a platform does not report Indonesia alone, as with Shopee and Grab, the thesis states what it derives or borrows and labels it.</w:t>
      </w:r>
    </w:p>
    <w:p>
      <w:pPr>
        <w:pStyle w:val="BodyText"/>
      </w:pPr>
      <w:r>
        <w:t xml:space="preserve">The national side rests on a survey that BPS, the national statistics office, runs among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three of them report what they pay out in incentives, and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It starts with the platforms: the data, the wedge in Indonesia, the test of H1, the tracing of large moves and market values. It then turns to the survey: H2, the entry test, and the channels and records of sellers. It ends with the comparison of national figures and with how every number is labelled and traced.</w:t>
      </w:r>
    </w:p>
    <w:bookmarkStart w:id="39"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39"/>
    <w:bookmarkStart w:id="40"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0"/>
    <w:bookmarkStart w:id="41"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They drop each platform in turn and treat Tokopedia and GoTo as one company. They repeat the test with growth divergence in points as Chapter 3 defines it. They compare the change in the take rate in percentage points, to see whether a thin take rate explains the result. They narrow the test to the three marketplaces, correlate revenue growth with transaction value growth, and repeat the test with quarterly pairs.</w:t>
      </w:r>
    </w:p>
    <w:bookmarkEnd w:id="41"/>
    <w:bookmarkStart w:id="42"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Wherever a company discloses both its gross fees and its incentives,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2"/>
    <w:bookmarkStart w:id="43"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three segment series and three more whole companies as a robustness check.</w:t>
      </w:r>
    </w:p>
    <w:bookmarkEnd w:id="43"/>
    <w:bookmarkStart w:id="44"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split with both and reports both.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4"/>
    <w:bookmarkStart w:id="45"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They look across provinces and channels, using rank correlations, and at sellers’ own reports of their sales. They use the sampling error that BPS publishes. They profile who the extra sellers are, with each group’s count in 2023 compared with what its own yearly change in 2020 to 2022 would give. They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5"/>
    <w:bookmarkStart w:id="46"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rests on revenue brackets, which only the 2021 and 2023 files give. The thesis assigns each bracket a low, a middle and a high amount. The amounts were fixed before the file was opened. A validation rule applies: the middle scenario’s 2022 total must lie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 Chapter 6 also sets each recent rule against the part of the figures it acts on. The thesis reads each legal text where it is published, and it labels each rule by the status of its text: primary text read, announced, or reported in the news only.</w:t>
      </w:r>
    </w:p>
    <w:bookmarkEnd w:id="46"/>
    <w:bookmarkStart w:id="47"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n.d.), and the number of merchants a company reports</w:t>
            </w:r>
          </w:p>
        </w:tc>
        <w:tc>
          <w:tcPr/>
          <w:p>
            <w:pPr>
              <w:pStyle w:val="Compact"/>
              <w:jc w:val="left"/>
            </w:pPr>
            <w:r>
              <w:t xml:space="preserve">Used as context only, since none measures Indonesian e-commerce</w:t>
            </w:r>
          </w:p>
        </w:tc>
      </w:tr>
    </w:tbl>
    <w:bookmarkEnd w:id="47"/>
    <w:bookmarkStart w:id="48"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272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BPS and LSEG file and of the World Bank cross-country query, so anyone who obtains the same files can check them. It holds the code that reads them and the national totals that the code produces, and no business-level record. BPS is cited as the source of every survey figure, in line with the data-use agreement. Chapter 7 states what these data cannot show.</w:t>
      </w:r>
    </w:p>
    <w:bookmarkEnd w:id="48"/>
    <w:bookmarkEnd w:id="49"/>
    <w:bookmarkStart w:id="75"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did not come from sellers entering for the first time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planned in advance points the same way</w:t>
            </w:r>
          </w:p>
        </w:tc>
        <w:tc>
          <w:tcPr/>
          <w:p>
            <w:pPr>
              <w:pStyle w:val="Compact"/>
              <w:jc w:val="left"/>
            </w:pPr>
            <w:r>
              <w:t xml:space="preserve">Each platform dropped in turn;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trimmed;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0"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US$39.9 or US$40.3 billion; at Sea’s company-wide rate of 11.5 percent, it is US$39.8 billion. Source: company filings; Momentum Works (2024); author’s calculations.</w:t>
      </w:r>
    </w:p>
    <w:p>
      <w:pPr>
        <w:pStyle w:val="BodyText"/>
      </w:pPr>
      <w:r>
        <w:t xml:space="preserve">The ratios differ because the amounts were obtained in different ways. Tokopedia reports both amounts, and its ratio is about 39. Shopee’s ratio of 9 follows from the assumed take rate, and Grab’s ratio of about 8 is its company-wide ratio. Neither is separate evidence for Indonesia. Blibli and Bukalapak also report both amounts, with ratios of about 43 and 36, close to Tokopedia’s. They are left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0"/>
    <w:bookmarkStart w:id="54"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one median per platform. Both methods of Section 4.3 reject equal moves, with p = 0.004 and p = 0.022. No single platform carries the result. Dropping any one, or treating Tokopedia and GoTo as one company, keeps the Mann–Whitney p-value at 0.016 or below. The main test was set up after a first, narrower test, so it is exploratory.</w:t>
      </w:r>
    </w:p>
    <w:p>
      <w:pPr>
        <w:pStyle w:val="BodyText"/>
      </w:pPr>
      <w:r>
        <w:t xml:space="preserve">The test planned in advance was narrower: the three Indonesian marketplaces against the eight foreign platforms chosen first. It points the same way. With one median per platform, the Mann–Whitney test rejects equal moves (p = 0.024). The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The direction of the moves is less telling than their size. Revenue grew faster than transaction value in 13 of the 15 Indonesian and regional pairs. In two of them, revenue and transaction value moved in opposite directions. Abroad, take rates also rose in about two thirds of pairs, but by much less. What sets the Indonesian and regional platforms apart is the size of the moves, which is what the test measures.</w:t>
      </w:r>
    </w:p>
    <w:p>
      <w:pPr>
        <w:pStyle w:val="BodyText"/>
      </w:pPr>
      <w:r>
        <w:t xml:space="preserve">Quarterly pairs do not reject H1 (p = 0.19), contrary to a prediction registered before the test was run. The quarterly Indonesian pairs mostly cover 2023 to 2026, after most of the repricing, while the large moves came between 2021 and 2024. The rejection of H1 describes that period.</w:t>
      </w:r>
    </w:p>
    <w:p>
      <w:pPr>
        <w:pStyle w:val="BodyText"/>
      </w:pPr>
      <w:r>
        <w:t xml:space="preserve">The thin take rate of Indonesian and regional platforms explains much of the threefold difference, an exploratory finding. Measured in percentage points, both groups changed their take rates by about 1 point a year.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CaptionedFigure"/>
      </w:pPr>
      <w:r>
        <w:drawing>
          <wp:inline>
            <wp:extent cx="5334000" cy="1965026"/>
            <wp:effectExtent b="0" l="0" r="0" t="0"/>
            <wp:docPr descr="Figure 5.1" title="" id="52" name="Picture"/>
            <a:graphic>
              <a:graphicData uri="http://schemas.openxmlformats.org/drawingml/2006/picture">
                <pic:pic>
                  <pic:nvPicPr>
                    <pic:cNvPr descr="figures/fig5_1_thin_slice.png" id="53" name="Picture"/>
                    <pic:cNvPicPr>
                      <a:picLocks noChangeArrowheads="1" noChangeAspect="1"/>
                    </pic:cNvPicPr>
                  </pic:nvPicPr>
                  <pic:blipFill>
                    <a:blip r:embed="rId51"/>
                    <a:stretch>
                      <a:fillRect/>
                    </a:stretch>
                  </pic:blipFill>
                  <pic:spPr bwMode="auto">
                    <a:xfrm>
                      <a:off x="0" y="0"/>
                      <a:ext cx="5334000" cy="1965026"/>
                    </a:xfrm>
                    <a:prstGeom prst="rect">
                      <a:avLst/>
                    </a:prstGeom>
                    <a:noFill/>
                    <a:ln w="9525">
                      <a:noFill/>
                      <a:headEnd/>
                      <a:tailEnd/>
                    </a:ln>
                  </pic:spPr>
                </pic:pic>
              </a:graphicData>
            </a:graphic>
          </wp:inline>
        </w:drawing>
      </w:r>
    </w:p>
    <w:p>
      <w:pPr>
        <w:pStyle w:val="ImageCaption"/>
      </w:pPr>
      <w:r>
        <w:t xml:space="preserve">Figure 5.1</w:t>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4"/>
    <w:bookmarkStart w:id="58" w:name="what-moved-the-take-rate"/>
    <w:p>
      <w:pPr>
        <w:pStyle w:val="Heading2"/>
      </w:pPr>
      <w:r>
        <w:t xml:space="preserve">5.3 What moved the take rate</w:t>
      </w:r>
    </w:p>
    <w:p>
      <w:pPr>
        <w:pStyle w:val="FirstParagraph"/>
      </w:pPr>
      <w:r>
        <w:t xml:space="preserve">Pricing, not more commerce, moved revenue at the Indonesian and regional platforms.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 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CaptionedFigure"/>
      </w:pPr>
      <w:r>
        <w:drawing>
          <wp:inline>
            <wp:extent cx="5334000" cy="1805277"/>
            <wp:effectExtent b="0" l="0" r="0" t="0"/>
            <wp:docPr descr="Figure 5.2" title="" id="56" name="Picture"/>
            <a:graphic>
              <a:graphicData uri="http://schemas.openxmlformats.org/drawingml/2006/picture">
                <pic:pic>
                  <pic:nvPicPr>
                    <pic:cNvPr descr="figures/fig5_2_tokopedia_two_views.png" id="57" name="Picture"/>
                    <pic:cNvPicPr>
                      <a:picLocks noChangeArrowheads="1" noChangeAspect="1"/>
                    </pic:cNvPicPr>
                  </pic:nvPicPr>
                  <pic:blipFill>
                    <a:blip r:embed="rId55"/>
                    <a:stretch>
                      <a:fillRect/>
                    </a:stretch>
                  </pic:blipFill>
                  <pic:spPr bwMode="auto">
                    <a:xfrm>
                      <a:off x="0" y="0"/>
                      <a:ext cx="5334000" cy="1805277"/>
                    </a:xfrm>
                    <a:prstGeom prst="rect">
                      <a:avLst/>
                    </a:prstGeom>
                    <a:noFill/>
                    <a:ln w="9525">
                      <a:noFill/>
                      <a:headEnd/>
                      <a:tailEnd/>
                    </a:ln>
                  </pic:spPr>
                </pic:pic>
              </a:graphicData>
            </a:graphic>
          </wp:inline>
        </w:drawing>
      </w:r>
    </w:p>
    <w:p>
      <w:pPr>
        <w:pStyle w:val="ImageCaption"/>
      </w:pPr>
      <w:r>
        <w:t xml:space="preserve">Figure 5.2</w:t>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58"/>
    <w:bookmarkStart w:id="59"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That estimate is too uncertain to tell from zero. The gap between the two estimates is not large enough to count (p = 0.20), or p = 0.16 with extreme values trimmed.</w:t>
      </w:r>
    </w:p>
    <w:p>
      <w:pPr>
        <w:pStyle w:val="BodyText"/>
      </w:pPr>
      <w:r>
        <w:t xml:space="preserve">A second run adds three segment series and three more whole companies. There the gap counts (p = 0.004), with about 0.6 for transaction value against about 0.1 for the take rate.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The data do not show that markets valued growth from pricing any less. Revenue and transaction value come from the platforms’ own reports, and market value from share prices. The national figures give a separate view of the same commerce.</w:t>
      </w:r>
    </w:p>
    <w:bookmarkEnd w:id="59"/>
    <w:bookmarkStart w:id="63"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CaptionedFigure"/>
      </w:pPr>
      <w:r>
        <w:drawing>
          <wp:inline>
            <wp:extent cx="5334000" cy="2862754"/>
            <wp:effectExtent b="0" l="0" r="0" t="0"/>
            <wp:docPr descr="Figure 5.3" title="" id="61" name="Picture"/>
            <a:graphic>
              <a:graphicData uri="http://schemas.openxmlformats.org/drawingml/2006/picture">
                <pic:pic>
                  <pic:nvPicPr>
                    <pic:cNvPr descr="figures/fig5_3_growth_2023.png" id="62" name="Picture"/>
                    <pic:cNvPicPr>
                      <a:picLocks noChangeArrowheads="1" noChangeAspect="1"/>
                    </pic:cNvPicPr>
                  </pic:nvPicPr>
                  <pic:blipFill>
                    <a:blip r:embed="rId60"/>
                    <a:stretch>
                      <a:fillRect/>
                    </a:stretch>
                  </pic:blipFill>
                  <pic:spPr bwMode="auto">
                    <a:xfrm>
                      <a:off x="0" y="0"/>
                      <a:ext cx="5334000" cy="2862754"/>
                    </a:xfrm>
                    <a:prstGeom prst="rect">
                      <a:avLst/>
                    </a:prstGeom>
                    <a:noFill/>
                    <a:ln w="9525">
                      <a:noFill/>
                      <a:headEnd/>
                      <a:tailEnd/>
                    </a:ln>
                  </pic:spPr>
                </pic:pic>
              </a:graphicData>
            </a:graphic>
          </wp:inline>
        </w:drawing>
      </w:r>
    </w:p>
    <w:p>
      <w:pPr>
        <w:pStyle w:val="ImageCaption"/>
      </w:pPr>
      <w:r>
        <w:t xml:space="preserve">Figure 5.3</w:t>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 The published count of online sellers nonetheless rose by 27 percent in 2023. A rise of that size, in a year without a boom in sales, needs explaining.</w:t>
      </w:r>
    </w:p>
    <w:bookmarkEnd w:id="63"/>
    <w:bookmarkStart w:id="64"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4"/>
    <w:bookmarkStart w:id="65"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was uneven across places and channels. Across the 34 provinces, growth in the count had almost no link to the share of new sellers, a rank correlation of 0.10. It had only a weak link to growth in the sample, at 0.35. A rank correlation compares the order of provinces on two measures and runs from −1 to 1. The break sat in chat and social selling. Among sellers who began by 2022, sellers using only chat or social media rose by 13 percent, and marketplace users by 0.3 percent.</w:t>
      </w:r>
    </w:p>
    <w:p>
      <w:pPr>
        <w:pStyle w:val="BodyText"/>
      </w:pPr>
      <w:r>
        <w:t xml:space="preserve">Sampling noise does not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value has no source in the answers of existing sellers. BPS’s online sales value rose from about US$53 billion to about US$72 billion. Entrants account for 25 to 30 percent of that rise, and sellers not explained by entry for 15 to 17 percent. Existing sellers reported a mean change of about −4 percent, so they added nothing to the rise. That leaves 53 to 59 percent of it with no source in the sellers’ answers.</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bears on the choice between the two.</w:t>
      </w:r>
    </w:p>
    <w:bookmarkEnd w:id="65"/>
    <w:bookmarkStart w:id="69"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Each group’s extra count is its 2023 count above what its own yearly change from 2020 to 2022 would give (Section 4.7). The extra sellers total about 450 thousand, close to the 458 thousand in Table 5.5. Figure 5.4 compares each group’s share of the extra count with its share of the 2022 count.</w:t>
      </w:r>
    </w:p>
    <w:p>
      <w:pPr>
        <w:pStyle w:val="CaptionedFigure"/>
      </w:pPr>
      <w:r>
        <w:drawing>
          <wp:inline>
            <wp:extent cx="5334000" cy="2117141"/>
            <wp:effectExtent b="0" l="0" r="0" t="0"/>
            <wp:docPr descr="Figure 5.4" title="" id="67" name="Picture"/>
            <a:graphic>
              <a:graphicData uri="http://schemas.openxmlformats.org/drawingml/2006/picture">
                <pic:pic>
                  <pic:nvPicPr>
                    <pic:cNvPr descr="figures/fig5_4_extra_sellers.png" id="68" name="Picture"/>
                    <pic:cNvPicPr>
                      <a:picLocks noChangeArrowheads="1" noChangeAspect="1"/>
                    </pic:cNvPicPr>
                  </pic:nvPicPr>
                  <pic:blipFill>
                    <a:blip r:embed="rId66"/>
                    <a:stretch>
                      <a:fillRect/>
                    </a:stretch>
                  </pic:blipFill>
                  <pic:spPr bwMode="auto">
                    <a:xfrm>
                      <a:off x="0" y="0"/>
                      <a:ext cx="5334000" cy="2117141"/>
                    </a:xfrm>
                    <a:prstGeom prst="rect">
                      <a:avLst/>
                    </a:prstGeom>
                    <a:noFill/>
                    <a:ln w="9525">
                      <a:noFill/>
                      <a:headEnd/>
                      <a:tailEnd/>
                    </a:ln>
                  </pic:spPr>
                </pic:pic>
              </a:graphicData>
            </a:graphic>
          </wp:inline>
        </w:drawing>
      </w:r>
    </w:p>
    <w:p>
      <w:pPr>
        <w:pStyle w:val="ImageCaption"/>
      </w:pPr>
      <w:r>
        <w:t xml:space="preserve">Figure 5.4</w:t>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bears on whether the extra sellers were returning after a pause.</w:t>
      </w:r>
    </w:p>
    <w:p>
      <w:pPr>
        <w:pStyle w:val="BodyText"/>
      </w:pPr>
      <w:r>
        <w:t xml:space="preserve">Part-year selling weighs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weighs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Where online sellers sell, and what records they keep, complete the survey evidence.</w:t>
      </w:r>
    </w:p>
    <w:bookmarkEnd w:id="69"/>
    <w:bookmarkStart w:id="73"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CaptionedFigure"/>
      </w:pPr>
      <w:r>
        <w:drawing>
          <wp:inline>
            <wp:extent cx="5334000" cy="2553101"/>
            <wp:effectExtent b="0" l="0" r="0" t="0"/>
            <wp:docPr descr="Figure 5.5" title="" id="71" name="Picture"/>
            <a:graphic>
              <a:graphicData uri="http://schemas.openxmlformats.org/drawingml/2006/picture">
                <pic:pic>
                  <pic:nvPicPr>
                    <pic:cNvPr descr="figures/fig5_5_marketplace_and_records.png" id="72" name="Picture"/>
                    <pic:cNvPicPr>
                      <a:picLocks noChangeArrowheads="1" noChangeAspect="1"/>
                    </pic:cNvPicPr>
                  </pic:nvPicPr>
                  <pic:blipFill>
                    <a:blip r:embed="rId70"/>
                    <a:stretch>
                      <a:fillRect/>
                    </a:stretch>
                  </pic:blipFill>
                  <pic:spPr bwMode="auto">
                    <a:xfrm>
                      <a:off x="0" y="0"/>
                      <a:ext cx="5334000" cy="2553101"/>
                    </a:xfrm>
                    <a:prstGeom prst="rect">
                      <a:avLst/>
                    </a:prstGeom>
                    <a:noFill/>
                    <a:ln w="9525">
                      <a:noFill/>
                      <a:headEnd/>
                      <a:tailEnd/>
                    </a:ln>
                  </pic:spPr>
                </pic:pic>
              </a:graphicData>
            </a:graphic>
          </wp:inline>
        </w:drawing>
      </w:r>
    </w:p>
    <w:p>
      <w:pPr>
        <w:pStyle w:val="ImageCaption"/>
      </w:pPr>
      <w:r>
        <w:t xml:space="preserve">Figure 5.5</w:t>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 The annual reading of the brackets passes the validation rule, at about twice BPS’s total, while the monthly reading fails at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w:t>
      </w:r>
    </w:p>
    <w:p>
      <w:pPr>
        <w:pStyle w:val="BodyText"/>
      </w:pPr>
      <w:r>
        <w:t xml:space="preserve">The split by channel bears on the third question of Section 2.4, because a rule built on platform records reaches only the marketplace part. Chapter 6 measures that reach. The same split also marks where the national figures part.</w:t>
      </w:r>
    </w:p>
    <w:bookmarkEnd w:id="73"/>
    <w:bookmarkStart w:id="74" w:name="why-the-national-figures-disagree"/>
    <w:p>
      <w:pPr>
        <w:pStyle w:val="Heading2"/>
      </w:pPr>
      <w:r>
        <w:t xml:space="preserve">5.10 Why the national figures disagree</w:t>
      </w:r>
    </w:p>
    <w:p>
      <w:pPr>
        <w:pStyle w:val="FirstParagraph"/>
      </w:pPr>
      <w:r>
        <w:t xml:space="preserve">The national figures agree on growth only where they cover the same sellers, and they do not agree on scale. In 2023, Bank Indonesia’s e-commerce figure fell by about 5 percent while BPS’s rose by about 41 percent. That is the disagreement with which Chapter 1 began,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Across the scenarios it grew by 0.2 to 13 percent.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 In 2023, BPS’s marketplace slice was about US$13 billion, against about US$38 billion for Tokopedia and the Shopee estimate together. In 2024 it was less than a quarter of Momentum Works’ marketplace estimate of about US$57 billion.</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said that it had about 15 million merchants in 2022, while BPS counts about 0.6 million marketplace sellers.</w:t>
      </w:r>
    </w:p>
    <w:p>
      <w:pPr>
        <w:pStyle w:val="BodyText"/>
      </w:pPr>
      <w:r>
        <w:t xml:space="preserve">Platform sales do not always keep pace with household spending. In each of the four quarters to mid-2026, GoTo’s on-demand transaction value grew more slowly than household spending. In the last, it grew by 2 percent against 8 percent, while its revenue grew by 21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part most where only the survey looks. Chapter 6 turns to the rules that Indonesia is writing.</w:t>
      </w:r>
    </w:p>
    <w:bookmarkEnd w:id="74"/>
    <w:bookmarkEnd w:id="75"/>
    <w:bookmarkStart w:id="82" w:name="Xf3297f1c0094fd76621fe8d81a0cbffa613ab7d"/>
    <w:p>
      <w:pPr>
        <w:pStyle w:val="Heading1"/>
      </w:pPr>
      <w:r>
        <w:t xml:space="preserve">Chapter 6. The Rules and How Far They Reach</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6"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 the legal texts; news reports where marked.</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with which Chapter 1 began.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6"/>
    <w:bookmarkStart w:id="77"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A cap on one fee does not fix the take rate, because the platform still sets its incentives. At GoTo, on-demand revenue rose by about 21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 Setyowati 2026). The government declined to cap these fees. It later required marketplaces to halve the service fee for small sellers of local products, a rule not yet in force by late August 2026 (Ayudiana 2026). The rules on the take rate cap one fee on one ride-hailing service and leave the largest marketplace fees free. How far the cap moves the companies’ take rates is the subject of the predictions in Section 6.5.</w:t>
      </w:r>
    </w:p>
    <w:bookmarkEnd w:id="77"/>
    <w:bookmarkStart w:id="78"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 It had begun once in August 2026, then stopped, and the tax collected was returned.</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17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adds a record more than revenue. Whether sellers move away from the four marketplaces now that collection has started will be known only from later data.</w:t>
      </w:r>
    </w:p>
    <w:bookmarkEnd w:id="78"/>
    <w:bookmarkStart w:id="79" w:name="what-the-statistics-rules-can-change"/>
    <w:p>
      <w:pPr>
        <w:pStyle w:val="Heading2"/>
      </w:pPr>
      <w:r>
        <w:t xml:space="preserve">6.4 What the statistics rules can change</w:t>
      </w:r>
    </w:p>
    <w:p>
      <w:pPr>
        <w:pStyle w:val="FirstParagraph"/>
      </w:pPr>
      <w:r>
        <w:t xml:space="preserve">The rules on statistics act on the outer link, where the national figures parted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part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79"/>
    <w:bookmarkStart w:id="80"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bear on the commission cap, one on marketplace fees and one on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 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0"/>
    <w:bookmarkStart w:id="81"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1"/>
    <w:bookmarkEnd w:id="82"/>
    <w:bookmarkStart w:id="88"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2021 and 2024 the platforms’ take rates moved, and revenue parted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3"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between 2021 and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The national figures agree on growth where they cover the same sellers. They part outside the marketplaces, among the chat and social sellers that only BPS reaches. The figure a reader picks decides whether 2023 looks like a stall or a boom. Market value, for its part, moved with transaction value, and the data do not show that markets valued growth from pricing any less.</w:t>
      </w:r>
    </w:p>
    <w:bookmarkEnd w:id="83"/>
    <w:bookmarkStart w:id="84"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In Indonesia, the take rate accounted for about two thirds of a revenue move at the typical pair, against about a quarter abroad. The thinner the take rate, the more a small change in fees or incentives moves revenue growth. Across 28 listed platforms, market value moved with transaction value, as a registered prediction stated.</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4"/>
    <w:bookmarkStart w:id="85"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2021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though by only 3.3 points on a second version.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Appendix C lists every registered test with its outcome. The predictions on the 2026 rules are scored in Section 6.5. One of them, that the start of the marketplace tax would slip again, was withdrawn, because the tax had started a day before the prediction was registered.</w:t>
      </w:r>
    </w:p>
    <w:bookmarkEnd w:id="85"/>
    <w:bookmarkStart w:id="86"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part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 The tests of H1 are one-sided, because each asks whether the Indonesian and regional group moves more. A two-sided test would about double each p-value, and the main Mann–Whitney result would still be below 1 percent.</w:t>
      </w:r>
    </w:p>
    <w:p>
      <w:pPr>
        <w:pStyle w:val="BodyText"/>
      </w:pPr>
      <w:r>
        <w:t xml:space="preserve">The platform figures carry their own limits. Shopee’s and Grab’s Indonesian amounts rest on an outside estimate, an assumed take rate or a company-wide ratio, and they stay out of the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 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rest on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Three of the sources are licensed: the BPS survey files, the LSEG market values and the World Bank survey files. The repository holds the code and the national totals, and anyone who obtains the same files can rerun the analysis. The evidence concerns Indonesia, with regional series labelled as such.</w:t>
      </w:r>
    </w:p>
    <w:bookmarkEnd w:id="86"/>
    <w:bookmarkStart w:id="87" w:name="next-steps"/>
    <w:p>
      <w:pPr>
        <w:pStyle w:val="Heading2"/>
      </w:pPr>
      <w:r>
        <w:t xml:space="preserve">7.5 Next steps</w:t>
      </w:r>
    </w:p>
    <w:p>
      <w:pPr>
        <w:pStyle w:val="FirstParagraph"/>
      </w:pPr>
      <w:r>
        <w:t xml:space="preserve">The first step is to score the registered predictions on the 2026 results, as Section 6.5 sets out. The outcomes will show how far the commission cap moved the companies’ take rates. Later data will show whether sellers moved away from the four marketplaces that collect the tax.</w:t>
      </w:r>
    </w:p>
    <w:p>
      <w:pPr>
        <w:pStyle w:val="BodyText"/>
      </w:pPr>
      <w:r>
        <w:t xml:space="preserve">Reconciling the levels of BPS’s and the platforms’ figures is the second step. It needs common definitions of what counts as a sale, including shipping, digital goods, travel and offline sales. The platform data that BPS now collects could supply the platform side, if BPS publishes them.</w:t>
      </w:r>
    </w:p>
    <w:p>
      <w:pPr>
        <w:pStyle w:val="BodyText"/>
      </w:pPr>
      <w:r>
        <w:t xml:space="preserve">The third step concerns the 2026 economic census. When BPS adopts a frame from it, the entry test can be repeated on the first survey that uses the new frame. A business identifier that links survey rounds would settle the question of returning sellers.</w:t>
      </w:r>
    </w:p>
    <w:p>
      <w:pPr>
        <w:pStyle w:val="BodyText"/>
      </w:pPr>
      <w:r>
        <w:t xml:space="preserve">The fourth step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grow as well. Lazada and TikTok Shop can join the test of H1 once they report Indonesian revenue and transaction value.</w:t>
      </w:r>
    </w:p>
    <w:p>
      <w:pPr>
        <w:pStyle w:val="BodyText"/>
      </w:pPr>
      <w:r>
        <w:t xml:space="preserve">The last step takes the channel count abroad. Any country whose statistics office asks sellers which channels they use can measure how much online selling its platform rules reach.</w:t>
      </w:r>
    </w:p>
    <w:p>
      <w:pPr>
        <w:pStyle w:val="BodyText"/>
      </w:pPr>
      <w:r>
        <w:t xml:space="preserve">The thesis began with figures that moved apart in 2023. BPS’s online sales rose by about 41 percent while Bank Indonesia’s measure fell by about 5 percent, and Tokopedia’s revenue rose while its transaction value fell. The figures disagreed because they measure different things. Revenue is what a platform keeps. Bank Indonesia’s figure comes from large e-commerce firms, and BPS’s survey counts the sellers it reaches. Each stops standing for another once a take rate or a survey’s reach changes. A reader who checks which condition holds can use any of them.</w:t>
      </w:r>
    </w:p>
    <w:bookmarkEnd w:id="87"/>
    <w:bookmarkEnd w:id="88"/>
    <w:bookmarkStart w:id="99" w:name="Xcc5e22dfeaef7b815bc568b762e37ce25611840"/>
    <w:p>
      <w:pPr>
        <w:pStyle w:val="Heading1"/>
      </w:pPr>
      <w:r>
        <w:t xml:space="preserve">Appendices to Chapters 4 and 5 (working draft, 13 Oct 2026)</w:t>
      </w:r>
    </w:p>
    <w:p>
      <w:pPr>
        <w:pStyle w:val="FirstParagraph"/>
      </w:pPr>
      <w:r>
        <w:t xml:space="preserve">Holds the detail that the main text points to. Every number comes from a committed table named in the notes. Nothing here changes a result in Chapter 5.</w:t>
      </w:r>
    </w:p>
    <w:bookmarkStart w:id="93" w:name="X190ea442f22e8dfb253327d946eb3313b4f8b85"/>
    <w:p>
      <w:pPr>
        <w:pStyle w:val="Heading2"/>
      </w:pPr>
      <w:r>
        <w:t xml:space="preserve">Appendix A. Platforms, windows and the wedge by year</w:t>
      </w:r>
    </w:p>
    <w:bookmarkStart w:id="89"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Platforms are shown by the ticker or name used in the panel (</w:t>
      </w:r>
      <w:r>
        <w:rPr>
          <w:rStyle w:val="VerbatimChar"/>
        </w:rPr>
        <w:t xml:space="preserve">tables/spinoff_panel.csv</w:t>
      </w:r>
      <w:r>
        <w:t xml:space="preserve">,</w:t>
      </w:r>
      <w:r>
        <w:t xml:space="preserve"> </w:t>
      </w:r>
      <w:r>
        <w:rPr>
          <w:rStyle w:val="VerbatimChar"/>
        </w:rPr>
        <w:t xml:space="preserve">tables/transitions_master.csv</w:t>
      </w:r>
      <w:r>
        <w:t xml:space="preserve">); full company names are to be added.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ASAPQ</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FVRR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KSPI</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SEAT</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VCSA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DDL, JD, Jumei, LQDT, NEGG and VIPS (own goods are most of revenue in every year); NBIS, TCOM, TOUR and UXIN (no transaction value disclosed).</w:t>
      </w:r>
    </w:p>
    <w:bookmarkEnd w:id="89"/>
    <w:bookmarkStart w:id="90"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3P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 e-commerce segment</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0"/>
    <w:bookmarkStart w:id="91"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are marked</w:t>
      </w:r>
      <w:r>
        <w:t xml:space="preserve"> </w:t>
      </w:r>
      <w:r>
        <w:rPr>
          <w:rStyle w:val="VerbatimChar"/>
        </w:rPr>
        <w:t xml:space="preserve">out</w:t>
      </w:r>
      <w:r>
        <w:t xml:space="preserve"> </w:t>
      </w:r>
      <w:r>
        <w:t xml:space="preserve">of the main sample in the panel.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2021-2024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2022-2024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2023-2025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2022-2025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E-commerce, 2022-2023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3P Retail, 2022-2025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3P Retail, 2022-2023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(61 and 39 percent in the text).</w:t>
      </w:r>
    </w:p>
    <w:bookmarkEnd w:id="91"/>
    <w:bookmarkStart w:id="92"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conditional country reconstruction</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conditional country reconstruction</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conditional country reconstruction</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conditional country reconstruction</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conditional country reconstruction</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conditional country reconstruction</w:t>
            </w:r>
          </w:p>
        </w:tc>
      </w:tr>
      <w:tr>
        <w:tc>
          <w:tcPr/>
          <w:p>
            <w:pPr>
              <w:pStyle w:val="Compact"/>
              <w:jc w:val="left"/>
            </w:pPr>
            <w:r>
              <w:t xml:space="preserve">Tokopedia e-commerce segment</w:t>
            </w:r>
          </w:p>
        </w:tc>
        <w:tc>
          <w:tcPr/>
          <w:p>
            <w:pPr>
              <w:pStyle w:val="Compact"/>
              <w:jc w:val="left"/>
            </w:pPr>
            <w:r>
              <w:t xml:space="preserve">2022</w:t>
            </w:r>
          </w:p>
        </w:tc>
        <w:tc>
          <w:tcPr/>
          <w:p>
            <w:pPr>
              <w:pStyle w:val="Compact"/>
              <w:jc w:val="left"/>
            </w:pPr>
            <w:r>
              <w:t xml:space="preserve">273,146,166.00</w:t>
            </w:r>
          </w:p>
        </w:tc>
        <w:tc>
          <w:tcPr/>
          <w:p>
            <w:pPr>
              <w:pStyle w:val="Compact"/>
              <w:jc w:val="left"/>
            </w:pPr>
            <w:r>
              <w:t xml:space="preserve">4,030,919.00</w:t>
            </w:r>
          </w:p>
        </w:tc>
        <w:tc>
          <w:tcPr/>
          <w:p>
            <w:pPr>
              <w:pStyle w:val="Compact"/>
              <w:jc w:val="left"/>
            </w:pPr>
            <w:r>
              <w:t xml:space="preserve">269,115,247.00</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indonesia aligned segment</w:t>
            </w:r>
          </w:p>
        </w:tc>
      </w:tr>
      <w:tr>
        <w:tc>
          <w:tcPr/>
          <w:p>
            <w:pPr>
              <w:pStyle w:val="Compact"/>
              <w:jc w:val="left"/>
            </w:pPr>
            <w:r>
              <w:t xml:space="preserve">Tokopedia e-commerce segment</w:t>
            </w:r>
          </w:p>
        </w:tc>
        <w:tc>
          <w:tcPr/>
          <w:p>
            <w:pPr>
              <w:pStyle w:val="Compact"/>
              <w:jc w:val="left"/>
            </w:pPr>
            <w:r>
              <w:t xml:space="preserve">2023</w:t>
            </w:r>
          </w:p>
        </w:tc>
        <w:tc>
          <w:tcPr/>
          <w:p>
            <w:pPr>
              <w:pStyle w:val="Compact"/>
              <w:jc w:val="left"/>
            </w:pPr>
            <w:r>
              <w:t xml:space="preserve">248,836,156.00</w:t>
            </w:r>
          </w:p>
        </w:tc>
        <w:tc>
          <w:tcPr/>
          <w:p>
            <w:pPr>
              <w:pStyle w:val="Compact"/>
              <w:jc w:val="left"/>
            </w:pPr>
            <w:r>
              <w:t xml:space="preserve">6,175,190.00</w:t>
            </w:r>
          </w:p>
        </w:tc>
        <w:tc>
          <w:tcPr/>
          <w:p>
            <w:pPr>
              <w:pStyle w:val="Compact"/>
              <w:jc w:val="left"/>
            </w:pPr>
            <w:r>
              <w:t xml:space="preserve">242,660,966.00</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indonesia aligned segment</w:t>
            </w:r>
          </w:p>
        </w:tc>
      </w:tr>
      <w:tr>
        <w:tc>
          <w:tcPr/>
          <w:p>
            <w:pPr>
              <w:pStyle w:val="Compact"/>
              <w:jc w:val="left"/>
            </w:pPr>
            <w:r>
              <w:t xml:space="preserve">Blibli 3P Retail</w:t>
            </w:r>
          </w:p>
        </w:tc>
        <w:tc>
          <w:tcPr/>
          <w:p>
            <w:pPr>
              <w:pStyle w:val="Compact"/>
              <w:jc w:val="left"/>
            </w:pPr>
            <w:r>
              <w:t xml:space="preserve">2021</w:t>
            </w:r>
          </w:p>
        </w:tc>
        <w:tc>
          <w:tcPr/>
          <w:p>
            <w:pPr>
              <w:pStyle w:val="Compact"/>
              <w:jc w:val="left"/>
            </w:pPr>
            <w:r>
              <w:t xml:space="preserve">15,746.00</w:t>
            </w:r>
          </w:p>
        </w:tc>
        <w:tc>
          <w:tcPr/>
          <w:p>
            <w:pPr>
              <w:pStyle w:val="Compact"/>
              <w:jc w:val="left"/>
            </w:pPr>
            <w:r>
              <w:t xml:space="preserve">122.00</w:t>
            </w:r>
          </w:p>
        </w:tc>
        <w:tc>
          <w:tcPr/>
          <w:p>
            <w:pPr>
              <w:pStyle w:val="Compact"/>
              <w:jc w:val="left"/>
            </w:pPr>
            <w:r>
              <w:t xml:space="preserve">15,624.00</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direct issuer scope pending</w:t>
            </w:r>
          </w:p>
        </w:tc>
      </w:tr>
      <w:tr>
        <w:tc>
          <w:tcPr/>
          <w:p>
            <w:pPr>
              <w:pStyle w:val="Compact"/>
              <w:jc w:val="left"/>
            </w:pPr>
            <w:r>
              <w:t xml:space="preserve">Blibli 3P Retail</w:t>
            </w:r>
          </w:p>
        </w:tc>
        <w:tc>
          <w:tcPr/>
          <w:p>
            <w:pPr>
              <w:pStyle w:val="Compact"/>
              <w:jc w:val="left"/>
            </w:pPr>
            <w:r>
              <w:t xml:space="preserve">2022</w:t>
            </w:r>
          </w:p>
        </w:tc>
        <w:tc>
          <w:tcPr/>
          <w:p>
            <w:pPr>
              <w:pStyle w:val="Compact"/>
              <w:jc w:val="left"/>
            </w:pPr>
            <w:r>
              <w:t xml:space="preserve">37,050.00</w:t>
            </w:r>
          </w:p>
        </w:tc>
        <w:tc>
          <w:tcPr/>
          <w:p>
            <w:pPr>
              <w:pStyle w:val="Compact"/>
              <w:jc w:val="left"/>
            </w:pPr>
            <w:r>
              <w:t xml:space="preserve">199.00</w:t>
            </w:r>
          </w:p>
        </w:tc>
        <w:tc>
          <w:tcPr/>
          <w:p>
            <w:pPr>
              <w:pStyle w:val="Compact"/>
              <w:jc w:val="left"/>
            </w:pPr>
            <w:r>
              <w:t xml:space="preserve">36,851.00</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direct issuer scope pending</w:t>
            </w:r>
          </w:p>
        </w:tc>
      </w:tr>
      <w:tr>
        <w:tc>
          <w:tcPr/>
          <w:p>
            <w:pPr>
              <w:pStyle w:val="Compact"/>
              <w:jc w:val="left"/>
            </w:pPr>
            <w:r>
              <w:t xml:space="preserve">Blibli 3P Retail</w:t>
            </w:r>
          </w:p>
        </w:tc>
        <w:tc>
          <w:tcPr/>
          <w:p>
            <w:pPr>
              <w:pStyle w:val="Compact"/>
              <w:jc w:val="left"/>
            </w:pPr>
            <w:r>
              <w:t xml:space="preserve">2023</w:t>
            </w:r>
          </w:p>
        </w:tc>
        <w:tc>
          <w:tcPr/>
          <w:p>
            <w:pPr>
              <w:pStyle w:val="Compact"/>
              <w:jc w:val="left"/>
            </w:pPr>
            <w:r>
              <w:t xml:space="preserve">49,912.00</w:t>
            </w:r>
          </w:p>
        </w:tc>
        <w:tc>
          <w:tcPr/>
          <w:p>
            <w:pPr>
              <w:pStyle w:val="Compact"/>
              <w:jc w:val="left"/>
            </w:pPr>
            <w:r>
              <w:t xml:space="preserve">1,125.00</w:t>
            </w:r>
          </w:p>
        </w:tc>
        <w:tc>
          <w:tcPr/>
          <w:p>
            <w:pPr>
              <w:pStyle w:val="Compact"/>
              <w:jc w:val="left"/>
            </w:pPr>
            <w:r>
              <w:t xml:space="preserve">48,787.00</w:t>
            </w:r>
          </w:p>
        </w:tc>
        <w:tc>
          <w:tcPr/>
          <w:p>
            <w:pPr>
              <w:pStyle w:val="Compact"/>
              <w:jc w:val="left"/>
            </w:pPr>
            <w:r>
              <w:t xml:space="preserve">2.25</w:t>
            </w:r>
          </w:p>
        </w:tc>
        <w:tc>
          <w:tcPr/>
          <w:p>
            <w:pPr>
              <w:pStyle w:val="Compact"/>
              <w:jc w:val="left"/>
            </w:pPr>
            <w:r>
              <w:t xml:space="preserve">43.4</w:t>
            </w:r>
          </w:p>
        </w:tc>
        <w:tc>
          <w:tcPr/>
          <w:p>
            <w:pPr>
              <w:pStyle w:val="Compact"/>
              <w:jc w:val="left"/>
            </w:pPr>
            <w:r>
              <w:t xml:space="preserve">direct issuer scope pending</w:t>
            </w:r>
          </w:p>
        </w:tc>
      </w:tr>
      <w:tr>
        <w:tc>
          <w:tcPr/>
          <w:p>
            <w:pPr>
              <w:pStyle w:val="Compact"/>
              <w:jc w:val="left"/>
            </w:pPr>
            <w:r>
              <w:t xml:space="preserve">Blibli 3P Retail</w:t>
            </w:r>
          </w:p>
        </w:tc>
        <w:tc>
          <w:tcPr/>
          <w:p>
            <w:pPr>
              <w:pStyle w:val="Compact"/>
              <w:jc w:val="left"/>
            </w:pPr>
            <w:r>
              <w:t xml:space="preserve">2024</w:t>
            </w:r>
          </w:p>
        </w:tc>
        <w:tc>
          <w:tcPr/>
          <w:p>
            <w:pPr>
              <w:pStyle w:val="Compact"/>
              <w:jc w:val="left"/>
            </w:pPr>
            <w:r>
              <w:t xml:space="preserve">54,210.00</w:t>
            </w:r>
          </w:p>
        </w:tc>
        <w:tc>
          <w:tcPr/>
          <w:p>
            <w:pPr>
              <w:pStyle w:val="Compact"/>
              <w:jc w:val="left"/>
            </w:pPr>
            <w:r>
              <w:t xml:space="preserve">1,384.00</w:t>
            </w:r>
          </w:p>
        </w:tc>
        <w:tc>
          <w:tcPr/>
          <w:p>
            <w:pPr>
              <w:pStyle w:val="Compact"/>
              <w:jc w:val="left"/>
            </w:pPr>
            <w:r>
              <w:t xml:space="preserve">52,826.00</w:t>
            </w:r>
          </w:p>
        </w:tc>
        <w:tc>
          <w:tcPr/>
          <w:p>
            <w:pPr>
              <w:pStyle w:val="Compact"/>
              <w:jc w:val="left"/>
            </w:pPr>
            <w:r>
              <w:t xml:space="preserve">2.55</w:t>
            </w:r>
          </w:p>
        </w:tc>
        <w:tc>
          <w:tcPr/>
          <w:p>
            <w:pPr>
              <w:pStyle w:val="Compact"/>
              <w:jc w:val="left"/>
            </w:pPr>
            <w:r>
              <w:t xml:space="preserve">38.2</w:t>
            </w:r>
          </w:p>
        </w:tc>
        <w:tc>
          <w:tcPr/>
          <w:p>
            <w:pPr>
              <w:pStyle w:val="Compact"/>
              <w:jc w:val="left"/>
            </w:pPr>
            <w:r>
              <w:t xml:space="preserve">direct issuer scope pending</w:t>
            </w:r>
          </w:p>
        </w:tc>
      </w:tr>
      <w:tr>
        <w:tc>
          <w:tcPr/>
          <w:p>
            <w:pPr>
              <w:pStyle w:val="Compact"/>
              <w:jc w:val="left"/>
            </w:pPr>
            <w:r>
              <w:t xml:space="preserve">Blibli 3P Retail</w:t>
            </w:r>
          </w:p>
        </w:tc>
        <w:tc>
          <w:tcPr/>
          <w:p>
            <w:pPr>
              <w:pStyle w:val="Compact"/>
              <w:jc w:val="left"/>
            </w:pPr>
            <w:r>
              <w:t xml:space="preserve">2025</w:t>
            </w:r>
          </w:p>
        </w:tc>
        <w:tc>
          <w:tcPr/>
          <w:p>
            <w:pPr>
              <w:pStyle w:val="Compact"/>
              <w:jc w:val="left"/>
            </w:pPr>
            <w:r>
              <w:t xml:space="preserve">53,187.00</w:t>
            </w:r>
          </w:p>
        </w:tc>
        <w:tc>
          <w:tcPr/>
          <w:p>
            <w:pPr>
              <w:pStyle w:val="Compact"/>
              <w:jc w:val="left"/>
            </w:pPr>
            <w:r>
              <w:t xml:space="preserve">1,551.00</w:t>
            </w:r>
          </w:p>
        </w:tc>
        <w:tc>
          <w:tcPr/>
          <w:p>
            <w:pPr>
              <w:pStyle w:val="Compact"/>
              <w:jc w:val="left"/>
            </w:pPr>
            <w:r>
              <w:t xml:space="preserve">51,636.00</w:t>
            </w:r>
          </w:p>
        </w:tc>
        <w:tc>
          <w:tcPr/>
          <w:p>
            <w:pPr>
              <w:pStyle w:val="Compact"/>
              <w:jc w:val="left"/>
            </w:pPr>
            <w:r>
              <w:t xml:space="preserve">2.92</w:t>
            </w:r>
          </w:p>
        </w:tc>
        <w:tc>
          <w:tcPr/>
          <w:p>
            <w:pPr>
              <w:pStyle w:val="Compact"/>
              <w:jc w:val="left"/>
            </w:pPr>
            <w:r>
              <w:t xml:space="preserve">33.3</w:t>
            </w:r>
          </w:p>
        </w:tc>
        <w:tc>
          <w:tcPr/>
          <w:p>
            <w:pPr>
              <w:pStyle w:val="Compact"/>
              <w:jc w:val="left"/>
            </w:pPr>
            <w:r>
              <w:t xml:space="preserve">direct issuer scope pending</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85,081,843.00</w:t>
            </w:r>
          </w:p>
        </w:tc>
        <w:tc>
          <w:tcPr/>
          <w:p>
            <w:pPr>
              <w:pStyle w:val="Compact"/>
              <w:jc w:val="left"/>
            </w:pPr>
            <w:r>
              <w:t xml:space="preserve">1,351,664.00</w:t>
            </w:r>
          </w:p>
        </w:tc>
        <w:tc>
          <w:tcPr/>
          <w:p>
            <w:pPr>
              <w:pStyle w:val="Compact"/>
              <w:jc w:val="left"/>
            </w:pPr>
            <w:r>
              <w:t xml:space="preserve">83,730,179.00</w:t>
            </w:r>
          </w:p>
        </w:tc>
        <w:tc>
          <w:tcPr/>
          <w:p>
            <w:pPr>
              <w:pStyle w:val="Compact"/>
              <w:jc w:val="left"/>
            </w:pPr>
            <w:r>
              <w:t xml:space="preserve">1.59</w:t>
            </w:r>
          </w:p>
        </w:tc>
        <w:tc>
          <w:tcPr/>
          <w:p>
            <w:pPr>
              <w:pStyle w:val="Compact"/>
              <w:jc w:val="left"/>
            </w:pPr>
            <w:r>
              <w:t xml:space="preserve">61.9</w:t>
            </w:r>
          </w:p>
        </w:tc>
        <w:tc>
          <w:tcPr/>
          <w:p>
            <w:pPr>
              <w:pStyle w:val="Compact"/>
              <w:jc w:val="left"/>
            </w:pPr>
            <w:r>
              <w:t xml:space="preserve">direct issuer scope pending</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122,618,794.00</w:t>
            </w:r>
          </w:p>
        </w:tc>
        <w:tc>
          <w:tcPr/>
          <w:p>
            <w:pPr>
              <w:pStyle w:val="Compact"/>
              <w:jc w:val="left"/>
            </w:pPr>
            <w:r>
              <w:t xml:space="preserve">1,869,122.00</w:t>
            </w:r>
          </w:p>
        </w:tc>
        <w:tc>
          <w:tcPr/>
          <w:p>
            <w:pPr>
              <w:pStyle w:val="Compact"/>
              <w:jc w:val="left"/>
            </w:pPr>
            <w:r>
              <w:t xml:space="preserve">120,749,672.00</w:t>
            </w:r>
          </w:p>
        </w:tc>
        <w:tc>
          <w:tcPr/>
          <w:p>
            <w:pPr>
              <w:pStyle w:val="Compact"/>
              <w:jc w:val="left"/>
            </w:pPr>
            <w:r>
              <w:t xml:space="preserve">1.52</w:t>
            </w:r>
          </w:p>
        </w:tc>
        <w:tc>
          <w:tcPr/>
          <w:p>
            <w:pPr>
              <w:pStyle w:val="Compact"/>
              <w:jc w:val="left"/>
            </w:pPr>
            <w:r>
              <w:t xml:space="preserve">64.6</w:t>
            </w:r>
          </w:p>
        </w:tc>
        <w:tc>
          <w:tcPr/>
          <w:p>
            <w:pPr>
              <w:pStyle w:val="Compact"/>
              <w:jc w:val="left"/>
            </w:pPr>
            <w:r>
              <w:t xml:space="preserve">direct issuer scope pending</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153,738,958.00</w:t>
            </w:r>
          </w:p>
        </w:tc>
        <w:tc>
          <w:tcPr/>
          <w:p>
            <w:pPr>
              <w:pStyle w:val="Compact"/>
              <w:jc w:val="left"/>
            </w:pPr>
            <w:r>
              <w:t xml:space="preserve">3,618,366.00</w:t>
            </w:r>
          </w:p>
        </w:tc>
        <w:tc>
          <w:tcPr/>
          <w:p>
            <w:pPr>
              <w:pStyle w:val="Compact"/>
              <w:jc w:val="left"/>
            </w:pPr>
            <w:r>
              <w:t xml:space="preserve">150,120,592.00</w:t>
            </w:r>
          </w:p>
        </w:tc>
        <w:tc>
          <w:tcPr/>
          <w:p>
            <w:pPr>
              <w:pStyle w:val="Compact"/>
              <w:jc w:val="left"/>
            </w:pPr>
            <w:r>
              <w:t xml:space="preserve">2.35</w:t>
            </w:r>
          </w:p>
        </w:tc>
        <w:tc>
          <w:tcPr/>
          <w:p>
            <w:pPr>
              <w:pStyle w:val="Compact"/>
              <w:jc w:val="left"/>
            </w:pPr>
            <w:r>
              <w:t xml:space="preserve">41.5</w:t>
            </w:r>
          </w:p>
        </w:tc>
        <w:tc>
          <w:tcPr/>
          <w:p>
            <w:pPr>
              <w:pStyle w:val="Compact"/>
              <w:jc w:val="left"/>
            </w:pPr>
            <w:r>
              <w:t xml:space="preserve">direct issuer scope pending</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164,380,065.00</w:t>
            </w:r>
          </w:p>
        </w:tc>
        <w:tc>
          <w:tcPr/>
          <w:p>
            <w:pPr>
              <w:pStyle w:val="Compact"/>
              <w:jc w:val="left"/>
            </w:pPr>
            <w:r>
              <w:t xml:space="preserve">4,438,269.00</w:t>
            </w:r>
          </w:p>
        </w:tc>
        <w:tc>
          <w:tcPr/>
          <w:p>
            <w:pPr>
              <w:pStyle w:val="Compact"/>
              <w:jc w:val="left"/>
            </w:pPr>
            <w:r>
              <w:t xml:space="preserve">159,941,796.00</w:t>
            </w:r>
          </w:p>
        </w:tc>
        <w:tc>
          <w:tcPr/>
          <w:p>
            <w:pPr>
              <w:pStyle w:val="Compact"/>
              <w:jc w:val="left"/>
            </w:pPr>
            <w:r>
              <w:t xml:space="preserve">2.70</w:t>
            </w:r>
          </w:p>
        </w:tc>
        <w:tc>
          <w:tcPr/>
          <w:p>
            <w:pPr>
              <w:pStyle w:val="Compact"/>
              <w:jc w:val="left"/>
            </w:pPr>
            <w:r>
              <w:t xml:space="preserve">36.0</w:t>
            </w:r>
          </w:p>
        </w:tc>
        <w:tc>
          <w:tcPr/>
          <w:p>
            <w:pPr>
              <w:pStyle w:val="Compact"/>
              <w:jc w:val="left"/>
            </w:pPr>
            <w:r>
              <w:t xml:space="preserve">direct issuer scope pending</w:t>
            </w:r>
          </w:p>
        </w:tc>
      </w:tr>
    </w:tbl>
    <w:bookmarkEnd w:id="92"/>
    <w:bookmarkEnd w:id="93"/>
    <w:bookmarkStart w:id="96" w:name="appendix-b.-the-checks-on-the-test-of-h1"/>
    <w:p>
      <w:pPr>
        <w:pStyle w:val="Heading2"/>
      </w:pPr>
      <w:r>
        <w:t xml:space="preserve">Appendix B. The checks on the test of H1</w:t>
      </w:r>
    </w:p>
    <w:bookmarkStart w:id="94"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3P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 e-commerce segment</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Tokopedia’s 2022–23 comparison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Details moved from Chapter 5. 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4"/>
    <w:bookmarkStart w:id="95"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5"/>
    <w:bookmarkEnd w:id="96"/>
    <w:bookmarkStart w:id="97"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 X3</w:t>
            </w:r>
          </w:p>
        </w:tc>
        <w:tc>
          <w:tcPr/>
          <w:p>
            <w:pPr>
              <w:pStyle w:val="Compact"/>
              <w:jc w:val="left"/>
            </w:pPr>
            <w:r>
              <w:t xml:space="preserve">More than one third of formal firms have neither a website nor online tax filing, and Indonesia’s share is the highest of the countries compared</w:t>
            </w:r>
          </w:p>
        </w:tc>
        <w:tc>
          <w:tcPr/>
          <w:p>
            <w:pPr>
              <w:pStyle w:val="Compact"/>
              <w:jc w:val="left"/>
            </w:pPr>
            <w:r>
              <w:t xml:space="preserve">3 Oct 2026</w:t>
            </w:r>
          </w:p>
        </w:tc>
        <w:tc>
          <w:tcPr/>
          <w:p>
            <w:pPr>
              <w:pStyle w:val="Compact"/>
              <w:jc w:val="left"/>
            </w:pPr>
            <w:r>
              <w:t xml:space="preserve">Hold (39.9 percent;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when trimmed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7"/>
    <w:bookmarkStart w:id="98"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by</w:t>
      </w:r>
      <w:r>
        <w:t xml:space="preserve"> </w:t>
      </w:r>
      <w:r>
        <w:rPr>
          <w:rStyle w:val="VerbatimChar"/>
        </w:rPr>
        <w:t xml:space="preserve">papers/thesis_2026-10/figures/make_figures.py</w:t>
      </w:r>
      <w:r>
        <w:t xml:space="preserve"> </w:t>
      </w:r>
      <w:r>
        <w:t xml:space="preserve">from committed tables only. The palette is the reference categorical palette (blue and orange). Colour carries the same meaning in each figure only where a legend or label says so.</w:t>
      </w:r>
    </w:p>
    <w:bookmarkEnd w:id="98"/>
    <w:bookmarkEnd w:id="99"/>
    <w:bookmarkStart w:id="100" w:name="references"/>
    <w:p>
      <w:pPr>
        <w:pStyle w:val="Heading1"/>
      </w:pPr>
      <w:r>
        <w:t xml:space="preserve">References</w:t>
      </w:r>
    </w:p>
    <w:p>
      <w:pPr>
        <w:pStyle w:val="FirstParagraph"/>
      </w:pPr>
      <w:r>
        <w:t xml:space="preserve">Working reference list for the thesis, built 15 Oct 2026 from the verified list in</w:t>
      </w:r>
      <w:r>
        <w:t xml:space="preserve"> </w:t>
      </w:r>
      <w:r>
        <w:rPr>
          <w:rStyle w:val="VerbatimChar"/>
        </w:rPr>
        <w:t xml:space="preserve">research/option_space_2026-10-01/materials_2026-10-15/REFERENCE_CHECK.md</w:t>
      </w:r>
      <w:r>
        <w:t xml:space="preserve"> </w:t>
      </w:r>
      <w:r>
        <w:t xml:space="preserve">plus the Chapter 6 and finance sources (</w:t>
      </w:r>
      <w:r>
        <w:rPr>
          <w:rStyle w:val="VerbatimChar"/>
        </w:rPr>
        <w:t xml:space="preserve">CH6_SOURCES.md</w:t>
      </w:r>
      <w:r>
        <w:t xml:space="preserve">,</w:t>
      </w:r>
      <w:r>
        <w:t xml:space="preserve"> </w:t>
      </w:r>
      <w:r>
        <w:rPr>
          <w:rStyle w:val="VerbatimChar"/>
        </w:rPr>
        <w:t xml:space="preserve">FINANCE_FRAMING.md</w:t>
      </w:r>
      <w:r>
        <w:t xml:space="preserve">). APA 7 for now; YZU’s default is numbered citations, so the style may change at assembly. Entries marked [UNVERIFIED] still need one detail checked. Every in-text citation in Chapters 1 to 7 and the appendices has an entry here (checked by script on 15 Oct). Still to add: data citations for the World Bank Enterprise Surveys, LSEG market values and BPS national accounts.</w:t>
      </w:r>
    </w:p>
    <w:p>
      <w:pPr>
        <w:pStyle w:val="BodyText"/>
      </w:pPr>
      <w:r>
        <w:t xml:space="preserve">(APA 7, alphabetical, cited works only)</w:t>
      </w:r>
    </w:p>
    <w:p>
      <w:pPr>
        <w:pStyle w:val="BodyText"/>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 [UNVERIFIED: release date]</w:t>
      </w:r>
    </w:p>
    <w:p>
      <w:pPr>
        <w:pStyle w:val="BodyText"/>
      </w:pPr>
      <w:r>
        <w:t xml:space="preserve">Bank Indonesia. (2025).</w:t>
      </w:r>
      <w:r>
        <w:t xml:space="preserve"> </w:t>
      </w:r>
      <w:r>
        <w:rPr>
          <w:iCs/>
          <w:i/>
        </w:rPr>
        <w:t xml:space="preserve">Sinergi jadi energi saat UMKM naik kelas lewat digitalisasi</w:t>
      </w:r>
      <w:r>
        <w:t xml:space="preserve"> </w:t>
      </w:r>
      <w:r>
        <w:t xml:space="preserve">[Cerita BI]. https://www.bi.go.id/id/publikasi/ruang-media/cerita-bi/Pages/Sinergi-Jadi-Energi-Saat-UMKM-Naik-Kelas-Lewat-Digitalisasi.aspx [UNVERIFIED: exact date; repo notes say 30 Oct 2025]</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https://jdih.bps.go.id [UNVERIFIED: document-level URL]</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[UNVERIFIED: primary text not retrieved (403); details from GMA News, December 29, 2023,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(2026,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Directorate General of Taxes. (n.d.).</w:t>
      </w:r>
      <w:r>
        <w:t xml:space="preserve"> </w:t>
      </w:r>
      <w:r>
        <w:rPr>
          <w:iCs/>
          <w:i/>
        </w:rPr>
        <w:t xml:space="preserve">Pajak atas usaha ekonomi digital terkini Rp32,32 triliun</w:t>
      </w:r>
      <w:r>
        <w:t xml:space="preserve"> </w:t>
      </w:r>
      <w:r>
        <w:t xml:space="preserve">[Press release]. Ministry of Finance of the Republic of Indonesia. https://pajak.go.id/id/siaran-pers/pajak-atas-usaha-ekonomi-digital-terkini-3232-triliun [UNVERIFIED: date and title wording; title inferred from URL]</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[UNVERIFIED: public URL; local copy</w:t>
      </w:r>
      <w:r>
        <w:t xml:space="preserve"> </w:t>
      </w:r>
      <w:r>
        <w:rPr>
          <w:rStyle w:val="VerbatimChar"/>
        </w:rPr>
        <w:t xml:space="preserve">sources/core_public_documents/goto_annual_report_2023.pdf</w:t>
      </w:r>
      <w:r>
        <w:t xml:space="preserve">]</w:t>
      </w:r>
    </w:p>
    <w:p>
      <w:pPr>
        <w:pStyle w:val="BodyText"/>
      </w:pPr>
      <w:r>
        <w:t xml:space="preserve">GoTo Gojek Tokopedia. (2026).</w:t>
      </w:r>
      <w:r>
        <w:t xml:space="preserve"> </w:t>
      </w:r>
      <w:r>
        <w:rPr>
          <w:iCs/>
          <w:i/>
        </w:rPr>
        <w:t xml:space="preserve">Second quarter 2026 earnings call transcript</w:t>
      </w:r>
      <w:r>
        <w:t xml:space="preserve"> </w:t>
      </w:r>
      <w:r>
        <w:t xml:space="preserve">[Transcript]. https://www.gotocompany.com/investor-relations/en/quarterly-results?year=2026&amp;item=Q2 [UNVERIFIED: exact title and date of the call]</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w:t>
      </w:r>
      <w:r>
        <w:t xml:space="preserve"> </w:t>
      </w:r>
      <w:r>
        <w:t xml:space="preserve">[Government Regulation No. 20 of 2026 amending Government Regulation No. 55 of 2022]. https://jdih.setneg.go.id [UNVERIFIED: document-level URL]</w:t>
      </w:r>
    </w:p>
    <w:p>
      <w:pPr>
        <w:pStyle w:val="BodyText"/>
      </w:pPr>
      <w:r>
        <w:t xml:space="preserve">Government of Viet Nam. (2025).</w:t>
      </w:r>
      <w:r>
        <w:t xml:space="preserve"> </w:t>
      </w:r>
      <w:r>
        <w:rPr>
          <w:iCs/>
          <w:i/>
        </w:rPr>
        <w:t xml:space="preserve">Decree No. 117/2025/ND-CP on tax administration for business activities on e-commerce and digital platforms of households and individuals</w:t>
      </w:r>
      <w:r>
        <w:t xml:space="preserve"> </w:t>
      </w:r>
      <w:r>
        <w:t xml:space="preserve">[Issued June 9, 2025; effective July 1, 2025]. [UNVERIFIED: primary text not retrieved; English title and details from EY Tax Alert, June 24, 2025, https://taxnews.ey.com/news/2025-1337-vietnam-promulgates-decree-on-tax-administration-for-business-activities-on-e-commerce-and-digital-platforms-of-households-and-individuals]</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check against Grab’s own webcast before submission]</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https://jdih.kemendag.go.id [UNVERIFIED: document-level URL]</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https://jdih.kemendag.go.id [UNVERIFIED: document-level URL]</w:t>
      </w:r>
    </w:p>
    <w:p>
      <w:pPr>
        <w:pStyle w:val="BodyText"/>
      </w:pPr>
      <w:r>
        <w:t xml:space="preserve">Momentum Works. (2024).</w:t>
      </w:r>
      <w:r>
        <w:t xml:space="preserve"> </w:t>
      </w:r>
      <w:r>
        <w:rPr>
          <w:iCs/>
          <w:i/>
        </w:rPr>
        <w:t xml:space="preserve">Ecommerce in Southeast Asia 2024</w:t>
      </w:r>
      <w:r>
        <w:t xml:space="preserve">. [UNVERIFIED: primary report not seen; the figure used is quoted by Katadata, July 15,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https://www.oecd.org/tax/exchange-of-tax-information/model-reporting-rules-for-digital-platforms-international-exchange-framework-and-optional-module-for-sale-of-goods.pdf</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United Nations et al. (2025).</w:t>
      </w:r>
      <w:r>
        <w:t xml:space="preserve"> </w:t>
      </w:r>
      <w:r>
        <w:rPr>
          <w:iCs/>
          <w:i/>
        </w:rPr>
        <w:t xml:space="preserve">System of national accounts 2025</w:t>
      </w:r>
      <w:r>
        <w:t xml:space="preserve"> </w:t>
      </w:r>
      <w:r>
        <w:t xml:space="preserve">(Studies in Methods, Series F). United Nations. https://doi.org/10.18356/9789211073225 [UNVERIFIED: full list of co-issuing organisations]</w:t>
      </w:r>
    </w:p>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0" Target="media/rId7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2026-10-15T18:08:55Z</dcterms:created>
  <dcterms:modified xsi:type="dcterms:W3CDTF">2026-10-15T18:08:55Z</dcterms:modified>
</cp:coreProperties>
</file>

<file path=docProps/custom.xml><?xml version="1.0" encoding="utf-8"?>
<Properties xmlns="http://schemas.openxmlformats.org/officeDocument/2006/custom-properties" xmlns:vt="http://schemas.openxmlformats.org/officeDocument/2006/docPropsVTypes"/>
</file>