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Between 2022 and 2024, Indonesian and regional platforms changed that share about three times as much as 27 platforms abroad. So the hypothesis that revenue grows in proportion to the commerce is rejected.</w:t>
      </w:r>
    </w:p>
    <w:p>
      <w:pPr>
        <w:pStyle w:val="BodyText"/>
      </w:pPr>
      <w:r>
        <w:t xml:space="preserve">The national count of online sellers rose by 27 percent in 2023. A test registered before the survey files were opened shows that first-time entry explains only about half of that rise.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(AFP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commerce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that platforms carry. In BPS’s survey, the marketplaces carry only about a fifth of online sales value. In Indonesia, platform revenue also grew faster than the commerce behind it, mainly because platforms kept a larger share of each sale and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This matters because market values of internet firms track revenue (Bowen, Davis and Rajgopal 2002). It matters for growth as well as scale: the larger the wedge is next to revenue, the more a small change in fees or discounts moves revenue growth. When the take rate moves, market value per dollar of revenue and market value per dollar of commerce change by different amounts. The thesis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 Across all three, one point recurs.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United Nations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rests on revenue brackets, which only the 2021 and 2023 files give. The thesis assigns each bracket a low, a middle and a high amount. The amounts were fixed before the file was opened. A validation rule applies: the middle scenario’s 2022 total must lie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n.d.),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272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BPS and LSEG file and of the World Bank cross-country query, so anyone who obtains the same files can check them. It holds the code that reads them and the national totals that the code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and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author’s calculations.</w:t>
      </w:r>
    </w:p>
    <w:p>
      <w:pPr>
        <w:pStyle w:val="BodyText"/>
      </w:pPr>
      <w:r>
        <w:t xml:space="preserve">The ratios differ because the amounts were obtained in different ways. Tokopedia reports both amounts, and its ratio is about 39. Shopee’s ratio of 9 follows from the assumed take rate, and Grab’s ratio of about 8 is its company-wide ratio. Neither is separate evidence for Indonesia. Blibli and Bukalapak also report both amounts, with ratios of about 43 and 36, close to Tokopedia’s. They are left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No single platform carries the result. Dropping any one, or treating Tokopedia and GoTo as one company, keeps the Mann–Whitney p-value at 0.016 or below. The main test was set up after a first, narrower test, so it is exploratory.</w:t>
      </w:r>
    </w:p>
    <w:p>
      <w:pPr>
        <w:pStyle w:val="BodyText"/>
      </w:pPr>
      <w:r>
        <w:t xml:space="preserve">A narrower test, set before the wider one, compares the three Indonesian marketplaces with the eight foreign platforms chosen first. It points the same way. With one median per platform, the Mann–Whitney test rejects equal moves (p = 0.024). A shuffle of platform labels on pairs of years comes close without passing (p = 0.06), since three platforms give a test little power. In that sample, revenue growth and transaction value growth had a correlation of 0.10 in Indonesia and 0.98 abroad, excluding Sea.</w:t>
      </w:r>
    </w:p>
    <w:p>
      <w:pPr>
        <w:pStyle w:val="BodyText"/>
      </w:pPr>
      <w:r>
        <w:t xml:space="preserve">The direction of the moves is less telling than their size. Revenue grew faster than transaction value in 13 of the 15 Indonesian and regional pairs. In two of them, revenue and transaction value moved in opposite directions. Abroad, take rates also rose in about two thirds of pairs, but by much less. What sets the Indonesian and regional platforms apart is the size of the moves, which is what the test measures.</w:t>
      </w:r>
    </w:p>
    <w:p>
      <w:pPr>
        <w:pStyle w:val="BodyText"/>
      </w:pPr>
      <w:r>
        <w:t xml:space="preserve">Quarterly pairs do not reject H1 (p = 0.19), contrary to a prediction registered before the test was run. The quarterly Indonesian pairs mostly cover 2023 to 2026, after most of the repricing, while the large moves came between 2022 and 2024.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That estimate is too uncertain to tell from zero. The gap between the two estimates is not large enough to count (p = 0.20), or p = 0.16 with extreme values capped.</w:t>
      </w:r>
    </w:p>
    <w:p>
      <w:pPr>
        <w:pStyle w:val="BodyText"/>
      </w:pPr>
      <w:r>
        <w:t xml:space="preserve">A second run adds five segment series, including Grab, GoTo and Sea, and Mercado Libre. There the gap counts (p = 0.004), with about 0.6 for transaction value against about 0.1 for the take rate.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Revenue and transaction value come from the platforms’ own reports, and market value from share prices.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places and channels. Across the 34 provinces, growth in the count had almost no link to the share of new sellers, a rank correlation of 0.10. It had only a weak link to growth in the sample, at 0.35. A rank correlation compares the order of provinces on two measures and runs from −1 to 1. The break sat in chat and social selling. Among sellers who began by 2022, sellers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online sales value rose by 41 percent in rupiah, from about US$53 billion to about US$72 billion at each year’s exchange rate. The thesis splits that rise by giving each kind of seller its typical size in the 2022 file. New sellers, at the size of those that began in 2022, account for 25 to 30 percent of the rise. The extra earlier sellers, at the size of chat and social sellers, account for 15 to 17 percent. The typical seller already online reported no growth, with a mean change of about −4 percent when each seller counts once. So 53 to 59 percent of the rise has no source in the sellers’ answers. A few large sellers growing fast could fill that part, and the files cannot show whether they did.</w:t>
      </w:r>
    </w:p>
    <w:p>
      <w:pPr>
        <w:pStyle w:val="BodyText"/>
      </w:pPr>
      <w:r>
        <w:t xml:space="preserve">The extra count also bears on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on its threshold once the extra count is read as coverage. Taking out the sellers but keeping their sales gives 34 to 47 percent, though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bears on the choice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Each group’s extra count compares two numbers (Section 4.7). The first is the group’s 2023 count. The second is the 2022 count grown at the group’s own yearly rate from 2020 to 2022. The extra count is the first less the second.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bears on whether the extra sellers were returning after a pause.</w:t>
      </w:r>
    </w:p>
    <w:p>
      <w:pPr>
        <w:pStyle w:val="BodyText"/>
      </w:pPr>
      <w:r>
        <w:t xml:space="preserve">Part-year selling weighs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weighs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Where online sellers sell, and what records they keep, complete the survey evidence.</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bears on the third question of Section 2.4, because a rule built on platform records reaches only the marketplace part. Chapter 6 measures that reach. The same split also marks where the national figures part.</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Across the scenarios it grew by 0.2 to 13 percent.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said that it had more than 14 million merchants in 2023, while BPS counted about 0.7 million marketplace sellers that year (GoTo Gojek Tokopedia 2024b).</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part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 the legal texts; news reports where marked.</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is about 13 percent. At GoTo, where two-wheel rides weigh more, the same arithmetic gives about 1 to 1.4 points on a take rate of about 22 percent.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who apply for the discount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adds a record more than revenue.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parted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part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bear on the commission cap, one on marketplace fees and one on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parted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between 2022 and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it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The national figures agree that growth was small where they cover the same sellers. They part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In Indonesia, the take rate accounted for about two thirds of a revenue move at the typical pair, against about a quarter abroad.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part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w:t>
      </w:r>
    </w:p>
    <w:p>
      <w:pPr>
        <w:pStyle w:val="BodyText"/>
      </w:pPr>
      <w:r>
        <w:t xml:space="preserve">The platform figures carry their own limits. Shopee’s and Grab’s Indonesian amounts rest on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rest on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Three of the sources are licensed: the BPS survey files, the LSEG market values and the World Bank survey files. The repository holds the code and the national totals, and anyone who obtains the same files can rerun the analysis.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revenue and transaction value.</w:t>
      </w:r>
    </w:p>
    <w:p>
      <w:pPr>
        <w:pStyle w:val="BodyText"/>
      </w:pPr>
      <w:r>
        <w:t xml:space="preserve">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The figures disagreed because they measure different things. Revenue is what a platform keeps. Bank Indonesia’s figure comes from large e-commerce firms, and BPS’s survey counts the sellers it reaches. Each stops standing for another once a take rate or a survey’s reach changes. A reader who checks which condition holds can use any of them.</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(tickers NBIS, TCOM, TOUR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Derived value</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Derived value</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Derived value</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Derived value</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Derived value</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Derived value</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122.00</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199.00</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Direct disclosure</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Direct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Direct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 [UNVERIFIED: release date]</w:t>
      </w:r>
    </w:p>
    <w:p>
      <w:pPr>
        <w:pStyle w:val="BodyText"/>
      </w:pPr>
      <w:r>
        <w:t xml:space="preserve">Bank Indonesia. (2025).</w:t>
      </w:r>
      <w:r>
        <w:t xml:space="preserve"> </w:t>
      </w:r>
      <w:r>
        <w:rPr>
          <w:iCs/>
          <w:i/>
        </w:rPr>
        <w:t xml:space="preserve">Sinergi jadi energi saat UMKM naik kelas lewat digitalisasi</w:t>
      </w:r>
      <w:r>
        <w:t xml:space="preserve"> </w:t>
      </w:r>
      <w:r>
        <w:t xml:space="preserve">[Cerita BI]. https://www.bi.go.id/id/publikasi/ruang-media/cerita-bi/Pages/Sinergi-Jadi-Energi-Saat-UMKM-Naik-Kelas-Lewat-Digitalisasi.aspx [UNVERIFIED: exact date; repo notes say 30 Oct 2025]</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https://jdih.bps.go.id [UNVERIFIED: document-level URL]</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[UNVERIFIED: primary text not retrieved (403); details from GMA News, December 29, 2023,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(2026a, July 1).</w:t>
      </w:r>
      <w:r>
        <w:t xml:space="preserve"> </w:t>
      </w:r>
      <w:r>
        <w:rPr>
          <w:iCs/>
          <w:i/>
        </w:rPr>
        <w:t xml:space="preserve">[Designation of four marketplaces as collectors of income tax Article 22]</w:t>
      </w:r>
      <w:r>
        <w:t xml:space="preserve"> </w:t>
      </w:r>
      <w:r>
        <w:t xml:space="preserve">[Press release]. Ministry of Finance of the Republic of Indonesia. https://www.pajak.go.id/en/node/120146 [UNVERIFIED: exact title]</w:t>
      </w:r>
    </w:p>
    <w:p>
      <w:pPr>
        <w:pStyle w:val="BodyText"/>
      </w:pPr>
      <w:r>
        <w:t xml:space="preserve">Directorate General of Taxes. (2026b, August 5).</w:t>
      </w:r>
      <w:r>
        <w:t xml:space="preserve"> </w:t>
      </w:r>
      <w:r>
        <w:rPr>
          <w:iCs/>
          <w:i/>
        </w:rPr>
        <w:t xml:space="preserve">[Postponement of marketplace collection of income tax Article 22 to 1 November 2026] (PENG-46/PJ.09/2026)</w:t>
      </w:r>
      <w:r>
        <w:t xml:space="preserve"> </w:t>
      </w:r>
      <w:r>
        <w:t xml:space="preserve">[Announcement]. Ministry of Finance of the Republic of Indonesia. https://pajak.go.id/en/node/120353 [UNVERIFIED: exact title]</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Directorate General of Taxes. (n.d.).</w:t>
      </w:r>
      <w:r>
        <w:t xml:space="preserve"> </w:t>
      </w:r>
      <w:r>
        <w:rPr>
          <w:iCs/>
          <w:i/>
        </w:rPr>
        <w:t xml:space="preserve">Pajak atas usaha ekonomi digital terkini Rp32,32 triliun</w:t>
      </w:r>
      <w:r>
        <w:t xml:space="preserve"> </w:t>
      </w:r>
      <w:r>
        <w:t xml:space="preserve">[Press release]. Ministry of Finance of the Republic of Indonesia. https://pajak.go.id/id/siaran-pers/pajak-atas-usaha-ekonomi-digital-terkini-3232-triliun [UNVERIFIED: date and title wording; title inferred from URL]</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[UNVERIFIED: public URL; local copy</w:t>
      </w:r>
      <w:r>
        <w:t xml:space="preserve"> </w:t>
      </w:r>
      <w:r>
        <w:rPr>
          <w:rStyle w:val="VerbatimChar"/>
        </w:rPr>
        <w:t xml:space="preserve">sources/core_public_documents/goto_annual_report_2023.pdf</w:t>
      </w:r>
      <w:r>
        <w:t xml:space="preserve">]</w:t>
      </w:r>
    </w:p>
    <w:p>
      <w:pPr>
        <w:pStyle w:val="BodyText"/>
      </w:pPr>
      <w:r>
        <w:t xml:space="preserve">GoTo Gojek Tokopedia. (2026).</w:t>
      </w:r>
      <w:r>
        <w:t xml:space="preserve"> </w:t>
      </w:r>
      <w:r>
        <w:rPr>
          <w:iCs/>
          <w:i/>
        </w:rPr>
        <w:t xml:space="preserve">Second quarter 2026 earnings call transcript</w:t>
      </w:r>
      <w:r>
        <w:t xml:space="preserve"> </w:t>
      </w:r>
      <w:r>
        <w:t xml:space="preserve">[Transcript]. https://www.gotocompany.com/investor-relations/en/quarterly-results?year=2026&amp;item=Q2 [UNVERIFIED: exact title and date of the call]</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w:t>
      </w:r>
      <w:r>
        <w:t xml:space="preserve"> </w:t>
      </w:r>
      <w:r>
        <w:t xml:space="preserve">[Government Regulation No. 20 of 2026 amending Government Regulation No. 55 of 2022]. https://jdih.setneg.go.id [UNVERIFIED: document-level URL]</w:t>
      </w:r>
    </w:p>
    <w:p>
      <w:pPr>
        <w:pStyle w:val="BodyText"/>
      </w:pPr>
      <w:r>
        <w:t xml:space="preserve">Government of Viet Nam. (2025).</w:t>
      </w:r>
      <w:r>
        <w:t xml:space="preserve"> </w:t>
      </w:r>
      <w:r>
        <w:rPr>
          <w:iCs/>
          <w:i/>
        </w:rPr>
        <w:t xml:space="preserve">Decree No. 117/2025/ND-CP on tax administration for business activities on e-commerce and digital platforms of households and individuals</w:t>
      </w:r>
      <w:r>
        <w:t xml:space="preserve"> </w:t>
      </w:r>
      <w:r>
        <w:t xml:space="preserve">[Issued June 9, 2025; effective July 1, 2025]. [UNVERIFIED: primary text not retrieved; English title and details from EY Tax Alert, June 24, 2025, https://taxnews.ey.com/news/2025-1337-vietnam-promulgates-decree-on-tax-administration-for-business-activities-on-e-commerce-and-digital-platforms-of-households-and-individuals]</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check against Grab’s own webcast before submission]</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https://jdih.kemendag.go.id [UNVERIFIED: document-level URL]</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https://jdih.kemendag.go.id [UNVERIFIED: document-level URL]</w:t>
      </w:r>
    </w:p>
    <w:p>
      <w:pPr>
        <w:pStyle w:val="BodyText"/>
      </w:pPr>
      <w:r>
        <w:t xml:space="preserve">Momentum Works. (2024).</w:t>
      </w:r>
      <w:r>
        <w:t xml:space="preserve"> </w:t>
      </w:r>
      <w:r>
        <w:rPr>
          <w:iCs/>
          <w:i/>
        </w:rPr>
        <w:t xml:space="preserve">Ecommerce in Southeast Asia 2024</w:t>
      </w:r>
      <w:r>
        <w:t xml:space="preserve">. [UNVERIFIED: primary report not seen; the figure used is quoted by Katadata, July 15,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https://www.oecd.org/tax/exchange-of-tax-information/model-reporting-rules-for-digital-platforms-international-exchange-framework-and-optional-module-for-sale-of-goods.pdf</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United Nations et al. (2025).</w:t>
      </w:r>
      <w:r>
        <w:t xml:space="preserve"> </w:t>
      </w:r>
      <w:r>
        <w:rPr>
          <w:iCs/>
          <w:i/>
        </w:rPr>
        <w:t xml:space="preserve">System of national accounts 2025</w:t>
      </w:r>
      <w:r>
        <w:t xml:space="preserve"> </w:t>
      </w:r>
      <w:r>
        <w:t xml:space="preserve">(Studies in Methods, Series F). United Nations. https://doi.org/10.18356/9789211073225 [UNVERIFIED: full list of co-issuing organisations]</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2026-10-16T13:52:29Z</dcterms:created>
  <dcterms:modified xsi:type="dcterms:W3CDTF">2026-10-16T13:52:29Z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2026-10-16</vt:lpwstr>
  </property>
</Properties>
</file>