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keepNext/>
        <w:jc w:val="center"/>
      </w:pPr>
      <w:r>
        <w:rPr>
          <w:rFonts w:ascii="Times New Roman" w:hAnsi="Times New Roman" w:cs="Times New Roman" w:eastAsia="Times New Roman"/>
          <w:b/>
          <w:sz w:val="24"/>
        </w:rPr>
        <w:t>碩士論文計畫書</w:t>
        <w:br/>
        <w:t>MASTER'S THESIS PROPOSAL</w:t>
      </w:r>
    </w:p>
    <w:p/>
    <w:p>
      <w:pPr>
        <w:keepNext/>
        <w:jc w:val="center"/>
      </w:pPr>
      <w:r>
        <w:rPr>
          <w:rFonts w:ascii="Times New Roman" w:hAnsi="Times New Roman" w:cs="Times New Roman" w:eastAsia="Times New Roman"/>
          <w:b/>
          <w:sz w:val="24"/>
        </w:rPr>
        <w:t>隱形帳簿：量化印尼平台經濟中的隱形楔子</w:t>
      </w:r>
    </w:p>
    <w:p>
      <w:pPr>
        <w:keepNext/>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eastAsia="Times New Roman"/>
          <w:sz w:val="24"/>
        </w:rPr>
        <w:br w:type="page"/>
      </w:r>
    </w:p>
    <w:p>
      <w:pPr>
        <w:pStyle w:val="Heading1"/>
        <w:keepNext/>
        <w:spacing w:after="80" w:before="180" w:line="276" w:lineRule="auto"/>
        <w:jc w:val="left"/>
      </w:pPr>
      <w:r>
        <w:rPr>
          <w:rFonts w:ascii="Times New Roman" w:hAnsi="Times New Roman" w:cs="Times New Roman" w:eastAsia="Times New Roman"/>
          <w:b/>
          <w:color w:val="000000"/>
          <w:sz w:val="26"/>
        </w:rPr>
        <w:t>Abstract</w:t>
      </w:r>
    </w:p>
    <w:p>
      <w:pPr>
        <w:spacing w:after="60" w:before="0" w:line="276" w:lineRule="auto"/>
        <w:jc w:val="both"/>
      </w:pPr>
      <w:r>
        <w:rPr>
          <w:rFonts w:ascii="Times New Roman" w:hAnsi="Times New Roman" w:cs="Times New Roman" w:eastAsia="Times New Roman"/>
          <w:color w:val="00000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platform revenue. Because no Indonesian platform discloses a strictly country-labelled matched pair across the full study period, observations are retained under named evidence tiers rather than pooled as if they had equal scope. The current inventory spans seventeen candidate platform-year levels across five issuer series from FY2019 to FY2025. Longitudinal evidence shows that transaction value and revenue can move differently, and disclosed revenue components explain important divergences. Official statistics and Indonesia's marketplace reporting rules then provide evidence on wider economic activity and on how platform-held transaction records can enter third-party reporting. External issuer evidence is retained as corroboration rather than as part of the Indonesia sample.</w:t>
      </w:r>
    </w:p>
    <w:p>
      <w:pPr>
        <w:pStyle w:val="Heading1"/>
        <w:keepNext/>
        <w:spacing w:after="80" w:before="180" w:line="276" w:lineRule="auto"/>
        <w:jc w:val="left"/>
      </w:pPr>
      <w:r>
        <w:rPr>
          <w:rFonts w:ascii="Times New Roman" w:hAnsi="Times New Roman" w:cs="Times New Roman" w:eastAsia="Times New Roman"/>
          <w:b/>
          <w:color w:val="000000"/>
          <w:sz w:val="26"/>
        </w:rPr>
        <w:t>1. Introduction</w:t>
      </w:r>
    </w:p>
    <w:p>
      <w:pPr>
        <w:spacing w:after="60" w:before="0" w:line="276" w:lineRule="auto"/>
        <w:jc w:val="both"/>
      </w:pPr>
      <w:r>
        <w:rPr>
          <w:rFonts w:ascii="Times New Roman" w:hAnsi="Times New Roman" w:cs="Times New Roman" w:eastAsia="Times New Roman"/>
          <w:color w:val="000000"/>
          <w:sz w:val="24"/>
        </w:rPr>
        <w:t>Southeast Asia's digital economy grew from $100 billion in gross merchandise value in 2020 to $263 billion in 2024 (Google, Temasek and Bain 2020, 2024). Much of that activity is coordinated through digital platforms, but the value of transactions a platform processes can be far larger than the revenue it recognizes for itself. These platforms record transactions, determine participant payouts, and book their own revenue. I call the difference between the transaction value processed through a platform and the revenue that platform books the "invisible wedge."</w:t>
      </w:r>
    </w:p>
    <w:p>
      <w:pPr>
        <w:spacing w:after="60" w:before="0" w:line="276" w:lineRule="auto"/>
        <w:jc w:val="both"/>
      </w:pPr>
      <w:r>
        <w:rPr>
          <w:rFonts w:ascii="Times New Roman" w:hAnsi="Times New Roman" w:cs="Times New Roman" w:eastAsia="Times New Roman"/>
          <w:color w:val="000000"/>
          <w:sz w:val="24"/>
        </w:rPr>
        <w:t>The term invisible does not imply criminal concealment. Suppose a platform processes 100 units of transaction value but recognizes only 10 units as revenue. The remaining 90 units are still recorded within the platform's system but do not constitute platform revenue. Instead, they may represent merchant receipts, driver payouts, inventory costs, taxes paid elsewhere, and other pass-through payments. The paper measures this accounting gap without assuming that the residual represents profit, taxable income, or unpaid tax. The 90-unit difference in this example is the absolute wedge, W = V − R.</w:t>
      </w:r>
    </w:p>
    <w:p>
      <w:pPr>
        <w:spacing w:after="60" w:before="0" w:line="276" w:lineRule="auto"/>
        <w:jc w:val="both"/>
      </w:pPr>
      <w:r>
        <w:rPr>
          <w:rFonts w:ascii="Times New Roman" w:hAnsi="Times New Roman" w:cs="Times New Roman" w:eastAsia="Times New Roman"/>
          <w:color w:val="000000"/>
          <w:sz w:val="24"/>
        </w:rPr>
        <w:t>I measure the wedge relative to platform revenue with the Ecosystem Ratio, defined as gross transaction value (GTV) not recognized as platform revenue divided by the revenue the platform does recognize. Inputs differ in directness and scope. Grab and Shopee country constructions require derived or external components, while Blibli and Bukalapak report both transaction and revenue inputs directly but at business or Group scopes that require explicit eligibility decisions. For fiscal year 2023 the selected platform cases place transaction value not booked as platform revenue at approximately US$40.07 billion, equivalent to roughly 2.9 percent of Indonesia's 2023 nominal GDP. This comparison is a scale reference only: the wedge is gross transaction value outside platform revenue, not participant profit, unpaid tax, or GDP value-added.</w:t>
      </w:r>
    </w:p>
    <w:p>
      <w:pPr>
        <w:spacing w:after="60" w:before="0" w:line="276" w:lineRule="auto"/>
        <w:jc w:val="both"/>
      </w:pPr>
      <w:r>
        <w:rPr>
          <w:rFonts w:ascii="Times New Roman" w:hAnsi="Times New Roman" w:cs="Times New Roman" w:eastAsia="Times New Roman"/>
          <w:color w:val="000000"/>
          <w:sz w:val="24"/>
        </w:rPr>
        <w:t>Digital platform scale is also not the same as the information automatically reported about merchants, drivers, and other participants. Their gross receipts may remain outside routine third-party income reporting even when the platform holds a record of the transaction that produced them. The wedge does not measure that reporting gap, and this paper does not claim it does. The wedge measures the accounting boundary between processed transaction value and platform-booked revenue. Whether the activity behind that boundary is separately recorded and transmitted to public institutions is a further question the study then examines.</w:t>
      </w:r>
    </w:p>
    <w:p>
      <w:pPr>
        <w:pStyle w:val="Heading2"/>
        <w:keepNext/>
        <w:spacing w:after="40" w:before="120" w:line="276" w:lineRule="auto"/>
        <w:jc w:val="left"/>
      </w:pPr>
      <w:r>
        <w:rPr>
          <w:rFonts w:ascii="Times New Roman" w:hAnsi="Times New Roman" w:cs="Times New Roman" w:eastAsia="Times New Roman"/>
          <w:b/>
          <w:color w:val="000000"/>
          <w:sz w:val="24"/>
        </w:rPr>
        <w:t>1.1 Research question and objectives</w:t>
      </w:r>
    </w:p>
    <w:p>
      <w:pPr>
        <w:spacing w:after="60" w:before="0" w:line="276" w:lineRule="auto"/>
        <w:jc w:val="both"/>
      </w:pPr>
      <w:r>
        <w:rPr>
          <w:rFonts w:ascii="Times New Roman" w:hAnsi="Times New Roman" w:cs="Times New Roman" w:eastAsia="Times New Roman"/>
          <w:color w:val="000000"/>
          <w:sz w:val="24"/>
        </w:rPr>
        <w:t>One question drives the proposal:</w:t>
      </w:r>
    </w:p>
    <w:p>
      <w:pPr>
        <w:spacing w:after="100" w:before="80" w:line="276" w:lineRule="auto"/>
        <w:jc w:val="center"/>
      </w:pPr>
      <w:r>
        <w:rPr>
          <w:rFonts w:ascii="Times New Roman" w:hAnsi="Times New Roman" w:cs="Times New Roman" w:eastAsia="Times New Roman"/>
          <w:i/>
          <w:color w:val="000000"/>
          <w:sz w:val="24"/>
        </w:rPr>
        <w:t>How large is the invisible wedge in Indonesia, how does it change over time, and what explains those changes?</w:t>
      </w:r>
    </w:p>
    <w:p>
      <w:pPr>
        <w:keepNext/>
        <w:spacing w:after="40" w:before="140" w:line="276" w:lineRule="auto"/>
        <w:jc w:val="left"/>
      </w:pPr>
      <w:r>
        <w:rPr>
          <w:rFonts w:ascii="Times New Roman" w:hAnsi="Times New Roman" w:cs="Times New Roman" w:eastAsia="Times New Roman"/>
          <w:i/>
          <w:color w:val="000000"/>
          <w:sz w:val="19"/>
        </w:rPr>
        <w:t>Table 1. Research objectives and principal evidence. Objectives 1 and 2 concern the measurement and its movement within Indonesia; objective 3 follows the activity and the underlying records beyond platform accounts. Global issuer evidence is reported as external corroboration in Section 5.</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Objective</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Principal evidence</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Measure the wedge longitudinally while keeping evidence tiers visible</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17 retained candidate platform-year levels, three tiers, FY2019–FY2025</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Explain why the wedge moves</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Disclosed monetization, customer incentives, gross-versus-net revenue, accounting, business scope</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Locate the wider activity and the underlying records beyond platform revenue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 national, channel and recordkeeping evidence; PMK 37/2025 and DJP materials</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A separate module of 48 matched issuer-years across eight non-Indonesian platform businesses is retained as external corroboration. It tests whether the transaction–revenue boundary also appears across other platform business models; it is not an Indonesia observation, not a representative global panel, and not a separate main research question.</w:t>
      </w:r>
    </w:p>
    <w:p>
      <w:pPr>
        <w:pStyle w:val="Heading2"/>
        <w:keepNext/>
        <w:spacing w:after="40" w:before="120" w:line="276" w:lineRule="auto"/>
        <w:jc w:val="left"/>
      </w:pPr>
      <w:r>
        <w:rPr>
          <w:rFonts w:ascii="Times New Roman" w:hAnsi="Times New Roman" w:cs="Times New Roman" w:eastAsia="Times New Roman"/>
          <w:b/>
          <w:color w:val="000000"/>
          <w:sz w:val="24"/>
        </w:rPr>
        <w:t>1.2 Contributions</w:t>
      </w:r>
    </w:p>
    <w:p>
      <w:pPr>
        <w:spacing w:after="60" w:before="0" w:line="276" w:lineRule="auto"/>
        <w:jc w:val="both"/>
      </w:pPr>
      <w:r>
        <w:rPr>
          <w:rFonts w:ascii="Times New Roman" w:hAnsi="Times New Roman" w:cs="Times New Roman" w:eastAsia="Times New Roman"/>
          <w:color w:val="000000"/>
          <w:sz w:val="24"/>
        </w:rPr>
        <w:t>First, longitudinal measurement. Earlier evidence for Indonesia rested heavily on a single fiscal year. The current inventory spans seventeen retained candidate platform-year levels from FY2019 to FY2025 across five issuer series, with direct Indonesia-aligned, direct scope-pending, and conditional tiers kept separate. The study therefore reports both the scale of the wedge and its direction of travel. External issuer evidence provides corroboration that a transaction–revenue boundary is not peculiar to one Indonesian disclosure setting, while remaining outside the Indonesia sample.</w:t>
      </w:r>
    </w:p>
    <w:p>
      <w:pPr>
        <w:spacing w:after="60" w:before="0" w:line="276" w:lineRule="auto"/>
        <w:jc w:val="both"/>
      </w:pPr>
      <w:r>
        <w:rPr>
          <w:rFonts w:ascii="Times New Roman" w:hAnsi="Times New Roman" w:cs="Times New Roman" w:eastAsia="Times New Roman"/>
          <w:color w:val="000000"/>
          <w:sz w:val="24"/>
        </w:rPr>
        <w:t>Second, mechanism. The thesis explains why transaction value and platform revenue can move differently by reconciling material divergences against the revenue components issuers themselves disclose: monetization, customer incentives, gross-versus-net recognition, and reporting perimeter. These reconciliations are arithmetic against disclosed components, not causal decompositions.</w:t>
      </w:r>
    </w:p>
    <w:p>
      <w:pPr>
        <w:spacing w:after="60" w:before="0" w:line="276" w:lineRule="auto"/>
        <w:jc w:val="both"/>
      </w:pPr>
      <w:r>
        <w:rPr>
          <w:rFonts w:ascii="Times New Roman" w:hAnsi="Times New Roman" w:cs="Times New Roman" w:eastAsia="Times New Roman"/>
          <w:color w:val="000000"/>
          <w:sz w:val="24"/>
        </w:rPr>
        <w:t>Third, wider economic and institutional interpretation. The thesis connects the issuer-level accounting boundary to BPS evidence on e-commerce value, business participation, channels, payment practices, and recordkeeping. Indonesia's PMK 37/2025 and related Directorate General of Taxes materials then provide a concrete institutional example of how platform-held seller and transaction records can be used for reporting and withholding. This does not establish a completed compliance or tax-revenue effect.</w:t>
      </w:r>
    </w:p>
    <w:p>
      <w:pPr>
        <w:pStyle w:val="Heading2"/>
        <w:keepNext/>
        <w:spacing w:after="40" w:before="120" w:line="276" w:lineRule="auto"/>
        <w:jc w:val="left"/>
      </w:pPr>
      <w:r>
        <w:rPr>
          <w:rFonts w:ascii="Times New Roman" w:hAnsi="Times New Roman" w:cs="Times New Roman" w:eastAsia="Times New Roman"/>
          <w:b/>
          <w:color w:val="000000"/>
          <w:sz w:val="24"/>
        </w:rPr>
        <w:t>1.3 What the proposal supports — and does not support</w:t>
      </w:r>
    </w:p>
    <w:p>
      <w:pPr>
        <w:keepNext/>
        <w:spacing w:after="40" w:before="140" w:line="276" w:lineRule="auto"/>
        <w:jc w:val="left"/>
      </w:pPr>
      <w:r>
        <w:rPr>
          <w:rFonts w:ascii="Times New Roman" w:hAnsi="Times New Roman" w:cs="Times New Roman" w:eastAsia="Times New Roman"/>
          <w:i/>
          <w:color w:val="000000"/>
          <w:sz w:val="19"/>
        </w:rPr>
        <w:t>Table 2. Claims supported and not supported by the evidence assembled for this proposal.</w:t>
      </w:r>
    </w:p>
    <w:tbl>
      <w:tblPr>
        <w:tblStyle w:val="TableGrid"/>
        <w:tblW w:type="auto" w:w="0"/>
        <w:jc w:val="center"/>
        <w:tblLook w:firstColumn="1" w:firstRow="1" w:lastColumn="0" w:lastRow="0" w:noHBand="0" w:noVBand="1" w:val="04A0"/>
      </w:tblPr>
      <w:tblGrid>
        <w:gridCol w:w="4706"/>
        <w:gridCol w:w="4706"/>
      </w:tblGrid>
      <w:tr>
        <w:trPr>
          <w:tblHeader w:val="true"/>
          <w:cantSplit/>
        </w:trPr>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The evidence supports</w:t>
            </w:r>
          </w:p>
        </w:tc>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The evidence does not by itself establish</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 value processed through selected platform scopes can substantially exceed platform-booked revenue.</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V − R is profit, taxable income, unpaid tax, tax evasion, or missing GDP.</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The wedge and Ecosystem Ratio can be followed through time when period and scope are matched.</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all candidate tiers are equally direct or belong in one final advisor-approved sample.</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Transaction-value growth and revenue growth can diverge, including opposite-sign transitions.</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 causal mechanism unless a separate design identifies one.</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Issuer revenue components can arithmetically reconcile selected divergences.</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accounting components are causal treatment effects.</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 aggregates show wider e-commerce activity, channels, participation, and recordkeeping beyond issuer accounts.</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 firm-level causal relationship or a reconciliation of BPS totals to issuer transaction value.</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PMK/DJP documents establish a legal/reporting architecture using seller-linked transaction information.</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the policy has already raised compliance or tax revenue.</w:t>
            </w:r>
          </w:p>
        </w:tc>
      </w:tr>
    </w:tbl>
    <w:p>
      <w:pPr>
        <w:spacing w:after="0" w:before="0" w:line="276" w:lineRule="auto"/>
        <w:jc w:val="both"/>
      </w:pPr>
      <w:r>
        <w:rPr>
          <w:rFonts w:ascii="Times New Roman" w:hAnsi="Times New Roman" w:cs="Times New Roman" w:eastAsia="Times New Roman"/>
          <w:color w:val="000000"/>
          <w:sz w:val="10"/>
        </w:rPr>
      </w:r>
    </w:p>
    <w:p>
      <w:pPr>
        <w:pStyle w:val="Heading1"/>
        <w:keepNext/>
        <w:spacing w:after="80" w:before="180" w:line="276" w:lineRule="auto"/>
        <w:jc w:val="left"/>
      </w:pPr>
      <w:r>
        <w:rPr>
          <w:rFonts w:ascii="Times New Roman" w:hAnsi="Times New Roman" w:cs="Times New Roman" w:eastAsia="Times New Roman"/>
          <w:b/>
          <w:color w:val="000000"/>
          <w:sz w:val="26"/>
        </w:rPr>
        <w:t>2. Literature Review and Research Gap</w:t>
      </w:r>
    </w:p>
    <w:p>
      <w:pPr>
        <w:pStyle w:val="Heading2"/>
        <w:keepNext/>
        <w:spacing w:after="40" w:before="120" w:line="276" w:lineRule="auto"/>
        <w:jc w:val="left"/>
      </w:pPr>
      <w:r>
        <w:rPr>
          <w:rFonts w:ascii="Times New Roman" w:hAnsi="Times New Roman" w:cs="Times New Roman" w:eastAsia="Times New Roman"/>
          <w:b/>
          <w:color w:val="000000"/>
          <w:sz w:val="24"/>
        </w:rPr>
        <w:t>2.1 Platform economics and the location of value</w:t>
      </w:r>
    </w:p>
    <w:p>
      <w:pPr>
        <w:spacing w:after="60" w:before="0" w:line="276" w:lineRule="auto"/>
        <w:jc w:val="both"/>
      </w:pPr>
      <w:r>
        <w:rPr>
          <w:rFonts w:ascii="Times New Roman" w:hAnsi="Times New Roman" w:cs="Times New Roman" w:eastAsia="Times New Roman"/>
          <w:color w:val="000000"/>
          <w:sz w:val="24"/>
        </w:rPr>
        <w:t>The economics of multisided platforms begins with the interaction of distinct user groups whose participation affects the value received by the other side. Rochet and Tirole (2003), Caillaud and Jullien (2003), Parker and Van Alstyne (2005), and Armstrong (2006) show why platform pricing cannot be read as a simple markup over cost: prices and commissions are chosen to balance cross-group network effects, participation, and competition. Hagiu and Wright (2015) further distinguish a multisided platform from a vertically integrated firm by locating decision rights and entrepreneurial effort with affiliated participants rather than inside the platform. Evans and Schmalensee (2016) translate the same point into the business-model literature. These results explain why low retained shares can coexist with large ecosystems and why platform revenue is a poor proxy for the transaction value coordinated through the platform.</w:t>
      </w:r>
    </w:p>
    <w:p>
      <w:pPr>
        <w:pStyle w:val="Heading2"/>
        <w:keepNext/>
        <w:spacing w:after="40" w:before="120" w:line="276" w:lineRule="auto"/>
        <w:jc w:val="left"/>
      </w:pPr>
      <w:r>
        <w:rPr>
          <w:rFonts w:ascii="Times New Roman" w:hAnsi="Times New Roman" w:cs="Times New Roman" w:eastAsia="Times New Roman"/>
          <w:b/>
          <w:color w:val="000000"/>
          <w:sz w:val="24"/>
        </w:rPr>
        <w:t>2.2 Accounting and revenue recognition</w:t>
      </w:r>
    </w:p>
    <w:p>
      <w:pPr>
        <w:spacing w:after="60" w:before="0" w:line="276" w:lineRule="auto"/>
        <w:jc w:val="both"/>
      </w:pPr>
      <w:r>
        <w:rPr>
          <w:rFonts w:ascii="Times New Roman" w:hAnsi="Times New Roman" w:cs="Times New Roman" w:eastAsia="Times New Roman"/>
          <w:color w:val="000000"/>
          <w:sz w:val="24"/>
        </w:rPr>
        <w:t>Accounting determines how much facilitated commerce becomes revenue. Under IFRS 15, principal–agent treatment governs gross-versus-net presentation, while customer incentives, advertising and service income, acquisitions, and reporting perimeter can move revenue without an equivalent change in commerce. De Franco, Kothari and Verdi (2011) show why comparability matters to users of financial statements. The accounting boundary therefore provides a mechanism for transaction value and recognized revenue to diverge even when both measures are correctly reported.</w:t>
      </w:r>
    </w:p>
    <w:p>
      <w:pPr>
        <w:pStyle w:val="Heading2"/>
        <w:keepNext/>
        <w:spacing w:after="40" w:before="120" w:line="276" w:lineRule="auto"/>
        <w:jc w:val="left"/>
      </w:pPr>
      <w:r>
        <w:rPr>
          <w:rFonts w:ascii="Times New Roman" w:hAnsi="Times New Roman" w:cs="Times New Roman" w:eastAsia="Times New Roman"/>
          <w:b/>
          <w:color w:val="000000"/>
          <w:sz w:val="24"/>
        </w:rPr>
        <w:t>2.3 Informality, platform work, and measurement</w:t>
      </w:r>
    </w:p>
    <w:p>
      <w:pPr>
        <w:spacing w:after="60" w:before="0" w:line="276" w:lineRule="auto"/>
        <w:jc w:val="both"/>
      </w:pPr>
      <w:r>
        <w:rPr>
          <w:rFonts w:ascii="Times New Roman" w:hAnsi="Times New Roman" w:cs="Times New Roman" w:eastAsia="Times New Roman"/>
          <w:color w:val="000000"/>
          <w:sz w:val="24"/>
        </w:rPr>
        <w:t>Traditional informal-economy estimates rely on household surveys, firm surveys, or indirect macroeconomic indicators. Medina and Schneider (2019) estimate a large global shadow economy; La Porta and Shleifer (2014) emphasise the small scale and low productivity of informal firms; and Ulyssea (2018) shows that registration and off-the-books employment are distinct margins whose welfare effects cannot be inferred from formal status alone. The International Labour Organization (2021, 2023) likewise treats platform work and informality as overlapping but non-identical categories.</w:t>
      </w:r>
    </w:p>
    <w:p>
      <w:pPr>
        <w:spacing w:after="60" w:before="0" w:line="276" w:lineRule="auto"/>
        <w:jc w:val="both"/>
      </w:pPr>
      <w:r>
        <w:rPr>
          <w:rFonts w:ascii="Times New Roman" w:hAnsi="Times New Roman" w:cs="Times New Roman" w:eastAsia="Times New Roman"/>
          <w:color w:val="000000"/>
          <w:sz w:val="24"/>
        </w:rPr>
        <w:t>Platform participants occupy an unusual position in this literature. Their transactions are priced, recorded, and settled through a formal intermediary, but the participant may remain self-employed, unregistered, below filing thresholds, or simply outside an automatic reporting channel. The object measured here is therefore not the shadow economy as conventionally defined. It is a digitally recorded flow whose administrative treatment may resemble self-reported income even though an intermediary already possesses the transaction record.</w:t>
      </w:r>
    </w:p>
    <w:p>
      <w:pPr>
        <w:pStyle w:val="Heading2"/>
        <w:keepNext/>
        <w:spacing w:after="40" w:before="120" w:line="276" w:lineRule="auto"/>
        <w:jc w:val="left"/>
      </w:pPr>
      <w:r>
        <w:rPr>
          <w:rFonts w:ascii="Times New Roman" w:hAnsi="Times New Roman" w:cs="Times New Roman" w:eastAsia="Times New Roman"/>
          <w:b/>
          <w:color w:val="000000"/>
          <w:sz w:val="24"/>
        </w:rPr>
        <w:t>2.4 Third-party reporting</w:t>
      </w:r>
    </w:p>
    <w:p>
      <w:pPr>
        <w:spacing w:after="60" w:before="0" w:line="276" w:lineRule="auto"/>
        <w:jc w:val="both"/>
      </w:pPr>
      <w:r>
        <w:rPr>
          <w:rFonts w:ascii="Times New Roman" w:hAnsi="Times New Roman" w:cs="Times New Roman" w:eastAsia="Times New Roman"/>
          <w:color w:val="000000"/>
          <w:sz w:val="24"/>
        </w:rPr>
        <w:t>A central result in public finance is that tax compliance depends strongly on third-party information and remittance structure. Kleven et al. (2011) find an evasion rate of 0.3 percent on income subject to third-party reporting versus 37 percent on self-reported income in Denmark. Pomeranz (2015) shows that the VAT paper trail creates self-enforcement across firms, while Naritomi (2019) demonstrates that consumer-held records can raise reported sales. Kleven, Kreiner and Saez (2016) formalise firms as fiscal intermediaries, and Slemrod (2019) places information reporting and remittance regimes among the core instruments of modern enforcement.</w:t>
      </w:r>
    </w:p>
    <w:p>
      <w:pPr>
        <w:spacing w:after="60" w:before="0" w:line="276" w:lineRule="auto"/>
        <w:jc w:val="both"/>
      </w:pPr>
      <w:r>
        <w:rPr>
          <w:rFonts w:ascii="Times New Roman" w:hAnsi="Times New Roman" w:cs="Times New Roman" w:eastAsia="Times New Roman"/>
          <w:color w:val="000000"/>
          <w:sz w:val="24"/>
        </w:rPr>
        <w:t>Platform work creates a new configuration: a large intermediary may hold detailed transaction records even where there is no comprehensive obligation to report seller or worker income. The administrative problem is therefore not necessarily a lack of data generation; it can be the absence, incompleteness, or fragmentation of the reporting rule. Barrios, Hochberg, and Yi (2022) and Denes, Lagaras, and Tsoutsoura (2025) further show that platform-mediated work leaves economically meaningful financial and administrative records.</w:t>
      </w:r>
    </w:p>
    <w:p>
      <w:pPr>
        <w:pStyle w:val="Heading2"/>
        <w:keepNext/>
        <w:spacing w:after="40" w:before="120" w:line="276" w:lineRule="auto"/>
        <w:jc w:val="left"/>
      </w:pPr>
      <w:r>
        <w:rPr>
          <w:rFonts w:ascii="Times New Roman" w:hAnsi="Times New Roman" w:cs="Times New Roman" w:eastAsia="Times New Roman"/>
          <w:b/>
          <w:color w:val="000000"/>
          <w:sz w:val="24"/>
        </w:rPr>
        <w:t>2.5 Digital taxation and platform-reporting rules</w:t>
      </w:r>
    </w:p>
    <w:p>
      <w:pPr>
        <w:spacing w:after="60" w:before="0" w:line="276" w:lineRule="auto"/>
        <w:jc w:val="both"/>
      </w:pPr>
      <w:r>
        <w:rPr>
          <w:rFonts w:ascii="Times New Roman" w:hAnsi="Times New Roman" w:cs="Times New Roman" w:eastAsia="Times New Roman"/>
          <w:color w:val="000000"/>
          <w:sz w:val="24"/>
        </w:rPr>
        <w:t>Corporate digital-tax reforms and platform-participant reporting address different bases. The OECD Pillar One blueprint concerns the allocation of taxing rights over large multinational enterprises (OECD 2020b). By contrast, the OECD's Forum on Tax Administration report and Model Rules require platforms to collect and report information on income realised by sellers and service providers (OECD 2019, 2020a). The European Union's DAC7 regime similarly imposes due-diligence and reporting duties on platform operators (European Union 2021). These instruments provide the closest policy precedent for the mechanism studied here: using the platform's existing transaction record to improve participant-level visibility without treating platform revenue as the participant tax base. Indonesia's PMK 37/2025 applies the same logic through seller identification, transaction-linked reporting, and marketplace withholding.</w:t>
      </w:r>
    </w:p>
    <w:p>
      <w:pPr>
        <w:pStyle w:val="Heading2"/>
        <w:keepNext/>
        <w:spacing w:after="40" w:before="120" w:line="276" w:lineRule="auto"/>
        <w:jc w:val="left"/>
      </w:pPr>
      <w:r>
        <w:rPr>
          <w:rFonts w:ascii="Times New Roman" w:hAnsi="Times New Roman" w:cs="Times New Roman" w:eastAsia="Times New Roman"/>
          <w:b/>
          <w:color w:val="000000"/>
          <w:sz w:val="24"/>
        </w:rPr>
        <w:t>2.6 Research gap</w:t>
      </w:r>
    </w:p>
    <w:p>
      <w:pPr>
        <w:spacing w:after="60" w:before="0" w:line="276" w:lineRule="auto"/>
        <w:jc w:val="both"/>
      </w:pPr>
      <w:r>
        <w:rPr>
          <w:rFonts w:ascii="Times New Roman" w:hAnsi="Times New Roman" w:cs="Times New Roman" w:eastAsia="Times New Roman"/>
          <w:color w:val="000000"/>
          <w:sz w:val="24"/>
        </w:rPr>
        <w:t>These literatures explain why transaction value can exceed platform revenue, why accounting can move the two apart, why participant records vary, and why third-party information matters. What is missing is a longitudinal, source-auditable account for one market that measures the wedge, explains why it moves, locates the wider digital activity beyond issuer accounts, and then asks how the existing transaction records enter institutional reporting. External issuer evidence can then test whether the underlying transaction–revenue boundary also appears across other platform business models without turning that corroboration into a second main sample.</w:t>
      </w:r>
    </w:p>
    <w:p>
      <w:pPr>
        <w:pStyle w:val="Heading1"/>
        <w:keepNext/>
        <w:spacing w:after="80" w:before="180" w:line="276" w:lineRule="auto"/>
        <w:jc w:val="left"/>
      </w:pPr>
      <w:r>
        <w:rPr>
          <w:rFonts w:ascii="Times New Roman" w:hAnsi="Times New Roman" w:cs="Times New Roman" w:eastAsia="Times New Roman"/>
          <w:b/>
          <w:color w:val="000000"/>
          <w:sz w:val="26"/>
        </w:rPr>
        <w:t>3. Theoretical Framework: the Ecosystem Ratio</w:t>
      </w:r>
    </w:p>
    <w:p>
      <w:pPr>
        <w:spacing w:after="60" w:before="0" w:line="276" w:lineRule="auto"/>
        <w:jc w:val="both"/>
      </w:pPr>
      <w:r>
        <w:rPr>
          <w:rFonts w:ascii="Times New Roman" w:hAnsi="Times New Roman" w:cs="Times New Roman" w:eastAsia="Times New Roman"/>
          <w:color w:val="000000"/>
          <w:sz w:val="24"/>
        </w:rPr>
        <w:t>To capture the invisible wedge in Indonesia, I propose and construct the Ecosystem Ratio. The measure is my own construction for this paper rather than one adopted from a prior study.</w:t>
      </w:r>
    </w:p>
    <w:p>
      <w:pPr>
        <w:spacing w:after="60" w:before="0" w:line="276" w:lineRule="auto"/>
        <w:jc w:val="both"/>
      </w:pPr>
      <w:r>
        <w:rPr>
          <w:rFonts w:ascii="Times New Roman" w:hAnsi="Times New Roman" w:cs="Times New Roman" w:eastAsia="Times New Roman"/>
          <w:color w:val="000000"/>
          <w:sz w:val="24"/>
        </w:rPr>
        <w:t>Let V denote transaction value and R denote platform-recognized revenue. The absolute invisible wedge is:</w:t>
      </w:r>
    </w:p>
    <w:p>
      <w:pPr>
        <w:spacing w:after="100" w:before="80" w:line="276" w:lineRule="auto"/>
        <w:jc w:val="center"/>
      </w:pPr>
      <w:r>
        <w:rPr>
          <w:rFonts w:ascii="Times New Roman" w:hAnsi="Times New Roman" w:cs="Times New Roman" w:eastAsia="Times New Roman"/>
          <w:i/>
          <w:color w:val="000000"/>
          <w:sz w:val="24"/>
        </w:rPr>
        <w:t>W = V − R</w:t>
      </w:r>
    </w:p>
    <w:p>
      <w:pPr>
        <w:spacing w:after="60" w:before="0" w:line="276" w:lineRule="auto"/>
        <w:jc w:val="both"/>
      </w:pPr>
      <w:r>
        <w:rPr>
          <w:rFonts w:ascii="Times New Roman" w:hAnsi="Times New Roman" w:cs="Times New Roman" w:eastAsia="Times New Roman"/>
          <w:color w:val="000000"/>
          <w:sz w:val="24"/>
        </w:rPr>
        <w:t>The Ecosystem Ratio expresses that wedge relative to platform revenue:</w:t>
      </w:r>
    </w:p>
    <w:p>
      <w:pPr>
        <w:spacing w:after="100" w:before="80" w:line="276" w:lineRule="auto"/>
        <w:jc w:val="center"/>
      </w:pPr>
      <w:r>
        <w:rPr>
          <w:rFonts w:ascii="Times New Roman" w:hAnsi="Times New Roman" w:cs="Times New Roman" w:eastAsia="Times New Roman"/>
          <w:i/>
          <w:color w:val="000000"/>
          <w:sz w:val="24"/>
        </w:rPr>
        <w:t>E = (V − R) / R</w:t>
      </w:r>
    </w:p>
    <w:p>
      <w:pPr>
        <w:spacing w:after="60" w:before="0" w:line="276" w:lineRule="auto"/>
        <w:jc w:val="both"/>
      </w:pPr>
      <w:r>
        <w:rPr>
          <w:rFonts w:ascii="Times New Roman" w:hAnsi="Times New Roman" w:cs="Times New Roman" w:eastAsia="Times New Roman"/>
          <w:color w:val="000000"/>
          <w:sz w:val="24"/>
        </w:rPr>
        <w:t>For example, if a platform processes 100 units of transaction value and books 10 units as revenue, then W = 90 and E = 9.</w:t>
      </w:r>
    </w:p>
    <w:p>
      <w:pPr>
        <w:spacing w:after="60" w:before="0" w:line="276" w:lineRule="auto"/>
        <w:jc w:val="both"/>
      </w:pPr>
      <w:r>
        <w:rPr>
          <w:rFonts w:ascii="Times New Roman" w:hAnsi="Times New Roman" w:cs="Times New Roman" w:eastAsia="Times New Roman"/>
          <w:color w:val="000000"/>
          <w:sz w:val="24"/>
        </w:rPr>
        <w:t>Gross transaction value (GTV), or gross merchandise value (GMV) in some platform disclosures, is the total value of transactions processed through a platform, regardless of who ultimately receives the proceeds. This construction is consistent with the platform-economics literature showing that booked platform revenue need not track the total transaction value coordinated through a multisided platform (Rochet and Tirole 2003; Evans and Schmalensee 2016).</w:t>
      </w:r>
    </w:p>
    <w:p>
      <w:pPr>
        <w:spacing w:after="60" w:before="0" w:line="276" w:lineRule="auto"/>
        <w:jc w:val="both"/>
      </w:pPr>
      <w:r>
        <w:rPr>
          <w:rFonts w:ascii="Times New Roman" w:hAnsi="Times New Roman" w:cs="Times New Roman" w:eastAsia="Times New Roman"/>
          <w:color w:val="000000"/>
          <w:sz w:val="24"/>
        </w:rPr>
        <w:t>The Ecosystem Ratio describes the scale of participant-facing transaction value relative to the platform's auditable revenue base. A higher ratio indicates a larger unbooked transaction flow relative to the platform's own revenue; it does not by itself imply greater participant profit, taxable income, value-added, non-compliance, or tax due.</w:t>
      </w:r>
    </w:p>
    <w:p>
      <w:pPr>
        <w:spacing w:after="60" w:before="0" w:line="276" w:lineRule="auto"/>
        <w:jc w:val="both"/>
      </w:pPr>
      <w:r>
        <w:rPr>
          <w:rFonts w:ascii="Times New Roman" w:hAnsi="Times New Roman" w:cs="Times New Roman" w:eastAsia="Times New Roman"/>
          <w:color w:val="000000"/>
          <w:sz w:val="24"/>
        </w:rPr>
        <w:t>This distinction is essential. Platform filings and investor disclosures can make the accounting gap measurable, but the tax treatment of the residual varies according to participant type, deductible expenses, tax thresholds, registration status, and taxes already remitted through other channels. The empirical contribution of this paper is therefore to quantify the recorded transaction flow that platforms process but do not book as their own revenue, and to establish how that quantity moves and why — not to infer the amount outside the tax system directly from V − R.</w:t>
      </w:r>
    </w:p>
    <w:p>
      <w:pPr>
        <w:spacing w:after="60" w:before="0" w:line="276" w:lineRule="auto"/>
        <w:jc w:val="both"/>
      </w:pPr>
      <w:r>
        <w:rPr>
          <w:rFonts w:ascii="Times New Roman" w:hAnsi="Times New Roman" w:cs="Times New Roman" w:eastAsia="Times New Roman"/>
          <w:color w:val="000000"/>
          <w:sz w:val="24"/>
        </w:rPr>
        <w:t>Because the transaction–revenue relationship also changes through time, the analysis compares transaction-value growth with platform-revenue growth for each within-series annual transition:</w:t>
      </w:r>
    </w:p>
    <w:p>
      <w:pPr>
        <w:spacing w:after="100" w:before="80" w:line="276" w:lineRule="auto"/>
        <w:jc w:val="center"/>
      </w:pPr>
      <w:r>
        <w:rPr>
          <w:rFonts w:ascii="Times New Roman" w:hAnsi="Times New Roman" w:cs="Times New Roman" w:eastAsia="Times New Roman"/>
          <w:i/>
          <w:color w:val="000000"/>
          <w:sz w:val="24"/>
        </w:rPr>
        <w:t>D = g(V) − g(R)</w:t>
      </w:r>
    </w:p>
    <w:p>
      <w:pPr>
        <w:spacing w:after="60" w:before="0" w:line="276" w:lineRule="auto"/>
        <w:jc w:val="both"/>
      </w:pPr>
      <w:r>
        <w:rPr>
          <w:rFonts w:ascii="Times New Roman" w:hAnsi="Times New Roman" w:cs="Times New Roman" w:eastAsia="Times New Roman"/>
          <w:color w:val="000000"/>
          <w:sz w:val="24"/>
        </w:rPr>
        <w:t>Opposite signs identify periods in which activity and revenue move in different directions. Material divergences are then reconciled against disclosed revenue components rather than treated as self-explanatory changes in the wedge.</w:t>
      </w:r>
    </w:p>
    <w:p>
      <w:pPr>
        <w:pStyle w:val="Heading1"/>
        <w:keepNext/>
        <w:spacing w:after="80" w:before="180" w:line="276" w:lineRule="auto"/>
        <w:jc w:val="left"/>
      </w:pPr>
      <w:r>
        <w:rPr>
          <w:rFonts w:ascii="Times New Roman" w:hAnsi="Times New Roman" w:cs="Times New Roman" w:eastAsia="Times New Roman"/>
          <w:b/>
          <w:color w:val="000000"/>
          <w:sz w:val="26"/>
        </w:rPr>
        <w:t>4. Data and Methodology</w:t>
      </w:r>
    </w:p>
    <w:p>
      <w:pPr>
        <w:pStyle w:val="Heading2"/>
        <w:keepNext/>
        <w:spacing w:after="40" w:before="120" w:line="276" w:lineRule="auto"/>
        <w:jc w:val="left"/>
      </w:pPr>
      <w:r>
        <w:rPr>
          <w:rFonts w:ascii="Times New Roman" w:hAnsi="Times New Roman" w:cs="Times New Roman" w:eastAsia="Times New Roman"/>
          <w:b/>
          <w:color w:val="000000"/>
          <w:sz w:val="24"/>
        </w:rPr>
        <w:t>4.1 Admission rules and evidence tiers</w:t>
      </w:r>
    </w:p>
    <w:p>
      <w:pPr>
        <w:spacing w:after="60" w:before="0" w:line="276" w:lineRule="auto"/>
        <w:jc w:val="both"/>
      </w:pPr>
      <w:r>
        <w:rPr>
          <w:rFonts w:ascii="Times New Roman" w:hAnsi="Times New Roman" w:cs="Times New Roman" w:eastAsia="Times New Roman"/>
          <w:color w:val="000000"/>
          <w:sz w:val="24"/>
        </w:rPr>
        <w:t>Platform revenue and transaction value are taken from primary company disclosures whenever possible. A platform-period is eligible for consideration only when transaction and revenue measures cover the same period; geography and business scope can be evaluated; currency and units are known; original, revised and pro-forma bases are labelled; transaction and revenue definitions are recorded; derived inputs trace transparently to source inputs; structural breaks, acquisitions and reporting-perimeter changes are flagged; and repeated publication vintages of the same underlying period are not counted as independent observations.</w:t>
      </w:r>
    </w:p>
    <w:p>
      <w:pPr>
        <w:spacing w:after="60" w:before="0" w:line="276" w:lineRule="auto"/>
        <w:jc w:val="both"/>
      </w:pPr>
      <w:r>
        <w:rPr>
          <w:rFonts w:ascii="Times New Roman" w:hAnsi="Times New Roman" w:cs="Times New Roman" w:eastAsia="Times New Roman"/>
          <w:color w:val="000000"/>
          <w:sz w:val="24"/>
        </w:rPr>
        <w:t>Eligibility is not equivalent to final main-sample admission. The current analysis therefore keeps three evidence tiers visible. No expanded sample is represented as advisor-approved.</w:t>
      </w:r>
    </w:p>
    <w:p>
      <w:pPr>
        <w:keepNext/>
        <w:spacing w:after="40" w:before="140" w:line="276" w:lineRule="auto"/>
        <w:jc w:val="left"/>
      </w:pPr>
      <w:r>
        <w:rPr>
          <w:rFonts w:ascii="Times New Roman" w:hAnsi="Times New Roman" w:cs="Times New Roman" w:eastAsia="Times New Roman"/>
          <w:i/>
          <w:color w:val="000000"/>
          <w:sz w:val="19"/>
        </w:rPr>
        <w:t>Table 3. Evidence tiers for Indonesian platform observations. Tokopedia is a business segment rather than an explicit country line; Blibli 3P Retail also contains tiket.com travel and Bukalapak reports at Group level with overseas operations; Grab and Shopee each require one side to be derived. Tiers are never pooled into a single monetary total.</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Evidence tier</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Series</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Levels</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Transitions</w:t>
            </w:r>
          </w:p>
        </w:tc>
      </w:tr>
      <w:tr>
        <w:trPr>
          <w:cantSplit/>
        </w:trPr>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Indonesia-aligned segment</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Tokopedia e-commerce</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w:t>
            </w:r>
          </w:p>
        </w:tc>
      </w:tr>
      <w:tr>
        <w:trPr>
          <w:cantSplit/>
        </w:trPr>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issuer, scope-pending</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3P Retail; Bukalapak Group</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7</w:t>
            </w:r>
          </w:p>
        </w:tc>
      </w:tr>
      <w:tr>
        <w:trPr>
          <w:cantSplit/>
        </w:trPr>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Indonesia; Shopee Indonesia</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All tiers (inventory diagnostic)</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5 series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17</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w:t>
            </w:r>
          </w:p>
        </w:tc>
      </w:tr>
    </w:tbl>
    <w:p>
      <w:pPr>
        <w:spacing w:after="0" w:before="0" w:line="276" w:lineRule="auto"/>
        <w:jc w:val="both"/>
      </w:pPr>
      <w:r>
        <w:rPr>
          <w:rFonts w:ascii="Times New Roman" w:hAnsi="Times New Roman" w:cs="Times New Roman" w:eastAsia="Times New Roman"/>
          <w:color w:val="000000"/>
          <w:sz w:val="10"/>
        </w:rPr>
      </w:r>
    </w:p>
    <w:p>
      <w:pPr>
        <w:pStyle w:val="Heading2"/>
        <w:keepNext/>
        <w:spacing w:after="40" w:before="120" w:line="276" w:lineRule="auto"/>
        <w:jc w:val="left"/>
      </w:pPr>
      <w:r>
        <w:rPr>
          <w:rFonts w:ascii="Times New Roman" w:hAnsi="Times New Roman" w:cs="Times New Roman" w:eastAsia="Times New Roman"/>
          <w:b/>
          <w:color w:val="000000"/>
          <w:sz w:val="24"/>
        </w:rPr>
        <w:t>4.2 Current candidate structure</w:t>
      </w:r>
    </w:p>
    <w:p>
      <w:pPr>
        <w:spacing w:after="60" w:before="0" w:line="276" w:lineRule="auto"/>
        <w:jc w:val="both"/>
      </w:pPr>
      <w:r>
        <w:rPr>
          <w:rFonts w:ascii="Times New Roman" w:hAnsi="Times New Roman" w:cs="Times New Roman" w:eastAsia="Times New Roman"/>
          <w:color w:val="000000"/>
          <w:sz w:val="24"/>
        </w:rPr>
        <w:t>No Indonesian platform provides a strictly country-labelled matched transaction-value / revenue pair across the full study period. Tokopedia supplies the strongest Indonesia-aligned issuer segment currently available. Blibli and Bukalapak provide direct issuer pairs but remain scope-pending because Blibli 3P Retail includes online travel and Bukalapak Group includes overseas operations. Grab and Shopee country constructions remain conditional because matching country transaction value and revenue are not both directly disclosed.</w:t>
      </w:r>
    </w:p>
    <w:p>
      <w:pPr>
        <w:spacing w:after="60" w:before="0" w:line="276" w:lineRule="auto"/>
        <w:jc w:val="both"/>
      </w:pPr>
      <w:r>
        <w:rPr>
          <w:rFonts w:ascii="Times New Roman" w:hAnsi="Times New Roman" w:cs="Times New Roman" w:eastAsia="Times New Roman"/>
          <w:color w:val="000000"/>
          <w:sz w:val="24"/>
        </w:rPr>
        <w:t>Tokopedia FY2021 is excluded for period mismatch. Bukalapak FY2024 is excluded because transaction value and revenue cover different durations. Candidate evidence is reported under its tier rather than silently promoted into one pooled sample.</w:t>
      </w:r>
    </w:p>
    <w:p>
      <w:pPr>
        <w:spacing w:after="60" w:before="0" w:line="276" w:lineRule="auto"/>
        <w:jc w:val="both"/>
      </w:pPr>
      <w:r>
        <w:rPr>
          <w:rFonts w:ascii="Times New Roman" w:hAnsi="Times New Roman" w:cs="Times New Roman" w:eastAsia="Times New Roman"/>
          <w:color w:val="000000"/>
          <w:sz w:val="24"/>
        </w:rPr>
        <w:t>The executed all-tier inventory currently contains 17 matched annual candidate levels and 12 within-series transitions across five series. A direct-candidate sensitivity excludes the conditional Grab and Shopee reconstructions and instead extends Blibli with its directly transcribed FY2020 prospectus observation, giving 9 transitions. These are different admissible evidence universes, not a filtered subset of one another, and are reported separately.</w:t>
      </w:r>
    </w:p>
    <w:p>
      <w:pPr>
        <w:pStyle w:val="Heading2"/>
        <w:keepNext/>
        <w:spacing w:after="40" w:before="120" w:line="276" w:lineRule="auto"/>
        <w:jc w:val="left"/>
      </w:pPr>
      <w:r>
        <w:rPr>
          <w:rFonts w:ascii="Times New Roman" w:hAnsi="Times New Roman" w:cs="Times New Roman" w:eastAsia="Times New Roman"/>
          <w:b/>
          <w:color w:val="000000"/>
          <w:sz w:val="24"/>
        </w:rPr>
        <w:t>4.3 Retained evidence modules</w:t>
      </w:r>
    </w:p>
    <w:p>
      <w:pPr>
        <w:spacing w:after="60" w:before="0" w:line="276" w:lineRule="auto"/>
        <w:jc w:val="both"/>
      </w:pPr>
      <w:r>
        <w:rPr>
          <w:rFonts w:ascii="Times New Roman" w:hAnsi="Times New Roman" w:cs="Times New Roman" w:eastAsia="Times New Roman"/>
          <w:color w:val="000000"/>
          <w:sz w:val="24"/>
        </w:rPr>
        <w:t>The study is not a single-fiscal-year design. Table 4 lists the seven retained modules, each with its own unit of observation. They are never summed into one sample size, because their geographic, regulatory and business-model definitions differ.</w:t>
      </w:r>
    </w:p>
    <w:p>
      <w:pPr>
        <w:keepNext/>
        <w:spacing w:after="40" w:before="140" w:line="276" w:lineRule="auto"/>
        <w:jc w:val="left"/>
      </w:pPr>
      <w:r>
        <w:rPr>
          <w:rFonts w:ascii="Times New Roman" w:hAnsi="Times New Roman" w:cs="Times New Roman" w:eastAsia="Times New Roman"/>
          <w:i/>
          <w:color w:val="000000"/>
          <w:sz w:val="19"/>
        </w:rPr>
        <w:t>Table 4. Retained evidence modules and their role. Counts are not additive across rows.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Module</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Coverage</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Retained scale</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Role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Indonesian issuer candidates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FY2019–FY2025</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13 period-matched; 12 with positive denominators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Candidate longitudinal core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FY2021–FY2024</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 Grab/Shopee platform-years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Sensitivity only</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Indonesia marketplace structure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2022–2025</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Market-share and platform-structure evidence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Coverage and structural breaks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 official e-commerce evidence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2020–2024</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National indicators; province evidence for 2023–2024, with 36 common complete provinces in the change analysis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Activity, channels, recordkeeping</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ASEAN corroboration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2019–2025</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 country-years from 450 source-vintage rows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Separate-country robustness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Global issuer corroboration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Multi-year</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48 matched issuer-years, 8 businesses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Business-model corroboration</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Historical quarterly accounting</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2017–2022</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47 company/segment-quarters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Historical disclosure evidence</w:t>
            </w:r>
          </w:p>
        </w:tc>
      </w:tr>
    </w:tbl>
    <w:p>
      <w:pPr>
        <w:spacing w:after="0" w:before="0" w:line="276" w:lineRule="auto"/>
        <w:jc w:val="both"/>
      </w:pPr>
      <w:r>
        <w:rPr>
          <w:rFonts w:ascii="Times New Roman" w:hAnsi="Times New Roman" w:cs="Times New Roman" w:eastAsia="Times New Roman"/>
          <w:color w:val="000000"/>
          <w:sz w:val="10"/>
        </w:rPr>
      </w:r>
    </w:p>
    <w:p>
      <w:pPr>
        <w:pStyle w:val="Heading2"/>
        <w:keepNext/>
        <w:spacing w:after="40" w:before="120" w:line="276" w:lineRule="auto"/>
        <w:jc w:val="left"/>
      </w:pPr>
      <w:r>
        <w:rPr>
          <w:rFonts w:ascii="Times New Roman" w:hAnsi="Times New Roman" w:cs="Times New Roman" w:eastAsia="Times New Roman"/>
          <w:b/>
          <w:color w:val="000000"/>
          <w:sz w:val="24"/>
        </w:rPr>
        <w:t>4.4 Conditional country constructions</w:t>
      </w:r>
    </w:p>
    <w:p>
      <w:pPr>
        <w:spacing w:after="60" w:before="0" w:line="276" w:lineRule="auto"/>
        <w:jc w:val="both"/>
      </w:pPr>
      <w:r>
        <w:rPr>
          <w:rFonts w:ascii="Times New Roman" w:hAnsi="Times New Roman" w:cs="Times New Roman" w:eastAsia="Times New Roman"/>
          <w:color w:val="000000"/>
          <w:sz w:val="24"/>
        </w:rPr>
        <w:t>Grab's Indonesia transaction value is derived from disclosed Indonesia revenue using the company's Group monetization rate (Group revenue / Group GMV); Table 5 sets out the derivation year by year. The assumption is transparent and testable but is not a direct country transaction-value disclosure. Shopee's Indonesia transaction value uses an external market estimate from Momentum Works, whose annual Southeast Asian e-commerce report is the only recurring public source disaggregating regional marketplace gross merchandise value by country and platform. It is used because Sea Limited discloses no Indonesian figure, is labelled a third-party estimate wherever it enters a calculation, and is tested in the Section 5.1 sensitivity. These constructions are supporting / conditional evidence rather than proof that the same monetization rate holds identically at country level.</w:t>
      </w:r>
    </w:p>
    <w:p>
      <w:pPr>
        <w:keepNext/>
        <w:spacing w:after="40" w:before="140" w:line="276" w:lineRule="auto"/>
        <w:jc w:val="left"/>
      </w:pPr>
      <w:r>
        <w:rPr>
          <w:rFonts w:ascii="Times New Roman" w:hAnsi="Times New Roman" w:cs="Times New Roman" w:eastAsia="Times New Roman"/>
          <w:i/>
          <w:color w:val="000000"/>
          <w:sz w:val="19"/>
        </w:rPr>
        <w:t>Table 5. Worked derivation of conditional Indonesia transaction value for Grab. Indonesia revenue is directly disclosed and Group figures are source-reported; the final column is derived, not disclosed.</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cantSplit/>
        </w:trPr>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Year</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Indonesia revenue</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Group revenue</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Group GMV</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Conditional Indonesia GMV (derived)</w:t>
            </w:r>
          </w:p>
        </w:tc>
      </w:tr>
      <w:tr>
        <w:trPr>
          <w:cantSplit/>
        </w:trPr>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FY2021</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US$79m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US$675m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US$16,061m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US$1,879.7m</w:t>
            </w:r>
          </w:p>
        </w:tc>
      </w:tr>
      <w:tr>
        <w:trPr>
          <w:cantSplit/>
        </w:trPr>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FY2022</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US$275m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US$1,433m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US$19,937m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US$3,826.0m</w:t>
            </w:r>
          </w:p>
        </w:tc>
      </w:tr>
      <w:tr>
        <w:trPr>
          <w:cantSplit/>
        </w:trPr>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FY2023</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US$605m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US$2,359m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US$20,983m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US$5,381.4m</w:t>
            </w:r>
          </w:p>
        </w:tc>
      </w:tr>
    </w:tbl>
    <w:p>
      <w:pPr>
        <w:spacing w:after="0" w:before="0" w:line="276" w:lineRule="auto"/>
        <w:jc w:val="both"/>
      </w:pPr>
      <w:r>
        <w:rPr>
          <w:rFonts w:ascii="Times New Roman" w:hAnsi="Times New Roman" w:cs="Times New Roman" w:eastAsia="Times New Roman"/>
          <w:color w:val="000000"/>
          <w:sz w:val="10"/>
        </w:rPr>
      </w:r>
    </w:p>
    <w:p>
      <w:pPr>
        <w:pStyle w:val="Heading1"/>
        <w:keepNext/>
        <w:spacing w:after="80" w:before="180" w:line="276" w:lineRule="auto"/>
        <w:jc w:val="left"/>
      </w:pPr>
      <w:r>
        <w:rPr>
          <w:rFonts w:ascii="Times New Roman" w:hAnsi="Times New Roman" w:cs="Times New Roman" w:eastAsia="Times New Roman"/>
          <w:b/>
          <w:color w:val="000000"/>
          <w:sz w:val="26"/>
        </w:rPr>
        <w:t>5. Preliminary Evidence and Feasibility</w:t>
      </w:r>
    </w:p>
    <w:p>
      <w:pPr>
        <w:spacing w:after="60" w:before="0" w:line="276" w:lineRule="auto"/>
        <w:jc w:val="both"/>
      </w:pPr>
      <w:r>
        <w:rPr>
          <w:rFonts w:ascii="Times New Roman" w:hAnsi="Times New Roman" w:cs="Times New Roman" w:eastAsia="Times New Roman"/>
          <w:color w:val="000000"/>
          <w:sz w:val="24"/>
        </w:rPr>
        <w:t>The current evidence is sufficient to establish feasibility while leaving final sample admission to advisor / committee judgment.</w:t>
      </w:r>
    </w:p>
    <w:p>
      <w:pPr>
        <w:pStyle w:val="Heading2"/>
        <w:keepNext/>
        <w:spacing w:after="40" w:before="120" w:line="276" w:lineRule="auto"/>
        <w:jc w:val="left"/>
      </w:pPr>
      <w:r>
        <w:rPr>
          <w:rFonts w:ascii="Times New Roman" w:hAnsi="Times New Roman" w:cs="Times New Roman" w:eastAsia="Times New Roman"/>
          <w:b/>
          <w:color w:val="000000"/>
          <w:sz w:val="24"/>
        </w:rPr>
        <w:t>5.1 FY2023 cross-section and sensitivity</w:t>
      </w:r>
    </w:p>
    <w:p>
      <w:pPr>
        <w:keepNext/>
        <w:spacing w:after="40" w:before="140" w:line="276" w:lineRule="auto"/>
        <w:jc w:val="left"/>
      </w:pPr>
      <w:r>
        <w:rPr>
          <w:rFonts w:ascii="Times New Roman" w:hAnsi="Times New Roman" w:cs="Times New Roman" w:eastAsia="Times New Roman"/>
          <w:i/>
          <w:color w:val="000000"/>
          <w:sz w:val="19"/>
        </w:rPr>
        <w:t>Table 6. Indonesia-focused FY2023 cross-section, US$ billions. V is transaction value, R is platform revenue, E the Ecosystem Ratio. The final row sums three documented cases under mixed evidence classes and is not an Indonesia-wide total.</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Case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V</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Wedge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Evidence class</w:t>
            </w:r>
          </w:p>
        </w:tc>
      </w:tr>
      <w:tr>
        <w:trPr>
          <w:cantSplit/>
        </w:trPr>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Indonesia</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5.381</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0.605</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4.776</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7.895×</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V</w:t>
            </w:r>
          </w:p>
        </w:tc>
      </w:tr>
      <w:tr>
        <w:trPr>
          <w:cantSplit/>
        </w:trPr>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Tokopedia e-commerce</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16.331</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0.405</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15.926</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39.296×</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pair</w:t>
            </w:r>
          </w:p>
        </w:tc>
      </w:tr>
      <w:tr>
        <w:trPr>
          <w:cantSplit/>
        </w:trPr>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Shopee Indonesia</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21.520</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2.152</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19.368</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9.000×</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V and R</w:t>
            </w:r>
          </w:p>
        </w:tc>
      </w:tr>
      <w:tr>
        <w:trPr>
          <w:cantSplit/>
        </w:trPr>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Selected platforms</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43.233</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3.162</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40.070</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12.671×</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Sum, not a total</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The combined wedge is approximately US$40.07 billion at an Ecosystem Ratio of 12.671. One-at-a-time parameter variation moves the wedge between approximately US$37.65 billion and US$42.49 billion. Leave-one-platform-out calculations give approximately US$35.29 billion, US$24.14 billion, and US$20.70 billion. These are composition and sensitivity checks, not estimates of one national total.</w:t>
      </w:r>
    </w:p>
    <w:p>
      <w:pPr>
        <w:pStyle w:val="Heading2"/>
        <w:keepNext/>
        <w:spacing w:after="40" w:before="120" w:line="276" w:lineRule="auto"/>
        <w:jc w:val="left"/>
      </w:pPr>
      <w:r>
        <w:rPr>
          <w:rFonts w:ascii="Times New Roman" w:hAnsi="Times New Roman" w:cs="Times New Roman" w:eastAsia="Times New Roman"/>
          <w:b/>
          <w:color w:val="000000"/>
          <w:sz w:val="24"/>
        </w:rPr>
        <w:t>5.2 Two valid longitudinal evidence universes</w:t>
      </w:r>
    </w:p>
    <w:p>
      <w:pPr>
        <w:keepNext/>
        <w:spacing w:after="40" w:before="140" w:line="276" w:lineRule="auto"/>
        <w:jc w:val="left"/>
      </w:pPr>
      <w:r>
        <w:rPr>
          <w:rFonts w:ascii="Times New Roman" w:hAnsi="Times New Roman" w:cs="Times New Roman" w:eastAsia="Times New Roman"/>
          <w:i/>
          <w:color w:val="000000"/>
          <w:sz w:val="19"/>
        </w:rPr>
        <w:t>Table 7. Within-series annual growth divergence under two admission rules. Counts differ because evidence admission differs; both are reported rather than resolved into a single headline.</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All-tier inventory</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Direct-candidate sensitivity</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Series admitted</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FY2021–25, Bukalapak, Tokopedia, Grab, Shopee</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FY2020–25, Bukalapak, Tokopedia</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Transitions</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Revenue grows faster</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10</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 grows faster</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Opposite-sign transitions</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Median absolute divergence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42.02 pp</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42.94 pp</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The difference between these summaries comes from admission rules, not from an arithmetic contradiction. The additional opposite-sign transition in the direct-candidate universe is Blibli FY2020→FY2021, which enters only when the prospectus observation is admitted. The sample hierarchy is therefore shown rather than collapsed.</w:t>
      </w:r>
    </w:p>
    <w:p>
      <w:pPr>
        <w:pStyle w:val="Heading2"/>
        <w:keepNext/>
        <w:spacing w:after="40" w:before="120" w:line="276" w:lineRule="auto"/>
        <w:jc w:val="left"/>
      </w:pPr>
      <w:r>
        <w:rPr>
          <w:rFonts w:ascii="Times New Roman" w:hAnsi="Times New Roman" w:cs="Times New Roman" w:eastAsia="Times New Roman"/>
          <w:b/>
          <w:color w:val="000000"/>
          <w:sz w:val="24"/>
        </w:rPr>
        <w:t>5.3 Mechanism: Tokopedia</w:t>
      </w:r>
    </w:p>
    <w:p>
      <w:pPr>
        <w:spacing w:after="60" w:before="0" w:line="276" w:lineRule="auto"/>
        <w:jc w:val="both"/>
      </w:pPr>
      <w:r>
        <w:rPr>
          <w:rFonts w:ascii="Times New Roman" w:hAnsi="Times New Roman" w:cs="Times New Roman" w:eastAsia="Times New Roman"/>
          <w:color w:val="000000"/>
          <w:sz w:val="24"/>
        </w:rPr>
        <w:t>Tokopedia FY2022–FY2023 provides the cleanest mechanism case currently reproduced from committed source extracts. Transaction value falls 8.90 percent while selected third-party net segment revenue rises 53.20 percent. Reconciling disclosed revenue components, approximately 60.56 percent of the arithmetic increase in net revenue is associated with lower customer incentives and 39.44 percent with higher gross revenue. The disclosed components sum to reported net revenue in both years. This is an arithmetic reconciliation, not a causal decomposition.</w:t>
      </w:r>
    </w:p>
    <w:p>
      <w:pPr>
        <w:pStyle w:val="Heading2"/>
        <w:keepNext/>
        <w:spacing w:after="40" w:before="120" w:line="276" w:lineRule="auto"/>
        <w:jc w:val="left"/>
      </w:pPr>
      <w:r>
        <w:rPr>
          <w:rFonts w:ascii="Times New Roman" w:hAnsi="Times New Roman" w:cs="Times New Roman" w:eastAsia="Times New Roman"/>
          <w:b/>
          <w:color w:val="000000"/>
          <w:sz w:val="24"/>
        </w:rPr>
        <w:t>5.4 External corroboration</w:t>
      </w:r>
    </w:p>
    <w:p>
      <w:pPr>
        <w:spacing w:after="60" w:before="0" w:line="276" w:lineRule="auto"/>
        <w:jc w:val="both"/>
      </w:pPr>
      <w:r>
        <w:rPr>
          <w:rFonts w:ascii="Times New Roman" w:hAnsi="Times New Roman" w:cs="Times New Roman" w:eastAsia="Times New Roman"/>
          <w:color w:val="000000"/>
          <w:sz w:val="24"/>
        </w:rPr>
        <w:t>Across 48 matched issuer-years for eight non-Indonesian platform businesses — eBay, Etsy, Shopify, Jumia, Zalando, Rakuten, Mercado Libre and Sea — the transaction–revenue boundary appears across distinct business models while its magnitude varies substantially: take rates range from 0.22 to 74.63 percent. Of 40 annual transitions, 29 are clean-scope, with a median absolute growth divergence of 7.10 percentage points and four transitions in which transaction value and revenue move in opposite directions. This module is purposively selected on disclosure availability, its definitions differ by issuer, its levels are not pooled, and it does not validate Indonesia country allocations. Its role is external corroboration only.</w:t>
      </w:r>
    </w:p>
    <w:p>
      <w:pPr>
        <w:pStyle w:val="Heading2"/>
        <w:keepNext/>
        <w:spacing w:after="40" w:before="120" w:line="276" w:lineRule="auto"/>
        <w:jc w:val="left"/>
      </w:pPr>
      <w:r>
        <w:rPr>
          <w:rFonts w:ascii="Times New Roman" w:hAnsi="Times New Roman" w:cs="Times New Roman" w:eastAsia="Times New Roman"/>
          <w:b/>
          <w:color w:val="000000"/>
          <w:sz w:val="24"/>
        </w:rPr>
        <w:t>5.5 BPS and wider Indonesian e-commerce activity</w:t>
      </w:r>
    </w:p>
    <w:p>
      <w:pPr>
        <w:spacing w:after="60" w:before="0" w:line="276" w:lineRule="auto"/>
        <w:jc w:val="both"/>
      </w:pPr>
      <w:r>
        <w:rPr>
          <w:rFonts w:ascii="Times New Roman" w:hAnsi="Times New Roman" w:cs="Times New Roman" w:eastAsia="Times New Roman"/>
          <w:color w:val="000000"/>
          <w:sz w:val="24"/>
        </w:rPr>
        <w:t>BPS reports national e-commerce transaction value rising from Rp1,100.87 trillion in 2023 to Rp1,288.93 trillion in 2024 (+17.08%), approximately US$72.2 billion to US$81.4 billion, while estimated e-commerce businesses rise from 3,816,750 to 4,400,972 (+15.31%). The 2023 business count is taken from the BPS main body/figure, which reconciles to the displayed 2022 count and its stated growth rate; an executive-summary passage in the same publication reports 3,934,981. The conflict is unresolved at source, is recorded in data/bps_official/README.md and in the repository's data-quality findings, and business-count growth is therefore reported as descriptive context rather than as a load-bearing result. In the current channel decomposition, the marketplace component grows approximately 1.45 percent while the non-marketplace component grows approximately 20.57 percent, so roughly 98.46 percent of the nominal increase falls outside the marketplace component. These aggregates provide a wider view of Indonesian e-commerce activity; they are not reconciled one-for-one to issuer transaction value and do not establish a firm-level causal effect.</w:t>
      </w:r>
    </w:p>
    <w:p>
      <w:pPr>
        <w:pStyle w:val="Heading2"/>
        <w:keepNext/>
        <w:spacing w:after="40" w:before="120" w:line="276" w:lineRule="auto"/>
        <w:jc w:val="left"/>
      </w:pPr>
      <w:r>
        <w:rPr>
          <w:rFonts w:ascii="Times New Roman" w:hAnsi="Times New Roman" w:cs="Times New Roman" w:eastAsia="Times New Roman"/>
          <w:b/>
          <w:color w:val="000000"/>
          <w:sz w:val="24"/>
        </w:rPr>
        <w:t>5.6 PMK 37/2025 and reporting architecture</w:t>
      </w:r>
    </w:p>
    <w:p>
      <w:pPr>
        <w:spacing w:after="60" w:before="0" w:line="276" w:lineRule="auto"/>
        <w:jc w:val="both"/>
      </w:pPr>
      <w:r>
        <w:rPr>
          <w:rFonts w:ascii="Times New Roman" w:hAnsi="Times New Roman" w:cs="Times New Roman" w:eastAsia="Times New Roman"/>
          <w:color w:val="000000"/>
          <w:sz w:val="24"/>
        </w:rPr>
        <w:t>PMK 37/2025 provides a current institutional application of platform-held seller and transaction records. The current verified timeline records marketplace designation on 1 July 2026, collection effective on 1 August 2026, postponement through 31 October 2026, and a scheduled 1 November 2026 implementation date. DJP describes the mechanism as a change in collection / reporting architecture rather than evidence of a newly identified tax base. The proposal therefore uses PMK as evidence of institutional design, not as proof that compliance or tax revenue has already increased.</w:t>
      </w:r>
    </w:p>
    <w:p>
      <w:pPr>
        <w:pStyle w:val="Heading1"/>
        <w:keepNext/>
        <w:spacing w:after="80" w:before="180" w:line="276" w:lineRule="auto"/>
        <w:jc w:val="left"/>
      </w:pPr>
      <w:r>
        <w:rPr>
          <w:rFonts w:ascii="Times New Roman" w:hAnsi="Times New Roman" w:cs="Times New Roman" w:eastAsia="Times New Roman"/>
          <w:b/>
          <w:color w:val="000000"/>
          <w:sz w:val="26"/>
        </w:rPr>
        <w:t>6. Limitations and decisions for the proposal examination</w:t>
      </w:r>
    </w:p>
    <w:p>
      <w:pPr>
        <w:spacing w:after="60" w:before="0" w:line="276" w:lineRule="auto"/>
        <w:jc w:val="both"/>
      </w:pPr>
      <w:r>
        <w:rPr>
          <w:rFonts w:ascii="Times New Roman" w:hAnsi="Times New Roman" w:cs="Times New Roman" w:eastAsia="Times New Roman"/>
          <w:color w:val="000000"/>
          <w:sz w:val="24"/>
        </w:rPr>
        <w:t>The wedge measures transaction value not booked as platform revenue. It does not establish that all residual GTV is profit, taxable income, unpaid tax, tax evasion, or GDP value-added. No Indonesian platform publishes a strictly country-labelled matched pair across the full longitudinal design, so every observation carries an explicit evidence tier and the tiers differ in what they support. Mechanism reconciliations are arithmetic against disclosed issuer categories, not causal decompositions. BPS evidence is aggregate / ecological relative to issuer observations. PMK 37/2025 does not yet provide a completed post-implementation period from which to estimate a compliance effect. The global issuer panel is purposively selected and is not a representative global population.</w:t>
      </w:r>
    </w:p>
    <w:p>
      <w:pPr>
        <w:spacing w:after="60" w:before="0" w:line="276" w:lineRule="auto"/>
        <w:jc w:val="both"/>
      </w:pPr>
      <w:r>
        <w:rPr>
          <w:rFonts w:ascii="Times New Roman" w:hAnsi="Times New Roman" w:cs="Times New Roman" w:eastAsia="Times New Roman"/>
          <w:color w:val="000000"/>
          <w:sz w:val="24"/>
        </w:rPr>
        <w:t>Two sample decisions should remain explicit rather than silently settled in prose:</w:t>
      </w:r>
    </w:p>
    <w:p>
      <w:pPr>
        <w:spacing w:after="60" w:before="0" w:line="276" w:lineRule="auto"/>
        <w:jc w:val="both"/>
      </w:pPr>
      <w:r>
        <w:rPr>
          <w:rFonts w:ascii="Times New Roman" w:hAnsi="Times New Roman" w:cs="Times New Roman" w:eastAsia="Times New Roman"/>
          <w:color w:val="000000"/>
          <w:sz w:val="24"/>
        </w:rPr>
        <w:t>1. whether Blibli 3P Retail and Bukalapak Group enter the final longitudinal main sample, remain a labelled direct scope-pending tier, or are excluded;</w:t>
      </w:r>
    </w:p>
    <w:p>
      <w:pPr>
        <w:spacing w:after="60" w:before="0" w:line="276" w:lineRule="auto"/>
        <w:jc w:val="both"/>
      </w:pPr>
      <w:r>
        <w:rPr>
          <w:rFonts w:ascii="Times New Roman" w:hAnsi="Times New Roman" w:cs="Times New Roman" w:eastAsia="Times New Roman"/>
          <w:color w:val="000000"/>
          <w:sz w:val="24"/>
        </w:rPr>
        <w:t>2. whether Grab and Shopee conditional country reconstructions may appear in the main comparison or should remain sensitivity evidence only.</w:t>
      </w:r>
    </w:p>
    <w:p>
      <w:pPr>
        <w:spacing w:after="60" w:before="0" w:line="276" w:lineRule="auto"/>
        <w:jc w:val="both"/>
      </w:pPr>
      <w:r>
        <w:rPr>
          <w:rFonts w:ascii="Times New Roman" w:hAnsi="Times New Roman" w:cs="Times New Roman" w:eastAsia="Times New Roman"/>
          <w:color w:val="000000"/>
          <w:sz w:val="24"/>
        </w:rPr>
        <w:t>Both decisions change the reported transition counts, and neither should be described as advisor-approved before the advisor / committee decides.</w:t>
      </w:r>
    </w:p>
    <w:p>
      <w:pPr>
        <w:pStyle w:val="Heading1"/>
        <w:keepNext/>
        <w:spacing w:after="80" w:before="180" w:line="276" w:lineRule="auto"/>
        <w:jc w:val="left"/>
      </w:pPr>
      <w:r>
        <w:rPr>
          <w:rFonts w:ascii="Times New Roman" w:hAnsi="Times New Roman" w:cs="Times New Roman" w:eastAsia="Times New Roman"/>
          <w:b/>
          <w:color w:val="000000"/>
          <w:sz w:val="26"/>
        </w:rPr>
        <w:t>7. Work plan</w:t>
      </w:r>
    </w:p>
    <w:p>
      <w:pPr>
        <w:keepNext/>
        <w:spacing w:after="40" w:before="140" w:line="276" w:lineRule="auto"/>
        <w:jc w:val="left"/>
      </w:pPr>
      <w:r>
        <w:rPr>
          <w:rFonts w:ascii="Times New Roman" w:hAnsi="Times New Roman" w:cs="Times New Roman" w:eastAsia="Times New Roman"/>
          <w:i/>
          <w:color w:val="000000"/>
          <w:sz w:val="19"/>
        </w:rPr>
        <w:t>Table 8. Planned work to the final defence. The empirical backend is assembled and source-linked; the remaining work is sample admission, requested analysis, and manuscript construction.</w:t>
      </w:r>
    </w:p>
    <w:tbl>
      <w:tblPr>
        <w:tblStyle w:val="TableGrid"/>
        <w:tblW w:type="auto" w:w="0"/>
        <w:jc w:val="center"/>
        <w:tblLook w:firstColumn="1" w:firstRow="1" w:lastColumn="0" w:lastRow="0" w:noHBand="0" w:noVBand="1" w:val="04A0"/>
      </w:tblPr>
      <w:tblGrid>
        <w:gridCol w:w="4706"/>
        <w:gridCol w:w="4706"/>
      </w:tblGrid>
      <w:tr>
        <w:trPr>
          <w:tblHeader w:val="true"/>
          <w:cantSplit/>
        </w:trPr>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Period</w:t>
            </w:r>
          </w:p>
        </w:tc>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Planned work</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September 2026</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Advisor review of the data package; proposal oral examination; freeze the sample-admission rule and the checks the committee requests.</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October–November 2026</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Complete requested reconciliations and source concordance; extend sensitivity to the approved tier boundary; freeze thesis tables and figures.</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Before final defence</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Rebuild the manuscript under the approved sample; retain supporting modules only where they advance the final argument.</w:t>
            </w:r>
          </w:p>
        </w:tc>
      </w:tr>
    </w:tbl>
    <w:p>
      <w:pPr>
        <w:spacing w:after="0" w:before="0" w:line="276" w:lineRule="auto"/>
        <w:jc w:val="both"/>
      </w:pPr>
      <w:r>
        <w:rPr>
          <w:rFonts w:ascii="Times New Roman" w:hAnsi="Times New Roman" w:cs="Times New Roman" w:eastAsia="Times New Roman"/>
          <w:color w:val="000000"/>
          <w:sz w:val="10"/>
        </w:rPr>
      </w:r>
    </w:p>
    <w:p>
      <w:pPr>
        <w:pStyle w:val="Heading1"/>
        <w:keepNext/>
        <w:spacing w:after="80" w:before="180" w:line="276" w:lineRule="auto"/>
        <w:jc w:val="left"/>
      </w:pPr>
      <w:r>
        <w:rPr>
          <w:rFonts w:ascii="Times New Roman" w:hAnsi="Times New Roman" w:cs="Times New Roman" w:eastAsia="Times New Roman"/>
          <w:b/>
          <w:color w:val="000000"/>
          <w:sz w:val="26"/>
        </w:rPr>
        <w:t>Appendix A — key variables</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Symbol</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Definition</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Status</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V</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platform transaction value (GTV/GMV/issuer-equivalent metric, scope labelled)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observed or explicitly derived / external by tier</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platform-recognized revenue on the matched scope and period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observed or explicitly derived by tier</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V − R, absolute invisible wedge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(V − R)/R, Ecosystem Ratio</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author-constructed derived measure</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g(V)</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within-series transaction-value growth</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from unrounded inputs</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within-series platform-revenue growth</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from unrounded inputs</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g(V) − g(R), growth divergence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w:t>
            </w:r>
          </w:p>
        </w:tc>
      </w:tr>
    </w:tbl>
    <w:p>
      <w:pPr>
        <w:spacing w:after="0" w:before="0" w:line="276" w:lineRule="auto"/>
        <w:jc w:val="both"/>
      </w:pPr>
      <w:r>
        <w:rPr>
          <w:rFonts w:ascii="Times New Roman" w:hAnsi="Times New Roman" w:cs="Times New Roman" w:eastAsia="Times New Roman"/>
          <w:color w:val="000000"/>
          <w:sz w:val="10"/>
        </w:rPr>
      </w:r>
    </w:p>
    <w:p>
      <w:pPr>
        <w:pStyle w:val="Heading1"/>
        <w:keepNext/>
        <w:spacing w:after="80" w:before="180" w:line="276" w:lineRule="auto"/>
        <w:jc w:val="left"/>
      </w:pPr>
      <w:r>
        <w:rPr>
          <w:rFonts w:ascii="Times New Roman" w:hAnsi="Times New Roman" w:cs="Times New Roman" w:eastAsia="Times New Roman"/>
          <w:b/>
          <w:color w:val="000000"/>
          <w:sz w:val="26"/>
        </w:rPr>
        <w:t>References</w:t>
      </w:r>
    </w:p>
    <w:p>
      <w:pPr>
        <w:spacing w:after="40" w:before="0" w:line="276" w:lineRule="auto"/>
        <w:ind w:left="360" w:hanging="360"/>
        <w:jc w:val="both"/>
      </w:pPr>
      <w:r>
        <w:rPr>
          <w:rFonts w:ascii="Times New Roman" w:hAnsi="Times New Roman" w:cs="Times New Roman" w:eastAsia="Times New Roman"/>
          <w:color w:val="000000"/>
          <w:sz w:val="22"/>
        </w:rPr>
        <w:t>Armstrong, M. (2006). Competition in two-sided markets. RAND Journal of Economics, 37(3), 668–691.</w:t>
      </w:r>
    </w:p>
    <w:p>
      <w:pPr>
        <w:spacing w:after="40" w:before="0" w:line="276" w:lineRule="auto"/>
        <w:ind w:left="360" w:hanging="360"/>
        <w:jc w:val="both"/>
      </w:pPr>
      <w:r>
        <w:rPr>
          <w:rFonts w:ascii="Times New Roman" w:hAnsi="Times New Roman" w:cs="Times New Roman" w:eastAsia="Times New Roman"/>
          <w:color w:val="000000"/>
          <w:sz w:val="22"/>
        </w:rPr>
        <w:t>Barrios, J. M., Hochberg, Y. V., &amp; Yi, H. (2022). Launching with a parachute: The gig economy and new business formation. Journal of Financial Economics, 144(1), 22–43.</w:t>
      </w:r>
    </w:p>
    <w:p>
      <w:pPr>
        <w:spacing w:after="40" w:before="0" w:line="276" w:lineRule="auto"/>
        <w:ind w:left="360" w:hanging="360"/>
        <w:jc w:val="both"/>
      </w:pPr>
      <w:r>
        <w:rPr>
          <w:rFonts w:ascii="Times New Roman" w:hAnsi="Times New Roman" w:cs="Times New Roman" w:eastAsia="Times New Roman"/>
          <w:color w:val="000000"/>
          <w:sz w:val="22"/>
        </w:rPr>
        <w:t>Caillaud, B., &amp; Jullien, B. (2003). Chicken and egg: Competition among intermediation service providers. RAND Journal of Economics, 34(2), 309–328.</w:t>
      </w:r>
    </w:p>
    <w:p>
      <w:pPr>
        <w:spacing w:after="40" w:before="0" w:line="276" w:lineRule="auto"/>
        <w:ind w:left="360" w:hanging="360"/>
        <w:jc w:val="both"/>
      </w:pPr>
      <w:r>
        <w:rPr>
          <w:rFonts w:ascii="Times New Roman" w:hAnsi="Times New Roman" w:cs="Times New Roman" w:eastAsia="Times New Roman"/>
          <w:color w:val="000000"/>
          <w:sz w:val="22"/>
        </w:rPr>
        <w:t>De Franco, G., Kothari, S. P., &amp; Verdi, R. S. (2011). The benefits of financial statement comparability. Journal of Accounting Research, 49(4), 895–931.</w:t>
      </w:r>
    </w:p>
    <w:p>
      <w:pPr>
        <w:spacing w:after="40" w:before="0" w:line="276" w:lineRule="auto"/>
        <w:ind w:left="360" w:hanging="360"/>
        <w:jc w:val="both"/>
      </w:pPr>
      <w:r>
        <w:rPr>
          <w:rFonts w:ascii="Times New Roman" w:hAnsi="Times New Roman" w:cs="Times New Roman" w:eastAsia="Times New Roman"/>
          <w:color w:val="000000"/>
          <w:sz w:val="22"/>
        </w:rPr>
        <w:t>Denes, M. R., Lagaras, S., &amp; Tsoutsoura, M. (2025). Entrepreneurship and the gig economy: Evidence from U.S. tax returns. Journal of Financial Economics, 173, 104156.</w:t>
      </w:r>
    </w:p>
    <w:p>
      <w:pPr>
        <w:spacing w:after="40" w:before="0" w:line="276" w:lineRule="auto"/>
        <w:ind w:left="360" w:hanging="360"/>
        <w:jc w:val="both"/>
      </w:pPr>
      <w:r>
        <w:rPr>
          <w:rFonts w:ascii="Times New Roman" w:hAnsi="Times New Roman" w:cs="Times New Roman" w:eastAsia="Times New Roman"/>
          <w:color w:val="000000"/>
          <w:sz w:val="22"/>
        </w:rPr>
        <w:t>European Union. (2021). Council Directive (EU) 2021/514 amending Directive 2011/16/EU (DAC7).</w:t>
      </w:r>
    </w:p>
    <w:p>
      <w:pPr>
        <w:spacing w:after="40" w:before="0" w:line="276" w:lineRule="auto"/>
        <w:ind w:left="360" w:hanging="360"/>
        <w:jc w:val="both"/>
      </w:pPr>
      <w:r>
        <w:rPr>
          <w:rFonts w:ascii="Times New Roman" w:hAnsi="Times New Roman" w:cs="Times New Roman" w:eastAsia="Times New Roman"/>
          <w:color w:val="000000"/>
          <w:sz w:val="22"/>
        </w:rPr>
        <w:t>Google, Temasek, &amp; Bain &amp; Company. (2020). e-Conomy SEA 2020: At Full Velocity.</w:t>
      </w:r>
    </w:p>
    <w:p>
      <w:pPr>
        <w:spacing w:after="40" w:before="0" w:line="276" w:lineRule="auto"/>
        <w:ind w:left="360" w:hanging="360"/>
        <w:jc w:val="both"/>
      </w:pPr>
      <w:r>
        <w:rPr>
          <w:rFonts w:ascii="Times New Roman" w:hAnsi="Times New Roman" w:cs="Times New Roman" w:eastAsia="Times New Roman"/>
          <w:color w:val="000000"/>
          <w:sz w:val="22"/>
        </w:rPr>
        <w:t>Google, Temasek, &amp; Bain &amp; Company. (2024). e-Conomy SEA 2024: Profits on the Rise.</w:t>
      </w:r>
    </w:p>
    <w:p>
      <w:pPr>
        <w:spacing w:after="40" w:before="0" w:line="276" w:lineRule="auto"/>
        <w:ind w:left="360" w:hanging="360"/>
        <w:jc w:val="both"/>
      </w:pPr>
      <w:r>
        <w:rPr>
          <w:rFonts w:ascii="Times New Roman" w:hAnsi="Times New Roman" w:cs="Times New Roman" w:eastAsia="Times New Roman"/>
          <w:color w:val="000000"/>
          <w:sz w:val="22"/>
        </w:rPr>
        <w:t>Hagiu, A., &amp; Wright, J. (2015). Multi-sided platforms. International Journal of Industrial Organization, 43, 162–174.</w:t>
      </w:r>
    </w:p>
    <w:p>
      <w:pPr>
        <w:spacing w:after="40" w:before="0" w:line="276" w:lineRule="auto"/>
        <w:ind w:left="360" w:hanging="360"/>
        <w:jc w:val="both"/>
      </w:pPr>
      <w:r>
        <w:rPr>
          <w:rFonts w:ascii="Times New Roman" w:hAnsi="Times New Roman" w:cs="Times New Roman" w:eastAsia="Times New Roman"/>
          <w:color w:val="000000"/>
          <w:sz w:val="22"/>
        </w:rPr>
        <w:t>International Accounting Standards Board. (2014). IFRS 15: Revenue from Contracts with Customers.</w:t>
      </w:r>
    </w:p>
    <w:p>
      <w:pPr>
        <w:spacing w:after="40" w:before="0" w:line="276" w:lineRule="auto"/>
        <w:ind w:left="360" w:hanging="360"/>
        <w:jc w:val="both"/>
      </w:pPr>
      <w:r>
        <w:rPr>
          <w:rFonts w:ascii="Times New Roman" w:hAnsi="Times New Roman" w:cs="Times New Roman" w:eastAsia="Times New Roman"/>
          <w:color w:val="000000"/>
          <w:sz w:val="22"/>
        </w:rPr>
        <w:t>Kleven, H. J., Knudsen, M. B., Kreiner, C. T., Pedersen, S., &amp; Saez, E. (2011). Unwilling or unable to cheat? Evidence from a tax audit experiment in Denmark. Econometrica, 79(3), 651–692.</w:t>
      </w:r>
    </w:p>
    <w:p>
      <w:pPr>
        <w:spacing w:after="40" w:before="0" w:line="276" w:lineRule="auto"/>
        <w:ind w:left="360" w:hanging="360"/>
        <w:jc w:val="both"/>
      </w:pPr>
      <w:r>
        <w:rPr>
          <w:rFonts w:ascii="Times New Roman" w:hAnsi="Times New Roman" w:cs="Times New Roman" w:eastAsia="Times New Roman"/>
          <w:color w:val="000000"/>
          <w:sz w:val="22"/>
        </w:rPr>
        <w:t>Kleven, H. J., Kreiner, C. T., &amp; Saez, E. (2016). Why can modern governments tax so much? Economica, 83(330), 219–246.</w:t>
      </w:r>
    </w:p>
    <w:p>
      <w:pPr>
        <w:spacing w:after="40" w:before="0" w:line="276" w:lineRule="auto"/>
        <w:ind w:left="360" w:hanging="360"/>
        <w:jc w:val="both"/>
      </w:pPr>
      <w:r>
        <w:rPr>
          <w:rFonts w:ascii="Times New Roman" w:hAnsi="Times New Roman" w:cs="Times New Roman" w:eastAsia="Times New Roman"/>
          <w:color w:val="000000"/>
          <w:sz w:val="22"/>
        </w:rPr>
        <w:t>La Porta, R., &amp; Shleifer, A. (2014). Informality and development. Journal of Economic Perspectives, 28(3), 109–126.</w:t>
      </w:r>
    </w:p>
    <w:p>
      <w:pPr>
        <w:spacing w:after="40" w:before="0" w:line="276" w:lineRule="auto"/>
        <w:ind w:left="360" w:hanging="360"/>
        <w:jc w:val="both"/>
      </w:pPr>
      <w:r>
        <w:rPr>
          <w:rFonts w:ascii="Times New Roman" w:hAnsi="Times New Roman" w:cs="Times New Roman" w:eastAsia="Times New Roman"/>
          <w:color w:val="000000"/>
          <w:sz w:val="22"/>
        </w:rPr>
        <w:t>Medina, L., &amp; Schneider, F. (2019). Shedding light on the shadow economy: A global database. CESifo Working Paper 7981.</w:t>
      </w:r>
    </w:p>
    <w:p>
      <w:pPr>
        <w:spacing w:after="40" w:before="0" w:line="276" w:lineRule="auto"/>
        <w:ind w:left="360" w:hanging="360"/>
        <w:jc w:val="both"/>
      </w:pPr>
      <w:r>
        <w:rPr>
          <w:rFonts w:ascii="Times New Roman" w:hAnsi="Times New Roman" w:cs="Times New Roman" w:eastAsia="Times New Roman"/>
          <w:color w:val="000000"/>
          <w:sz w:val="22"/>
        </w:rPr>
        <w:t>OECD. (2020). Model Rules for Reporting by Platform Operators with respect to Sellers in the Sharing and Gig Economy.</w:t>
      </w:r>
    </w:p>
    <w:p>
      <w:pPr>
        <w:spacing w:after="40" w:before="0" w:line="276" w:lineRule="auto"/>
        <w:ind w:left="360" w:hanging="360"/>
        <w:jc w:val="both"/>
      </w:pPr>
      <w:r>
        <w:rPr>
          <w:rFonts w:ascii="Times New Roman" w:hAnsi="Times New Roman" w:cs="Times New Roman" w:eastAsia="Times New Roman"/>
          <w:color w:val="000000"/>
          <w:sz w:val="22"/>
        </w:rPr>
        <w:t>Pomeranz, D. (2015). No taxation without information: Deterrence and self-enforcement in the value added tax. American Economic Review, 105(8), 2539–2569.</w:t>
      </w:r>
    </w:p>
    <w:p>
      <w:pPr>
        <w:spacing w:after="40" w:before="0" w:line="276" w:lineRule="auto"/>
        <w:ind w:left="360" w:hanging="360"/>
        <w:jc w:val="both"/>
      </w:pPr>
      <w:r>
        <w:rPr>
          <w:rFonts w:ascii="Times New Roman" w:hAnsi="Times New Roman" w:cs="Times New Roman" w:eastAsia="Times New Roman"/>
          <w:color w:val="000000"/>
          <w:sz w:val="22"/>
        </w:rPr>
        <w:t>Rochet, J.-C., &amp; Tirole, J. (2003). Platform competition in two-sided markets. Journal of the European Economic Association, 1(4), 990–1029.</w:t>
      </w:r>
    </w:p>
    <w:p>
      <w:pPr>
        <w:spacing w:after="40" w:before="0" w:line="276" w:lineRule="auto"/>
        <w:ind w:left="360" w:hanging="360"/>
        <w:jc w:val="both"/>
      </w:pPr>
      <w:r>
        <w:rPr>
          <w:rFonts w:ascii="Times New Roman" w:hAnsi="Times New Roman" w:cs="Times New Roman" w:eastAsia="Times New Roman"/>
          <w:color w:val="000000"/>
          <w:sz w:val="22"/>
        </w:rPr>
        <w:t>Slemrod, J. (2019). Tax compliance and enforcement. Journal of Economic Literature, 57(4), 904–954.</w:t>
      </w:r>
    </w:p>
    <w:p>
      <w:pPr>
        <w:spacing w:after="40" w:before="0" w:line="276" w:lineRule="auto"/>
        <w:ind w:left="360" w:hanging="360"/>
        <w:jc w:val="both"/>
      </w:pPr>
      <w:r>
        <w:rPr>
          <w:rFonts w:ascii="Times New Roman" w:hAnsi="Times New Roman" w:cs="Times New Roman" w:eastAsia="Times New Roman"/>
          <w:color w:val="000000"/>
          <w:sz w:val="22"/>
        </w:rPr>
        <w:t>Ulyssea, G. (2018). Firms, informality, and development: Theory and evidence from Brazil. American Economic Review, 108(8), 2015–2047.</w:t>
      </w:r>
    </w:p>
    <w:p>
      <w:pPr>
        <w:pStyle w:val="Heading1"/>
        <w:keepNext/>
        <w:spacing w:after="80" w:before="180" w:line="276" w:lineRule="auto"/>
        <w:jc w:val="left"/>
      </w:pPr>
      <w:r>
        <w:rPr>
          <w:rFonts w:ascii="Times New Roman" w:hAnsi="Times New Roman" w:cs="Times New Roman" w:eastAsia="Times New Roman"/>
          <w:b/>
          <w:color w:val="000000"/>
          <w:sz w:val="26"/>
        </w:rPr>
        <w:t>Primary and Institutional Sources</w:t>
      </w:r>
    </w:p>
    <w:p>
      <w:pPr>
        <w:spacing w:after="60" w:before="0" w:line="276" w:lineRule="auto"/>
        <w:jc w:val="both"/>
      </w:pPr>
      <w:r>
        <w:rPr>
          <w:rFonts w:ascii="Times New Roman" w:hAnsi="Times New Roman" w:cs="Times New Roman" w:eastAsia="Times New Roman"/>
          <w:color w:val="000000"/>
          <w:sz w:val="22"/>
        </w:rPr>
        <w:t>Data statement. Company filings, annual reports, prospectuses and results materials provide the platform data. BPS, Bank Indonesia, the Ministry of Finance and DJP publications provide the business, payment and policy evidence. The working data file records source, definition, publication date, currency and scope for every measure, so each figure can be checked against the original disclosure.</w:t>
      </w:r>
    </w:p>
    <w:p>
      <w:pPr>
        <w:spacing w:after="40" w:before="0" w:line="276" w:lineRule="auto"/>
        <w:ind w:left="360" w:hanging="360"/>
        <w:jc w:val="both"/>
      </w:pPr>
      <w:r>
        <w:rPr>
          <w:rFonts w:ascii="Times New Roman" w:hAnsi="Times New Roman" w:cs="Times New Roman" w:eastAsia="Times New Roman"/>
          <w:color w:val="000000"/>
          <w:sz w:val="22"/>
        </w:rPr>
        <w:t>BPS-Statistics Indonesia. E-Commerce Statistics 2023 and 2024; published marketplace-use analysis.</w:t>
      </w:r>
    </w:p>
    <w:p>
      <w:pPr>
        <w:spacing w:after="40" w:before="0" w:line="276" w:lineRule="auto"/>
        <w:ind w:left="360" w:hanging="360"/>
        <w:jc w:val="both"/>
      </w:pPr>
      <w:r>
        <w:rPr>
          <w:rFonts w:ascii="Times New Roman" w:hAnsi="Times New Roman" w:cs="Times New Roman" w:eastAsia="Times New Roman"/>
          <w:color w:val="000000"/>
          <w:sz w:val="22"/>
        </w:rPr>
        <w:t>Bank Indonesia. Payment System Statistics (SPIP); QRIS reports.</w:t>
      </w:r>
    </w:p>
    <w:p>
      <w:pPr>
        <w:spacing w:after="40" w:before="0" w:line="276" w:lineRule="auto"/>
        <w:ind w:left="360" w:hanging="360"/>
        <w:jc w:val="both"/>
      </w:pPr>
      <w:r>
        <w:rPr>
          <w:rFonts w:ascii="Times New Roman" w:hAnsi="Times New Roman" w:cs="Times New Roman" w:eastAsia="Times New Roman"/>
          <w:color w:val="000000"/>
          <w:sz w:val="22"/>
        </w:rPr>
        <w:t>Ministry of Finance, Republic of Indonesia. PMK 37/2025.</w:t>
      </w:r>
    </w:p>
    <w:p>
      <w:pPr>
        <w:spacing w:after="40" w:before="0" w:line="276" w:lineRule="auto"/>
        <w:ind w:left="360" w:hanging="360"/>
        <w:jc w:val="both"/>
      </w:pPr>
      <w:r>
        <w:rPr>
          <w:rFonts w:ascii="Times New Roman" w:hAnsi="Times New Roman" w:cs="Times New Roman" w:eastAsia="Times New Roman"/>
          <w:color w:val="000000"/>
          <w:sz w:val="22"/>
        </w:rPr>
        <w:t>Directorate General of Taxes. Marketplace guidance; designation of 1 July 2026; postponement announcement.</w:t>
      </w:r>
    </w:p>
    <w:p>
      <w:pPr>
        <w:spacing w:after="40" w:before="0" w:line="276" w:lineRule="auto"/>
        <w:ind w:left="360" w:hanging="360"/>
        <w:jc w:val="both"/>
      </w:pPr>
      <w:r>
        <w:rPr>
          <w:rFonts w:ascii="Times New Roman" w:hAnsi="Times New Roman" w:cs="Times New Roman" w:eastAsia="Times New Roman"/>
          <w:color w:val="000000"/>
          <w:sz w:val="22"/>
        </w:rPr>
        <w:t>PT Global Digital Niaga Tbk; PT Bukalapak.com Tbk; PT GoTo Gojek Tokopedia Tbk. Annual reports and results materials.</w:t>
      </w:r>
    </w:p>
    <w:p>
      <w:pPr>
        <w:spacing w:after="40" w:before="0" w:line="276" w:lineRule="auto"/>
        <w:ind w:left="360" w:hanging="360"/>
        <w:jc w:val="both"/>
      </w:pPr>
      <w:r>
        <w:rPr>
          <w:rFonts w:ascii="Times New Roman" w:hAnsi="Times New Roman" w:cs="Times New Roman" w:eastAsia="Times New Roman"/>
          <w:color w:val="000000"/>
          <w:sz w:val="22"/>
        </w:rPr>
        <w:t>Grab Holdings Limited; Sea Limited. Annual reports and Forms 20-F.</w:t>
      </w:r>
    </w:p>
    <w:p>
      <w:pPr>
        <w:spacing w:after="40" w:before="0" w:line="276" w:lineRule="auto"/>
        <w:ind w:left="360" w:hanging="360"/>
        <w:jc w:val="both"/>
      </w:pPr>
      <w:r>
        <w:rPr>
          <w:rFonts w:ascii="Times New Roman" w:hAnsi="Times New Roman" w:cs="Times New Roman" w:eastAsia="Times New Roman"/>
          <w:color w:val="000000"/>
          <w:sz w:val="22"/>
        </w:rPr>
        <w:t>Momentum Works. (2024). Ecommerce in Southeast Asia.</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6" w:h="16838"/>
      <w:pgMar w:top="1304" w:right="1247" w:bottom="113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4"/>
      </w:rPr>
      <w:t xml:space="preserve">Yuan Ze University | Master of Science in Finance | September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cs="Times New Roman"/>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s="Times New Roman"/>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cs="Times New Roman"/>
      <w:b/>
      <w:bCs/>
      <w:color w:val="1F1F1F"/>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cs="Times New Roman"/>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Times New Roman" w:hAnsi="Times New Roman" w:eastAsia="Times New Roman"/>
      <w:b/>
      <w:bCs/>
      <w:color w:val="40404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D4D4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4D4D4D"/>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4D4D4D"/>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D4D4D"/>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D4D4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D4D4D"/>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F1F1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33333"/>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0404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F1F1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F1F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9595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D4D4D"/>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4D4D4D"/>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4D4D4D"/>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D4D4D"/>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D4D4D"/>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D4D4D"/>
      <w:sz w:val="20"/>
      <w:szCs w:val="20"/>
    </w:rPr>
  </w:style>
  <w:style w:type="paragraph" w:styleId="Caption">
    <w:name w:val="caption"/>
    <w:basedOn w:val="Normal"/>
    <w:next w:val="Normal"/>
    <w:uiPriority w:val="35"/>
    <w:semiHidden/>
    <w:unhideWhenUsed/>
    <w:qFormat/>
    <w:rsid w:val="00FC693F"/>
    <w:pPr>
      <w:spacing w:line="240" w:lineRule="auto"/>
    </w:pPr>
    <w:rPr>
      <w:b/>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04040"/>
    </w:rPr>
  </w:style>
  <w:style w:type="character" w:customStyle="1" w:styleId="IntenseQuoteChar">
    <w:name w:val="Intense Quote Char"/>
    <w:basedOn w:val="DefaultParagraphFont"/>
    <w:link w:val="IntenseQuote"/>
    <w:uiPriority w:val="30"/>
    <w:rsid w:val="00FC693F"/>
    <w:rPr>
      <w:b/>
      <w:bCs/>
      <w:i/>
      <w:iCs/>
      <w:color w:val="40404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0404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