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line="257" w:lineRule="auto" w:after="11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result with BPS-Statistics Indonesia e-commerce data and Bank Indonesia payment records. In 2023, three major platforms processed US$43.23 billion of transaction value against US$3.16 billion of recognized revenue, a ratio of 13.7 to 1. Across twelve year-to-year comparisons, revenue grew faster than transaction value in ten, so the relationship is not stable. National statistics place 98.5 percent of recent e-commerce growth outside the marketplace component, and payment measures grew up to eleven times as fast as e-commerce value. Eight platform businesses outside Indonesia provide external corroboration. The proposal treats these records as distinct measurement layers and tests whether substituting one for another changes conclusions about the scale and growth of digital activity.</w:t>
      </w:r>
    </w:p>
    <w:p>
      <w:pPr>
        <w:pStyle w:val="Heading1"/>
        <w:keepNext/>
        <w:spacing w:before="200" w:after="100"/>
        <w:jc w:val="left"/>
      </w:pPr>
      <w:r>
        <w:rPr>
          <w:rFonts w:ascii="Times New Roman" w:hAnsi="Times New Roman" w:cs="Times New Roman" w:eastAsia="Times New Roman"/>
          <w:b/>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110" w:line="25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110" w:line="25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110" w:line="25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140" w:after="60"/>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110" w:line="25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140" w:after="60"/>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110" w:line="25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110" w:line="25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110" w:line="25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140" w:after="60"/>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200" w:after="100"/>
        <w:jc w:val="left"/>
      </w:pPr>
      <w:r>
        <w:rPr>
          <w:rFonts w:ascii="Times New Roman" w:hAnsi="Times New Roman" w:cs="Times New Roman" w:eastAsia="Times New Roman"/>
          <w:b/>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pPr>
      <w:r>
        <w:rPr>
          <w:rFonts w:ascii="Times New Roman" w:hAnsi="Times New Roman" w:eastAsia="Times New Roman"/>
          <w:b/>
          <w:i w:val="0"/>
          <w:sz w:val="24"/>
        </w:rPr>
        <w:t>2.2 Digital Records and Third-Party Information</w:t>
      </w:r>
    </w:p>
    <w:p>
      <w:pPr>
        <w:keepLines/>
        <w:spacing w:after="110" w:line="25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110" w:line="25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140" w:after="60"/>
      </w:pPr>
      <w:r>
        <w:rPr>
          <w:rFonts w:ascii="Times New Roman" w:hAnsi="Times New Roman" w:eastAsia="Times New Roman"/>
          <w:b/>
          <w:i w:val="0"/>
          <w:sz w:val="24"/>
        </w:rPr>
        <w:t>2.3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110" w:line="25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 rather than adopted from prior work. Its basis is the platform-economics result that booked revenue need not track the transaction value a multisided platform coordinates (Rochet and Tirole 2003; Hagiu and Wright 2015; Evans and Schmalensee 2016), together with the accounting result that the share of transaction value entering revenue is itself a reporting choice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Transaction value and platform revenue diverge materially within the same platform over time.</w:t>
      </w:r>
    </w:p>
    <w:p>
      <w:pPr>
        <w:spacing w:after="110" w:line="25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110" w:line="25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110" w:line="25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Association does not imply that marketplace participation causes formalization.</w:t>
      </w:r>
    </w:p>
    <w:p>
      <w:pPr>
        <w:keepNext/>
        <w:spacing w:after="110" w:line="257" w:lineRule="auto"/>
        <w:jc w:val="left"/>
      </w:pPr>
      <w:r>
        <w:rPr>
          <w:rFonts w:ascii="Times New Roman" w:hAnsi="Times New Roman" w:eastAsia="Times New Roman"/>
          <w:b/>
          <w:i w:val="0"/>
          <w:sz w:val="24"/>
        </w:rPr>
        <w:t>H4. Measurement choices materially alter conclusions about the scale and growth of digital economic activity.</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110" w:line="25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110" w:line="25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110" w:line="257" w:lineRule="auto"/>
        <w:jc w:val="both"/>
      </w:pPr>
      <w:r>
        <w:rPr>
          <w:rFonts w:ascii="Times New Roman" w:hAnsi="Times New Roman" w:eastAsia="Times New Roman"/>
          <w:b w:val="0"/>
          <w:i w:val="0"/>
          <w:sz w:val="24"/>
        </w:rPr>
        <w:t>Table 2 groups the retained evidence by how directly it maps to Indonesia. An annual observation means one matched transaction-and-revenue pair for one platform in one year, and the 17 retained observations produce 12 year-to-year comparisons because the same platforms are not available in every year.</w:t>
      </w:r>
    </w:p>
    <w:p>
      <w:pPr>
        <w:spacing w:after="110" w:line="25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110" w:line="25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This proposal uses GTV as its common label for the value of transactions processed through a platform, and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 and the result is treated as a reconstruction rather than a direct disclosure.</w:t>
      </w:r>
    </w:p>
    <w:p>
      <w:pPr>
        <w:spacing w:after="110" w:line="25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industry research firm whose annual Southeast Asian e-commerce report is widely cited for country-level platform transaction estimates. It is used because no issuer discloses Shopee's Indonesian transaction value, it is labeled as a third-party estimate wherever it appears, and Indonesian revenue is then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source a single role. The modules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is expressed as:</w:t>
      </w:r>
    </w:p>
    <w:p>
      <w:pPr>
        <w:keepNext/>
        <w:spacing w:before="60" w:after="110" w:line="257" w:lineRule="auto"/>
        <w:jc w:val="center"/>
      </w:pPr>
      <w:r>
        <w:rPr>
          <w:rFonts w:ascii="Times New Roman" w:hAnsi="Times New Roman" w:eastAsia="Times New Roman"/>
          <w:b w:val="0"/>
          <w:i/>
          <w:sz w:val="24"/>
        </w:rPr>
        <w:t>V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110" w:line="25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110" w:line="25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110" w:line="25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140" w:after="60"/>
        <w:jc w:val="left"/>
      </w:pPr>
      <w:r>
        <w:rPr>
          <w:rFonts w:ascii="Times New Roman" w:hAnsi="Times New Roman" w:eastAsia="Times New Roman"/>
          <w:b/>
          <w:i w:val="0"/>
          <w:sz w:val="24"/>
        </w:rPr>
        <w:t>5.1 Platform Scale and Movement</w:t>
      </w:r>
    </w:p>
    <w:p>
      <w:pPr>
        <w:keepNext/>
        <w:keepLines/>
        <w:spacing w:after="110" w:line="257" w:lineRule="auto"/>
        <w:jc w:val="both"/>
      </w:pPr>
      <w:r>
        <w:rPr>
          <w:rFonts w:ascii="Times New Roman" w:hAnsi="Times New Roman" w:eastAsia="Times New Roman"/>
          <w:b w:val="0"/>
          <w:i w:val="0"/>
          <w:sz w:val="24"/>
        </w:rPr>
        <w:t>The 2023 fiscal year provides a common comparison across Grab, Tokopedia, and Shopee.</w:t>
      </w:r>
    </w:p>
    <w:p>
      <w:pPr>
        <w:keepNext/>
        <w:keepLines/>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cases, US$43.23 billion of transaction value corresponds to US$3.16 billion of recognized platform revenue, leaving a US$40.07 billion wedge, so transaction value is approximately 13.7 times recognized revenue. For scale, that wedge is equivalent in magnitude to about 2.9 percent of Indonesia's 2023 nominal GDP of US$1.371 trillion. The comparison is one of magnitude only: the three platforms are not the whole market, and the wedge is transaction value outside platform revenue, not value added.</w:t>
      </w:r>
    </w:p>
    <w:p>
      <w:pPr>
        <w:spacing w:after="110" w:line="25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keepNext w:val="0"/>
        <w:spacing w:after="110" w:line="25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 Figure 1 tracks the Ecosystem Ratio for each platform across those years; it ends lower than it started in every series, though not by a steady decline.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110" w:line="25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110" w:line="25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110" w:line="25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110" w:line="257" w:lineRule="auto"/>
        <w:jc w:val="both"/>
      </w:pPr>
      <w:r>
        <w:rPr>
          <w:rFonts w:ascii="Times New Roman" w:hAnsi="Times New Roman" w:eastAsia="Times New Roman"/>
          <w:b w:val="0"/>
          <w:i w:val="0"/>
          <w:sz w:val="24"/>
        </w:rPr>
        <w:t>Indonesia's marketplace reporting regime provides an institutional application of the same distinction. PMK 37/2025, administered by the Directorate General of Taxes (DJP),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 The regulation is therefore examined as institutional architecture, not as evidence of unpaid tax or of a completed compliance effect.</w:t>
      </w:r>
    </w:p>
    <w:p>
      <w:pPr>
        <w:spacing w:after="110" w:line="25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These records are designed to measure different things, and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110" w:line="25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110" w:line="25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supports several conclusions, but the interpretation of each result is deliberately bounded. 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110" w:line="25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110" w:line="25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200" w:after="100"/>
        <w:jc w:val="left"/>
      </w:pPr>
      <w:r>
        <w:rPr>
          <w:rFonts w:ascii="Times New Roman" w:hAnsi="Times New Roman" w:eastAsia="Times New Roman"/>
          <w:b/>
          <w:i w:val="0"/>
          <w:sz w:val="24"/>
        </w:rPr>
        <w:t>Appendix A - Data Sources by Evidence Type</w:t>
      </w:r>
    </w:p>
    <w:p>
      <w:pPr>
        <w:keepNext/>
        <w:keepLines/>
        <w:spacing w:before="80" w:after="7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20" w:after="110" w:line="257" w:lineRule="auto"/>
        <w:jc w:val="both"/>
      </w:pPr>
      <w:r>
        <w:rPr>
          <w:rFonts w:ascii="Times New Roman" w:hAnsi="Times New Roman" w:eastAsia="Times New Roman"/>
          <w:b w:val="0"/>
          <w:i w:val="0"/>
          <w:sz w:val="24"/>
        </w:rPr>
        <w:t>Table A1 traces each evidence type to its sources. 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