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　智　大　學</w:t>
      </w:r>
    </w:p>
    <w:p>
      <w:pPr>
        <w:pStyle w:val="CoverDept"/>
      </w:pPr>
      <w:r>
        <w:t xml:space="preserve">管理學院財務金融暨會計碩士班</w:t>
      </w:r>
    </w:p>
    <w:p>
      <w:pPr>
        <w:pStyle w:val="CoverTrack"/>
      </w:pPr>
      <w:r>
        <w:t xml:space="preserve">財務金融碩士學程</w:t>
      </w:r>
    </w:p>
    <w:p>
      <w:pPr>
        <w:pStyle w:val="CoverDegree"/>
      </w:pPr>
      <w:r>
        <w:t xml:space="preserve">碩　士　論　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440" w:footer="0" w:header="850" w:left="1797" w:right="1797" w:top="1440"/>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sectPr>
          <w:pgSz w:h="16838" w:w="11906"/>
          <w:pgMar w:bottom="1440" w:footer="0" w:header="850" w:left="1797" w:right="1797" w:top="1440"/>
        </w:sectPr>
      </w:pP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6</w:t>
      </w:r>
    </w:p>
    <w:p>
      <w:pPr>
        <w:pStyle w:val="toc2"/>
      </w:pPr>
      <w:r>
        <w:t xml:space="preserve">2.1 Platform economics and revenue recognition</w:t>
      </w:r>
      <w:r>
        <w:tab/>
      </w:r>
      <w:r>
        <w:t xml:space="preserve">6</w:t>
      </w:r>
    </w:p>
    <w:p>
      <w:pPr>
        <w:pStyle w:val="toc2"/>
      </w:pPr>
      <w:r>
        <w:t xml:space="preserve">2.2 Measuring the digital economy</w:t>
      </w:r>
      <w:r>
        <w:tab/>
      </w:r>
      <w:r>
        <w:t xml:space="preserve">7</w:t>
      </w:r>
    </w:p>
    <w:p>
      <w:pPr>
        <w:pStyle w:val="toc2"/>
      </w:pPr>
      <w:r>
        <w:t xml:space="preserve">2.3 Digital records and third-party information</w:t>
      </w:r>
      <w:r>
        <w:tab/>
      </w:r>
      <w:r>
        <w:t xml:space="preserve">8</w:t>
      </w:r>
    </w:p>
    <w:p>
      <w:pPr>
        <w:pStyle w:val="toc2"/>
      </w:pPr>
      <w:r>
        <w:t xml:space="preserve">2.4 Research gap</w:t>
      </w:r>
      <w:r>
        <w:tab/>
      </w:r>
      <w:r>
        <w:t xml:space="preserve">9</w:t>
      </w:r>
    </w:p>
    <w:p>
      <w:pPr>
        <w:pStyle w:val="toc1"/>
      </w:pPr>
      <w:r>
        <w:t xml:space="preserve">Chapter 3 Framework and Hypotheses</w:t>
      </w:r>
      <w:r>
        <w:tab/>
      </w:r>
      <w:r>
        <w:t xml:space="preserve">10</w:t>
      </w:r>
    </w:p>
    <w:p>
      <w:pPr>
        <w:pStyle w:val="toc2"/>
      </w:pPr>
      <w:r>
        <w:t xml:space="preserve">3.1 Terms and rules for comparison</w:t>
      </w:r>
      <w:r>
        <w:tab/>
      </w:r>
      <w:r>
        <w:t xml:space="preserve">12</w:t>
      </w:r>
    </w:p>
    <w:p>
      <w:pPr>
        <w:pStyle w:val="toc2"/>
      </w:pPr>
      <w:r>
        <w:t xml:space="preserve">3.2 Three measures</w:t>
      </w:r>
      <w:r>
        <w:tab/>
      </w:r>
      <w:r>
        <w:t xml:space="preserve">13</w:t>
      </w:r>
    </w:p>
    <w:p>
      <w:pPr>
        <w:pStyle w:val="toc2"/>
      </w:pPr>
      <w:r>
        <w:t xml:space="preserve">3.3 Tracing a movement</w:t>
      </w:r>
      <w:r>
        <w:tab/>
      </w:r>
      <w:r>
        <w:t xml:space="preserve">14</w:t>
      </w:r>
    </w:p>
    <w:p>
      <w:pPr>
        <w:pStyle w:val="toc2"/>
      </w:pPr>
      <w:r>
        <w:t xml:space="preserve">3.4 Hypotheses</w:t>
      </w:r>
      <w:r>
        <w:tab/>
      </w:r>
      <w:r>
        <w:t xml:space="preserve">15</w:t>
      </w:r>
    </w:p>
    <w:p>
      <w:pPr>
        <w:pStyle w:val="toc2"/>
      </w:pPr>
      <w:r>
        <w:t xml:space="preserve">3.5 The entry test</w:t>
      </w:r>
      <w:r>
        <w:tab/>
      </w:r>
      <w:r>
        <w:t xml:space="preserve">17</w:t>
      </w:r>
    </w:p>
    <w:p>
      <w:pPr>
        <w:pStyle w:val="toc2"/>
      </w:pPr>
      <w:r>
        <w:t xml:space="preserve">3.6 Further analyses</w:t>
      </w:r>
      <w:r>
        <w:tab/>
      </w:r>
      <w:r>
        <w:t xml:space="preserve">17</w:t>
      </w:r>
    </w:p>
    <w:p>
      <w:pPr>
        <w:pStyle w:val="toc1"/>
      </w:pPr>
      <w:r>
        <w:t xml:space="preserve">Chapter 4 Data and Methods</w:t>
      </w:r>
      <w:r>
        <w:tab/>
      </w:r>
      <w:r>
        <w:t xml:space="preserve">20</w:t>
      </w:r>
    </w:p>
    <w:p>
      <w:pPr>
        <w:pStyle w:val="toc2"/>
      </w:pPr>
      <w:r>
        <w:t xml:space="preserve">4.1 The platform data</w:t>
      </w:r>
      <w:r>
        <w:tab/>
      </w:r>
      <w:r>
        <w:t xml:space="preserve">21</w:t>
      </w:r>
    </w:p>
    <w:p>
      <w:pPr>
        <w:pStyle w:val="toc2"/>
      </w:pPr>
      <w:r>
        <w:t xml:space="preserve">4.2 Measuring the wedge in Indonesia</w:t>
      </w:r>
      <w:r>
        <w:tab/>
      </w:r>
      <w:r>
        <w:t xml:space="preserve">22</w:t>
      </w:r>
    </w:p>
    <w:p>
      <w:pPr>
        <w:pStyle w:val="toc2"/>
      </w:pPr>
      <w:r>
        <w:t xml:space="preserve">4.3 Testing H1</w:t>
      </w:r>
      <w:r>
        <w:tab/>
      </w:r>
      <w:r>
        <w:t xml:space="preserve">22</w:t>
      </w:r>
    </w:p>
    <w:p>
      <w:pPr>
        <w:pStyle w:val="toc2"/>
      </w:pPr>
      <w:r>
        <w:t xml:space="preserve">4.4 Tracing the moves</w:t>
      </w:r>
      <w:r>
        <w:tab/>
      </w:r>
      <w:r>
        <w:t xml:space="preserve">23</w:t>
      </w:r>
    </w:p>
    <w:p>
      <w:pPr>
        <w:pStyle w:val="toc2"/>
      </w:pPr>
      <w:r>
        <w:t xml:space="preserve">4.5 Market values</w:t>
      </w:r>
      <w:r>
        <w:tab/>
      </w:r>
      <w:r>
        <w:t xml:space="preserve">24</w:t>
      </w:r>
    </w:p>
    <w:p>
      <w:pPr>
        <w:pStyle w:val="toc2"/>
      </w:pPr>
      <w:r>
        <w:t xml:space="preserve">4.6 The survey files and H2</w:t>
      </w:r>
      <w:r>
        <w:tab/>
      </w:r>
      <w:r>
        <w:t xml:space="preserve">24</w:t>
      </w:r>
    </w:p>
    <w:p>
      <w:pPr>
        <w:pStyle w:val="toc2"/>
      </w:pPr>
      <w:r>
        <w:t xml:space="preserve">4.7 The entry test and the extra sellers</w:t>
      </w:r>
      <w:r>
        <w:tab/>
      </w:r>
      <w:r>
        <w:t xml:space="preserve">25</w:t>
      </w:r>
    </w:p>
    <w:p>
      <w:pPr>
        <w:pStyle w:val="toc2"/>
      </w:pPr>
      <w:r>
        <w:t xml:space="preserve">4.8 Channels, records and reach</w:t>
      </w:r>
      <w:r>
        <w:tab/>
      </w:r>
      <w:r>
        <w:t xml:space="preserve">26</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28</w:t>
      </w:r>
    </w:p>
    <w:p>
      <w:pPr>
        <w:pStyle w:val="toc2"/>
      </w:pPr>
      <w:r>
        <w:t xml:space="preserve">5.1 How much revenue leaves out</w:t>
      </w:r>
      <w:r>
        <w:tab/>
      </w:r>
      <w:r>
        <w:t xml:space="preserve">28</w:t>
      </w:r>
    </w:p>
    <w:p>
      <w:pPr>
        <w:pStyle w:val="toc2"/>
      </w:pPr>
      <w:r>
        <w:t xml:space="preserve">5.2 Testing H1</w:t>
      </w:r>
      <w:r>
        <w:tab/>
      </w:r>
      <w:r>
        <w:t xml:space="preserve">29</w:t>
      </w:r>
    </w:p>
    <w:p>
      <w:pPr>
        <w:pStyle w:val="toc2"/>
      </w:pPr>
      <w:r>
        <w:t xml:space="preserve">5.3 What moved the take rate</w:t>
      </w:r>
      <w:r>
        <w:tab/>
      </w:r>
      <w:r>
        <w:t xml:space="preserve">31</w:t>
      </w:r>
    </w:p>
    <w:p>
      <w:pPr>
        <w:pStyle w:val="toc2"/>
      </w:pPr>
      <w:r>
        <w:t xml:space="preserve">5.4 What markets valued</w:t>
      </w:r>
      <w:r>
        <w:tab/>
      </w:r>
      <w:r>
        <w:t xml:space="preserve">33</w:t>
      </w:r>
    </w:p>
    <w:p>
      <w:pPr>
        <w:pStyle w:val="toc2"/>
      </w:pPr>
      <w:r>
        <w:t xml:space="preserve">5.5 The platforms and the sellers in 2023</w:t>
      </w:r>
      <w:r>
        <w:tab/>
      </w:r>
      <w:r>
        <w:t xml:space="preserve">34</w:t>
      </w:r>
    </w:p>
    <w:p>
      <w:pPr>
        <w:pStyle w:val="toc2"/>
      </w:pPr>
      <w:r>
        <w:t xml:space="preserve">5.6 H2 and the entry test</w:t>
      </w:r>
      <w:r>
        <w:tab/>
      </w:r>
      <w:r>
        <w:t xml:space="preserve">35</w:t>
      </w:r>
    </w:p>
    <w:p>
      <w:pPr>
        <w:pStyle w:val="toc2"/>
      </w:pPr>
      <w:r>
        <w:t xml:space="preserve">5.7 What the rise in the count contains</w:t>
      </w:r>
      <w:r>
        <w:tab/>
      </w:r>
      <w:r>
        <w:t xml:space="preserve">35</w:t>
      </w:r>
    </w:p>
    <w:p>
      <w:pPr>
        <w:pStyle w:val="toc2"/>
      </w:pPr>
      <w:r>
        <w:t xml:space="preserve">5.8 Who the extra sellers were</w:t>
      </w:r>
      <w:r>
        <w:tab/>
      </w:r>
      <w:r>
        <w:t xml:space="preserve">37</w:t>
      </w:r>
    </w:p>
    <w:p>
      <w:pPr>
        <w:pStyle w:val="toc2"/>
      </w:pPr>
      <w:r>
        <w:t xml:space="preserve">5.9 Channels and records</w:t>
      </w:r>
      <w:r>
        <w:tab/>
      </w:r>
      <w:r>
        <w:t xml:space="preserve">38</w:t>
      </w:r>
    </w:p>
    <w:p>
      <w:pPr>
        <w:pStyle w:val="toc2"/>
      </w:pPr>
      <w:r>
        <w:t xml:space="preserve">5.10 Why the national figures disagree</w:t>
      </w:r>
      <w:r>
        <w:tab/>
      </w:r>
      <w:r>
        <w:t xml:space="preserve">40</w:t>
      </w:r>
    </w:p>
    <w:p>
      <w:pPr>
        <w:pStyle w:val="toc1"/>
      </w:pPr>
      <w:r>
        <w:t xml:space="preserve">Chapter 6 Discussion and Policy Implications</w:t>
      </w:r>
      <w:r>
        <w:tab/>
      </w:r>
      <w:r>
        <w:t xml:space="preserve">42</w:t>
      </w:r>
    </w:p>
    <w:p>
      <w:pPr>
        <w:pStyle w:val="toc2"/>
      </w:pPr>
      <w:r>
        <w:t xml:space="preserve">6.1 The rules and what each acts on</w:t>
      </w:r>
      <w:r>
        <w:tab/>
      </w:r>
      <w:r>
        <w:t xml:space="preserve">42</w:t>
      </w:r>
    </w:p>
    <w:p>
      <w:pPr>
        <w:pStyle w:val="toc2"/>
      </w:pPr>
      <w:r>
        <w:t xml:space="preserve">6.2 What the commission cap and the discount rule can move</w:t>
      </w:r>
      <w:r>
        <w:tab/>
      </w:r>
      <w:r>
        <w:t xml:space="preserve">44</w:t>
      </w:r>
    </w:p>
    <w:p>
      <w:pPr>
        <w:pStyle w:val="toc2"/>
      </w:pPr>
      <w:r>
        <w:t xml:space="preserve">6.3 How far the marketplace tax reaches</w:t>
      </w:r>
      <w:r>
        <w:tab/>
      </w:r>
      <w:r>
        <w:t xml:space="preserve">46</w:t>
      </w:r>
    </w:p>
    <w:p>
      <w:pPr>
        <w:pStyle w:val="toc2"/>
      </w:pPr>
      <w:r>
        <w:t xml:space="preserve">6.4 What the statistics rules can change</w:t>
      </w:r>
      <w:r>
        <w:tab/>
      </w:r>
      <w:r>
        <w:t xml:space="preserve">47</w:t>
      </w:r>
    </w:p>
    <w:p>
      <w:pPr>
        <w:pStyle w:val="toc2"/>
      </w:pPr>
      <w:r>
        <w:t xml:space="preserve">6.5 What the registered predictions test</w:t>
      </w:r>
      <w:r>
        <w:tab/>
      </w:r>
      <w:r>
        <w:t xml:space="preserve">48</w:t>
      </w:r>
    </w:p>
    <w:p>
      <w:pPr>
        <w:pStyle w:val="toc2"/>
      </w:pPr>
      <w:r>
        <w:t xml:space="preserve">6.6 Beyond Indonesia</w:t>
      </w:r>
      <w:r>
        <w:tab/>
      </w:r>
      <w:r>
        <w:t xml:space="preserve">49</w:t>
      </w:r>
    </w:p>
    <w:p>
      <w:pPr>
        <w:pStyle w:val="toc1"/>
      </w:pPr>
      <w:r>
        <w:t xml:space="preserve">Chapter 7 Conclusion</w:t>
      </w:r>
      <w:r>
        <w:tab/>
      </w:r>
      <w:r>
        <w:t xml:space="preserve">50</w:t>
      </w:r>
    </w:p>
    <w:p>
      <w:pPr>
        <w:pStyle w:val="toc2"/>
      </w:pPr>
      <w:r>
        <w:t xml:space="preserve">7.1 The answer to the research question</w:t>
      </w:r>
      <w:r>
        <w:tab/>
      </w:r>
      <w:r>
        <w:t xml:space="preserve">50</w:t>
      </w:r>
    </w:p>
    <w:p>
      <w:pPr>
        <w:pStyle w:val="toc2"/>
      </w:pPr>
      <w:r>
        <w:t xml:space="preserve">7.2 What the thesis adds</w:t>
      </w:r>
      <w:r>
        <w:tab/>
      </w:r>
      <w:r>
        <w:t xml:space="preserve">51</w:t>
      </w:r>
    </w:p>
    <w:p>
      <w:pPr>
        <w:pStyle w:val="toc2"/>
      </w:pPr>
      <w:r>
        <w:t xml:space="preserve">7.3 Predictions that failed</w:t>
      </w:r>
      <w:r>
        <w:tab/>
      </w:r>
      <w:r>
        <w:t xml:space="preserve">52</w:t>
      </w:r>
    </w:p>
    <w:p>
      <w:pPr>
        <w:pStyle w:val="toc2"/>
      </w:pPr>
      <w:r>
        <w:t xml:space="preserve">7.4 Limits of the evidence</w:t>
      </w:r>
      <w:r>
        <w:tab/>
      </w:r>
      <w:r>
        <w:t xml:space="preserve">53</w:t>
      </w:r>
    </w:p>
    <w:p>
      <w:pPr>
        <w:pStyle w:val="toc2"/>
      </w:pPr>
      <w:r>
        <w:t xml:space="preserve">7.5 Further research</w:t>
      </w:r>
      <w:r>
        <w:tab/>
      </w:r>
      <w:r>
        <w:t xml:space="preserve">55</w:t>
      </w:r>
    </w:p>
    <w:p>
      <w:pPr>
        <w:pStyle w:val="toc1"/>
      </w:pPr>
      <w:r>
        <w:t xml:space="preserve">Appendices</w:t>
      </w:r>
      <w:r>
        <w:tab/>
      </w:r>
      <w:r>
        <w:t xml:space="preserve">56</w:t>
      </w:r>
    </w:p>
    <w:p>
      <w:pPr>
        <w:pStyle w:val="toc2"/>
      </w:pPr>
      <w:r>
        <w:t xml:space="preserve">Appendix A. Definition of variables</w:t>
      </w:r>
      <w:r>
        <w:tab/>
      </w:r>
      <w:r>
        <w:t xml:space="preserve">56</w:t>
      </w:r>
    </w:p>
    <w:p>
      <w:pPr>
        <w:pStyle w:val="toc2"/>
      </w:pPr>
      <w:r>
        <w:t xml:space="preserve">Appendix B. Platforms, windows and the wedge by year</w:t>
      </w:r>
      <w:r>
        <w:tab/>
      </w:r>
      <w:r>
        <w:t xml:space="preserve">57</w:t>
      </w:r>
    </w:p>
    <w:p>
      <w:pPr>
        <w:pStyle w:val="toc2"/>
      </w:pPr>
      <w:r>
        <w:t xml:space="preserve">Appendix C. The checks on the test of H1</w:t>
      </w:r>
      <w:r>
        <w:tab/>
      </w:r>
      <w:r>
        <w:t xml:space="preserve">62</w:t>
      </w:r>
    </w:p>
    <w:p>
      <w:pPr>
        <w:pStyle w:val="toc2"/>
      </w:pPr>
      <w:r>
        <w:t xml:space="preserve">Appendix D. Registered tests and their outcomes</w:t>
      </w:r>
      <w:r>
        <w:tab/>
      </w:r>
      <w:r>
        <w:t xml:space="preserve">64</w:t>
      </w:r>
    </w:p>
    <w:p>
      <w:pPr>
        <w:pStyle w:val="toc2"/>
      </w:pPr>
      <w:r>
        <w:t xml:space="preserve">Appendix E. The values behind Figures 4 to 6</w:t>
      </w:r>
      <w:r>
        <w:tab/>
      </w:r>
      <w:r>
        <w:t xml:space="preserve">66</w:t>
      </w:r>
    </w:p>
    <w:p>
      <w:pPr>
        <w:pStyle w:val="toc1"/>
      </w:pPr>
      <w:r>
        <w:t xml:space="preserve">References</w:t>
      </w:r>
      <w:r>
        <w:tab/>
      </w:r>
      <w:r>
        <w:t xml:space="preserve">68</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The invisible wedge of three platforms, 2023 (US$ billion)</w:t>
      </w:r>
      <w:r>
        <w:tab/>
      </w:r>
      <w:r>
        <w:t xml:space="preserve">28</w:t>
      </w:r>
    </w:p>
    <w:p>
      <w:pPr>
        <w:pStyle w:val="tableoffigures"/>
      </w:pPr>
      <w:r>
        <w:t xml:space="preserve">Table 2. The test of H1</w:t>
      </w:r>
      <w:r>
        <w:tab/>
      </w:r>
      <w:r>
        <w:t xml:space="preserve">29</w:t>
      </w:r>
    </w:p>
    <w:p>
      <w:pPr>
        <w:pStyle w:val="tableoffigures"/>
      </w:pPr>
      <w:r>
        <w:t xml:space="preserve">Table 3. What moved revenue in seven Indonesian and regional windows (share of the growth of revenue, percent)</w:t>
      </w:r>
      <w:r>
        <w:tab/>
      </w:r>
      <w:r>
        <w:t xml:space="preserve">32</w:t>
      </w:r>
    </w:p>
    <w:p>
      <w:pPr>
        <w:pStyle w:val="tableoffigures"/>
      </w:pPr>
      <w:r>
        <w:t xml:space="preserve">Table 4. The 2023 rise in the count of online sellers (thousands)</w:t>
      </w:r>
      <w:r>
        <w:tab/>
      </w:r>
      <w:r>
        <w:t xml:space="preserve">36</w:t>
      </w:r>
    </w:p>
    <w:p>
      <w:pPr>
        <w:pStyle w:val="tableoffigures"/>
      </w:pPr>
      <w:r>
        <w:t xml:space="preserve">Table 5. Indonesia’s recent rules and what each acts on</w:t>
      </w:r>
      <w:r>
        <w:tab/>
      </w:r>
      <w:r>
        <w:t xml:space="preserve">43</w:t>
      </w:r>
    </w:p>
    <w:p>
      <w:pPr>
        <w:pStyle w:val="tableoffigures"/>
      </w:pPr>
      <w:r>
        <w:t xml:space="preserve">Table 6. Registered predictions on the 2026 rules</w:t>
      </w:r>
      <w:r>
        <w:tab/>
      </w:r>
      <w:r>
        <w:t xml:space="preserve">48</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11</w:t>
      </w:r>
    </w:p>
    <w:p>
      <w:pPr>
        <w:pStyle w:val="tableoffigures"/>
      </w:pPr>
      <w:r>
        <w:t xml:space="preserve">Figure 2. The thin take rate.</w:t>
      </w:r>
      <w:r>
        <w:tab/>
      </w:r>
      <w:r>
        <w:t xml:space="preserve">31</w:t>
      </w:r>
    </w:p>
    <w:p>
      <w:pPr>
        <w:pStyle w:val="tableoffigures"/>
      </w:pPr>
      <w:r>
        <w:t xml:space="preserve">Figure 3. Tokopedia, 2022 to 2023: two ways to split the rise in revenue.</w:t>
      </w:r>
      <w:r>
        <w:tab/>
      </w:r>
      <w:r>
        <w:t xml:space="preserve">32</w:t>
      </w:r>
    </w:p>
    <w:p>
      <w:pPr>
        <w:pStyle w:val="tableoffigures"/>
      </w:pPr>
      <w:r>
        <w:t xml:space="preserve">Figure 4. Growth in 2023 (percent).</w:t>
      </w:r>
      <w:r>
        <w:tab/>
      </w:r>
      <w:r>
        <w:t xml:space="preserve">34</w:t>
      </w:r>
    </w:p>
    <w:p>
      <w:pPr>
        <w:pStyle w:val="tableoffigures"/>
      </w:pPr>
      <w:r>
        <w:t xml:space="preserve">Figure 5. Who the extra sellers were.</w:t>
      </w:r>
      <w:r>
        <w:tab/>
      </w:r>
      <w:r>
        <w:t xml:space="preserve">37</w:t>
      </w:r>
    </w:p>
    <w:p>
      <w:pPr>
        <w:pStyle w:val="tableoffigures"/>
      </w:pPr>
      <w:r>
        <w:t xml:space="preserve">Figure 6. Marketplace use and financial statements, 2020 to 2024.</w:t>
      </w:r>
      <w:r>
        <w:tab/>
      </w:r>
      <w:r>
        <w:t xml:space="preserve">39</w:t>
      </w:r>
      <w:r>
        <w:fldChar w:fldCharType="end"/>
      </w:r>
    </w:p>
    <w:p>
      <w:pPr>
        <w:sectPr>
          <w:footerReference r:id="rId9" w:type="default"/>
          <w:pgSz w:h="16838" w:w="11906"/>
          <w:pgMar w:bottom="1134" w:footer="567" w:header="850" w:left="2268" w:right="1134" w:top="1984"/>
          <w:pgNumType w:fmt="lowerRoman" w:start="2"/>
        </w:sectPr>
      </w:pPr>
    </w:p>
    <w:bookmarkStart w:id="23"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0"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about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50"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5"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4"/>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5"/>
    <w:bookmarkStart w:id="46"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6"/>
    <w:bookmarkStart w:id="47"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7"/>
    <w:bookmarkStart w:id="48"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8"/>
    <w:bookmarkStart w:id="49"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9"/>
    <w:bookmarkEnd w:id="50"/>
    <w:bookmarkStart w:id="76"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1"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1 shows each platform.</w:t>
      </w:r>
    </w:p>
    <w:p>
      <w:pPr>
        <w:pStyle w:val="TableCaption"/>
      </w:pPr>
      <w:r>
        <w:rPr>
          <w:b/>
        </w:rPr>
        <w:t>Table 1.</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1"/>
    <w:bookmarkStart w:id="55"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2 gives the test and its checks.</w:t>
      </w:r>
    </w:p>
    <w:p>
      <w:pPr>
        <w:pStyle w:val="TableCaption"/>
      </w:pPr>
      <w:r>
        <w:rPr>
          <w:b/>
        </w:rPr>
        <w:t>Table 2.</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keepNext/>
              <w:spacing w:before="0" w:after="0" w:lineRule="exact" w:line="220"/>
              <w:jc w:val="left"/>
            </w:pPr>
            <w:r>
              <w:rPr>
                <w:b/>
                <w:sz w:val="18"/>
              </w:rPr>
              <w:t xml:space="preserve">Test</w:t>
            </w:r>
          </w:p>
        </w:tc>
        <w:tc>
          <w:tcPr>
            <w:tcW w:w="1320" w:type="dxa"/>
            <w:tcBorders>
              <w:bottom w:val="single" w:sz="5" w:space="0" w:color="000000"/>
            </w:tcBorders>
          </w:tcPr>
          <w:p>
            <w:pPr>
              <w:pStyle w:val="Compact"/>
              <w:keepNext/>
              <w:spacing w:before="0" w:after="0" w:lineRule="exact" w:line="220"/>
              <w:jc w:val="left"/>
            </w:pPr>
            <w:r>
              <w:rPr>
                <w:b/>
                <w:sz w:val="18"/>
              </w:rPr>
              <w:t xml:space="preserve">Method</w:t>
            </w:r>
          </w:p>
        </w:tc>
        <w:tc>
          <w:tcPr>
            <w:tcW w:w="1711" w:type="dxa"/>
            <w:tcBorders>
              <w:bottom w:val="single" w:sz="5" w:space="0" w:color="000000"/>
            </w:tcBorders>
          </w:tcPr>
          <w:p>
            <w:pPr>
              <w:pStyle w:val="Compact"/>
              <w:keepNex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keepNext/>
              <w:spacing w:before="0" w:after="0" w:lineRule="exact" w:line="220"/>
              <w:jc w:val="left"/>
            </w:pPr>
            <w:r>
              <w:rPr>
                <w:b/>
                <w:sz w:val="18"/>
              </w:rPr>
              <w:t xml:space="preserve">Foreign group</w:t>
            </w:r>
          </w:p>
        </w:tc>
        <w:tc>
          <w:tcPr>
            <w:tcW w:w="933" w:type="dxa"/>
            <w:tcBorders>
              <w:bottom w:val="single" w:sz="5" w:space="0" w:color="000000"/>
            </w:tcBorders>
          </w:tcPr>
          <w:p>
            <w:pPr>
              <w:pStyle w:val="Compact"/>
              <w:keepNext/>
              <w:spacing w:before="0" w:after="0" w:lineRule="exact" w:line="220"/>
              <w:jc w:val="left"/>
            </w:pPr>
            <w:r>
              <w:rPr>
                <w:b/>
                <w:sz w:val="18"/>
              </w:rPr>
              <w:t xml:space="preserve">p-value</w:t>
            </w:r>
          </w:p>
        </w:tc>
      </w:tr>
      <w:tr>
        <w:trPr>
          <w:cantSplit/>
        </w:trPr>
        <w:tc>
          <w:tcPr>
            <w:tcW w:w="3657" w:type="dxa"/>
          </w:tcPr>
          <w:p>
            <w:pPr>
              <w:pStyle w:val="Compact"/>
              <w:keepNext/>
              <w:spacing w:before="0" w:after="0" w:lineRule="exact" w:line="220"/>
              <w:jc w:val="left"/>
            </w:pPr>
            <w:r>
              <w:rPr>
                <w:sz w:val="18"/>
              </w:rPr>
              <w:t xml:space="preserve">Yearly change in log take rate, 5 platforms against 27</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0.004</w:t>
            </w:r>
          </w:p>
        </w:tc>
      </w:tr>
      <w:tr>
        <w:trPr>
          <w:cantSplit/>
        </w:trPr>
        <w:tc>
          <w:tcPr>
            <w:tcW w:w="3657" w:type="dxa"/>
          </w:tcPr>
          <w:p>
            <w:pPr>
              <w:pStyle w:val="Compact"/>
              <w:keepNext/>
              <w:spacing w:before="0" w:after="0" w:lineRule="exact" w:line="220"/>
              <w:jc w:val="left"/>
            </w:pPr>
            <w:r>
              <w:rPr>
                <w:sz w:val="18"/>
              </w:rPr>
              <w:t xml:space="preserve">The same</w:t>
            </w:r>
          </w:p>
        </w:tc>
        <w:tc>
          <w:tcPr>
            <w:tcW w:w="1320" w:type="dxa"/>
          </w:tcPr>
          <w:p>
            <w:pPr>
              <w:pStyle w:val="Compact"/>
              <w:keepNext/>
              <w:spacing w:before="0" w:after="0" w:lineRule="exact" w:line="220"/>
              <w:jc w:val="left"/>
            </w:pPr>
            <w:r>
              <w:rPr>
                <w:sz w:val="18"/>
              </w:rPr>
              <w:t xml:space="preserve">Shuffle</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0.022</w:t>
            </w:r>
          </w:p>
        </w:tc>
      </w:tr>
      <w:tr>
        <w:trPr>
          <w:cantSplit/>
        </w:trPr>
        <w:tc>
          <w:tcPr>
            <w:tcW w:w="3657" w:type="dxa"/>
          </w:tcPr>
          <w:p>
            <w:pPr>
              <w:pStyle w:val="Compact"/>
              <w:keepNext/>
              <w:spacing w:before="0" w:after="0" w:lineRule="exact" w:line="220"/>
              <w:jc w:val="left"/>
            </w:pPr>
            <w:r>
              <w:rPr>
                <w:sz w:val="18"/>
              </w:rPr>
              <w:t xml:space="preserve">Growth divergence in points, 5 platforms against 26</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27.0</w:t>
            </w:r>
          </w:p>
        </w:tc>
        <w:tc>
          <w:tcPr>
            <w:tcW w:w="881" w:type="dxa"/>
          </w:tcPr>
          <w:p>
            <w:pPr>
              <w:pStyle w:val="Compact"/>
              <w:keepNext/>
              <w:spacing w:before="0" w:after="0" w:lineRule="exact" w:line="220"/>
              <w:jc w:val="left"/>
            </w:pPr>
            <w:r>
              <w:rPr>
                <w:sz w:val="18"/>
              </w:rPr>
              <w:t xml:space="preserve">6.5</w:t>
            </w:r>
          </w:p>
        </w:tc>
        <w:tc>
          <w:tcPr>
            <w:tcW w:w="933" w:type="dxa"/>
          </w:tcPr>
          <w:p>
            <w:pPr>
              <w:pStyle w:val="Compact"/>
              <w:keepNext/>
              <w:spacing w:before="0" w:after="0" w:lineRule="exact" w:line="220"/>
              <w:jc w:val="left"/>
            </w:pPr>
            <w:r>
              <w:rPr>
                <w:sz w:val="18"/>
              </w:rPr>
              <w:t xml:space="preserve">0.005</w:t>
            </w:r>
          </w:p>
        </w:tc>
      </w:tr>
      <w:tr>
        <w:trPr>
          <w:cantSplit/>
        </w:trPr>
        <w:tc>
          <w:tcPr>
            <w:tcW w:w="3657" w:type="dxa"/>
          </w:tcPr>
          <w:p>
            <w:pPr>
              <w:pStyle w:val="Compact"/>
              <w:keepNext/>
              <w:spacing w:before="0" w:after="0" w:lineRule="exact" w:line="220"/>
              <w:jc w:val="left"/>
            </w:pPr>
            <w:r>
              <w:rPr>
                <w:sz w:val="18"/>
              </w:rPr>
              <w:t xml:space="preserve">Drop each platform in turn, or treat Tokopedia and GoTo as one company</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0.17 to 0.23</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C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C).</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3" name="Picture"/>
            <a:graphic>
              <a:graphicData uri="http://schemas.openxmlformats.org/drawingml/2006/picture">
                <pic:pic>
                  <pic:nvPicPr>
                    <pic:cNvPr descr="figures_yzu/fig5_1_thin_slice.png" id="54" name="Picture"/>
                    <pic:cNvPicPr>
                      <a:picLocks noChangeArrowheads="1" noChangeAspect="1"/>
                    </pic:cNvPicPr>
                  </pic:nvPicPr>
                  <pic:blipFill>
                    <a:blip r:embed="rId52"/>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5"/>
    <w:bookmarkStart w:id="59"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3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3.</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keepNext/>
              <w:spacing w:before="0" w:after="0" w:lineRule="exact" w:line="220"/>
              <w:jc w:val="left"/>
            </w:pPr>
            <w:r>
              <w:rPr>
                <w:b/>
                <w:sz w:val="18"/>
              </w:rPr>
              <w:t xml:space="preserve">Growth of revenue</w:t>
            </w:r>
          </w:p>
        </w:tc>
        <w:tc>
          <w:tcPr>
            <w:tcW w:w="1302" w:type="dxa"/>
            <w:tcBorders>
              <w:bottom w:val="single" w:sz="5" w:space="0" w:color="000000"/>
            </w:tcBorders>
          </w:tcPr>
          <w:p>
            <w:pPr>
              <w:pStyle w:val="Compact"/>
              <w:keepNext/>
              <w:spacing w:before="0" w:after="0" w:lineRule="exact" w:line="220"/>
              <w:jc w:val="left"/>
            </w:pPr>
            <w:r>
              <w:rPr>
                <w:b/>
                <w:sz w:val="18"/>
              </w:rPr>
              <w:t xml:space="preserve">More commerce</w:t>
            </w:r>
          </w:p>
        </w:tc>
        <w:tc>
          <w:tcPr>
            <w:tcW w:w="1149" w:type="dxa"/>
            <w:tcBorders>
              <w:bottom w:val="single" w:sz="5" w:space="0" w:color="000000"/>
            </w:tcBorders>
          </w:tcPr>
          <w:p>
            <w:pPr>
              <w:pStyle w:val="Compact"/>
              <w:keepNext/>
              <w:spacing w:before="0" w:after="0" w:lineRule="exact" w:line="220"/>
              <w:jc w:val="left"/>
            </w:pPr>
            <w:r>
              <w:rPr>
                <w:b/>
                <w:sz w:val="18"/>
              </w:rPr>
              <w:t xml:space="preserve">Higher fees</w:t>
            </w:r>
          </w:p>
        </w:tc>
        <w:tc>
          <w:tcPr>
            <w:tcW w:w="1532"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2911" w:type="dxa"/>
          </w:tcPr>
          <w:p>
            <w:pPr>
              <w:pStyle w:val="Compact"/>
              <w:keepNext/>
              <w:spacing w:before="0" w:after="0" w:lineRule="exact" w:line="220"/>
              <w:jc w:val="left"/>
            </w:pPr>
            <w:r>
              <w:rPr>
                <w:sz w:val="18"/>
              </w:rPr>
              <w:t xml:space="preserve">Tokopedia, 2022–23</w:t>
            </w:r>
          </w:p>
        </w:tc>
        <w:tc>
          <w:tcPr>
            <w:tcW w:w="1609" w:type="dxa"/>
          </w:tcPr>
          <w:p>
            <w:pPr>
              <w:pStyle w:val="Compact"/>
              <w:keepNext/>
              <w:spacing w:before="0" w:after="0" w:lineRule="exact" w:line="220"/>
              <w:jc w:val="left"/>
            </w:pPr>
            <w:r>
              <w:rPr>
                <w:sz w:val="18"/>
              </w:rPr>
              <w:t xml:space="preserve">+53%</w:t>
            </w:r>
          </w:p>
        </w:tc>
        <w:tc>
          <w:tcPr>
            <w:tcW w:w="1302" w:type="dxa"/>
          </w:tcPr>
          <w:p>
            <w:pPr>
              <w:pStyle w:val="Compact"/>
              <w:keepNext/>
              <w:spacing w:before="0" w:after="0" w:lineRule="exact" w:line="220"/>
              <w:jc w:val="left"/>
            </w:pPr>
            <w:r>
              <w:rPr>
                <w:sz w:val="18"/>
              </w:rPr>
              <w:t xml:space="preserve">−22</w:t>
            </w:r>
          </w:p>
        </w:tc>
        <w:tc>
          <w:tcPr>
            <w:tcW w:w="1149" w:type="dxa"/>
          </w:tcPr>
          <w:p>
            <w:pPr>
              <w:pStyle w:val="Compact"/>
              <w:keepNext/>
              <w:spacing w:before="0" w:after="0" w:lineRule="exact" w:line="220"/>
              <w:jc w:val="left"/>
            </w:pPr>
            <w:r>
              <w:rPr>
                <w:sz w:val="18"/>
              </w:rPr>
              <w:t xml:space="preserve">76</w:t>
            </w:r>
          </w:p>
        </w:tc>
        <w:tc>
          <w:tcPr>
            <w:tcW w:w="1532" w:type="dxa"/>
          </w:tcPr>
          <w:p>
            <w:pPr>
              <w:pStyle w:val="Compact"/>
              <w:keepNext/>
              <w:spacing w:before="0" w:after="0" w:lineRule="exact" w:line="220"/>
              <w:jc w:val="left"/>
            </w:pPr>
            <w:r>
              <w:rPr>
                <w:sz w:val="18"/>
              </w:rPr>
              <w:t xml:space="preserve">45</w:t>
            </w:r>
          </w:p>
        </w:tc>
      </w:tr>
      <w:tr>
        <w:trPr>
          <w:cantSplit/>
        </w:trPr>
        <w:tc>
          <w:tcPr>
            <w:tcW w:w="2911" w:type="dxa"/>
          </w:tcPr>
          <w:p>
            <w:pPr>
              <w:pStyle w:val="Compact"/>
              <w:keepNext/>
              <w:spacing w:before="0" w:after="0" w:lineRule="exact" w:line="220"/>
              <w:jc w:val="left"/>
            </w:pPr>
            <w:r>
              <w:rPr>
                <w:sz w:val="18"/>
              </w:rPr>
              <w:t xml:space="preserve">Blibli third-party retail, 2022–23</w:t>
            </w:r>
          </w:p>
        </w:tc>
        <w:tc>
          <w:tcPr>
            <w:tcW w:w="1609" w:type="dxa"/>
          </w:tcPr>
          <w:p>
            <w:pPr>
              <w:pStyle w:val="Compact"/>
              <w:keepNext/>
              <w:spacing w:before="0" w:after="0" w:lineRule="exact" w:line="220"/>
              <w:jc w:val="left"/>
            </w:pPr>
            <w:r>
              <w:rPr>
                <w:sz w:val="18"/>
              </w:rPr>
              <w:t xml:space="preserve">+465%</w:t>
            </w:r>
          </w:p>
        </w:tc>
        <w:tc>
          <w:tcPr>
            <w:tcW w:w="1302" w:type="dxa"/>
          </w:tcPr>
          <w:p>
            <w:pPr>
              <w:pStyle w:val="Compact"/>
              <w:keepNext/>
              <w:spacing w:before="0" w:after="0" w:lineRule="exact" w:line="220"/>
              <w:jc w:val="left"/>
            </w:pPr>
            <w:r>
              <w:rPr>
                <w:sz w:val="18"/>
              </w:rPr>
              <w:t xml:space="preserve">17</w:t>
            </w:r>
          </w:p>
        </w:tc>
        <w:tc>
          <w:tcPr>
            <w:tcW w:w="1149" w:type="dxa"/>
          </w:tcPr>
          <w:p>
            <w:pPr>
              <w:pStyle w:val="Compact"/>
              <w:keepNext/>
              <w:spacing w:before="0" w:after="0" w:lineRule="exact" w:line="220"/>
              <w:jc w:val="left"/>
            </w:pPr>
            <w:r>
              <w:rPr>
                <w:sz w:val="18"/>
              </w:rPr>
              <w:t xml:space="preserve">20</w:t>
            </w:r>
          </w:p>
        </w:tc>
        <w:tc>
          <w:tcPr>
            <w:tcW w:w="1532" w:type="dxa"/>
          </w:tcPr>
          <w:p>
            <w:pPr>
              <w:pStyle w:val="Compact"/>
              <w:keepNext/>
              <w:spacing w:before="0" w:after="0" w:lineRule="exact" w:line="220"/>
              <w:jc w:val="left"/>
            </w:pPr>
            <w:r>
              <w:rPr>
                <w:sz w:val="18"/>
              </w:rPr>
              <w:t xml:space="preserve">63</w:t>
            </w:r>
          </w:p>
        </w:tc>
      </w:tr>
      <w:tr>
        <w:trPr>
          <w:cantSplit/>
        </w:trPr>
        <w:tc>
          <w:tcPr>
            <w:tcW w:w="2911" w:type="dxa"/>
          </w:tcPr>
          <w:p>
            <w:pPr>
              <w:pStyle w:val="Compact"/>
              <w:keepNext/>
              <w:spacing w:before="0" w:after="0" w:lineRule="exact" w:line="220"/>
              <w:jc w:val="left"/>
            </w:pPr>
            <w:r>
              <w:rPr>
                <w:sz w:val="18"/>
              </w:rPr>
              <w:t xml:space="preserve">Blibli third-party retail, 2022–25</w:t>
            </w:r>
          </w:p>
        </w:tc>
        <w:tc>
          <w:tcPr>
            <w:tcW w:w="1609" w:type="dxa"/>
          </w:tcPr>
          <w:p>
            <w:pPr>
              <w:pStyle w:val="Compact"/>
              <w:keepNext/>
              <w:spacing w:before="0" w:after="0" w:lineRule="exact" w:line="220"/>
              <w:jc w:val="left"/>
            </w:pPr>
            <w:r>
              <w:rPr>
                <w:sz w:val="18"/>
              </w:rPr>
              <w:t xml:space="preserve">+679%</w:t>
            </w:r>
          </w:p>
        </w:tc>
        <w:tc>
          <w:tcPr>
            <w:tcW w:w="1302" w:type="dxa"/>
          </w:tcPr>
          <w:p>
            <w:pPr>
              <w:pStyle w:val="Compact"/>
              <w:keepNext/>
              <w:spacing w:before="0" w:after="0" w:lineRule="exact" w:line="220"/>
              <w:jc w:val="left"/>
            </w:pPr>
            <w:r>
              <w:rPr>
                <w:sz w:val="18"/>
              </w:rPr>
              <w:t xml:space="preserve">18</w:t>
            </w:r>
          </w:p>
        </w:tc>
        <w:tc>
          <w:tcPr>
            <w:tcW w:w="1149" w:type="dxa"/>
          </w:tcPr>
          <w:p>
            <w:pPr>
              <w:pStyle w:val="Compact"/>
              <w:keepNext/>
              <w:spacing w:before="0" w:after="0" w:lineRule="exact" w:line="220"/>
              <w:jc w:val="left"/>
            </w:pPr>
            <w:r>
              <w:rPr>
                <w:sz w:val="18"/>
              </w:rPr>
              <w:t xml:space="preserve">63</w:t>
            </w:r>
          </w:p>
        </w:tc>
        <w:tc>
          <w:tcPr>
            <w:tcW w:w="1532" w:type="dxa"/>
          </w:tcPr>
          <w:p>
            <w:pPr>
              <w:pStyle w:val="Compact"/>
              <w:keepNext/>
              <w:spacing w:before="0" w:after="0" w:lineRule="exact" w:line="220"/>
              <w:jc w:val="left"/>
            </w:pPr>
            <w:r>
              <w:rPr>
                <w:sz w:val="18"/>
              </w:rPr>
              <w:t xml:space="preserve">20</w:t>
            </w:r>
          </w:p>
        </w:tc>
      </w:tr>
      <w:tr>
        <w:trPr>
          <w:cantSplit/>
        </w:trPr>
        <w:tc>
          <w:tcPr>
            <w:tcW w:w="2911" w:type="dxa"/>
          </w:tcPr>
          <w:p>
            <w:pPr>
              <w:pStyle w:val="Compact"/>
              <w:keepNext/>
              <w:spacing w:before="0" w:after="0" w:lineRule="exact" w:line="220"/>
              <w:jc w:val="left"/>
            </w:pPr>
            <w:r>
              <w:rPr>
                <w:sz w:val="18"/>
              </w:rPr>
              <w:t xml:space="preserve">Grab on-demand, 2021–24</w:t>
            </w:r>
          </w:p>
        </w:tc>
        <w:tc>
          <w:tcPr>
            <w:tcW w:w="1609" w:type="dxa"/>
          </w:tcPr>
          <w:p>
            <w:pPr>
              <w:pStyle w:val="Compact"/>
              <w:keepNext/>
              <w:spacing w:before="0" w:after="0" w:lineRule="exact" w:line="220"/>
              <w:jc w:val="left"/>
            </w:pPr>
            <w:r>
              <w:rPr>
                <w:sz w:val="18"/>
              </w:rPr>
              <w:t xml:space="preserve">+321%</w:t>
            </w:r>
          </w:p>
        </w:tc>
        <w:tc>
          <w:tcPr>
            <w:tcW w:w="1302" w:type="dxa"/>
          </w:tcPr>
          <w:p>
            <w:pPr>
              <w:pStyle w:val="Compact"/>
              <w:keepNext/>
              <w:spacing w:before="0" w:after="0" w:lineRule="exact" w:line="220"/>
              <w:jc w:val="left"/>
            </w:pPr>
            <w:r>
              <w:rPr>
                <w:sz w:val="18"/>
              </w:rPr>
              <w:t xml:space="preserve">34</w:t>
            </w:r>
          </w:p>
        </w:tc>
        <w:tc>
          <w:tcPr>
            <w:tcW w:w="1149" w:type="dxa"/>
          </w:tcPr>
          <w:p>
            <w:pPr>
              <w:pStyle w:val="Compact"/>
              <w:keepNext/>
              <w:spacing w:before="0" w:after="0" w:lineRule="exact" w:line="220"/>
              <w:jc w:val="left"/>
            </w:pPr>
            <w:r>
              <w:rPr>
                <w:sz w:val="18"/>
              </w:rPr>
              <w:t xml:space="preserve">34</w:t>
            </w:r>
          </w:p>
        </w:tc>
        <w:tc>
          <w:tcPr>
            <w:tcW w:w="1532" w:type="dxa"/>
          </w:tcPr>
          <w:p>
            <w:pPr>
              <w:pStyle w:val="Compact"/>
              <w:keepNext/>
              <w:spacing w:before="0" w:after="0" w:lineRule="exact" w:line="220"/>
              <w:jc w:val="left"/>
            </w:pPr>
            <w:r>
              <w:rPr>
                <w:sz w:val="18"/>
              </w:rPr>
              <w:t xml:space="preserve">33</w:t>
            </w:r>
          </w:p>
        </w:tc>
      </w:tr>
      <w:tr>
        <w:trPr>
          <w:cantSplit/>
        </w:trPr>
        <w:tc>
          <w:tcPr>
            <w:tcW w:w="2911" w:type="dxa"/>
          </w:tcPr>
          <w:p>
            <w:pPr>
              <w:pStyle w:val="Compact"/>
              <w:keepNext/>
              <w:spacing w:before="0" w:after="0" w:lineRule="exact" w:line="220"/>
              <w:jc w:val="left"/>
            </w:pPr>
            <w:r>
              <w:rPr>
                <w:sz w:val="18"/>
              </w:rPr>
              <w:t xml:space="preserve">Grab on-demand, 2022–24</w:t>
            </w:r>
          </w:p>
        </w:tc>
        <w:tc>
          <w:tcPr>
            <w:tcW w:w="1609" w:type="dxa"/>
          </w:tcPr>
          <w:p>
            <w:pPr>
              <w:pStyle w:val="Compact"/>
              <w:keepNext/>
              <w:spacing w:before="0" w:after="0" w:lineRule="exact" w:line="220"/>
              <w:jc w:val="left"/>
            </w:pPr>
            <w:r>
              <w:rPr>
                <w:sz w:val="18"/>
              </w:rPr>
              <w:t xml:space="preserve">+86%</w:t>
            </w:r>
          </w:p>
        </w:tc>
        <w:tc>
          <w:tcPr>
            <w:tcW w:w="1302" w:type="dxa"/>
          </w:tcPr>
          <w:p>
            <w:pPr>
              <w:pStyle w:val="Compact"/>
              <w:keepNext/>
              <w:spacing w:before="0" w:after="0" w:lineRule="exact" w:line="220"/>
              <w:jc w:val="left"/>
            </w:pPr>
            <w:r>
              <w:rPr>
                <w:sz w:val="18"/>
              </w:rPr>
              <w:t xml:space="preserve">42</w:t>
            </w:r>
          </w:p>
        </w:tc>
        <w:tc>
          <w:tcPr>
            <w:tcW w:w="1149" w:type="dxa"/>
          </w:tcPr>
          <w:p>
            <w:pPr>
              <w:pStyle w:val="Compact"/>
              <w:keepNext/>
              <w:spacing w:before="0" w:after="0" w:lineRule="exact" w:line="220"/>
              <w:jc w:val="left"/>
            </w:pPr>
            <w:r>
              <w:rPr>
                <w:sz w:val="18"/>
              </w:rPr>
              <w:t xml:space="preserve">11</w:t>
            </w:r>
          </w:p>
        </w:tc>
        <w:tc>
          <w:tcPr>
            <w:tcW w:w="1532" w:type="dxa"/>
          </w:tcPr>
          <w:p>
            <w:pPr>
              <w:pStyle w:val="Compact"/>
              <w:keepNext/>
              <w:spacing w:before="0" w:after="0" w:lineRule="exact" w:line="220"/>
              <w:jc w:val="left"/>
            </w:pPr>
            <w:r>
              <w:rPr>
                <w:sz w:val="18"/>
              </w:rPr>
              <w:t xml:space="preserve">47</w:t>
            </w:r>
          </w:p>
        </w:tc>
      </w:tr>
      <w:tr>
        <w:trPr>
          <w:cantSplit/>
        </w:trPr>
        <w:tc>
          <w:tcPr>
            <w:tcW w:w="2911" w:type="dxa"/>
          </w:tcPr>
          <w:p>
            <w:pPr>
              <w:pStyle w:val="Compact"/>
              <w:keepNext/>
              <w:spacing w:before="0" w:after="0" w:lineRule="exact" w:line="220"/>
              <w:jc w:val="left"/>
            </w:pPr>
            <w:r>
              <w:rPr>
                <w:sz w:val="18"/>
              </w:rPr>
              <w:t xml:space="preserve">GoTo on-demand, 2022–25</w:t>
            </w:r>
          </w:p>
        </w:tc>
        <w:tc>
          <w:tcPr>
            <w:tcW w:w="1609" w:type="dxa"/>
          </w:tcPr>
          <w:p>
            <w:pPr>
              <w:pStyle w:val="Compact"/>
              <w:keepNext/>
              <w:spacing w:before="0" w:after="0" w:lineRule="exact" w:line="220"/>
              <w:jc w:val="left"/>
            </w:pPr>
            <w:r>
              <w:rPr>
                <w:sz w:val="18"/>
              </w:rPr>
              <w:t xml:space="preserve">+111%</w:t>
            </w:r>
          </w:p>
        </w:tc>
        <w:tc>
          <w:tcPr>
            <w:tcW w:w="1302" w:type="dxa"/>
          </w:tcPr>
          <w:p>
            <w:pPr>
              <w:pStyle w:val="Compact"/>
              <w:keepNext/>
              <w:spacing w:before="0" w:after="0" w:lineRule="exact" w:line="220"/>
              <w:jc w:val="left"/>
            </w:pPr>
            <w:r>
              <w:rPr>
                <w:sz w:val="18"/>
              </w:rPr>
              <w:t xml:space="preserve">12</w:t>
            </w:r>
          </w:p>
        </w:tc>
        <w:tc>
          <w:tcPr>
            <w:tcW w:w="1149" w:type="dxa"/>
          </w:tcPr>
          <w:p>
            <w:pPr>
              <w:pStyle w:val="Compact"/>
              <w:keepNext/>
              <w:spacing w:before="0" w:after="0" w:lineRule="exact" w:line="220"/>
              <w:jc w:val="left"/>
            </w:pPr>
            <w:r>
              <w:rPr>
                <w:sz w:val="18"/>
              </w:rPr>
              <w:t xml:space="preserve">36</w:t>
            </w:r>
          </w:p>
        </w:tc>
        <w:tc>
          <w:tcPr>
            <w:tcW w:w="1532" w:type="dxa"/>
          </w:tcPr>
          <w:p>
            <w:pPr>
              <w:pStyle w:val="Compact"/>
              <w:keepNex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B).</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3,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7" name="Picture"/>
            <a:graphic>
              <a:graphicData uri="http://schemas.openxmlformats.org/drawingml/2006/picture">
                <pic:pic>
                  <pic:nvPicPr>
                    <pic:cNvPr descr="figures_yzu/fig5_2_tokopedia_two_views.png" id="58" name="Picture"/>
                    <pic:cNvPicPr>
                      <a:picLocks noChangeArrowheads="1" noChangeAspect="1"/>
                    </pic:cNvPicPr>
                  </pic:nvPicPr>
                  <pic:blipFill>
                    <a:blip r:embed="rId56"/>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9"/>
    <w:bookmarkStart w:id="60"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0"/>
    <w:bookmarkStart w:id="64"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2" name="Picture"/>
            <a:graphic>
              <a:graphicData uri="http://schemas.openxmlformats.org/drawingml/2006/picture">
                <pic:pic>
                  <pic:nvPicPr>
                    <pic:cNvPr descr="figures_yzu/fig5_3_growth_2023.png" id="63" name="Picture"/>
                    <pic:cNvPicPr>
                      <a:picLocks noChangeArrowheads="1" noChangeAspect="1"/>
                    </pic:cNvPicPr>
                  </pic:nvPicPr>
                  <pic:blipFill>
                    <a:blip r:embed="rId61"/>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4"/>
    <w:bookmarkStart w:id="65"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5"/>
    <w:bookmarkStart w:id="66"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4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4.</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6"/>
    <w:bookmarkStart w:id="70"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4.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8" name="Picture"/>
            <a:graphic>
              <a:graphicData uri="http://schemas.openxmlformats.org/drawingml/2006/picture">
                <pic:pic>
                  <pic:nvPicPr>
                    <pic:cNvPr descr="figures_yzu/fig5_4_extra_sellers.png" id="69" name="Picture"/>
                    <pic:cNvPicPr>
                      <a:picLocks noChangeArrowheads="1" noChangeAspect="1"/>
                    </pic:cNvPicPr>
                  </pic:nvPicPr>
                  <pic:blipFill>
                    <a:blip r:embed="rId67"/>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0"/>
    <w:bookmarkStart w:id="74"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2" name="Picture"/>
            <a:graphic>
              <a:graphicData uri="http://schemas.openxmlformats.org/drawingml/2006/picture">
                <pic:pic>
                  <pic:nvPicPr>
                    <pic:cNvPr descr="figures_yzu/fig5_5_marketplace_and_records.png" id="73" name="Picture"/>
                    <pic:cNvPicPr>
                      <a:picLocks noChangeArrowheads="1" noChangeAspect="1"/>
                    </pic:cNvPicPr>
                  </pic:nvPicPr>
                  <pic:blipFill>
                    <a:blip r:embed="rId71"/>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4"/>
    <w:bookmarkStart w:id="75"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5"/>
    <w:bookmarkEnd w:id="76"/>
    <w:bookmarkStart w:id="83"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7"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5 lists each rule with the part it acts on and the section of Chapter 5 that measures that part.</w:t>
      </w:r>
    </w:p>
    <w:p>
      <w:pPr>
        <w:pStyle w:val="TableCaption"/>
      </w:pPr>
      <w:r>
        <w:rPr>
          <w:b/>
        </w:rPr>
        <w:t>Table 5.</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identity number</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7"/>
    <w:bookmarkStart w:id="78"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3.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8"/>
    <w:bookmarkStart w:id="79"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9"/>
    <w:bookmarkStart w:id="80"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0"/>
    <w:bookmarkStart w:id="81"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 lists them with the date each is scored.</w:t>
      </w:r>
    </w:p>
    <w:p>
      <w:pPr>
        <w:pStyle w:val="TableCaption"/>
      </w:pPr>
      <w:r>
        <w:rPr>
          <w:b/>
        </w:rPr>
        <w:t>Table 6.</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1"/>
    <w:bookmarkStart w:id="82"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2"/>
    <w:bookmarkEnd w:id="83"/>
    <w:bookmarkStart w:id="89"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4"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4"/>
    <w:bookmarkStart w:id="85"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5"/>
    <w:bookmarkStart w:id="86"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6"/>
    <w:bookmarkStart w:id="87"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3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7"/>
    <w:bookmarkStart w:id="88"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8"/>
    <w:bookmarkEnd w:id="89"/>
    <w:bookmarkStart w:id="103"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2" w:name="appendix-a.-definition-of-variables"/>
    <w:p>
      <w:pPr>
        <w:pStyle w:val="Heading2"/>
      </w:pPr>
      <w:r>
        <w:t xml:space="preserve">Appendix A. Definition of variables</w:t>
      </w:r>
    </w:p>
    <w:bookmarkStart w:id="90"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45"/>
        <w:gridCol w:w="3330"/>
        <w:gridCol w:w="3330"/>
      </w:tblGrid>
      <w:tr>
        <w:trPr>
          <w:tblHeader w:val="true"/>
          <w:cantSplit/>
          <w:tblHeader/>
        </w:trPr>
        <w:tc>
          <w:tcPr>
            <w:tcW w:w="1845" w:type="dxa"/>
            <w:tcBorders>
              <w:bottom w:val="single" w:sz="5" w:space="0" w:color="000000"/>
            </w:tcBorders>
          </w:tcPr>
          <w:p>
            <w:pPr>
              <w:pStyle w:val="Compact"/>
              <w:keepNext/>
              <w:spacing w:before="0" w:after="0" w:lineRule="exact" w:line="220"/>
              <w:jc w:val="left"/>
            </w:pPr>
            <w:r>
              <w:rPr>
                <w:b/>
                <w:sz w:val="18"/>
              </w:rPr>
              <w:t xml:space="preserve">Variable</w:t>
            </w:r>
          </w:p>
        </w:tc>
        <w:tc>
          <w:tcPr>
            <w:tcW w:w="3330" w:type="dxa"/>
            <w:tcBorders>
              <w:bottom w:val="single" w:sz="5" w:space="0" w:color="000000"/>
            </w:tcBorders>
          </w:tcPr>
          <w:p>
            <w:pPr>
              <w:pStyle w:val="Compact"/>
              <w:keepNext/>
              <w:spacing w:before="0" w:after="0" w:lineRule="exact" w:line="220"/>
              <w:jc w:val="left"/>
            </w:pPr>
            <w:r>
              <w:rPr>
                <w:b/>
                <w:sz w:val="18"/>
              </w:rPr>
              <w:t xml:space="preserve">Definition</w:t>
            </w:r>
          </w:p>
        </w:tc>
        <w:tc>
          <w:tcPr>
            <w:tcW w:w="3330" w:type="dxa"/>
            <w:tcBorders>
              <w:bottom w:val="single" w:sz="5" w:space="0" w:color="000000"/>
            </w:tcBorders>
          </w:tcPr>
          <w:p>
            <w:pPr>
              <w:pStyle w:val="Compact"/>
              <w:keepNext/>
              <w:spacing w:before="0" w:after="0" w:lineRule="exact" w:line="220"/>
              <w:jc w:val="left"/>
            </w:pPr>
            <w:r>
              <w:rPr>
                <w:b/>
                <w:sz w:val="18"/>
              </w:rPr>
              <w:t xml:space="preserve">Source</w:t>
            </w:r>
          </w:p>
        </w:tc>
      </w:tr>
      <w:tr>
        <w:trPr>
          <w:cantSplit/>
        </w:trPr>
        <w:tc>
          <w:tcPr>
            <w:tcW w:w="8505" w:type="dxa"/>
            <w:gridSpan w:val="3"/>
          </w:tcPr>
          <w:p>
            <w:pPr>
              <w:pStyle w:val="Compact"/>
              <w:keepNext/>
              <w:spacing w:before="0" w:after="0" w:lineRule="exact" w:line="220"/>
              <w:jc w:val="left"/>
            </w:pPr>
            <w:r>
              <w:rPr>
                <w:iCs/>
                <w:i/>
                <w:sz w:val="18"/>
              </w:rPr>
              <w:t xml:space="preserve">Panel A: Platform measures</w:t>
            </w:r>
          </w:p>
        </w:tc>
      </w:tr>
      <w:tr>
        <w:trPr>
          <w:cantSplit/>
        </w:trPr>
        <w:tc>
          <w:tcPr>
            <w:tcW w:w="1845" w:type="dxa"/>
          </w:tcPr>
          <w:p>
            <w:pPr>
              <w:pStyle w:val="Compact"/>
              <w:keepNext/>
              <w:spacing w:before="0" w:after="0" w:lineRule="exact" w:line="220"/>
              <w:jc w:val="left"/>
            </w:pPr>
            <w:r>
              <w:rPr>
                <w:sz w:val="18"/>
              </w:rPr>
              <w:t xml:space="preserve">V</w:t>
            </w:r>
            <w:r>
              <w:rPr>
                <w:sz w:val="18"/>
                <w:vertAlign w:val="subscript"/>
              </w:rPr>
              <w:t xml:space="preserve">it</w:t>
            </w:r>
          </w:p>
        </w:tc>
        <w:tc>
          <w:tcPr>
            <w:tcW w:w="3330" w:type="dxa"/>
          </w:tcPr>
          <w:p>
            <w:pPr>
              <w:pStyle w:val="Compact"/>
              <w:keepNext/>
              <w:spacing w:before="0" w:after="0" w:lineRule="exact" w:line="220"/>
              <w:jc w:val="left"/>
            </w:pPr>
            <w:r>
              <w:rPr>
                <w:sz w:val="18"/>
              </w:rPr>
              <w:t xml:space="preserve">Transaction value: everything bought through platform i in year t, in the company’s own currency. Companies also call it gross merchandise value (GMV), gross transaction value (GTV) or total payment volume (TPV).</w:t>
            </w:r>
          </w:p>
        </w:tc>
        <w:tc>
          <w:tcPr>
            <w:tcW w:w="3330" w:type="dxa"/>
          </w:tcPr>
          <w:p>
            <w:pPr>
              <w:pStyle w:val="Compact"/>
              <w:keepNext/>
              <w:spacing w:before="0" w:after="0" w:lineRule="exact" w:line="220"/>
              <w:jc w:val="left"/>
            </w:pPr>
            <w:r>
              <w:rPr>
                <w:sz w:val="18"/>
              </w:rPr>
              <w:t xml:space="preserve">Company annual reports, annual filings (Form 20-F) and investor releases; Appendix B lists each series</w:t>
            </w:r>
          </w:p>
        </w:tc>
      </w:tr>
      <w:tr>
        <w:trPr>
          <w:cantSplit/>
        </w:trPr>
        <w:tc>
          <w:tcPr>
            <w:tcW w:w="1845" w:type="dxa"/>
          </w:tcPr>
          <w:p>
            <w:pPr>
              <w:pStyle w:val="Compact"/>
              <w:spacing w:before="0" w:after="0" w:lineRule="exact" w:line="220"/>
              <w:jc w:val="left"/>
            </w:pPr>
            <w:r>
              <w:rPr>
                <w:sz w:val="18"/>
              </w:rPr>
              <w:t xml:space="preserve">R</w:t>
            </w:r>
            <w:r>
              <w:rPr>
                <w:sz w:val="18"/>
                <w:vertAlign w:val="subscript"/>
              </w:rPr>
              <w:t xml:space="preserve">it</w:t>
            </w:r>
          </w:p>
        </w:tc>
        <w:tc>
          <w:tcPr>
            <w:tcW w:w="3330" w:type="dxa"/>
          </w:tcPr>
          <w:p>
            <w:pPr>
              <w:pStyle w:val="Compact"/>
              <w:spacing w:before="0" w:after="0" w:lineRule="exact" w:line="220"/>
              <w:jc w:val="left"/>
            </w:pPr>
            <w:r>
              <w:rPr>
                <w:sz w:val="18"/>
              </w:rPr>
              <w:t xml:space="preserve">Revenue: what the platform recognizes as its own income in its accounts, for the same business and period as V</w:t>
            </w:r>
            <w:r>
              <w:rPr>
                <w:sz w:val="18"/>
                <w:vertAlign w:val="subscript"/>
              </w:rPr>
              <w:t xml:space="preserve">it</w:t>
            </w:r>
            <w:r>
              <w:rPr>
                <w:sz w:val="18"/>
              </w:rPr>
              <w:t xml:space="preserve">.</w:t>
            </w:r>
          </w:p>
        </w:tc>
        <w:tc>
          <w:tcPr>
            <w:tcW w:w="3330" w:type="dxa"/>
          </w:tcPr>
          <w:p>
            <w:pPr>
              <w:pStyle w:val="Compact"/>
              <w:spacing w:before="0" w:after="0" w:lineRule="exact" w:line="220"/>
              <w:jc w:val="left"/>
            </w:pPr>
            <w:r>
              <w:rPr>
                <w:sz w:val="18"/>
              </w:rPr>
              <w:t xml:space="preserve">Same as V</w:t>
            </w:r>
            <w:r>
              <w:rPr>
                <w:sz w:val="18"/>
                <w:vertAlign w:val="subscript"/>
              </w:rPr>
              <w:t xml:space="preserve">it</w:t>
            </w:r>
          </w:p>
        </w:tc>
      </w:tr>
      <w:tr>
        <w:trPr>
          <w:cantSplit/>
        </w:trPr>
        <w:tc>
          <w:tcPr>
            <w:tcW w:w="1845" w:type="dxa"/>
          </w:tcPr>
          <w:p>
            <w:pPr>
              <w:pStyle w:val="Compact"/>
              <w:spacing w:before="0" w:after="0" w:lineRule="exact" w:line="220"/>
              <w:jc w:val="left"/>
            </w:pPr>
            <w:r>
              <w:rPr>
                <w:sz w:val="18"/>
              </w:rPr>
              <w:t xml:space="preserve">m</w:t>
            </w:r>
            <w:r>
              <w:rPr>
                <w:sz w:val="18"/>
                <w:vertAlign w:val="subscript"/>
              </w:rPr>
              <w:t xml:space="preserve">it</w:t>
            </w:r>
          </w:p>
        </w:tc>
        <w:tc>
          <w:tcPr>
            <w:tcW w:w="3330" w:type="dxa"/>
          </w:tcPr>
          <w:p>
            <w:pPr>
              <w:pStyle w:val="Compact"/>
              <w:spacing w:before="0" w:after="0" w:lineRule="exact" w:line="220"/>
              <w:jc w:val="left"/>
            </w:pPr>
            <w:r>
              <w:rPr>
                <w:sz w:val="18"/>
              </w:rPr>
              <w:t xml:space="preserve">Take rate: R</w:t>
            </w:r>
            <w:r>
              <w:rPr>
                <w:sz w:val="18"/>
                <w:vertAlign w:val="subscript"/>
              </w:rPr>
              <w:t xml:space="preserve">it</w:t>
            </w:r>
            <w:r>
              <w:rPr>
                <w:sz w:val="18"/>
              </w:rPr>
              <w:t xml:space="preserve"> </w:t>
            </w:r>
            <w:r>
              <w:rPr>
                <w:sz w:val="18"/>
              </w:rPr>
              <w:t xml:space="preserve">divided by V</w:t>
            </w:r>
            <w:r>
              <w:rPr>
                <w:sz w:val="18"/>
                <w:vertAlign w:val="subscript"/>
              </w:rPr>
              <w:t xml:space="preserve">it</w:t>
            </w:r>
            <w:r>
              <w:rPr>
                <w:sz w:val="18"/>
              </w:rPr>
              <w:t xml:space="preserve">, the share of each sale that the platform keeps.</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f</w:t>
            </w:r>
            <w:r>
              <w:rPr>
                <w:sz w:val="18"/>
                <w:vertAlign w:val="subscript"/>
              </w:rPr>
              <w:t xml:space="preserve">it</w:t>
            </w:r>
          </w:p>
        </w:tc>
        <w:tc>
          <w:tcPr>
            <w:tcW w:w="3330" w:type="dxa"/>
          </w:tcPr>
          <w:p>
            <w:pPr>
              <w:pStyle w:val="Compact"/>
              <w:spacing w:before="0" w:after="0" w:lineRule="exact" w:line="220"/>
              <w:jc w:val="left"/>
            </w:pPr>
            <w:r>
              <w:rPr>
                <w:sz w:val="18"/>
              </w:rPr>
              <w:t xml:space="preserve">Fee rate: the platform’s revenue before customer incentives, divided by V</w:t>
            </w:r>
            <w:r>
              <w:rPr>
                <w:sz w:val="18"/>
                <w:vertAlign w:val="subscript"/>
              </w:rPr>
              <w:t xml:space="preserve">it</w:t>
            </w:r>
            <w:r>
              <w:rPr>
                <w:sz w:val="18"/>
              </w:rPr>
              <w:t xml:space="preserve">.</w:t>
            </w:r>
          </w:p>
        </w:tc>
        <w:tc>
          <w:tcPr>
            <w:tcW w:w="3330" w:type="dxa"/>
          </w:tcPr>
          <w:p>
            <w:pPr>
              <w:pStyle w:val="Compact"/>
              <w:spacing w:before="0" w:after="0" w:lineRule="exact" w:line="220"/>
              <w:jc w:val="left"/>
            </w:pPr>
            <w:r>
              <w:rPr>
                <w:sz w:val="18"/>
              </w:rPr>
              <w:t xml:space="preserve">Company reports; author’s calculation</w:t>
            </w:r>
          </w:p>
        </w:tc>
      </w:tr>
      <w:tr>
        <w:trPr>
          <w:cantSplit/>
        </w:trPr>
        <w:tc>
          <w:tcPr>
            <w:tcW w:w="1845" w:type="dxa"/>
          </w:tcPr>
          <w:p>
            <w:pPr>
              <w:pStyle w:val="Compact"/>
              <w:spacing w:before="0" w:after="0" w:lineRule="exact" w:line="220"/>
              <w:jc w:val="left"/>
            </w:pPr>
            <w:r>
              <w:rPr>
                <w:sz w:val="18"/>
              </w:rPr>
              <w:t xml:space="preserve">s</w:t>
            </w:r>
            <w:r>
              <w:rPr>
                <w:sz w:val="18"/>
                <w:vertAlign w:val="subscript"/>
              </w:rPr>
              <w:t xml:space="preserve">it</w:t>
            </w:r>
          </w:p>
        </w:tc>
        <w:tc>
          <w:tcPr>
            <w:tcW w:w="3330" w:type="dxa"/>
          </w:tcPr>
          <w:p>
            <w:pPr>
              <w:pStyle w:val="Compact"/>
              <w:spacing w:before="0" w:after="0" w:lineRule="exact" w:line="220"/>
              <w:jc w:val="left"/>
            </w:pPr>
            <w:r>
              <w:rPr>
                <w:sz w:val="18"/>
              </w:rPr>
              <w:t xml:space="preserve">Incentive rate: customer incentives divided by V</w:t>
            </w:r>
            <w:r>
              <w:rPr>
                <w:sz w:val="18"/>
                <w:vertAlign w:val="subscript"/>
              </w:rPr>
              <w:t xml:space="preserve">it</w:t>
            </w:r>
            <w:r>
              <w:rPr>
                <w:sz w:val="18"/>
              </w:rPr>
              <w:t xml:space="preserve">. Customer incentives are the discounts, vouchers and other promotions that a platform pays for, which accounting rules normally deduct from revenue.</w:t>
            </w:r>
          </w:p>
        </w:tc>
        <w:tc>
          <w:tcPr>
            <w:tcW w:w="3330" w:type="dxa"/>
          </w:tcPr>
          <w:p>
            <w:pPr>
              <w:pStyle w:val="Compact"/>
              <w:spacing w:before="0" w:after="0" w:lineRule="exact" w:line="220"/>
              <w:jc w:val="left"/>
            </w:pPr>
            <w:r>
              <w:rPr>
                <w:sz w:val="18"/>
              </w:rPr>
              <w:t xml:space="preserve">Company reports; author’s calculation. Blibli’s incentives are a proxy (Appendix B)</w:t>
            </w:r>
          </w:p>
        </w:tc>
      </w:tr>
      <w:tr>
        <w:trPr>
          <w:cantSplit/>
        </w:trPr>
        <w:tc>
          <w:tcPr>
            <w:tcW w:w="1845" w:type="dxa"/>
          </w:tcPr>
          <w:p>
            <w:pPr>
              <w:pStyle w:val="Compact"/>
              <w:spacing w:before="0" w:after="0" w:lineRule="exact" w:line="220"/>
              <w:jc w:val="left"/>
            </w:pPr>
            <w:r>
              <w:rPr>
                <w:sz w:val="18"/>
              </w:rPr>
              <w:t xml:space="preserve">W</w:t>
            </w:r>
            <w:r>
              <w:rPr>
                <w:sz w:val="18"/>
                <w:vertAlign w:val="subscript"/>
              </w:rPr>
              <w:t xml:space="preserve">it</w:t>
            </w:r>
          </w:p>
        </w:tc>
        <w:tc>
          <w:tcPr>
            <w:tcW w:w="3330" w:type="dxa"/>
          </w:tcPr>
          <w:p>
            <w:pPr>
              <w:pStyle w:val="Compact"/>
              <w:spacing w:before="0" w:after="0" w:lineRule="exact" w:line="220"/>
              <w:jc w:val="left"/>
            </w:pPr>
            <w:r>
              <w:rPr>
                <w:sz w:val="18"/>
              </w:rPr>
              <w:t xml:space="preserve">Invisible wedge: V</w:t>
            </w:r>
            <w:r>
              <w:rPr>
                <w:sz w:val="18"/>
                <w:vertAlign w:val="subscript"/>
              </w:rPr>
              <w:t xml:space="preserve">it</w:t>
            </w:r>
            <w:r>
              <w:rPr>
                <w:sz w:val="18"/>
              </w:rPr>
              <w:t xml:space="preserve"> </w:t>
            </w:r>
            <w:r>
              <w:rPr>
                <w:sz w:val="18"/>
              </w:rPr>
              <w:t xml:space="preserve">minus R</w:t>
            </w:r>
            <w:r>
              <w:rPr>
                <w:sz w:val="18"/>
                <w:vertAlign w:val="subscript"/>
              </w:rPr>
              <w:t xml:space="preserve">it</w:t>
            </w:r>
            <w:r>
              <w:rPr>
                <w:sz w:val="18"/>
              </w:rPr>
              <w:t xml:space="preserve">, the part of transaction value that lies outside revenue, in currency.</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E</w:t>
            </w:r>
            <w:r>
              <w:rPr>
                <w:sz w:val="18"/>
                <w:vertAlign w:val="subscript"/>
              </w:rPr>
              <w:t xml:space="preserve">it</w:t>
            </w:r>
          </w:p>
        </w:tc>
        <w:tc>
          <w:tcPr>
            <w:tcW w:w="3330" w:type="dxa"/>
          </w:tcPr>
          <w:p>
            <w:pPr>
              <w:pStyle w:val="Compact"/>
              <w:spacing w:before="0" w:after="0" w:lineRule="exact" w:line="220"/>
              <w:jc w:val="left"/>
            </w:pPr>
            <w:r>
              <w:rPr>
                <w:sz w:val="18"/>
              </w:rPr>
              <w:t xml:space="preserve">Ecosystem ratio: W</w:t>
            </w:r>
            <w:r>
              <w:rPr>
                <w:sz w:val="18"/>
                <w:vertAlign w:val="subscript"/>
              </w:rPr>
              <w:t xml:space="preserve">it</w:t>
            </w:r>
            <w:r>
              <w:rPr>
                <w:sz w:val="18"/>
              </w:rPr>
              <w:t xml:space="preserve"> </w:t>
            </w:r>
            <w:r>
              <w:rPr>
                <w:sz w:val="18"/>
              </w:rPr>
              <w:t xml:space="preserve">divided by R</w:t>
            </w:r>
            <w:r>
              <w:rPr>
                <w:sz w:val="18"/>
                <w:vertAlign w:val="subscript"/>
              </w:rPr>
              <w:t xml:space="preserve">it</w:t>
            </w:r>
            <w:r>
              <w:rPr>
                <w:sz w:val="18"/>
              </w:rPr>
              <w:t xml:space="preserve">, equal to one divided by m</w:t>
            </w:r>
            <w:r>
              <w:rPr>
                <w:sz w:val="18"/>
                <w:vertAlign w:val="subscript"/>
              </w:rPr>
              <w:t xml:space="preserve">it</w:t>
            </w:r>
            <w:r>
              <w:rPr>
                <w:sz w:val="18"/>
              </w:rPr>
              <w:t xml:space="preserve">, minus one. The author’s own measure.</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g(X</w:t>
            </w:r>
            <w:r>
              <w:rPr>
                <w:sz w:val="18"/>
                <w:vertAlign w:val="subscript"/>
              </w:rPr>
              <w:t xml:space="preserve">t</w:t>
            </w:r>
            <w:r>
              <w:rPr>
                <w:sz w:val="18"/>
              </w:rPr>
              <w:t xml:space="preserve">)</w:t>
            </w:r>
          </w:p>
        </w:tc>
        <w:tc>
          <w:tcPr>
            <w:tcW w:w="3330" w:type="dxa"/>
          </w:tcPr>
          <w:p>
            <w:pPr>
              <w:pStyle w:val="Compact"/>
              <w:spacing w:before="0" w:after="0" w:lineRule="exact" w:line="220"/>
              <w:jc w:val="left"/>
            </w:pPr>
            <w:r>
              <w:rPr>
                <w:sz w:val="18"/>
              </w:rPr>
              <w:t xml:space="preserve">Growth of X from one year to the next as a share of the first year: (X</w:t>
            </w:r>
            <w:r>
              <w:rPr>
                <w:sz w:val="18"/>
                <w:vertAlign w:val="subscript"/>
              </w:rPr>
              <w:t xml:space="preserve">t</w:t>
            </w:r>
            <w:r>
              <w:rPr>
                <w:sz w:val="18"/>
              </w:rPr>
              <w:t xml:space="preserve"> </w:t>
            </w:r>
            <w:r>
              <w:rPr>
                <w:sz w:val="18"/>
              </w:rPr>
              <w:t xml:space="preserve">− X</w:t>
            </w:r>
            <w:r>
              <w:rPr>
                <w:sz w:val="18"/>
                <w:vertAlign w:val="subscript"/>
              </w:rPr>
              <w:t xml:space="preserve">t−1</w:t>
            </w:r>
            <w:r>
              <w:rPr>
                <w:sz w:val="18"/>
              </w:rPr>
              <w:t xml:space="preserve">) divided by X</w:t>
            </w:r>
            <w:r>
              <w:rPr>
                <w:sz w:val="18"/>
                <w:vertAlign w:val="subscript"/>
              </w:rPr>
              <w:t xml:space="preserve">t−1</w:t>
            </w:r>
            <w:r>
              <w:rPr>
                <w:sz w:val="18"/>
              </w:rPr>
              <w:t xml:space="preserve">. A value of 0.09 means 9 percent.</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D</w:t>
            </w:r>
            <w:r>
              <w:rPr>
                <w:sz w:val="18"/>
                <w:vertAlign w:val="subscript"/>
              </w:rPr>
              <w:t xml:space="preserve">it</w:t>
            </w:r>
          </w:p>
        </w:tc>
        <w:tc>
          <w:tcPr>
            <w:tcW w:w="3330" w:type="dxa"/>
          </w:tcPr>
          <w:p>
            <w:pPr>
              <w:pStyle w:val="Compact"/>
              <w:spacing w:before="0" w:after="0" w:lineRule="exact" w:line="220"/>
              <w:jc w:val="left"/>
            </w:pPr>
            <w:r>
              <w:rPr>
                <w:sz w:val="18"/>
              </w:rPr>
              <w:t xml:space="preserve">Growth divergence: g(R</w:t>
            </w:r>
            <w:r>
              <w:rPr>
                <w:sz w:val="18"/>
                <w:vertAlign w:val="subscript"/>
              </w:rPr>
              <w:t xml:space="preserve">it</w:t>
            </w:r>
            <w:r>
              <w:rPr>
                <w:sz w:val="18"/>
              </w:rPr>
              <w:t xml:space="preserve">) minus g(V</w:t>
            </w:r>
            <w:r>
              <w:rPr>
                <w:sz w:val="18"/>
                <w:vertAlign w:val="subscript"/>
              </w:rPr>
              <w:t xml:space="preserve">it</w:t>
            </w:r>
            <w:r>
              <w:rPr>
                <w:sz w:val="18"/>
              </w:rPr>
              <w:t xml:space="preserve">). A value of 0.62 means 62 percentage points.</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Δln X</w:t>
            </w:r>
            <w:r>
              <w:rPr>
                <w:sz w:val="18"/>
                <w:vertAlign w:val="subscript"/>
              </w:rPr>
              <w:t xml:space="preserve">t</w:t>
            </w:r>
          </w:p>
        </w:tc>
        <w:tc>
          <w:tcPr>
            <w:tcW w:w="3330" w:type="dxa"/>
          </w:tcPr>
          <w:p>
            <w:pPr>
              <w:pStyle w:val="Compact"/>
              <w:spacing w:before="0" w:after="0" w:lineRule="exact" w:line="220"/>
              <w:jc w:val="left"/>
            </w:pPr>
            <w:r>
              <w:rPr>
                <w:sz w:val="18"/>
              </w:rPr>
              <w:t xml:space="preserve">Change in the natural logarithm of X from one year to the next.</w:t>
            </w:r>
          </w:p>
        </w:tc>
        <w:tc>
          <w:tcPr>
            <w:tcW w:w="3330" w:type="dxa"/>
          </w:tcPr>
          <w:p>
            <w:pPr>
              <w:pStyle w:val="Compact"/>
              <w:spacing w:before="0" w:after="0" w:lineRule="exact" w:line="220"/>
              <w:jc w:val="left"/>
            </w:pPr>
            <w:r>
              <w:rPr>
                <w:sz w:val="18"/>
              </w:rPr>
              <w:t xml:space="preserve">Author’s calculation</w:t>
            </w:r>
          </w:p>
        </w:tc>
      </w:tr>
      <w:tr>
        <w:trPr>
          <w:cantSplit/>
        </w:trPr>
        <w:tc>
          <w:tcPr>
            <w:tcW w:w="8505" w:type="dxa"/>
            <w:gridSpan w:val="3"/>
          </w:tcPr>
          <w:p>
            <w:pPr>
              <w:pStyle w:val="Compact"/>
              <w:keepNext/>
              <w:spacing w:before="0" w:after="0" w:lineRule="exact" w:line="220"/>
              <w:jc w:val="left"/>
            </w:pPr>
            <w:r>
              <w:rPr>
                <w:iCs/>
                <w:i/>
                <w:sz w:val="18"/>
              </w:rPr>
              <w:t xml:space="preserve">Panel B: National and survey measures</w:t>
            </w:r>
          </w:p>
        </w:tc>
      </w:tr>
      <w:tr>
        <w:trPr>
          <w:cantSplit/>
        </w:trPr>
        <w:tc>
          <w:tcPr>
            <w:tcW w:w="1845" w:type="dxa"/>
          </w:tcPr>
          <w:p>
            <w:pPr>
              <w:pStyle w:val="Compact"/>
              <w:spacing w:before="0" w:after="0" w:lineRule="exact" w:line="220"/>
              <w:jc w:val="left"/>
            </w:pPr>
            <w:r>
              <w:rPr>
                <w:sz w:val="18"/>
              </w:rPr>
              <w:t xml:space="preserve">N</w:t>
            </w:r>
            <w:r>
              <w:rPr>
                <w:sz w:val="18"/>
                <w:vertAlign w:val="subscript"/>
              </w:rPr>
              <w:t xml:space="preserve">t</w:t>
            </w:r>
          </w:p>
        </w:tc>
        <w:tc>
          <w:tcPr>
            <w:tcW w:w="3330" w:type="dxa"/>
          </w:tcPr>
          <w:p>
            <w:pPr>
              <w:pStyle w:val="Compact"/>
              <w:spacing w:before="0" w:after="0" w:lineRule="exact" w:line="220"/>
              <w:jc w:val="left"/>
            </w:pPr>
            <w:r>
              <w:rPr>
                <w:sz w:val="18"/>
              </w:rPr>
              <w:t xml:space="preserve">Count of online sellers: BPS’s estimate of the number of businesses selling online in year t.</w:t>
            </w:r>
          </w:p>
        </w:tc>
        <w:tc>
          <w:tcPr>
            <w:tcW w:w="3330" w:type="dxa"/>
          </w:tcPr>
          <w:p>
            <w:pPr>
              <w:pStyle w:val="Compact"/>
              <w:spacing w:before="0" w:after="0" w:lineRule="exact" w:line="220"/>
              <w:jc w:val="left"/>
            </w:pPr>
            <w:r>
              <w:rPr>
                <w:sz w:val="18"/>
              </w:rPr>
              <w:t xml:space="preserve">BPS-Statistics Indonesia (2025a, 2025b); BPS e-commerce survey files for 2020, 2022 and 2023 (licensed)</w:t>
            </w:r>
          </w:p>
        </w:tc>
      </w:tr>
      <w:tr>
        <w:trPr>
          <w:cantSplit/>
        </w:trPr>
        <w:tc>
          <w:tcPr>
            <w:tcW w:w="1845" w:type="dxa"/>
          </w:tcPr>
          <w:p>
            <w:pPr>
              <w:pStyle w:val="Compact"/>
              <w:spacing w:before="0" w:after="0" w:lineRule="exact" w:line="220"/>
              <w:jc w:val="left"/>
            </w:pPr>
            <w:r>
              <w:rPr>
                <w:sz w:val="18"/>
              </w:rPr>
              <w:t xml:space="preserve">Y</w:t>
            </w:r>
            <w:r>
              <w:rPr>
                <w:sz w:val="18"/>
                <w:vertAlign w:val="subscript"/>
              </w:rPr>
              <w:t xml:space="preserve">t</w:t>
            </w:r>
          </w:p>
        </w:tc>
        <w:tc>
          <w:tcPr>
            <w:tcW w:w="3330" w:type="dxa"/>
          </w:tcPr>
          <w:p>
            <w:pPr>
              <w:pStyle w:val="Compact"/>
              <w:spacing w:before="0" w:after="0" w:lineRule="exact" w:line="220"/>
              <w:jc w:val="left"/>
            </w:pPr>
            <w:r>
              <w:rPr>
                <w:sz w:val="18"/>
              </w:rPr>
              <w:t xml:space="preserve">Total online sales value: BPS’s published value of online sales in year t.</w:t>
            </w:r>
          </w:p>
        </w:tc>
        <w:tc>
          <w:tcPr>
            <w:tcW w:w="3330" w:type="dxa"/>
          </w:tcPr>
          <w:p>
            <w:pPr>
              <w:pStyle w:val="Compact"/>
              <w:spacing w:before="0" w:after="0" w:lineRule="exact" w:line="220"/>
              <w:jc w:val="left"/>
            </w:pPr>
            <w:r>
              <w:rPr>
                <w:sz w:val="18"/>
              </w:rPr>
              <w:t xml:space="preserve">BPS-Statistics Indonesia (2025a, 2025b)</w:t>
            </w:r>
          </w:p>
        </w:tc>
      </w:tr>
      <w:tr>
        <w:trPr>
          <w:cantSplit/>
        </w:trPr>
        <w:tc>
          <w:tcPr>
            <w:tcW w:w="1845" w:type="dxa"/>
          </w:tcPr>
          <w:p>
            <w:pPr>
              <w:pStyle w:val="Compact"/>
              <w:spacing w:before="0" w:after="0" w:lineRule="exact" w:line="220"/>
              <w:jc w:val="left"/>
            </w:pPr>
            <w:r>
              <w:rPr>
                <w:sz w:val="18"/>
              </w:rPr>
              <w:t xml:space="preserve">Y</w:t>
            </w:r>
            <w:r>
              <w:rPr>
                <w:sz w:val="18"/>
                <w:vertAlign w:val="subscript"/>
              </w:rPr>
              <w:t xml:space="preserve">t</w:t>
            </w:r>
            <w:r>
              <w:rPr>
                <w:sz w:val="18"/>
              </w:rPr>
              <w:t xml:space="preserve"> </w:t>
            </w:r>
            <w:r>
              <w:rPr>
                <w:sz w:val="18"/>
              </w:rPr>
              <w:t xml:space="preserve">/ N</w:t>
            </w:r>
            <w:r>
              <w:rPr>
                <w:sz w:val="18"/>
                <w:vertAlign w:val="subscript"/>
              </w:rPr>
              <w:t xml:space="preserve">t</w:t>
            </w:r>
          </w:p>
        </w:tc>
        <w:tc>
          <w:tcPr>
            <w:tcW w:w="3330" w:type="dxa"/>
          </w:tcPr>
          <w:p>
            <w:pPr>
              <w:pStyle w:val="Compact"/>
              <w:spacing w:before="0" w:after="0" w:lineRule="exact" w:line="220"/>
              <w:jc w:val="left"/>
            </w:pPr>
            <w:r>
              <w:rPr>
                <w:sz w:val="18"/>
              </w:rPr>
              <w:t xml:space="preserve">Sales per business: Y</w:t>
            </w:r>
            <w:r>
              <w:rPr>
                <w:sz w:val="18"/>
                <w:vertAlign w:val="subscript"/>
              </w:rPr>
              <w:t xml:space="preserve">t</w:t>
            </w:r>
            <w:r>
              <w:rPr>
                <w:sz w:val="18"/>
              </w:rPr>
              <w:t xml:space="preserve"> </w:t>
            </w:r>
            <w:r>
              <w:rPr>
                <w:sz w:val="18"/>
              </w:rPr>
              <w:t xml:space="preserve">divided by N</w:t>
            </w:r>
            <w:r>
              <w:rPr>
                <w:sz w:val="18"/>
                <w:vertAlign w:val="subscript"/>
              </w:rPr>
              <w:t xml:space="preserve">t</w:t>
            </w:r>
            <w:r>
              <w:rPr>
                <w:sz w:val="18"/>
              </w:rPr>
              <w:t xml:space="preserve">.</w:t>
            </w:r>
          </w:p>
        </w:tc>
        <w:tc>
          <w:tcPr>
            <w:tcW w:w="3330" w:type="dxa"/>
          </w:tcPr>
          <w:p>
            <w:pPr>
              <w:pStyle w:val="Compact"/>
              <w:spacing w:before="0" w:after="0" w:lineRule="exact" w:line="220"/>
              <w:jc w:val="left"/>
            </w:pPr>
            <w:r>
              <w:rPr>
                <w:sz w:val="18"/>
              </w:rPr>
              <w:t xml:space="preserve">Author’s calculation</w:t>
            </w:r>
          </w:p>
        </w:tc>
      </w:tr>
      <w:tr>
        <w:trPr>
          <w:cantSplit/>
        </w:trPr>
        <w:tc>
          <w:tcPr>
            <w:tcW w:w="1845" w:type="dxa"/>
          </w:tcPr>
          <w:p>
            <w:pPr>
              <w:pStyle w:val="Compact"/>
              <w:spacing w:before="0" w:after="0" w:lineRule="exact" w:line="220"/>
              <w:jc w:val="left"/>
            </w:pPr>
            <w:r>
              <w:rPr>
                <w:sz w:val="18"/>
              </w:rPr>
              <w:t xml:space="preserve">First-time entry</w:t>
            </w:r>
          </w:p>
        </w:tc>
        <w:tc>
          <w:tcPr>
            <w:tcW w:w="3330" w:type="dxa"/>
          </w:tcPr>
          <w:p>
            <w:pPr>
              <w:pStyle w:val="Compact"/>
              <w:spacing w:before="0" w:after="0" w:lineRule="exact" w:line="220"/>
              <w:jc w:val="left"/>
            </w:pPr>
            <w:r>
              <w:rPr>
                <w:sz w:val="18"/>
              </w:rPr>
              <w:t xml:space="preserve">A seller that reports beginning to sell online in the year being measured. The entry test uses the share of such sellers among the sellers of 2023.</w:t>
            </w:r>
          </w:p>
        </w:tc>
        <w:tc>
          <w:tcPr>
            <w:tcW w:w="3330" w:type="dxa"/>
          </w:tcPr>
          <w:p>
            <w:pPr>
              <w:pStyle w:val="Compact"/>
              <w:spacing w:before="0" w:after="0" w:lineRule="exact" w:line="220"/>
              <w:jc w:val="left"/>
            </w:pPr>
            <w:r>
              <w:rPr>
                <w:sz w:val="18"/>
              </w:rPr>
              <w:t xml:space="preserve">BPS e-commerce survey file for 2023 (licensed)</w:t>
            </w:r>
          </w:p>
        </w:tc>
      </w:tr>
      <w:tr>
        <w:trPr>
          <w:cantSplit/>
        </w:trPr>
        <w:tc>
          <w:tcPr>
            <w:tcW w:w="8505" w:type="dxa"/>
            <w:gridSpan w:val="3"/>
          </w:tcPr>
          <w:p>
            <w:pPr>
              <w:pStyle w:val="Compact"/>
              <w:keepNext/>
              <w:spacing w:before="0" w:after="0" w:lineRule="exact" w:line="220"/>
              <w:jc w:val="left"/>
            </w:pPr>
            <w:r>
              <w:rPr>
                <w:iCs/>
                <w:i/>
                <w:sz w:val="18"/>
              </w:rPr>
              <w:t xml:space="preserve">Panel C: Market variables</w:t>
            </w:r>
          </w:p>
        </w:tc>
      </w:tr>
      <w:tr>
        <w:trPr>
          <w:cantSplit/>
        </w:trPr>
        <w:tc>
          <w:tcPr>
            <w:tcW w:w="1845" w:type="dxa"/>
          </w:tcPr>
          <w:p>
            <w:pPr>
              <w:pStyle w:val="Compact"/>
              <w:spacing w:before="0" w:after="0" w:lineRule="exact" w:line="220"/>
              <w:jc w:val="left"/>
            </w:pPr>
            <w:r>
              <w:rPr>
                <w:sz w:val="18"/>
              </w:rPr>
              <w:t xml:space="preserve">MV</w:t>
            </w:r>
            <w:r>
              <w:rPr>
                <w:sz w:val="18"/>
                <w:vertAlign w:val="subscript"/>
              </w:rPr>
              <w:t xml:space="preserve">it</w:t>
            </w:r>
          </w:p>
        </w:tc>
        <w:tc>
          <w:tcPr>
            <w:tcW w:w="3330" w:type="dxa"/>
          </w:tcPr>
          <w:p>
            <w:pPr>
              <w:pStyle w:val="Compact"/>
              <w:spacing w:before="0" w:after="0" w:lineRule="exact" w:line="220"/>
              <w:jc w:val="left"/>
            </w:pPr>
            <w:r>
              <w:rPr>
                <w:sz w:val="18"/>
              </w:rPr>
              <w:t xml:space="preserve">Market value: the year-end market value of listed platform i.</w:t>
            </w:r>
          </w:p>
        </w:tc>
        <w:tc>
          <w:tcPr>
            <w:tcW w:w="3330" w:type="dxa"/>
          </w:tcPr>
          <w:p>
            <w:pPr>
              <w:pStyle w:val="Compact"/>
              <w:spacing w:before="0" w:after="0" w:lineRule="exact" w:line="220"/>
              <w:jc w:val="left"/>
            </w:pPr>
            <w:r>
              <w:rPr>
                <w:sz w:val="18"/>
              </w:rPr>
              <w:t xml:space="preserve">London Stock Exchange Group (LSEG) data (licensed)</w:t>
            </w:r>
          </w:p>
        </w:tc>
      </w:tr>
      <w:tr>
        <w:trPr>
          <w:cantSplit/>
        </w:trPr>
        <w:tc>
          <w:tcPr>
            <w:tcW w:w="1845"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3330" w:type="dxa"/>
          </w:tcPr>
          <w:p>
            <w:pPr>
              <w:pStyle w:val="Compact"/>
              <w:spacing w:before="0" w:after="0" w:lineRule="exact" w:line="220"/>
              <w:jc w:val="left"/>
            </w:pPr>
            <w:r>
              <w:rPr>
                <w:sz w:val="18"/>
              </w:rPr>
              <w:t xml:space="preserve">Coefficients in equation (8): how the change in market value moves with the change in transaction value and with the change in the take rate.</w:t>
            </w:r>
          </w:p>
        </w:tc>
        <w:tc>
          <w:tcPr>
            <w:tcW w:w="3330" w:type="dxa"/>
          </w:tcPr>
          <w:p>
            <w:pPr>
              <w:pStyle w:val="Compact"/>
              <w:spacing w:before="0" w:after="0" w:lineRule="exact" w:line="220"/>
              <w:jc w:val="left"/>
            </w:pPr>
            <w:r>
              <w:rPr>
                <w:sz w:val="18"/>
              </w:rPr>
              <w:t xml:space="preserve">Author’s estimate</w:t>
            </w:r>
          </w:p>
        </w:tc>
      </w:tr>
      <w:tr>
        <w:trPr>
          <w:cantSplit/>
        </w:trPr>
        <w:tc>
          <w:tcPr>
            <w:tcW w:w="8505" w:type="dxa"/>
            <w:gridSpan w:val="3"/>
          </w:tcPr>
          <w:p>
            <w:pPr>
              <w:pStyle w:val="Compact"/>
              <w:keepNext/>
              <w:spacing w:before="0" w:after="0" w:lineRule="exact" w:line="220"/>
              <w:jc w:val="left"/>
            </w:pPr>
            <w:r>
              <w:rPr>
                <w:iCs/>
                <w:i/>
                <w:sz w:val="18"/>
              </w:rPr>
              <w:t xml:space="preserve">Panel D: Labels</w:t>
            </w:r>
          </w:p>
        </w:tc>
      </w:tr>
      <w:tr>
        <w:trPr>
          <w:cantSplit/>
        </w:trPr>
        <w:tc>
          <w:tcPr>
            <w:tcW w:w="1845" w:type="dxa"/>
          </w:tcPr>
          <w:p>
            <w:pPr>
              <w:pStyle w:val="Compact"/>
              <w:spacing w:before="0" w:after="0" w:lineRule="exact" w:line="220"/>
              <w:jc w:val="left"/>
            </w:pPr>
            <w:r>
              <w:rPr>
                <w:sz w:val="18"/>
              </w:rPr>
              <w:t xml:space="preserve">H1, H2</w:t>
            </w:r>
          </w:p>
        </w:tc>
        <w:tc>
          <w:tcPr>
            <w:tcW w:w="3330" w:type="dxa"/>
          </w:tcPr>
          <w:p>
            <w:pPr>
              <w:pStyle w:val="Compact"/>
              <w:spacing w:before="0" w:after="0" w:lineRule="exact" w:line="220"/>
              <w:jc w:val="left"/>
            </w:pPr>
            <w:r>
              <w:rPr>
                <w:sz w:val="18"/>
              </w:rPr>
              <w:t xml:space="preserve">The two hypotheses of Section 3.4.</w:t>
            </w:r>
          </w:p>
        </w:tc>
        <w:tc>
          <w:tcPr>
            <w:tcW w:w="3330" w:type="dxa"/>
          </w:tcPr>
          <w:p>
            <w:pPr>
              <w:pStyle w:val="Compact"/>
              <w:spacing w:before="0" w:after="0" w:lineRule="exact" w:line="220"/>
              <w:jc w:val="left"/>
            </w:pPr>
            <w:r>
              <w:rPr>
                <w:sz w:val="18"/>
              </w:rPr>
              <w:t xml:space="preserve">Author’s definition</w:t>
            </w:r>
          </w:p>
        </w:tc>
      </w:tr>
    </w:tbl>
    <w:bookmarkEnd w:id="90"/>
    <w:bookmarkStart w:id="91" w:name="a.2-sources-compared-in-objective-3"/>
    <w:p>
      <w:pPr>
        <w:pStyle w:val="Heading3"/>
      </w:pPr>
      <w:r>
        <w:t xml:space="preserve">A.2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91"/>
    <w:bookmarkEnd w:id="92"/>
    <w:bookmarkStart w:id="97" w:name="X79811c47d513cf7a901c7befb1cc5335d4073b3"/>
    <w:p>
      <w:pPr>
        <w:pStyle w:val="Heading2"/>
      </w:pPr>
      <w:r>
        <w:t xml:space="preserve">Appendix B. Platforms, windows and the wedge by year</w:t>
      </w:r>
    </w:p>
    <w:bookmarkStart w:id="93" w:name="b.1-the-foreign-group-27-platforms"/>
    <w:p>
      <w:pPr>
        <w:pStyle w:val="Heading3"/>
      </w:pPr>
      <w:r>
        <w:t xml:space="preserve">B.1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3"/>
    <w:bookmarkStart w:id="94" w:name="b.2-the-indonesian-and-regional-group"/>
    <w:p>
      <w:pPr>
        <w:pStyle w:val="Heading3"/>
      </w:pPr>
      <w:r>
        <w:t xml:space="preserve">B.2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4"/>
    <w:bookmarkStart w:id="95" w:name="X93d5f13e0430219859b9e8805fdc1b1d9eafcae"/>
    <w:p>
      <w:pPr>
        <w:pStyle w:val="Heading3"/>
      </w:pPr>
      <w:r>
        <w:t xml:space="preserve">B.3 The seven windows traced (Table 3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5"/>
    <w:bookmarkStart w:id="96" w:name="X75544a8ad0934688286d8f5d2201fe8649ec4f8"/>
    <w:p>
      <w:pPr>
        <w:pStyle w:val="Heading3"/>
      </w:pPr>
      <w:r>
        <w:t xml:space="preserve">B.4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1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6"/>
    <w:bookmarkEnd w:id="97"/>
    <w:bookmarkStart w:id="100" w:name="appendix-c.-the-checks-on-the-test-of-h1"/>
    <w:p>
      <w:pPr>
        <w:pStyle w:val="Heading2"/>
      </w:pPr>
      <w:r>
        <w:t xml:space="preserve">Appendix C. The checks on the test of H1</w:t>
      </w:r>
    </w:p>
    <w:bookmarkStart w:id="98" w:name="c.1-the-checks"/>
    <w:p>
      <w:pPr>
        <w:pStyle w:val="Heading3"/>
      </w:pPr>
      <w:r>
        <w:t xml:space="preserve">C.1 The checks</w:t>
      </w:r>
    </w:p>
    <w:p>
      <w:pPr>
        <w:pStyle w:val="FirstParagraph"/>
        <w:jc w:val="left"/>
      </w:pPr>
      <w:r>
        <w:t xml:space="preserve">The main test is in Table 2.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8"/>
    <w:bookmarkStart w:id="99" w:name="X52d5ae19455bf2fec6946631ede33e95919406f"/>
    <w:p>
      <w:pPr>
        <w:pStyle w:val="Heading3"/>
      </w:pPr>
      <w:r>
        <w:t xml:space="preserve">C.2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9"/>
    <w:bookmarkEnd w:id="100"/>
    <w:bookmarkStart w:id="101" w:name="Xdeb489f8fdbeb3bc3b6e07c1768976c94f8af49"/>
    <w:p>
      <w:pPr>
        <w:pStyle w:val="Heading2"/>
      </w:pPr>
      <w:r>
        <w:t xml:space="preserve">Appendix D.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101"/>
    <w:bookmarkStart w:id="102" w:name="Xecbd4fe58fbe96cdac50dc82b61237ce64cf196"/>
    <w:p>
      <w:pPr>
        <w:pStyle w:val="Heading2"/>
      </w:pPr>
      <w:r>
        <w:t xml:space="preserve">Appendix E.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2"/>
    <w:bookmarkEnd w:id="103"/>
    <w:bookmarkStart w:id="104"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spacing w:after="120"/>
        <w:ind w:left="709" w:hanging="709"/>
        <w:jc w:val="lef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4"/>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200" w:line="312" w:lineRule="auto"/>
      <w:jc w:val="center"/>
    </w:pPr>
    <w:rPr>
      <w:rFonts w:ascii="Times New Roman" w:cs="Times New Roman" w:eastAsia="DFKai-SB" w:hAnsi="Times New Roman"/>
      <w:b w:val="0"/>
      <w:i w:val="0"/>
      <w:color w:val="000000"/>
      <w:sz w:val="36"/>
    </w:rPr>
  </w:style>
  <w:style w:customStyle="1" w:styleId="TPTitle" w:type="paragraph">
    <w:name w:val="TP Title"/>
    <w:basedOn w:val="Normal"/>
    <w:pPr>
      <w:spacing w:after="0" w:before="200" w:line="312" w:lineRule="auto"/>
      <w:jc w:val="center"/>
    </w:pPr>
    <w:rPr>
      <w:rFonts w:ascii="Times New Roman" w:cs="Times New Roman" w:eastAsia="DFKai-SB" w:hAnsi="Times New Roman"/>
      <w:b w:val="0"/>
      <w:i w:val="0"/>
      <w:color w:val="000000"/>
      <w:sz w:val="28"/>
    </w:rPr>
  </w:style>
  <w:style w:customStyle="1" w:styleId="TPLine" w:type="paragraph">
    <w:name w:val="TP Line"/>
    <w:basedOn w:val="Normal"/>
    <w:pPr>
      <w:spacing w:after="0" w:before="0" w:line="336" w:lineRule="auto"/>
      <w:jc w:val="center"/>
    </w:pPr>
    <w:rPr>
      <w:rFonts w:ascii="Times New Roman" w:cs="Times New Roman" w:eastAsia="DFKai-SB" w:hAnsi="Times New Roman"/>
      <w:b w:val="0"/>
      <w:i w:val="0"/>
      <w:color w:val="000000"/>
      <w:sz w:val="28"/>
    </w:rPr>
  </w:style>
  <w:style w:customStyle="1" w:styleId="TPPeople" w:type="paragraph">
    <w:name w:val="TP People"/>
    <w:basedOn w:val="Normal"/>
    <w:pPr>
      <w:spacing w:after="0" w:before="280" w:line="336" w:lineRule="auto"/>
      <w:jc w:val="center"/>
    </w:pPr>
    <w:rPr>
      <w:rFonts w:ascii="Times New Roman" w:cs="Times New Roman" w:eastAsia="DFKai-SB" w:hAnsi="Times New Roman"/>
      <w:b w:val="0"/>
      <w:i w:val="0"/>
      <w:color w:val="000000"/>
      <w:sz w:val="28"/>
    </w:rPr>
  </w:style>
  <w:style w:customStyle="1" w:styleId="TPBlock" w:type="paragraph">
    <w:name w:val="TP Block"/>
    <w:basedOn w:val="Normal"/>
    <w:pPr>
      <w:spacing w:after="0" w:before="0" w:line="336" w:lineRule="auto"/>
      <w:jc w:val="center"/>
    </w:pPr>
    <w:rPr>
      <w:rFonts w:ascii="Times New Roman" w:cs="Times New Roman" w:eastAsia="DFKai-SB" w:hAnsi="Times New Roman"/>
      <w:b w:val="0"/>
      <w:i w:val="0"/>
      <w:color w:val="000000"/>
      <w:sz w:val="28"/>
    </w:rPr>
  </w:style>
  <w:style w:customStyle="1" w:styleId="TPGap" w:type="paragraph">
    <w:name w:val="TP Gap"/>
    <w:basedOn w:val="Normal"/>
    <w:pPr>
      <w:spacing w:after="0" w:before="400" w:line="336" w:lineRule="auto"/>
      <w:jc w:val="center"/>
    </w:pPr>
    <w:rPr>
      <w:rFonts w:ascii="Times New Roman" w:cs="Times New Roman" w:eastAsia="DFKai-SB" w:hAnsi="Times New Roman"/>
      <w:b w:val="0"/>
      <w:i w:val="0"/>
      <w:color w:val="000000"/>
      <w:sz w:val="28"/>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2026-10-25T04:35:45Z</dcterms:created>
  <dcterms:modified xsi:type="dcterms:W3CDTF">2026-10-25T04:35:45Z</dcterms:modified>
</cp:coreProperties>
</file>

<file path=docProps/custom.xml><?xml version="1.0" encoding="utf-8"?>
<Properties xmlns="http://schemas.openxmlformats.org/officeDocument/2006/custom-properties" xmlns:vt="http://schemas.openxmlformats.org/officeDocument/2006/docPropsVTypes"/>
</file>