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2.png" ContentType="image/png"/>
  <Override PartName="/word/media/rId56.png" ContentType="image/png"/>
  <Override PartName="/word/media/rId61.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Between 2022 and 2024, Indonesian and regional platforms changed that share about three times as much as 27 platforms abroad, so the hypothesis that revenue grows in proportion to the commerce is rejected.</w:t>
      </w:r>
    </w:p>
    <w:p>
      <w:pPr>
        <w:pStyle w:val="BodyText"/>
      </w:pPr>
      <w:r>
        <w:t xml:space="preserve">The national count of online sellers rose by 27 percent in 2023. A test registered before the survey files were opened shows that first-time entry explains only about half of that rise.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4"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(AFP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commerce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1"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It shows why this matters for growth as well as scale: the larger the wedge is next to revenue, the more a small change in fees or discounts moves revenue growth. It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 Across all three, one point recurs: a figure can stop tracking the activity it stands for when the link between them changes, through a platform’s take rate or a survey’s reach.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United Nations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which explains why the share is small and can move but does not test whether reported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which shows that figures differ but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which shows that platform records are valuable but not how much of online selling they cover.</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4"/>
    <w:bookmarkStart w:id="35"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 Chapter 6 develops the reach of the rules.</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the same year, the conclusion about growth depends on the figure chosen. The thesis compares their growth rates, each in its own unit, and compares levels only after reconciling what each source covers. Household spending, from the national accounts, serves as a further point of comparison. Chapter 4 describes the data and methods behind each test and analysis.</w:t>
      </w:r>
    </w:p>
    <w:bookmarkEnd w:id="38"/>
    <w:bookmarkEnd w:id="39"/>
    <w:bookmarkStart w:id="50"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and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three of them report what they pay out in incentives, and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2"/>
    <w:bookmarkStart w:id="43"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Wherever a company discloses both its gross fees and its incentives,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5"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5"/>
    <w:bookmarkStart w:id="46"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6"/>
    <w:bookmarkStart w:id="47"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and it labels each rule by the status of its text: primary text read, announced, or reported in the news only.</w:t>
      </w:r>
    </w:p>
    <w:bookmarkEnd w:id="47"/>
    <w:bookmarkStart w:id="48"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n.d.), and the number of merchants a company reports</w:t>
            </w:r>
          </w:p>
        </w:tc>
        <w:tc>
          <w:tcPr/>
          <w:p>
            <w:pPr>
              <w:pStyle w:val="Compact"/>
              <w:jc w:val="left"/>
            </w:pPr>
            <w:r>
              <w:t xml:space="preserve">Used as context only, since none measures Indonesian e-commerce</w:t>
            </w:r>
          </w:p>
        </w:tc>
      </w:tr>
    </w:tbl>
    <w:bookmarkEnd w:id="48"/>
    <w:bookmarkStart w:id="49"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49"/>
    <w:bookmarkEnd w:id="50"/>
    <w:bookmarkStart w:id="76"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and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1"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1"/>
    <w:bookmarkStart w:id="55"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A narrower test, set before the wider one, compares the three Indonesian marketplaces with the eight foreign platforms chosen first. It points the same way. With one median per platform, the Mann–Whitney test rejects equal moves (p = 0.024). A shuffle of platform labels on pairs of years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2022 and 2024.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3" name="Picture"/>
            <a:graphic>
              <a:graphicData uri="http://schemas.openxmlformats.org/drawingml/2006/picture">
                <pic:pic>
                  <pic:nvPicPr>
                    <pic:cNvPr descr="figures/fig5_1_thin_slice.png" id="54" name="Picture"/>
                    <pic:cNvPicPr>
                      <a:picLocks noChangeArrowheads="1" noChangeAspect="1"/>
                    </pic:cNvPicPr>
                  </pic:nvPicPr>
                  <pic:blipFill>
                    <a:blip r:embed="rId52"/>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5"/>
    <w:bookmarkStart w:id="59"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7" name="Picture"/>
            <a:graphic>
              <a:graphicData uri="http://schemas.openxmlformats.org/drawingml/2006/picture">
                <pic:pic>
                  <pic:nvPicPr>
                    <pic:cNvPr descr="figures/fig5_2_tokopedia_two_views.png" id="58" name="Picture"/>
                    <pic:cNvPicPr>
                      <a:picLocks noChangeArrowheads="1" noChangeAspect="1"/>
                    </pic:cNvPicPr>
                  </pic:nvPicPr>
                  <pic:blipFill>
                    <a:blip r:embed="rId56"/>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9"/>
    <w:bookmarkStart w:id="60"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capped.</w:t>
      </w:r>
    </w:p>
    <w:p>
      <w:pPr>
        <w:pStyle w:val="BodyText"/>
      </w:pPr>
      <w:r>
        <w:t xml:space="preserve">A second run adds five segment series, including Grab, GoTo and Sea, and Mercado Libre.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The data do not show that markets valued growth from pricing any less. Revenue and transaction value come from the platforms’ own reports, and market value from share prices. The national figures give a separate view of the same commerce.</w:t>
      </w:r>
    </w:p>
    <w:bookmarkEnd w:id="60"/>
    <w:bookmarkStart w:id="64"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drawing>
          <wp:inline>
            <wp:extent cx="5334000" cy="2862754"/>
            <wp:effectExtent b="0" l="0" r="0" t="0"/>
            <wp:docPr descr="" title="" id="62" name="Picture"/>
            <a:graphic>
              <a:graphicData uri="http://schemas.openxmlformats.org/drawingml/2006/picture">
                <pic:pic>
                  <pic:nvPicPr>
                    <pic:cNvPr descr="figures/fig5_3_growth_2023.png" id="63" name="Picture"/>
                    <pic:cNvPicPr>
                      <a:picLocks noChangeArrowheads="1" noChangeAspect="1"/>
                    </pic:cNvPicPr>
                  </pic:nvPicPr>
                  <pic:blipFill>
                    <a:blip r:embed="rId61"/>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4"/>
    <w:bookmarkStart w:id="65"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5"/>
    <w:bookmarkStart w:id="66"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online sales value rose by 41 percent in rupiah, from about US$53 billion to about US$72 billion at each year’s exchange rate. The thesis splits that rise by giving each kind of seller its typical size in the 2022 file. New sellers, at the size of those that began in 2022, account for 25 to 30 percent of the rise. The extra earlier sellers, at the size of chat and social sellers, account for 15 to 17 percent. The typical seller already online reported no growth, with a mean change of about −4 percent when each seller counts once. So 53 to 59 percent of the rise has no source in the sellers’ answers. A few large sellers growing fast could fill that part, and the files cannot show whether they did.</w:t>
      </w:r>
    </w:p>
    <w:p>
      <w:pPr>
        <w:pStyle w:val="BodyText"/>
      </w:pPr>
      <w:r>
        <w:t xml:space="preserve">The extra count also bears on H2, in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So H2 holds on the published series, but it sits on its threshold once the extra count is read as coverage. Taking out the sellers but keeping their sales gives 34 to 47 percent, though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6"/>
    <w:bookmarkStart w:id="70"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compares two numbers (Section 4.7). The first is the group’s 2023 count. The second is the 2022 count grown at the group’s own yearly rate from 2020 to 2022. The extra count is the first less the second.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8" name="Picture"/>
            <a:graphic>
              <a:graphicData uri="http://schemas.openxmlformats.org/drawingml/2006/picture">
                <pic:pic>
                  <pic:nvPicPr>
                    <pic:cNvPr descr="figures/fig5_4_extra_sellers.png" id="69" name="Picture"/>
                    <pic:cNvPicPr>
                      <a:picLocks noChangeArrowheads="1" noChangeAspect="1"/>
                    </pic:cNvPicPr>
                  </pic:nvPicPr>
                  <pic:blipFill>
                    <a:blip r:embed="rId67"/>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70"/>
    <w:bookmarkStart w:id="74"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drawing>
          <wp:inline>
            <wp:extent cx="5334000" cy="2553101"/>
            <wp:effectExtent b="0" l="0" r="0" t="0"/>
            <wp:docPr descr="" title="" id="72" name="Picture"/>
            <a:graphic>
              <a:graphicData uri="http://schemas.openxmlformats.org/drawingml/2006/picture">
                <pic:pic>
                  <pic:nvPicPr>
                    <pic:cNvPr descr="figures/fig5_5_marketplace_and_records.png" id="73" name="Picture"/>
                    <pic:cNvPicPr>
                      <a:picLocks noChangeArrowheads="1" noChangeAspect="1"/>
                    </pic:cNvPicPr>
                  </pic:nvPicPr>
                  <pic:blipFill>
                    <a:blip r:embed="rId71"/>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4"/>
    <w:bookmarkStart w:id="75"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said that it had more than 14 million merchants in 2023, while BPS counted about 0.7 million marketplace sellers that year (GoTo Gojek Tokopedia 2024b).</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5"/>
    <w:bookmarkEnd w:id="76"/>
    <w:bookmarkStart w:id="83"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7"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 the legal texts; news reports where marked.</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7"/>
    <w:bookmarkStart w:id="78"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a cut from 20 to 8 percent on trips worth about 2 percent of on-demand transaction value lowers the on-demand take rate by at most about a quarter of a point, if nothing else changes. Grab’s on-demand take rate is about 13 percent. At GoTo, where two-wheel rides weigh more, the same arithmetic gives about 1 to 1.4 points on a take rate of about 22 percent.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who apply for the discount (Ayudiana 2026). The rules on the take rate cap one fee on one ride-hailing service and leave the largest marketplace fees free. What the companies’ take rates did after the cap is the subject of the predictions in Section 6.5.</w:t>
      </w:r>
    </w:p>
    <w:bookmarkEnd w:id="78"/>
    <w:bookmarkStart w:id="79"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79"/>
    <w:bookmarkStart w:id="80"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0"/>
    <w:bookmarkStart w:id="81"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1"/>
    <w:bookmarkStart w:id="82"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2"/>
    <w:bookmarkEnd w:id="83"/>
    <w:bookmarkStart w:id="89"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4"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between 2022 and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it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The national figures agree that growth was small where they cover the same sellers.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4"/>
    <w:bookmarkStart w:id="85"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In Indonesia, the take rate accounted for about two thirds of a revenue move at the typical pair, against about a quarter abroad. The thinner the take rate, the more a small change in fees or incentives moves revenue growth. Across 28 listed platforms, market value moved with transaction value, as a registered prediction stated.</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5"/>
    <w:bookmarkStart w:id="86"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though by only 3.3 points on a second version.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the same kind of reason: published figures seen at registration already settled it, so it is reported as descriptive.</w:t>
      </w:r>
    </w:p>
    <w:bookmarkEnd w:id="86"/>
    <w:bookmarkStart w:id="87"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Three of the sources are licensed: the BPS survey files, the LSEG market values and the World Bank survey files. The repository holds the code and the national totals, and anyone who obtains the same files can rerun the analysis. The evidence concerns Indonesia, with regional series labelled as such.</w:t>
      </w:r>
    </w:p>
    <w:bookmarkEnd w:id="87"/>
    <w:bookmarkStart w:id="88"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revenue and transaction value.</w:t>
      </w:r>
    </w:p>
    <w:p>
      <w:pPr>
        <w:pStyle w:val="BodyText"/>
      </w:pPr>
      <w:r>
        <w:t xml:space="preserve">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8"/>
    <w:bookmarkEnd w:id="89"/>
    <w:bookmarkStart w:id="100"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4" w:name="X190ea442f22e8dfb253327d946eb3313b4f8b85"/>
    <w:p>
      <w:pPr>
        <w:pStyle w:val="Heading2"/>
      </w:pPr>
      <w:r>
        <w:t xml:space="preserve">Appendix A. Platforms, windows and the wedge by year</w:t>
      </w:r>
    </w:p>
    <w:bookmarkStart w:id="90"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(tickers NBIS, TCOM, TOUR and UXIN).</w:t>
      </w:r>
    </w:p>
    <w:bookmarkEnd w:id="90"/>
    <w:bookmarkStart w:id="91"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1"/>
    <w:bookmarkStart w:id="92"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2"/>
    <w:bookmarkStart w:id="93"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Derived value</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Derived value</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Derived value</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122.00</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199.00</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Direct disclosure</w:t>
            </w:r>
          </w:p>
        </w:tc>
      </w:tr>
    </w:tbl>
    <w:bookmarkEnd w:id="93"/>
    <w:bookmarkEnd w:id="94"/>
    <w:bookmarkStart w:id="97" w:name="appendix-b.-the-checks-on-the-test-of-h1"/>
    <w:p>
      <w:pPr>
        <w:pStyle w:val="Heading2"/>
      </w:pPr>
      <w:r>
        <w:t xml:space="preserve">Appendix B. The checks on the test of H1</w:t>
      </w:r>
    </w:p>
    <w:bookmarkStart w:id="95"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5"/>
    <w:bookmarkStart w:id="96"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6"/>
    <w:bookmarkEnd w:id="97"/>
    <w:bookmarkStart w:id="98"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8"/>
    <w:bookmarkStart w:id="99"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9"/>
    <w:bookmarkEnd w:id="100"/>
    <w:bookmarkStart w:id="101"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 [UNVERIFIED: release date]</w:t>
      </w:r>
    </w:p>
    <w:p>
      <w:pPr>
        <w:pStyle w:val="BodyText"/>
      </w:pPr>
      <w:r>
        <w:t xml:space="preserve">Bank Indonesia. (2025).</w:t>
      </w:r>
      <w:r>
        <w:t xml:space="preserve"> </w:t>
      </w:r>
      <w:r>
        <w:rPr>
          <w:iCs/>
          <w:i/>
        </w:rPr>
        <w:t xml:space="preserve">Sinergi jadi energi saat UMKM naik kelas lewat digitalisasi</w:t>
      </w:r>
      <w:r>
        <w:t xml:space="preserve"> </w:t>
      </w:r>
      <w:r>
        <w:t xml:space="preserve">[Cerita BI]. https://www.bi.go.id/id/publikasi/ruang-media/cerita-bi/Pages/Sinergi-Jadi-Energi-Saat-UMKM-Naik-Kelas-Lewat-Digitalisasi.aspx [UNVERIFIED: exact date; repo notes say 30 Oct 2025]</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https://jdih.bps.go.id [UNVERIFIED: document-level URL]</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[UNVERIFIED: primary text not retrieved (403); details from GMA News, December 29, 2023,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(2026a, July 1).</w:t>
      </w:r>
      <w:r>
        <w:t xml:space="preserve"> </w:t>
      </w:r>
      <w:r>
        <w:rPr>
          <w:iCs/>
          <w:i/>
        </w:rPr>
        <w:t xml:space="preserve">[Designation of four marketplaces as collectors of income tax Article 22]</w:t>
      </w:r>
      <w:r>
        <w:t xml:space="preserve"> </w:t>
      </w:r>
      <w:r>
        <w:t xml:space="preserve">[Press release]. Ministry of Finance of the Republic of Indonesia. https://www.pajak.go.id/en/node/120146 [UNVERIFIED: exact title]</w:t>
      </w:r>
    </w:p>
    <w:p>
      <w:pPr>
        <w:pStyle w:val="BodyText"/>
      </w:pPr>
      <w:r>
        <w:t xml:space="preserve">Directorate General of Taxes. (2026b, August 5).</w:t>
      </w:r>
      <w:r>
        <w:t xml:space="preserve"> </w:t>
      </w:r>
      <w:r>
        <w:rPr>
          <w:iCs/>
          <w:i/>
        </w:rPr>
        <w:t xml:space="preserve">[Postponement of marketplace collection of income tax Article 22 to 1 November 2026] (PENG-46/PJ.09/2026)</w:t>
      </w:r>
      <w:r>
        <w:t xml:space="preserve"> </w:t>
      </w:r>
      <w:r>
        <w:t xml:space="preserve">[Announcement]. Ministry of Finance of the Republic of Indonesia. https://pajak.go.id/en/node/120353 [UNVERIFIED: exact title]</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Directorate General of Taxes. (n.d.).</w:t>
      </w:r>
      <w:r>
        <w:t xml:space="preserve"> </w:t>
      </w:r>
      <w:r>
        <w:rPr>
          <w:iCs/>
          <w:i/>
        </w:rPr>
        <w:t xml:space="preserve">Pajak atas usaha ekonomi digital terkini Rp32,32 triliun</w:t>
      </w:r>
      <w:r>
        <w:t xml:space="preserve"> </w:t>
      </w:r>
      <w:r>
        <w:t xml:space="preserve">[Press release]. Ministry of Finance of the Republic of Indonesia. https://pajak.go.id/id/siaran-pers/pajak-atas-usaha-ekonomi-digital-terkini-3232-triliun [UNVERIFIED: date and title wording; title inferred from URL]</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[UNVERIFIED: public URL; local copy</w:t>
      </w:r>
      <w:r>
        <w:t xml:space="preserve"> </w:t>
      </w:r>
      <w:r>
        <w:rPr>
          <w:rStyle w:val="VerbatimChar"/>
        </w:rPr>
        <w:t xml:space="preserve">sources/core_public_documents/goto_annual_report_2023.pdf</w:t>
      </w:r>
      <w:r>
        <w:t xml:space="preserve">]</w:t>
      </w:r>
    </w:p>
    <w:p>
      <w:pPr>
        <w:pStyle w:val="BodyText"/>
      </w:pPr>
      <w:r>
        <w:t xml:space="preserve">GoTo Gojek Tokopedia. (2026).</w:t>
      </w:r>
      <w:r>
        <w:t xml:space="preserve"> </w:t>
      </w:r>
      <w:r>
        <w:rPr>
          <w:iCs/>
          <w:i/>
        </w:rPr>
        <w:t xml:space="preserve">Second quarter 2026 earnings call transcript</w:t>
      </w:r>
      <w:r>
        <w:t xml:space="preserve"> </w:t>
      </w:r>
      <w:r>
        <w:t xml:space="preserve">[Transcript]. https://www.gotocompany.com/investor-relations/en/quarterly-results?year=2026&amp;item=Q2 [UNVERIFIED: exact title and date of the call]</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w:t>
      </w:r>
      <w:r>
        <w:t xml:space="preserve"> </w:t>
      </w:r>
      <w:r>
        <w:t xml:space="preserve">[Government Regulation No. 20 of 2026 amending Government Regulation No. 55 of 2022]. https://jdih.setneg.go.id [UNVERIFIED: document-level URL]</w:t>
      </w:r>
    </w:p>
    <w:p>
      <w:pPr>
        <w:pStyle w:val="BodyText"/>
      </w:pPr>
      <w:r>
        <w:t xml:space="preserve">Government of Viet Nam. (2025).</w:t>
      </w:r>
      <w:r>
        <w:t xml:space="preserve"> </w:t>
      </w:r>
      <w:r>
        <w:rPr>
          <w:iCs/>
          <w:i/>
        </w:rPr>
        <w:t xml:space="preserve">Decree No. 117/2025/ND-CP on tax administration for business activities on e-commerce and digital platforms of households and individuals</w:t>
      </w:r>
      <w:r>
        <w:t xml:space="preserve"> </w:t>
      </w:r>
      <w:r>
        <w:t xml:space="preserve">[Issued June 9, 2025; effective July 1, 2025]. [UNVERIFIED: primary text not retrieved; English title and details from EY Tax Alert, June 24, 2025, https://taxnews.ey.com/news/2025-1337-vietnam-promulgates-decree-on-tax-administration-for-business-activities-on-e-commerce-and-digital-platforms-of-households-and-individuals]</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check against Grab’s own webcast before submission]</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https://jdih.kemendag.go.id [UNVERIFIED: document-level URL]</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https://jdih.kemendag.go.id [UNVERIFIED: document-level URL]</w:t>
      </w:r>
    </w:p>
    <w:p>
      <w:pPr>
        <w:pStyle w:val="BodyText"/>
      </w:pPr>
      <w:r>
        <w:t xml:space="preserve">Momentum Works. (2024).</w:t>
      </w:r>
      <w:r>
        <w:t xml:space="preserve"> </w:t>
      </w:r>
      <w:r>
        <w:rPr>
          <w:iCs/>
          <w:i/>
        </w:rPr>
        <w:t xml:space="preserve">Ecommerce in Southeast Asia 2024</w:t>
      </w:r>
      <w:r>
        <w:t xml:space="preserve">. [UNVERIFIED: primary report not seen; the figure used is quoted by Katadata, July 15,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https://www.oecd.org/tax/exchange-of-tax-information/model-reporting-rules-for-digital-platforms-international-exchange-framework-and-optional-module-for-sale-of-goods.pdf</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United Nations et al. (2025).</w:t>
      </w:r>
      <w:r>
        <w:t xml:space="preserve"> </w:t>
      </w:r>
      <w:r>
        <w:rPr>
          <w:iCs/>
          <w:i/>
        </w:rPr>
        <w:t xml:space="preserve">System of national accounts 2025</w:t>
      </w:r>
      <w:r>
        <w:t xml:space="preserve"> </w:t>
      </w:r>
      <w:r>
        <w:t xml:space="preserve">(Studies in Methods, Series F). United Nations. https://doi.org/10.18356/9789211073225 [UNVERIFIED: full list of co-issuing organisations]</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2026-10-16T13:25:39Z</dcterms:created>
  <dcterms:modified xsi:type="dcterms:W3CDTF">2026-10-16T13:25:39Z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2026-10-16</vt:lpwstr>
  </property>
</Properties>
</file>