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sz w:val="24"/>
        </w:rPr>
        <w:t>元智大學</w:t>
        <w:br/>
        <w:t>YUAN ZE UNIVERSITY</w:t>
      </w:r>
    </w:p>
    <w:p>
      <w:pPr>
        <w:jc w:val="center"/>
      </w:pPr>
      <w:r>
        <w:rPr>
          <w:rFonts w:ascii="Times New Roman" w:hAnsi="Times New Roman" w:cs="Times New Roman" w:eastAsia="Times New Roman"/>
          <w:sz w:val="24"/>
        </w:rPr>
        <w:t>管理學院財務金融暨會計碩士班</w:t>
        <w:br/>
        <w:t>財務金融碩士學程</w:t>
      </w:r>
    </w:p>
    <w:p/>
    <w:p>
      <w:pPr>
        <w:jc w:val="center"/>
      </w:pPr>
      <w:r>
        <w:rPr>
          <w:rFonts w:ascii="Times New Roman" w:hAnsi="Times New Roman" w:cs="Times New Roman" w:eastAsia="Times New Roman"/>
          <w:b/>
          <w:sz w:val="24"/>
        </w:rPr>
        <w:t>碩士論文計畫書</w:t>
        <w:br/>
        <w:t>MASTER'S THESIS PROPOSAL</w:t>
      </w:r>
    </w:p>
    <w:p/>
    <w:p>
      <w:pPr>
        <w:jc w:val="center"/>
      </w:pPr>
      <w:r>
        <w:rPr>
          <w:rFonts w:ascii="Times New Roman" w:hAnsi="Times New Roman" w:cs="Times New Roman" w:eastAsia="Times New Roman"/>
          <w:b/>
          <w:sz w:val="24"/>
        </w:rPr>
        <w:t>隱形帳簿：量化印尼平台經濟中的隱形楔子</w:t>
      </w:r>
    </w:p>
    <w:p>
      <w:pPr>
        <w:jc w:val="center"/>
      </w:pPr>
      <w:r>
        <w:rPr>
          <w:rFonts w:ascii="Times New Roman" w:hAnsi="Times New Roman" w:cs="Times New Roman" w:eastAsia="Times New Roman"/>
          <w:b/>
          <w:sz w:val="24"/>
        </w:rPr>
        <w:t>The Invisible Ledger: Quantifying the Invisible Wedge in Indonesia's Platform Economy</w:t>
      </w:r>
    </w:p>
    <w:p/>
    <w:p/>
    <w:p>
      <w:pPr>
        <w:jc w:val="center"/>
      </w:pPr>
      <w:r>
        <w:rPr>
          <w:rFonts w:ascii="Times New Roman" w:hAnsi="Times New Roman" w:cs="Times New Roman" w:eastAsia="Times New Roman"/>
          <w:sz w:val="24"/>
        </w:rPr>
        <w:t>研究生 / Student: 王新福 Christopher Ongko</w:t>
      </w:r>
    </w:p>
    <w:p>
      <w:pPr>
        <w:jc w:val="center"/>
      </w:pPr>
      <w:r>
        <w:rPr>
          <w:rFonts w:ascii="Times New Roman" w:hAnsi="Times New Roman" w:cs="Times New Roman" w:eastAsia="Times New Roman"/>
          <w:sz w:val="24"/>
        </w:rPr>
        <w:t>指導教授 / Advisor: 孔德蓉 De-Rong Kong</w:t>
      </w:r>
    </w:p>
    <w:p/>
    <w:p>
      <w:pPr>
        <w:jc w:val="center"/>
      </w:pPr>
      <w:r>
        <w:rPr>
          <w:rFonts w:ascii="Times New Roman" w:hAnsi="Times New Roman" w:cs="Times New Roman" w:eastAsia="Times New Roman"/>
          <w:sz w:val="24"/>
        </w:rPr>
        <w:t>中華民國 115 年 9 月</w:t>
        <w:br/>
        <w:t>September 2026</w:t>
      </w:r>
    </w:p>
    <w:p>
      <w:r>
        <w:rPr>
          <w:rFonts w:ascii="Times New Roman" w:hAnsi="Times New Roman" w:cs="Times New Roman"/>
          <w:sz w:val="24"/>
        </w:rPr>
        <w:br w:type="page"/>
      </w:r>
    </w:p>
    <w:p>
      <w:pPr>
        <w:pStyle w:val="Heading1"/>
        <w:keepNext/>
        <w:spacing w:before="200" w:after="100"/>
        <w:jc w:val="left"/>
      </w:pPr>
      <w:r>
        <w:rPr>
          <w:rFonts w:ascii="Times New Roman" w:hAnsi="Times New Roman" w:cs="Times New Roman" w:eastAsia="Times New Roman"/>
          <w:b/>
          <w:sz w:val="24"/>
        </w:rPr>
        <w:t>Abstract</w:t>
      </w:r>
    </w:p>
    <w:p>
      <w:pPr>
        <w:keepLines/>
        <w:spacing w:line="257" w:lineRule="auto" w:after="110" w:before="0"/>
        <w:jc w:val="both"/>
      </w:pPr>
      <w:r>
        <w:rPr>
          <w:rFonts w:ascii="Times New Roman" w:hAnsi="Times New Roman" w:cs="Times New Roman" w:eastAsia="Times New Roman"/>
          <w:i w:val="0"/>
          <w:sz w:val="24"/>
        </w:rPr>
        <w:t>Digital economy is measured through platform revenue, national e-commerce statistics and payment data, which are often used interchangeably even though each records a different part of the same activity. This study asks how much economic activity remains invisible when digital platforms are measured through their reported revenue. I define the invisible wedge as the difference between transaction value and platform-recognized revenue, measure it across Indonesian platform histories from 2020 to 2025, and compare the result with BPS-Statistics Indonesia e-commerce data and Bank Indonesia payment records. In 2023, three major platforms processed US$43.23 billion of transaction value against US$3.16 billion of recognized revenue, a ratio of 13.7 to 1. Across twelve year-to-year comparisons, revenue grew faster than transaction value in ten, so the relationship is not stable. National statistics place 98.5 percent of recent e-commerce growth outside the marketplace component, and payment measures grew up to eleven times as fast as e-commerce value. Eight platform businesses outside Indonesia provide external corroboration. The proposal treats these records as distinct measurement layers and tests whether substituting one for another changes conclusions about the scale and growth of digital activity.</w:t>
      </w:r>
    </w:p>
    <w:p>
      <w:pPr>
        <w:pStyle w:val="Heading1"/>
        <w:keepNext/>
        <w:spacing w:before="200" w:after="100"/>
        <w:jc w:val="left"/>
      </w:pPr>
      <w:r>
        <w:rPr>
          <w:rFonts w:ascii="Times New Roman" w:hAnsi="Times New Roman" w:cs="Times New Roman" w:eastAsia="Times New Roman"/>
          <w:b/>
          <w:sz w:val="24"/>
        </w:rPr>
        <w:t>1. Introduction</w:t>
      </w:r>
    </w:p>
    <w:p>
      <w:pPr>
        <w:keepLines/>
        <w:spacing w:after="110" w:line="257" w:lineRule="auto"/>
        <w:jc w:val="both"/>
      </w:pPr>
      <w:r>
        <w:rPr>
          <w:rFonts w:ascii="Times New Roman" w:hAnsi="Times New Roman" w:eastAsia="Times New Roman"/>
          <w:b w:val="0"/>
          <w:i w:val="0"/>
          <w:sz w:val="24"/>
        </w:rPr>
        <w:t>Southeast Asia's digital economy grew from approximately US$100 billion in 2020 to US$263 billion in 2024 (Google, Temasek and Bain 2020, 2024). Digital platform scale, however, is not the same thing as platform revenue. Platforms record transactions, determine participant payouts, and book their own revenue, while national statistics and payment systems record other parts of the same economic activity. These measures are often used interchangeably even though they do not measure the same thing. This paper argues that doing so produces systematically wrong conclusions about the scale and growth of platform economies.</w:t>
      </w:r>
    </w:p>
    <w:p>
      <w:pPr>
        <w:spacing w:after="110" w:line="257" w:lineRule="auto"/>
        <w:jc w:val="both"/>
      </w:pPr>
      <w:r>
        <w:rPr>
          <w:rFonts w:ascii="Times New Roman" w:hAnsi="Times New Roman" w:eastAsia="Times New Roman"/>
          <w:b w:val="0"/>
          <w:i w:val="0"/>
          <w:sz w:val="24"/>
        </w:rPr>
        <w:t>Suppose a platform processes 100 units of transaction value but recognizes only 10 as revenue. The remaining 90 are still recorded within the platform's system but do not constitute platform revenue; they represent merchant receipts, driver payouts, inventory costs, taxes, and other pass-through payments. An analyst using the platform's accounts sees 10, while one measuring the commerce it processes sees 100. I call the difference the invisible wedge.</w:t>
      </w:r>
    </w:p>
    <w:p>
      <w:pPr>
        <w:spacing w:after="110" w:line="257" w:lineRule="auto"/>
        <w:jc w:val="both"/>
      </w:pPr>
      <w:r>
        <w:rPr>
          <w:rFonts w:ascii="Times New Roman" w:hAnsi="Times New Roman" w:eastAsia="Times New Roman"/>
          <w:b w:val="0"/>
          <w:i w:val="0"/>
          <w:sz w:val="24"/>
        </w:rPr>
        <w:t>Indonesia, the largest digital market in Southeast Asia, provides a clear empirical setting because several records of the same activity can be compared. Platform companies disclose transaction and revenue information; BPS-Statistics Indonesia, the national statistical agency, reports e-commerce activity; and Bank Indonesia, the country's central bank, reports digital payments. In 2023, the platform comparison covers Shopee and Tokopedia, which together represented about 70 percent of estimated Indonesian marketplace transaction value, together with Grab, a major intermediary in delivery and other digital services. The three cases processed US$43.23 billion of transaction value against US$3.16 billion of recognized revenue, leaving a US$40.07 billion invisible wedge.</w:t>
      </w:r>
    </w:p>
    <w:p>
      <w:pPr>
        <w:spacing w:after="110" w:line="257" w:lineRule="auto"/>
        <w:jc w:val="both"/>
      </w:pPr>
      <w:r>
        <w:rPr>
          <w:rFonts w:ascii="Times New Roman" w:hAnsi="Times New Roman" w:eastAsia="Times New Roman"/>
          <w:b w:val="0"/>
          <w:i w:val="0"/>
          <w:sz w:val="24"/>
        </w:rPr>
        <w:t>The difference also changes over time. Across twelve year-to-year comparisons between 2020 and 2025, revenue grew faster than transaction value in ten, with a median absolute gap of approximately 42 percentage points between the two growth rates; in some years the two measures moved in opposite directions. Platform revenue therefore understates the level of platform-mediated commerce while, in most observed years, overstating its growth.</w:t>
      </w:r>
    </w:p>
    <w:p>
      <w:pPr>
        <w:spacing w:after="110" w:line="257" w:lineRule="auto"/>
        <w:jc w:val="both"/>
      </w:pPr>
      <w:r>
        <w:rPr>
          <w:rFonts w:ascii="Times New Roman" w:hAnsi="Times New Roman" w:eastAsia="Times New Roman"/>
          <w:b w:val="0"/>
          <w:i w:val="0"/>
          <w:sz w:val="24"/>
        </w:rPr>
        <w:t>The same problem appears beyond company accounts. BPS reports that national e-commerce value grew 17.1 percent between 2023 and 2024, but about 98.5 percent of that increase occurred outside the marketplace component; digital payment measures reported by Bank Indonesia grew substantially faster still. Indonesia's Minister of Finance Regulation No. 37 of 2025, which introduces seller reporting and withholding through designated marketplaces, provides a further test of how platform-held transaction records enter administrative reporting.</w:t>
      </w:r>
    </w:p>
    <w:p>
      <w:pPr>
        <w:pStyle w:val="Heading2"/>
        <w:keepNext/>
        <w:spacing w:before="140" w:after="60"/>
      </w:pPr>
      <w:r>
        <w:rPr>
          <w:rFonts w:ascii="Times New Roman" w:hAnsi="Times New Roman" w:eastAsia="Times New Roman"/>
          <w:b/>
          <w:i w:val="0"/>
          <w:sz w:val="24"/>
        </w:rPr>
        <w:t>1.1 Research question and objectives</w:t>
      </w:r>
    </w:p>
    <w:p>
      <w:pPr>
        <w:keepNext/>
        <w:keepLines/>
        <w:spacing w:after="110" w:line="257" w:lineRule="auto"/>
        <w:jc w:val="both"/>
      </w:pPr>
      <w:r>
        <w:rPr>
          <w:rFonts w:ascii="Times New Roman" w:hAnsi="Times New Roman" w:eastAsia="Times New Roman"/>
          <w:b w:val="0"/>
          <w:i w:val="0"/>
          <w:sz w:val="24"/>
        </w:rPr>
        <w:t>One question drives the proposal:</w:t>
      </w:r>
    </w:p>
    <w:p>
      <w:pPr>
        <w:keepLines/>
        <w:spacing w:after="110" w:line="257" w:lineRule="auto"/>
        <w:jc w:val="center"/>
      </w:pPr>
      <w:r>
        <w:rPr>
          <w:rFonts w:ascii="Times New Roman" w:hAnsi="Times New Roman" w:eastAsia="Times New Roman"/>
          <w:b/>
          <w:i w:val="0"/>
          <w:sz w:val="24"/>
        </w:rPr>
        <w:t>How much economic activity remains invisible when digital platforms are measured through their reported revenue?</w:t>
      </w:r>
    </w:p>
    <w:p>
      <w:pPr>
        <w:spacing w:after="110" w:line="257" w:lineRule="auto"/>
        <w:jc w:val="both"/>
      </w:pPr>
      <w:r>
        <w:rPr>
          <w:rFonts w:ascii="Times New Roman" w:hAnsi="Times New Roman" w:eastAsia="Times New Roman"/>
          <w:b w:val="0"/>
          <w:i w:val="0"/>
          <w:sz w:val="24"/>
        </w:rPr>
        <w:t>Indonesia provides the main empirical setting. Three objectives follow: first, to measure the invisible wedge across available platform histories from 2020 to 2025; second, to explain large movements using disclosed changes in monetization, customer incentives, revenue recognition, and reporting scope; and third, to compare the platform evidence with national e-commerce and payment records to determine whether they produce the same account of economic scale and growth.</w:t>
      </w:r>
    </w:p>
    <w:p>
      <w:pPr>
        <w:spacing w:after="110" w:line="257" w:lineRule="auto"/>
        <w:jc w:val="both"/>
      </w:pPr>
      <w:r>
        <w:rPr>
          <w:rFonts w:ascii="Times New Roman" w:hAnsi="Times New Roman" w:eastAsia="Times New Roman"/>
          <w:b w:val="0"/>
          <w:i w:val="0"/>
          <w:sz w:val="24"/>
        </w:rPr>
        <w:t>A separate comparison of eight platform businesses outside Indonesia tests whether the same transaction-revenue separation appears under other business models.</w:t>
      </w:r>
    </w:p>
    <w:p>
      <w:pPr>
        <w:pStyle w:val="Heading2"/>
        <w:keepNext/>
        <w:spacing w:before="140" w:after="60"/>
      </w:pPr>
      <w:r>
        <w:rPr>
          <w:rFonts w:ascii="Times New Roman" w:hAnsi="Times New Roman" w:eastAsia="Times New Roman"/>
          <w:b/>
          <w:i w:val="0"/>
          <w:sz w:val="24"/>
        </w:rPr>
        <w:t>1.2 Contributions</w:t>
      </w:r>
    </w:p>
    <w:p>
      <w:pPr>
        <w:keepLines/>
        <w:spacing w:after="110" w:line="257" w:lineRule="auto"/>
        <w:jc w:val="both"/>
      </w:pPr>
      <w:r>
        <w:rPr>
          <w:rFonts w:ascii="Times New Roman" w:hAnsi="Times New Roman" w:eastAsia="Times New Roman"/>
          <w:b w:val="0"/>
          <w:i w:val="0"/>
          <w:sz w:val="24"/>
        </w:rPr>
        <w:t>First, the study develops the invisible wedge from a one-year estimate into a measure that can be followed over time. From 2020 to 2025, revenue grows faster than transaction value in ten of twelve annual comparisons, showing that platform revenue is not a stable measure of either the level or the growth of platform-mediated commerce.</w:t>
      </w:r>
    </w:p>
    <w:p>
      <w:pPr>
        <w:spacing w:after="110" w:line="257" w:lineRule="auto"/>
        <w:jc w:val="both"/>
      </w:pPr>
      <w:r>
        <w:rPr>
          <w:rFonts w:ascii="Times New Roman" w:hAnsi="Times New Roman" w:eastAsia="Times New Roman"/>
          <w:b w:val="0"/>
          <w:i w:val="0"/>
          <w:sz w:val="24"/>
        </w:rPr>
        <w:t>Second, I examine why the wedge moves using accounting components disclosed by the platforms themselves. Between 2022 and 2023, Tokopedia's transaction value fell 8.9 percent while its third-party net revenue rose 53.2 percent. About 60.6 percent of the arithmetic increase in net revenue is associated with lower customer incentives, with the remainder associated with higher gross revenue.</w:t>
      </w:r>
    </w:p>
    <w:p>
      <w:pPr>
        <w:spacing w:after="110" w:line="257" w:lineRule="auto"/>
        <w:jc w:val="both"/>
      </w:pPr>
      <w:r>
        <w:rPr>
          <w:rFonts w:ascii="Times New Roman" w:hAnsi="Times New Roman" w:eastAsia="Times New Roman"/>
          <w:b w:val="0"/>
          <w:i w:val="0"/>
          <w:sz w:val="24"/>
        </w:rPr>
        <w:t>Third, I extend the comparison beyond company accounts. National e-commerce statistics show that almost all of Indonesia's 2023–2024 growth occurred outside the marketplace component, while digital payment measures grew substantially faster than e-commerce value. The records therefore produce different conclusions about the scale, growth, and location of digital activity.</w:t>
      </w:r>
    </w:p>
    <w:p>
      <w:pPr>
        <w:spacing w:after="110" w:line="257" w:lineRule="auto"/>
        <w:jc w:val="both"/>
      </w:pPr>
      <w:r>
        <w:rPr>
          <w:rFonts w:ascii="Times New Roman" w:hAnsi="Times New Roman" w:eastAsia="Times New Roman"/>
          <w:b w:val="0"/>
          <w:i w:val="0"/>
          <w:sz w:val="24"/>
        </w:rPr>
        <w:t>Fourth, I test whether the main findings survive alternative assumptions, sample rules, and external platform evidence rather than depending on one preferred construction.</w:t>
      </w:r>
    </w:p>
    <w:p>
      <w:pPr>
        <w:pStyle w:val="Heading2"/>
        <w:keepNext/>
        <w:spacing w:before="140" w:after="60"/>
      </w:pPr>
      <w:r>
        <w:rPr>
          <w:rFonts w:ascii="Times New Roman" w:hAnsi="Times New Roman" w:eastAsia="Times New Roman"/>
          <w:b/>
          <w:i w:val="0"/>
          <w:sz w:val="24"/>
        </w:rPr>
        <w:t>1.3 Positioning the contribution</w:t>
      </w:r>
    </w:p>
    <w:p>
      <w:pPr>
        <w:keepLines/>
        <w:spacing w:after="110" w:line="257" w:lineRule="auto"/>
        <w:jc w:val="both"/>
      </w:pPr>
      <w:r>
        <w:rPr>
          <w:rFonts w:ascii="Times New Roman" w:hAnsi="Times New Roman" w:eastAsia="Times New Roman"/>
          <w:b w:val="0"/>
          <w:i w:val="0"/>
          <w:sz w:val="24"/>
        </w:rPr>
        <w:t>The contribution is a finance measurement problem before it is a tax-policy one. Platform accounts make the intermediation boundary observable, but that boundary affects the conclusions investors, researchers, statistical agencies, and policymakers draw about scale, growth, and monetization. De Franco, Kothari and Verdi (2011) show why comparable accounting bases matter, while Berg et al. (2020) show that intermediary-held digital traces contain information conventional records can miss. This paper applies those ideas to platform economies and shows that the measure chosen to describe digital activity can change the economic conclusion.</w:t>
      </w:r>
    </w:p>
    <w:p>
      <w:pPr>
        <w:pStyle w:val="Heading1"/>
        <w:keepNext/>
        <w:spacing w:before="200" w:after="100"/>
        <w:jc w:val="left"/>
      </w:pPr>
      <w:r>
        <w:rPr>
          <w:rFonts w:ascii="Times New Roman" w:hAnsi="Times New Roman" w:cs="Times New Roman" w:eastAsia="Times New Roman"/>
          <w:b/>
          <w:sz w:val="24"/>
        </w:rPr>
        <w:t>2. Literature Review and Research Gap</w:t>
      </w:r>
    </w:p>
    <w:p>
      <w:pPr>
        <w:keepLines/>
        <w:spacing w:after="110" w:line="257" w:lineRule="auto"/>
        <w:jc w:val="both"/>
      </w:pPr>
      <w:r>
        <w:rPr>
          <w:rFonts w:ascii="Times New Roman" w:hAnsi="Times New Roman" w:eastAsia="Times New Roman"/>
          <w:b w:val="0"/>
          <w:i w:val="0"/>
          <w:sz w:val="24"/>
        </w:rPr>
        <w:t>Digital platforms sit between economic activity and the records used to measure it. They facilitate transactions between buyers and sellers, recognize only part of that activity as their own revenue, and generate records that can also appear in payment, statistical, and administrative systems. Existing research explains each part of this process from a different angle. Taken together, it provides the foundation for asking how much activity remains invisible when platforms are measured through reported revenue.</w:t>
      </w:r>
    </w:p>
    <w:p>
      <w:pPr>
        <w:pStyle w:val="Heading2"/>
        <w:keepNext/>
        <w:spacing w:before="140" w:after="60"/>
      </w:pPr>
      <w:r>
        <w:rPr>
          <w:rFonts w:ascii="Times New Roman" w:hAnsi="Times New Roman" w:eastAsia="Times New Roman"/>
          <w:b/>
          <w:i w:val="0"/>
          <w:sz w:val="24"/>
        </w:rPr>
        <w:t>2.1 Platform Economics and Revenue Recognition</w:t>
      </w:r>
    </w:p>
    <w:p>
      <w:pPr>
        <w:keepLines/>
        <w:spacing w:after="110" w:line="257" w:lineRule="auto"/>
        <w:jc w:val="both"/>
      </w:pPr>
      <w:r>
        <w:rPr>
          <w:rFonts w:ascii="Times New Roman" w:hAnsi="Times New Roman" w:eastAsia="Times New Roman"/>
          <w:b w:val="0"/>
          <w:i w:val="0"/>
          <w:sz w:val="24"/>
        </w:rPr>
        <w:t>Platform economics explains why the value of commerce processed through a platform can be much larger than the revenue the platform records. Digital platforms often connect consumers with merchants or other service providers and earn commissions, fees, advertising, logistics, or other intermediation revenue rather than the full value of every transaction they facilitate (Rochet and Tirole 2003; Caillaud and Jullien 2003; Parker and Van Alstyne 2005; Armstrong 2006; Hagiu and Wright 2015; Evans and Schmalensee 2016).</w:t>
      </w:r>
    </w:p>
    <w:p>
      <w:pPr>
        <w:spacing w:after="110" w:line="257" w:lineRule="auto"/>
        <w:jc w:val="both"/>
      </w:pPr>
      <w:r>
        <w:rPr>
          <w:rFonts w:ascii="Times New Roman" w:hAnsi="Times New Roman" w:eastAsia="Times New Roman"/>
          <w:b w:val="0"/>
          <w:i w:val="0"/>
          <w:sz w:val="24"/>
        </w:rPr>
        <w:t>Accounting can widen or narrow this difference. Under IFRS 15, whether a company acts as a principal or an agent affects whether it recognizes the full customer payment or only the amount it earns from arranging the transaction (International Accounting Standards Board 2014). Customer incentives, monetization, service mix, acquisitions, and changes in business scope can also move reported revenue without an equivalent change in transaction activity. De Franco, Kothari and Verdi (2011) show why comparable accounting bases matter when financial information is interpreted. The literature therefore explains why a transaction–revenue gap can exist and move over time, but not how economically large that gap becomes in practice.</w:t>
      </w:r>
    </w:p>
    <w:p>
      <w:pPr>
        <w:pStyle w:val="Heading2"/>
        <w:keepNext/>
        <w:spacing w:before="140" w:after="60"/>
      </w:pPr>
      <w:r>
        <w:rPr>
          <w:rFonts w:ascii="Times New Roman" w:hAnsi="Times New Roman" w:eastAsia="Times New Roman"/>
          <w:b/>
          <w:i w:val="0"/>
          <w:sz w:val="24"/>
        </w:rPr>
        <w:t>2.2 Digital Records and Third-Party Information</w:t>
      </w:r>
    </w:p>
    <w:p>
      <w:pPr>
        <w:keepLines/>
        <w:spacing w:after="110" w:line="257" w:lineRule="auto"/>
        <w:jc w:val="both"/>
      </w:pPr>
      <w:r>
        <w:rPr>
          <w:rFonts w:ascii="Times New Roman" w:hAnsi="Times New Roman" w:eastAsia="Times New Roman"/>
          <w:b w:val="0"/>
          <w:i w:val="0"/>
          <w:sz w:val="24"/>
        </w:rPr>
        <w:t>Activity outside platform revenue is not necessarily unrecorded. Merchants and service providers can be small, self-employed, or weakly represented in conventional financial records while their transactions still leave detailed records inside a digital platform. This differs from the usual shadow-economy problem, where part of the difficulty is that economic activity leaves few reliable formal records (La Porta and Shleifer 2014; Ulyssea 2018; Medina and Schneider 2019). Digital records can contain useful economic information that conventional records miss (Berg et al. 2020), and platform-mediated activity can create additional financial and administrative traces (Barrios, Hochberg and Yi 2022; Denes, Lagaras and Tsoutsoura 2025).</w:t>
      </w:r>
    </w:p>
    <w:p>
      <w:pPr>
        <w:spacing w:after="110" w:line="257" w:lineRule="auto"/>
        <w:jc w:val="both"/>
      </w:pPr>
      <w:r>
        <w:rPr>
          <w:rFonts w:ascii="Times New Roman" w:hAnsi="Times New Roman" w:eastAsia="Times New Roman"/>
          <w:b w:val="0"/>
          <w:i w:val="0"/>
          <w:sz w:val="24"/>
        </w:rPr>
        <w:t>These records also matter once they become available to government. Public-finance research shows that compliance and enforcement change when information about income or transactions is independently reported by third parties (Kleven et al. 2011; Pomeranz 2015; Naritomi 2019; Kleven, Kreiner and Saez 2016; Slemrod 2019). The OECD Model Rules (OECD 2020) and the European Union's DAC7 regime (European Union 2021) apply this principle to digital platforms. Indonesia's Minister of Finance Regulation No. 37 of 2025 follows the same logic through seller identification, transaction-linked reporting, and marketplace withholding. The relevance here is informational: transaction records outside platform revenue may still exist and become usable elsewhere.</w:t>
      </w:r>
    </w:p>
    <w:p>
      <w:pPr>
        <w:pStyle w:val="Heading2"/>
        <w:keepNext/>
        <w:spacing w:before="140" w:after="60"/>
      </w:pPr>
      <w:r>
        <w:rPr>
          <w:rFonts w:ascii="Times New Roman" w:hAnsi="Times New Roman" w:eastAsia="Times New Roman"/>
          <w:b/>
          <w:i w:val="0"/>
          <w:sz w:val="24"/>
        </w:rPr>
        <w:t>2.3 Measuring the Digital Economy</w:t>
      </w:r>
    </w:p>
    <w:p>
      <w:pPr>
        <w:keepLines/>
        <w:spacing w:after="110" w:line="257" w:lineRule="auto"/>
        <w:jc w:val="both"/>
      </w:pPr>
      <w:r>
        <w:rPr>
          <w:rFonts w:ascii="Times New Roman" w:hAnsi="Times New Roman" w:eastAsia="Times New Roman"/>
          <w:b w:val="0"/>
          <w:i w:val="0"/>
          <w:sz w:val="24"/>
        </w:rPr>
        <w:t>Official measurement frameworks already distinguish between the commerce facilitated through a platform and the service provided by the platform itself. National-accounting guidance separates the buyer-seller transaction from the platform's intermediation service rather than treating the full transaction value as platform output (Ahmad and Schreyer 2016; International Monetary Fund 2018; OECD 2023; United Nations et al. 2025).</w:t>
      </w:r>
    </w:p>
    <w:p>
      <w:pPr>
        <w:spacing w:after="110" w:line="257" w:lineRule="auto"/>
        <w:jc w:val="both"/>
      </w:pPr>
      <w:r>
        <w:rPr>
          <w:rFonts w:ascii="Times New Roman" w:hAnsi="Times New Roman" w:eastAsia="Times New Roman"/>
          <w:b w:val="0"/>
          <w:i w:val="0"/>
          <w:sz w:val="24"/>
        </w:rPr>
        <w:t>In practice, however, gross transaction value, platform revenue, e-commerce statistics, and payment data are all used to describe digital economic activity. They measure different things. A difference that is harmless when the measures move together becomes important when they do not, because the choice of measure can change conclusions about economic scale and growth. This thesis therefore compares the records rather than assuming that one can substitute for another.</w:t>
      </w:r>
    </w:p>
    <w:p>
      <w:pPr>
        <w:pStyle w:val="Heading2"/>
        <w:keepNext/>
        <w:spacing w:before="140" w:after="60"/>
      </w:pPr>
      <w:r>
        <w:rPr>
          <w:rFonts w:ascii="Times New Roman" w:hAnsi="Times New Roman" w:eastAsia="Times New Roman"/>
          <w:b/>
          <w:i w:val="0"/>
          <w:sz w:val="24"/>
        </w:rPr>
        <w:t>2.4 Research Gap</w:t>
      </w:r>
    </w:p>
    <w:p>
      <w:pPr>
        <w:keepLines/>
        <w:spacing w:after="110" w:line="257" w:lineRule="auto"/>
        <w:jc w:val="both"/>
      </w:pPr>
      <w:r>
        <w:rPr>
          <w:rFonts w:ascii="Times New Roman" w:hAnsi="Times New Roman" w:eastAsia="Times New Roman"/>
          <w:b w:val="0"/>
          <w:i w:val="0"/>
          <w:sz w:val="24"/>
        </w:rPr>
        <w:t>Existing research explains the pieces of the problem separately. Platform economics explains why transaction value can exceed revenue; accounting explains why the gap can move; research on digital records explains why activity outside revenue can still be observable; and official measurement frameworks explain why these quantities should not be treated as equivalent.</w:t>
      </w:r>
    </w:p>
    <w:p>
      <w:pPr>
        <w:spacing w:after="110" w:line="257" w:lineRule="auto"/>
        <w:jc w:val="both"/>
      </w:pPr>
      <w:r>
        <w:rPr>
          <w:rFonts w:ascii="Times New Roman" w:hAnsi="Times New Roman" w:eastAsia="Times New Roman"/>
          <w:b w:val="0"/>
          <w:i w:val="0"/>
          <w:sz w:val="24"/>
        </w:rPr>
        <w:t>What remains less clear is how large these differences become in practice, whether they persist over time, and whether choosing one measure instead of another changes the economic conclusion. This thesis addresses that gap by measuring the invisible wedge over time, examining disclosed reasons for major movements, comparing platform accounts with national e-commerce and payment records, and using external platform evidence to test whether the same measurement problem appears beyond the main Indonesian setting.</w:t>
      </w:r>
    </w:p>
    <w:p>
      <w:pPr>
        <w:pStyle w:val="Heading1"/>
        <w:keepNext/>
        <w:spacing w:before="200" w:after="100"/>
        <w:jc w:val="left"/>
      </w:pPr>
      <w:r>
        <w:rPr>
          <w:rFonts w:ascii="Times New Roman" w:hAnsi="Times New Roman" w:eastAsia="Times New Roman"/>
          <w:b/>
          <w:i w:val="0"/>
          <w:sz w:val="24"/>
        </w:rPr>
        <w:t>3. Theoretical Framework and Hypotheses</w:t>
      </w:r>
    </w:p>
    <w:p>
      <w:pPr>
        <w:keepLines/>
        <w:spacing w:after="110" w:line="257" w:lineRule="auto"/>
        <w:jc w:val="both"/>
      </w:pPr>
      <w:r>
        <w:rPr>
          <w:rFonts w:ascii="Times New Roman" w:hAnsi="Times New Roman" w:eastAsia="Times New Roman"/>
          <w:b w:val="0"/>
          <w:i w:val="0"/>
          <w:sz w:val="24"/>
        </w:rPr>
        <w:t>Digital platform activity can be observed through several records, but those records do not measure the same economic object. The framework begins with the difference between the value a platform processes and the revenue it recognizes, then asks whether that relationship remains stable over time and whether other records produce the same account of digital activity.</w:t>
      </w:r>
    </w:p>
    <w:p>
      <w:pPr>
        <w:spacing w:after="110" w:line="257" w:lineRule="auto"/>
        <w:jc w:val="both"/>
      </w:pPr>
      <w:r>
        <w:rPr>
          <w:rFonts w:ascii="Times New Roman" w:hAnsi="Times New Roman" w:eastAsia="Times New Roman"/>
          <w:b w:val="0"/>
          <w:i w:val="0"/>
          <w:sz w:val="24"/>
        </w:rPr>
        <w:t>For the platform analysis, transaction value and revenue are paired only when they refer to the same period and business activity. Broader-scope, reconstructed, national-statistical, and payment evidence is kept in separate analytical roles rather than combined into one sample.</w:t>
      </w:r>
    </w:p>
    <w:p>
      <w:pPr>
        <w:pStyle w:val="Heading2"/>
        <w:keepNext/>
        <w:spacing w:before="140" w:after="60"/>
        <w:jc w:val="left"/>
      </w:pPr>
      <w:r>
        <w:rPr>
          <w:rFonts w:ascii="Times New Roman" w:hAnsi="Times New Roman" w:eastAsia="Times New Roman"/>
          <w:b/>
          <w:i w:val="0"/>
          <w:sz w:val="24"/>
        </w:rPr>
        <w:t>3.1 Measurement Framework</w:t>
      </w:r>
    </w:p>
    <w:p>
      <w:pPr>
        <w:keepLines/>
        <w:spacing w:after="110" w:line="257" w:lineRule="auto"/>
        <w:jc w:val="both"/>
      </w:pPr>
      <w:r>
        <w:rPr>
          <w:rFonts w:ascii="Times New Roman" w:hAnsi="Times New Roman" w:eastAsia="Times New Roman"/>
          <w:b w:val="0"/>
          <w:i w:val="0"/>
          <w:sz w:val="24"/>
        </w:rPr>
        <w:t>Let V</w:t>
      </w:r>
      <w:r>
        <w:rPr>
          <w:rFonts w:ascii="Times New Roman" w:hAnsi="Times New Roman" w:eastAsia="Times New Roman"/>
          <w:b w:val="0"/>
          <w:i w:val="0"/>
          <w:sz w:val="24"/>
          <w:vertAlign w:val="subscript"/>
        </w:rPr>
        <w:t>it</w:t>
      </w:r>
      <w:r>
        <w:rPr>
          <w:rFonts w:ascii="Times New Roman" w:hAnsi="Times New Roman" w:eastAsia="Times New Roman"/>
          <w:b w:val="0"/>
          <w:i w:val="0"/>
          <w:sz w:val="24"/>
        </w:rPr>
        <w:t xml:space="preserve"> denote transaction value processed by platform i in period t, and R</w:t>
      </w:r>
      <w:r>
        <w:rPr>
          <w:rFonts w:ascii="Times New Roman" w:hAnsi="Times New Roman" w:eastAsia="Times New Roman"/>
          <w:b w:val="0"/>
          <w:i w:val="0"/>
          <w:sz w:val="24"/>
          <w:vertAlign w:val="subscript"/>
        </w:rPr>
        <w:t>it</w:t>
      </w:r>
      <w:r>
        <w:rPr>
          <w:rFonts w:ascii="Times New Roman" w:hAnsi="Times New Roman" w:eastAsia="Times New Roman"/>
          <w:b w:val="0"/>
          <w:i w:val="0"/>
          <w:sz w:val="24"/>
        </w:rPr>
        <w:t xml:space="preserve"> the revenue recognized over the same matched period and business scope. The absolute invisible wedge is:</w:t>
      </w:r>
    </w:p>
    <w:p>
      <w:pPr>
        <w:keepNext/>
        <w:spacing w:before="60" w:after="110" w:line="257" w:lineRule="auto"/>
        <w:jc w:val="center"/>
      </w:pPr>
      <w:r>
        <w:rPr>
          <w:rFonts w:ascii="Times New Roman" w:hAnsi="Times New Roman" w:eastAsia="Times New Roman"/>
          <w:b w:val="0"/>
          <w:i/>
          <w:sz w:val="24"/>
        </w:rPr>
        <w:t>W</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V</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R</w:t>
      </w:r>
      <w:r>
        <w:rPr>
          <w:rFonts w:ascii="Times New Roman" w:hAnsi="Times New Roman" w:eastAsia="Times New Roman"/>
          <w:b w:val="0"/>
          <w:i/>
          <w:sz w:val="24"/>
          <w:vertAlign w:val="subscript"/>
        </w:rPr>
        <w:t>it</w:t>
      </w:r>
    </w:p>
    <w:p>
      <w:pPr>
        <w:spacing w:after="110" w:line="257" w:lineRule="auto"/>
        <w:jc w:val="both"/>
      </w:pPr>
      <w:r>
        <w:rPr>
          <w:rFonts w:ascii="Times New Roman" w:hAnsi="Times New Roman" w:eastAsia="Times New Roman"/>
          <w:b w:val="0"/>
          <w:i w:val="0"/>
          <w:sz w:val="24"/>
        </w:rPr>
        <w:t>W measures transaction value outside the platform's recognized revenue. It does not represent merchant profit, worker income, taxable income, unpaid tax, tax evasion, or value added.</w:t>
      </w:r>
    </w:p>
    <w:p>
      <w:pPr>
        <w:spacing w:after="110" w:line="257" w:lineRule="auto"/>
        <w:jc w:val="both"/>
      </w:pPr>
      <w:r>
        <w:rPr>
          <w:rFonts w:ascii="Times New Roman" w:hAnsi="Times New Roman" w:eastAsia="Times New Roman"/>
          <w:b w:val="0"/>
          <w:i w:val="0"/>
          <w:sz w:val="24"/>
        </w:rPr>
        <w:t>Because platforms differ in size, I also express the wedge relative to revenue. The Ecosystem Ratio is:</w:t>
      </w:r>
    </w:p>
    <w:p>
      <w:pPr>
        <w:keepNext/>
        <w:spacing w:before="60" w:after="110" w:line="257" w:lineRule="auto"/>
        <w:jc w:val="center"/>
      </w:pPr>
      <w:r>
        <w:rPr>
          <w:rFonts w:ascii="Times New Roman" w:hAnsi="Times New Roman" w:eastAsia="Times New Roman"/>
          <w:b w:val="0"/>
          <w:i/>
          <w:sz w:val="24"/>
        </w:rPr>
        <w:t>E</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(V</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R</w:t>
      </w:r>
      <w:r>
        <w:rPr>
          <w:rFonts w:ascii="Times New Roman" w:hAnsi="Times New Roman" w:eastAsia="Times New Roman"/>
          <w:b w:val="0"/>
          <w:i/>
          <w:sz w:val="24"/>
          <w:vertAlign w:val="subscript"/>
        </w:rPr>
        <w:t>it</w:t>
      </w:r>
      <w:r>
        <w:rPr>
          <w:rFonts w:ascii="Times New Roman" w:hAnsi="Times New Roman" w:eastAsia="Times New Roman"/>
          <w:b w:val="0"/>
          <w:i/>
          <w:sz w:val="24"/>
        </w:rPr>
        <w:t>) / R</w:t>
      </w:r>
      <w:r>
        <w:rPr>
          <w:rFonts w:ascii="Times New Roman" w:hAnsi="Times New Roman" w:eastAsia="Times New Roman"/>
          <w:b w:val="0"/>
          <w:i/>
          <w:sz w:val="24"/>
          <w:vertAlign w:val="subscript"/>
        </w:rPr>
        <w:t>it</w:t>
      </w:r>
    </w:p>
    <w:p>
      <w:pPr>
        <w:spacing w:after="110" w:line="257" w:lineRule="auto"/>
        <w:jc w:val="both"/>
      </w:pPr>
      <w:r>
        <w:rPr>
          <w:rFonts w:ascii="Times New Roman" w:hAnsi="Times New Roman" w:eastAsia="Times New Roman"/>
          <w:b w:val="0"/>
          <w:i w:val="0"/>
          <w:sz w:val="24"/>
        </w:rPr>
        <w:t>An E of 9 means that for every one unit of platform revenue, nine additional units of transaction value lie outside the revenue line. The Ecosystem Ratio is constructed for this study rather than adopted from prior work. Its basis is the platform-economics result that booked revenue need not track the transaction value a multisided platform coordinates (Rochet and Tirole 2003; Hagiu and Wright 2015; Evans and Schmalensee 2016), together with the accounting result that the share of transaction value entering revenue is itself a reporting choice (International Accounting Standards Board 2014; De Franco, Kothari and Verdi 2011).</w:t>
      </w:r>
    </w:p>
    <w:p>
      <w:pPr>
        <w:spacing w:after="110" w:line="257" w:lineRule="auto"/>
        <w:jc w:val="both"/>
      </w:pPr>
      <w:r>
        <w:rPr>
          <w:rFonts w:ascii="Times New Roman" w:hAnsi="Times New Roman" w:eastAsia="Times New Roman"/>
          <w:b w:val="0"/>
          <w:i w:val="0"/>
          <w:sz w:val="24"/>
        </w:rPr>
        <w:t>A single ratio does not show whether transaction value and revenue move together through time. I therefore define annual growth divergence as:</w:t>
      </w:r>
    </w:p>
    <w:p>
      <w:pPr>
        <w:keepNext/>
        <w:spacing w:before="60" w:after="110" w:line="257" w:lineRule="auto"/>
        <w:jc w:val="center"/>
      </w:pPr>
      <w:r>
        <w:rPr>
          <w:rFonts w:ascii="Times New Roman" w:hAnsi="Times New Roman" w:eastAsia="Times New Roman"/>
          <w:b w:val="0"/>
          <w:i/>
          <w:sz w:val="24"/>
        </w:rPr>
        <w:t>D</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g(V</w:t>
      </w:r>
      <w:r>
        <w:rPr>
          <w:rFonts w:ascii="Times New Roman" w:hAnsi="Times New Roman" w:eastAsia="Times New Roman"/>
          <w:b w:val="0"/>
          <w:i/>
          <w:sz w:val="24"/>
          <w:vertAlign w:val="subscript"/>
        </w:rPr>
        <w:t>it</w:t>
      </w:r>
      <w:r>
        <w:rPr>
          <w:rFonts w:ascii="Times New Roman" w:hAnsi="Times New Roman" w:eastAsia="Times New Roman"/>
          <w:b w:val="0"/>
          <w:i/>
          <w:sz w:val="24"/>
        </w:rPr>
        <w:t>) − g(R</w:t>
      </w:r>
      <w:r>
        <w:rPr>
          <w:rFonts w:ascii="Times New Roman" w:hAnsi="Times New Roman" w:eastAsia="Times New Roman"/>
          <w:b w:val="0"/>
          <w:i/>
          <w:sz w:val="24"/>
          <w:vertAlign w:val="subscript"/>
        </w:rPr>
        <w:t>it</w:t>
      </w:r>
      <w:r>
        <w:rPr>
          <w:rFonts w:ascii="Times New Roman" w:hAnsi="Times New Roman" w:eastAsia="Times New Roman"/>
          <w:b w:val="0"/>
          <w:i/>
          <w:sz w:val="24"/>
        </w:rPr>
        <w:t>)</w:t>
      </w:r>
    </w:p>
    <w:p>
      <w:pPr>
        <w:spacing w:after="110" w:line="257" w:lineRule="auto"/>
        <w:jc w:val="both"/>
      </w:pPr>
      <w:r>
        <w:rPr>
          <w:rFonts w:ascii="Times New Roman" w:hAnsi="Times New Roman" w:eastAsia="Times New Roman"/>
          <w:b w:val="0"/>
          <w:i w:val="0"/>
          <w:sz w:val="24"/>
        </w:rPr>
        <w:t>A positive D means transaction value grew faster than revenue; a negative D means revenue grew faster. Together, W, E, and D measure the size of the transaction-revenue boundary and how that boundary changes over time.</w:t>
      </w:r>
    </w:p>
    <w:p>
      <w:pPr>
        <w:pStyle w:val="Heading2"/>
        <w:keepNext/>
        <w:spacing w:before="140" w:after="60"/>
        <w:jc w:val="left"/>
      </w:pPr>
      <w:r>
        <w:rPr>
          <w:rFonts w:ascii="Times New Roman" w:hAnsi="Times New Roman" w:eastAsia="Times New Roman"/>
          <w:b/>
          <w:i w:val="0"/>
          <w:sz w:val="24"/>
        </w:rPr>
        <w:t>3.2 Hypotheses</w:t>
      </w:r>
    </w:p>
    <w:p>
      <w:pPr>
        <w:keepLines/>
        <w:spacing w:after="110" w:line="257" w:lineRule="auto"/>
        <w:jc w:val="both"/>
      </w:pPr>
      <w:r>
        <w:rPr>
          <w:rFonts w:ascii="Times New Roman" w:hAnsi="Times New Roman" w:eastAsia="Times New Roman"/>
          <w:b w:val="0"/>
          <w:i w:val="0"/>
          <w:sz w:val="24"/>
        </w:rPr>
        <w:t>The four hypotheses examine different layers of the same measurement problem. H1 tests the transaction-revenue boundary within platforms. H2 and H3 examine where activity and records outside platform revenue appear in national e-commerce evidence. H4 asks whether the different records ultimately produce different conclusions about digital economic activity. The evidence layers are analyzed separately, and none of the hypotheses is interpreted as a causal claim. Table 1 pairs each hypothesis with the evidence that tests it.</w:t>
      </w:r>
    </w:p>
    <w:p>
      <w:pPr>
        <w:keepNext/>
        <w:spacing w:after="110" w:line="257" w:lineRule="auto"/>
        <w:jc w:val="left"/>
      </w:pPr>
      <w:r>
        <w:rPr>
          <w:rFonts w:ascii="Times New Roman" w:hAnsi="Times New Roman" w:eastAsia="Times New Roman"/>
          <w:b/>
          <w:i w:val="0"/>
          <w:sz w:val="24"/>
        </w:rPr>
        <w:t>H1. Transaction value and platform revenue diverge materially within the same platform over time.</w:t>
      </w:r>
    </w:p>
    <w:p>
      <w:pPr>
        <w:spacing w:after="110" w:line="257" w:lineRule="auto"/>
        <w:jc w:val="both"/>
      </w:pPr>
      <w:r>
        <w:rPr>
          <w:rFonts w:ascii="Times New Roman" w:hAnsi="Times New Roman" w:eastAsia="Times New Roman"/>
          <w:b w:val="0"/>
          <w:i w:val="0"/>
          <w:sz w:val="24"/>
        </w:rPr>
        <w:t>If revenue were a stable proxy for the commerce processed by a platform, transaction value and revenue would move proportionally.</w:t>
      </w:r>
    </w:p>
    <w:p>
      <w:pPr>
        <w:keepNext/>
        <w:spacing w:after="110" w:line="257" w:lineRule="auto"/>
        <w:jc w:val="left"/>
      </w:pPr>
      <w:r>
        <w:rPr>
          <w:rFonts w:ascii="Times New Roman" w:hAnsi="Times New Roman" w:eastAsia="Times New Roman"/>
          <w:b/>
          <w:i w:val="0"/>
          <w:sz w:val="24"/>
        </w:rPr>
        <w:t>H2. Aggregate e-commerce growth partly reflects changes in the number of participating businesses rather than only changes in transaction value per business.</w:t>
      </w:r>
    </w:p>
    <w:p>
      <w:pPr>
        <w:spacing w:after="110" w:line="257" w:lineRule="auto"/>
        <w:jc w:val="both"/>
      </w:pPr>
      <w:r>
        <w:rPr>
          <w:rFonts w:ascii="Times New Roman" w:hAnsi="Times New Roman" w:eastAsia="Times New Roman"/>
          <w:b w:val="0"/>
          <w:i w:val="0"/>
          <w:sz w:val="24"/>
        </w:rPr>
        <w:t>This separates changes associated with wider business participation from changes in the average value observed per business.</w:t>
      </w:r>
    </w:p>
    <w:p>
      <w:pPr>
        <w:keepNext/>
        <w:spacing w:after="110" w:line="257" w:lineRule="auto"/>
        <w:jc w:val="left"/>
      </w:pPr>
      <w:r>
        <w:rPr>
          <w:rFonts w:ascii="Times New Roman" w:hAnsi="Times New Roman" w:eastAsia="Times New Roman"/>
          <w:b/>
          <w:i w:val="0"/>
          <w:sz w:val="24"/>
        </w:rPr>
        <w:t>H3. Marketplace participation is associated with stronger financial recordkeeping.</w:t>
      </w:r>
    </w:p>
    <w:p>
      <w:pPr>
        <w:spacing w:after="110" w:line="257" w:lineRule="auto"/>
        <w:jc w:val="both"/>
      </w:pPr>
      <w:r>
        <w:rPr>
          <w:rFonts w:ascii="Times New Roman" w:hAnsi="Times New Roman" w:eastAsia="Times New Roman"/>
          <w:b w:val="0"/>
          <w:i w:val="0"/>
          <w:sz w:val="24"/>
        </w:rPr>
        <w:t>Association does not imply that marketplace participation causes formalization.</w:t>
      </w:r>
    </w:p>
    <w:p>
      <w:pPr>
        <w:keepNext/>
        <w:spacing w:after="110" w:line="257" w:lineRule="auto"/>
        <w:jc w:val="left"/>
      </w:pPr>
      <w:r>
        <w:rPr>
          <w:rFonts w:ascii="Times New Roman" w:hAnsi="Times New Roman" w:eastAsia="Times New Roman"/>
          <w:b/>
          <w:i w:val="0"/>
          <w:sz w:val="24"/>
        </w:rPr>
        <w:t>H4. Measurement choices materially alter conclusions about the scale and growth of digital economic activity.</w:t>
      </w:r>
    </w:p>
    <w:p>
      <w:pPr>
        <w:keepNext/>
        <w:spacing w:before="80" w:after="70" w:line="240" w:lineRule="auto"/>
        <w:jc w:val="left"/>
      </w:pPr>
      <w:r>
        <w:rPr>
          <w:rFonts w:ascii="Times New Roman" w:hAnsi="Times New Roman" w:eastAsia="Times New Roman"/>
          <w:b/>
          <w:i/>
          <w:sz w:val="19"/>
        </w:rPr>
        <w:t>Table 1. Hypotheses and principal empirical tests.</w:t>
      </w:r>
    </w:p>
    <w:tbl>
      <w:tblPr>
        <w:tblStyle w:val="TableGrid"/>
        <w:tblW w:type="auto" w:w="0"/>
        <w:jc w:val="center"/>
        <w:tblLayout w:type="fixed"/>
      </w:tblPr>
      <w:tblGrid>
        <w:gridCol w:w="3300"/>
        <w:gridCol w:w="6247"/>
      </w:tblGrid>
      <w:tr>
        <w:trPr>
          <w:tblHeader w:val="true"/>
          <w:cantSplit/>
        </w:trPr>
        <w:tc>
          <w:tcPr>
            <w:vAlign w:val="top"/>
            <w:tcW w:w="33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Hypothesis</w:t>
            </w:r>
          </w:p>
        </w:tc>
        <w:tc>
          <w:tcPr>
            <w:vAlign w:val="top"/>
            <w:tcW w:w="62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Principal empirical test</w:t>
            </w:r>
          </w:p>
        </w:tc>
      </w:tr>
      <w:tr>
        <w:trPr>
          <w:cantSplit/>
        </w:trPr>
        <w:tc>
          <w:tcPr>
            <w:vAlign w:val="top"/>
            <w:tcW w:w="33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H1 - Transaction-revenue divergence</w:t>
            </w:r>
          </w:p>
        </w:tc>
        <w:tc>
          <w:tcPr>
            <w:vAlign w:val="top"/>
            <w:tcW w:w="62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Matched platform transaction value and revenue over time, the Ecosystem Ratio, and annual growth divergence</w:t>
            </w:r>
          </w:p>
        </w:tc>
      </w:tr>
      <w:tr>
        <w:trPr>
          <w:cantSplit/>
        </w:trPr>
        <w:tc>
          <w:tcPr>
            <w:vAlign w:val="top"/>
            <w:tcW w:w="33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H2 - Sources of e-commerce growth</w:t>
            </w:r>
          </w:p>
        </w:tc>
        <w:tc>
          <w:tcPr>
            <w:vAlign w:val="top"/>
            <w:tcW w:w="62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BPS national e-commerce value and business-count decomposition</w:t>
            </w:r>
          </w:p>
        </w:tc>
      </w:tr>
      <w:tr>
        <w:trPr>
          <w:cantSplit/>
        </w:trPr>
        <w:tc>
          <w:tcPr>
            <w:vAlign w:val="top"/>
            <w:tcW w:w="33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H3 - Marketplace participation and recordkeeping</w:t>
            </w:r>
          </w:p>
        </w:tc>
        <w:tc>
          <w:tcPr>
            <w:vAlign w:val="top"/>
            <w:tcW w:w="62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BPS published marketplace and financial-recordkeeping evidence</w:t>
            </w:r>
          </w:p>
        </w:tc>
      </w:tr>
      <w:tr>
        <w:trPr>
          <w:cantSplit/>
        </w:trPr>
        <w:tc>
          <w:tcPr>
            <w:vAlign w:val="top"/>
            <w:tcW w:w="33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H4 - Measurement choice</w:t>
            </w:r>
          </w:p>
        </w:tc>
        <w:tc>
          <w:tcPr>
            <w:vAlign w:val="top"/>
            <w:tcW w:w="62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Comparison of platform, national e-commerce, and payment records</w:t>
            </w:r>
          </w:p>
        </w:tc>
      </w:tr>
    </w:tbl>
    <w:p>
      <w:pPr>
        <w:spacing w:before="120" w:after="110" w:line="257" w:lineRule="auto"/>
        <w:jc w:val="both"/>
      </w:pPr>
      <w:r>
        <w:rPr>
          <w:rFonts w:ascii="Times New Roman" w:hAnsi="Times New Roman" w:eastAsia="Times New Roman"/>
          <w:b w:val="0"/>
          <w:i w:val="0"/>
          <w:sz w:val="24"/>
        </w:rPr>
        <w:t>The separate comparison of platform businesses outside Indonesia is used as corroboration rather than as a fifth hypothesis. Indonesia's marketplace reporting regime likewise remains an institutional application. Whether platform-held records become administratively linked to seller obligations requires post-implementation evidence and cannot be established from the legal framework alone.</w:t>
      </w:r>
    </w:p>
    <w:p>
      <w:pPr>
        <w:pStyle w:val="Heading1"/>
        <w:keepNext/>
        <w:spacing w:before="200" w:after="100"/>
        <w:jc w:val="left"/>
      </w:pPr>
      <w:r>
        <w:rPr>
          <w:rFonts w:ascii="Times New Roman" w:hAnsi="Times New Roman" w:eastAsia="Times New Roman"/>
          <w:b/>
          <w:i w:val="0"/>
          <w:sz w:val="24"/>
        </w:rPr>
        <w:t>4. Data and Methodology</w:t>
      </w:r>
    </w:p>
    <w:p>
      <w:pPr>
        <w:keepLines/>
        <w:spacing w:after="110" w:line="257" w:lineRule="auto"/>
        <w:jc w:val="both"/>
      </w:pPr>
      <w:r>
        <w:rPr>
          <w:rFonts w:ascii="Times New Roman" w:hAnsi="Times New Roman" w:eastAsia="Times New Roman"/>
          <w:b w:val="0"/>
          <w:i w:val="0"/>
          <w:sz w:val="24"/>
        </w:rPr>
        <w:t>The study uses several sources because no single record captures every part of digital platform activity. Platform reports provide transaction value and revenue; BPS-Statistics Indonesia provides national e-commerce and business evidence; Bank Indonesia provides payment statistics; and platform companies outside Indonesia provide a separate comparison. These sources answer different questions and are not combined into one dataset.</w:t>
      </w:r>
    </w:p>
    <w:p>
      <w:pPr>
        <w:pStyle w:val="Heading2"/>
        <w:keepNext/>
        <w:spacing w:before="140" w:after="60"/>
        <w:jc w:val="left"/>
      </w:pPr>
      <w:r>
        <w:rPr>
          <w:rFonts w:ascii="Times New Roman" w:hAnsi="Times New Roman" w:eastAsia="Times New Roman"/>
          <w:b/>
          <w:i w:val="0"/>
          <w:sz w:val="24"/>
        </w:rPr>
        <w:t>4.1 Selecting the Platform Evidence</w:t>
      </w:r>
    </w:p>
    <w:p>
      <w:pPr>
        <w:keepLines/>
        <w:spacing w:after="110" w:line="257" w:lineRule="auto"/>
        <w:jc w:val="both"/>
      </w:pPr>
      <w:r>
        <w:rPr>
          <w:rFonts w:ascii="Times New Roman" w:hAnsi="Times New Roman" w:eastAsia="Times New Roman"/>
          <w:b w:val="0"/>
          <w:i w:val="0"/>
          <w:sz w:val="24"/>
        </w:rPr>
        <w:t>The basic observation is one platform in one year, with transaction value and revenue referring to the same period and, as closely as possible, the same business activity.</w:t>
      </w:r>
    </w:p>
    <w:p>
      <w:pPr>
        <w:spacing w:after="110" w:line="257" w:lineRule="auto"/>
        <w:jc w:val="both"/>
      </w:pPr>
      <w:r>
        <w:rPr>
          <w:rFonts w:ascii="Times New Roman" w:hAnsi="Times New Roman" w:eastAsia="Times New Roman"/>
          <w:b w:val="0"/>
          <w:i w:val="0"/>
          <w:sz w:val="24"/>
        </w:rPr>
        <w:t>An observation is retained only when its period, geographic and business coverage, units, definitions, and source can be identified. Measures referring to different periods are excluded, while major changes in accounting definitions or business structure are recorded.</w:t>
      </w:r>
    </w:p>
    <w:p>
      <w:pPr>
        <w:keepNext/>
        <w:spacing w:before="80" w:after="70" w:line="240" w:lineRule="auto"/>
        <w:jc w:val="left"/>
      </w:pPr>
      <w:r>
        <w:rPr>
          <w:rFonts w:ascii="Times New Roman" w:hAnsi="Times New Roman" w:eastAsia="Times New Roman"/>
          <w:b/>
          <w:i/>
          <w:sz w:val="19"/>
        </w:rPr>
        <w:t>Table 2. Indonesian platform evidence.</w:t>
      </w:r>
    </w:p>
    <w:tbl>
      <w:tblPr>
        <w:tblStyle w:val="TableGrid"/>
        <w:tblW w:type="auto" w:w="0"/>
        <w:jc w:val="center"/>
        <w:tblLayout w:type="fixed"/>
      </w:tblPr>
      <w:tblGrid>
        <w:gridCol w:w="2700"/>
        <w:gridCol w:w="3100"/>
        <w:gridCol w:w="1300"/>
        <w:gridCol w:w="2447"/>
      </w:tblGrid>
      <w:tr>
        <w:trPr>
          <w:tblHeader w:val="true"/>
          <w:cantSplit/>
        </w:trPr>
        <w:tc>
          <w:tcPr>
            <w:vAlign w:val="top"/>
            <w:tcW w:w="27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Type of evidence</w:t>
            </w:r>
          </w:p>
        </w:tc>
        <w:tc>
          <w:tcPr>
            <w:vAlign w:val="top"/>
            <w:tcW w:w="31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Platforms</w:t>
            </w:r>
          </w:p>
        </w:tc>
        <w:tc>
          <w:tcPr>
            <w:vAlign w:val="top"/>
            <w:tcW w:w="13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Annual observations</w:t>
            </w:r>
          </w:p>
        </w:tc>
        <w:tc>
          <w:tcPr>
            <w:vAlign w:val="top"/>
            <w:tcW w:w="24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Role</w:t>
            </w:r>
          </w:p>
        </w:tc>
      </w:tr>
      <w:tr>
        <w:trPr>
          <w:cantSplit/>
        </w:trPr>
        <w:tc>
          <w:tcPr>
            <w:vAlign w:val="top"/>
            <w:tcW w:w="27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Direct Indonesia-aligned data</w:t>
            </w:r>
          </w:p>
        </w:tc>
        <w:tc>
          <w:tcPr>
            <w:vAlign w:val="top"/>
            <w:tcW w:w="31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Tokopedia e-commerce</w:t>
            </w:r>
          </w:p>
        </w:tc>
        <w:tc>
          <w:tcPr>
            <w:vAlign w:val="top"/>
            <w:tcW w:w="13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2</w:t>
            </w:r>
          </w:p>
        </w:tc>
        <w:tc>
          <w:tcPr>
            <w:vAlign w:val="top"/>
            <w:tcW w:w="24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Main direct anchor</w:t>
            </w:r>
          </w:p>
        </w:tc>
      </w:tr>
      <w:tr>
        <w:trPr>
          <w:cantSplit/>
        </w:trPr>
        <w:tc>
          <w:tcPr>
            <w:vAlign w:val="top"/>
            <w:tcW w:w="27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Company-reported data with broader scope</w:t>
            </w:r>
          </w:p>
        </w:tc>
        <w:tc>
          <w:tcPr>
            <w:vAlign w:val="top"/>
            <w:tcW w:w="31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Blibli third-party business; Bukalapak Group</w:t>
            </w:r>
          </w:p>
        </w:tc>
        <w:tc>
          <w:tcPr>
            <w:vAlign w:val="top"/>
            <w:tcW w:w="13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9</w:t>
            </w:r>
          </w:p>
        </w:tc>
        <w:tc>
          <w:tcPr>
            <w:vAlign w:val="top"/>
            <w:tcW w:w="24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Evidence through time with stated scope limits</w:t>
            </w:r>
          </w:p>
        </w:tc>
      </w:tr>
      <w:tr>
        <w:trPr>
          <w:cantSplit/>
        </w:trPr>
        <w:tc>
          <w:tcPr>
            <w:vAlign w:val="top"/>
            <w:tcW w:w="270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Indonesia estimates requiring construction</w:t>
            </w:r>
          </w:p>
        </w:tc>
        <w:tc>
          <w:tcPr>
            <w:vAlign w:val="top"/>
            <w:tcW w:w="310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Grab; Shopee Indonesia</w:t>
            </w:r>
          </w:p>
        </w:tc>
        <w:tc>
          <w:tcPr>
            <w:vAlign w:val="top"/>
            <w:tcW w:w="130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6</w:t>
            </w:r>
          </w:p>
        </w:tc>
        <w:tc>
          <w:tcPr>
            <w:vAlign w:val="top"/>
            <w:tcW w:w="2447"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Supporting country evidence</w:t>
            </w:r>
          </w:p>
        </w:tc>
      </w:tr>
    </w:tbl>
    <w:p>
      <w:pPr>
        <w:spacing w:before="120" w:after="110" w:line="257" w:lineRule="auto"/>
        <w:jc w:val="both"/>
      </w:pPr>
      <w:r>
        <w:rPr>
          <w:rFonts w:ascii="Times New Roman" w:hAnsi="Times New Roman" w:eastAsia="Times New Roman"/>
          <w:b w:val="0"/>
          <w:i w:val="0"/>
          <w:sz w:val="24"/>
        </w:rPr>
        <w:t>Table 2 groups the retained evidence by how directly it maps to Indonesia. An annual observation means one matched transaction-and-revenue pair for one platform in one year, and the 17 retained observations produce 12 year-to-year comparisons because the same platforms are not available in every year.</w:t>
      </w:r>
    </w:p>
    <w:p>
      <w:pPr>
        <w:spacing w:after="110" w:line="257" w:lineRule="auto"/>
        <w:jc w:val="both"/>
      </w:pPr>
      <w:r>
        <w:rPr>
          <w:rFonts w:ascii="Times New Roman" w:hAnsi="Times New Roman" w:eastAsia="Times New Roman"/>
          <w:b w:val="0"/>
          <w:i w:val="0"/>
          <w:sz w:val="24"/>
        </w:rPr>
        <w:t>Tokopedia is closely aligned with Indonesia but is not a literal country line. Blibli includes online travel, Bukalapak includes some overseas activity, and Grab and Shopee require additional construction.</w:t>
      </w:r>
    </w:p>
    <w:p>
      <w:pPr>
        <w:pStyle w:val="Heading2"/>
        <w:keepNext/>
        <w:spacing w:before="140" w:after="60"/>
        <w:jc w:val="left"/>
      </w:pPr>
      <w:r>
        <w:rPr>
          <w:rFonts w:ascii="Times New Roman" w:hAnsi="Times New Roman" w:eastAsia="Times New Roman"/>
          <w:b/>
          <w:i w:val="0"/>
          <w:sz w:val="24"/>
        </w:rPr>
        <w:t>4.2 Comparing Platform Activity Through Time</w:t>
      </w:r>
    </w:p>
    <w:p>
      <w:pPr>
        <w:keepLines/>
        <w:spacing w:after="110" w:line="257" w:lineRule="auto"/>
        <w:jc w:val="both"/>
      </w:pPr>
      <w:r>
        <w:rPr>
          <w:rFonts w:ascii="Times New Roman" w:hAnsi="Times New Roman" w:eastAsia="Times New Roman"/>
          <w:b w:val="0"/>
          <w:i w:val="0"/>
          <w:sz w:val="24"/>
        </w:rPr>
        <w:t>Changes through time are examined mainly by comparing each platform with itself. This keeps the company, business activity, and reporting convention as similar as the disclosures allow.</w:t>
      </w:r>
    </w:p>
    <w:p>
      <w:pPr>
        <w:spacing w:after="110" w:line="257" w:lineRule="auto"/>
        <w:jc w:val="both"/>
      </w:pPr>
      <w:r>
        <w:rPr>
          <w:rFonts w:ascii="Times New Roman" w:hAnsi="Times New Roman" w:eastAsia="Times New Roman"/>
          <w:b w:val="0"/>
          <w:i w:val="0"/>
          <w:sz w:val="24"/>
        </w:rPr>
        <w:t>When transaction value and revenue move sharply apart, disclosed changes in monetization, customer incentives, revenue recognition, and business scope are used to reconcile the movement where the filings permit. These reconciliations are arithmetic accounting explanations rather than estimates of causal effects.</w:t>
      </w:r>
    </w:p>
    <w:p>
      <w:pPr>
        <w:spacing w:after="110" w:line="257" w:lineRule="auto"/>
        <w:jc w:val="both"/>
      </w:pPr>
      <w:r>
        <w:rPr>
          <w:rFonts w:ascii="Times New Roman" w:hAnsi="Times New Roman" w:eastAsia="Times New Roman"/>
          <w:b w:val="0"/>
          <w:i w:val="0"/>
          <w:sz w:val="24"/>
        </w:rPr>
        <w:t>Companies use different names for transaction activity, including gross transaction value (GTV), gross merchandise value (GMV), and total payment volume (TPV). Transaction value, V, is the umbrella concept in this proposal and GTV is the label used for it, while each issuer's own label and definition are retained and checked rather than assumed to be identical.</w:t>
      </w:r>
      <w:r>
        <w:rPr>
          <w:rFonts w:ascii="Times New Roman" w:hAnsi="Times New Roman" w:eastAsia="Times New Roman"/>
          <w:sz w:val="24"/>
          <w:vertAlign w:val="superscript"/>
        </w:rPr>
        <w:footnoteReference w:id="2"/>
      </w:r>
    </w:p>
    <w:p>
      <w:pPr>
        <w:spacing w:after="110" w:line="257" w:lineRule="auto"/>
        <w:jc w:val="both"/>
      </w:pPr>
      <w:r>
        <w:rPr>
          <w:rFonts w:ascii="Times New Roman" w:hAnsi="Times New Roman" w:eastAsia="Times New Roman"/>
          <w:b w:val="0"/>
          <w:i w:val="0"/>
          <w:sz w:val="24"/>
        </w:rPr>
        <w:t>A separate comparison uses the 2023 fiscal year (FY2023) because it provides the most useful common year across the principal platform cases. It shows the scale of the transaction-revenue difference among the selected cases, not the size of Indonesia's entire digital economy. Market-share estimates describe transaction-value coverage only, not wider representativeness.</w:t>
      </w:r>
    </w:p>
    <w:p>
      <w:pPr>
        <w:pStyle w:val="Heading2"/>
        <w:keepNext/>
        <w:spacing w:before="140" w:after="60"/>
        <w:jc w:val="left"/>
      </w:pPr>
      <w:r>
        <w:rPr>
          <w:rFonts w:ascii="Times New Roman" w:hAnsi="Times New Roman" w:eastAsia="Times New Roman"/>
          <w:b/>
          <w:i w:val="0"/>
          <w:sz w:val="24"/>
        </w:rPr>
        <w:t>4.3 Direct and Constructed Indonesia Measures</w:t>
      </w:r>
    </w:p>
    <w:p>
      <w:pPr>
        <w:keepLines/>
        <w:spacing w:after="110" w:line="257" w:lineRule="auto"/>
        <w:jc w:val="both"/>
      </w:pPr>
      <w:r>
        <w:rPr>
          <w:rFonts w:ascii="Times New Roman" w:hAnsi="Times New Roman" w:eastAsia="Times New Roman"/>
          <w:b w:val="0"/>
          <w:i w:val="0"/>
          <w:sz w:val="24"/>
        </w:rPr>
        <w:t>Not every company reports the same Indonesia-specific information. Table 3 sets out, for each platform, what is disclosed directly, what has to be constructed, and the limitation that follows.</w:t>
      </w:r>
    </w:p>
    <w:p>
      <w:pPr>
        <w:keepNext/>
        <w:spacing w:before="80" w:after="70" w:line="240" w:lineRule="auto"/>
        <w:jc w:val="left"/>
      </w:pPr>
      <w:r>
        <w:rPr>
          <w:rFonts w:ascii="Times New Roman" w:hAnsi="Times New Roman" w:eastAsia="Times New Roman"/>
          <w:b/>
          <w:i/>
          <w:sz w:val="19"/>
        </w:rPr>
        <w:t>Table 3. Construction of the principal platform measures.</w:t>
      </w:r>
    </w:p>
    <w:tbl>
      <w:tblPr>
        <w:tblStyle w:val="TableGrid"/>
        <w:tblW w:type="auto" w:w="0"/>
        <w:jc w:val="center"/>
        <w:tblLayout w:type="fixed"/>
      </w:tblPr>
      <w:tblGrid>
        <w:gridCol w:w="1500"/>
        <w:gridCol w:w="2700"/>
        <w:gridCol w:w="2800"/>
        <w:gridCol w:w="2547"/>
      </w:tblGrid>
      <w:tr>
        <w:trPr>
          <w:tblHeader w:val="true"/>
          <w:cantSplit/>
        </w:trPr>
        <w:tc>
          <w:tcPr>
            <w:vAlign w:val="top"/>
            <w:tcW w:w="1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Platform</w:t>
            </w:r>
          </w:p>
        </w:tc>
        <w:tc>
          <w:tcPr>
            <w:vAlign w:val="top"/>
            <w:tcW w:w="27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Directly available</w:t>
            </w:r>
          </w:p>
        </w:tc>
        <w:tc>
          <w:tcPr>
            <w:vAlign w:val="top"/>
            <w:tcW w:w="28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Constructed or external input</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Main limitation</w:t>
            </w:r>
          </w:p>
        </w:tc>
      </w:tr>
      <w:tr>
        <w:trPr>
          <w:cantSplit/>
        </w:trPr>
        <w:tc>
          <w:tcPr>
            <w:vAlign w:val="top"/>
            <w:tcW w:w="1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Tokopedia</w:t>
            </w:r>
          </w:p>
        </w:tc>
        <w:tc>
          <w:tcPr>
            <w:vAlign w:val="top"/>
            <w:tcW w:w="27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E-commerce transaction value and segment revenue</w:t>
            </w:r>
          </w:p>
        </w:tc>
        <w:tc>
          <w:tcPr>
            <w:vAlign w:val="top"/>
            <w:tcW w:w="28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None for matched pair</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Indonesia-aligned segment, not literal country line</w:t>
            </w:r>
          </w:p>
        </w:tc>
      </w:tr>
      <w:tr>
        <w:trPr>
          <w:cantSplit/>
        </w:trPr>
        <w:tc>
          <w:tcPr>
            <w:vAlign w:val="top"/>
            <w:tcW w:w="1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Grab</w:t>
            </w:r>
          </w:p>
        </w:tc>
        <w:tc>
          <w:tcPr>
            <w:vAlign w:val="top"/>
            <w:tcW w:w="27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Indonesia revenue; Group revenue and GTV</w:t>
            </w:r>
          </w:p>
        </w:tc>
        <w:tc>
          <w:tcPr>
            <w:vAlign w:val="top"/>
            <w:tcW w:w="28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Indonesia GTV derived from Group figures</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Assumes Group revenue-to-GTV relationship applies to Indonesia</w:t>
            </w:r>
          </w:p>
        </w:tc>
      </w:tr>
      <w:tr>
        <w:trPr>
          <w:cantSplit/>
        </w:trPr>
        <w:tc>
          <w:tcPr>
            <w:vAlign w:val="top"/>
            <w:tcW w:w="1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Shopee</w:t>
            </w:r>
          </w:p>
        </w:tc>
        <w:tc>
          <w:tcPr>
            <w:vAlign w:val="top"/>
            <w:tcW w:w="27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Group service monetization rate</w:t>
            </w:r>
          </w:p>
        </w:tc>
        <w:tc>
          <w:tcPr>
            <w:vAlign w:val="top"/>
            <w:tcW w:w="28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External Indonesia transaction estimate; Indonesia revenue derived</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Country measures are not independent disclosures</w:t>
            </w:r>
          </w:p>
        </w:tc>
      </w:tr>
      <w:tr>
        <w:trPr>
          <w:cantSplit/>
        </w:trPr>
        <w:tc>
          <w:tcPr>
            <w:vAlign w:val="top"/>
            <w:tcW w:w="15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Blibli / Bukalapak</w:t>
            </w:r>
          </w:p>
        </w:tc>
        <w:tc>
          <w:tcPr>
            <w:vAlign w:val="top"/>
            <w:tcW w:w="27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Reported transaction and revenue pairs</w:t>
            </w:r>
          </w:p>
        </w:tc>
        <w:tc>
          <w:tcPr>
            <w:vAlign w:val="top"/>
            <w:tcW w:w="28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None for retained pairs</w:t>
            </w:r>
          </w:p>
        </w:tc>
        <w:tc>
          <w:tcPr>
            <w:vAlign w:val="top"/>
            <w:tcW w:w="25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Scope extends beyond Indonesia alone</w:t>
            </w:r>
          </w:p>
        </w:tc>
      </w:tr>
    </w:tbl>
    <w:p>
      <w:pPr>
        <w:spacing w:before="120" w:after="110" w:line="257" w:lineRule="auto"/>
        <w:jc w:val="both"/>
      </w:pPr>
      <w:r>
        <w:rPr>
          <w:rFonts w:ascii="Times New Roman" w:hAnsi="Times New Roman" w:eastAsia="Times New Roman"/>
          <w:b w:val="0"/>
          <w:i w:val="0"/>
          <w:sz w:val="24"/>
        </w:rPr>
        <w:t>Grab reports Indonesian revenue directly but not Indonesian transaction value. Indonesian GTV is therefore estimated as:</w:t>
      </w:r>
    </w:p>
    <w:p>
      <w:pPr>
        <w:keepNext/>
        <w:spacing w:before="60" w:after="110" w:line="257" w:lineRule="auto"/>
        <w:jc w:val="center"/>
      </w:pPr>
      <w:r>
        <w:rPr>
          <w:rFonts w:ascii="Times New Roman" w:hAnsi="Times New Roman" w:eastAsia="Times New Roman"/>
          <w:b w:val="0"/>
          <w:i/>
          <w:sz w:val="24"/>
        </w:rPr>
        <w:t>Indonesia GTV = Indonesia revenue × Group GTV / Group revenue</w:t>
      </w:r>
    </w:p>
    <w:p>
      <w:pPr>
        <w:spacing w:after="110" w:line="257" w:lineRule="auto"/>
        <w:jc w:val="both"/>
      </w:pPr>
      <w:r>
        <w:rPr>
          <w:rFonts w:ascii="Times New Roman" w:hAnsi="Times New Roman" w:eastAsia="Times New Roman"/>
          <w:b w:val="0"/>
          <w:i w:val="0"/>
          <w:sz w:val="24"/>
        </w:rPr>
        <w:t>The Group monetization rate is platform revenue divided by gross transaction value, and the result is treated as a reconstruction rather than a direct disclosure.</w:t>
      </w:r>
    </w:p>
    <w:p>
      <w:pPr>
        <w:spacing w:after="110" w:line="257" w:lineRule="auto"/>
        <w:jc w:val="both"/>
      </w:pPr>
      <w:r>
        <w:rPr>
          <w:rFonts w:ascii="Times New Roman" w:hAnsi="Times New Roman" w:eastAsia="Times New Roman"/>
          <w:b w:val="0"/>
          <w:i w:val="0"/>
          <w:sz w:val="24"/>
        </w:rPr>
        <w:t>Sea Limited does not report Shopee transaction value separately for Indonesia. Indonesian transaction value is taken from Momentum Works, a Singapore-based industry research firm whose annual Southeast Asian e-commerce report is widely cited for country-level platform transaction estimates. It is used because no issuer discloses Shopee's Indonesian transaction value, it is labeled as a third-party estimate wherever it appears, and Indonesian revenue is then estimated using Sea's Group service monetization rate:</w:t>
      </w:r>
    </w:p>
    <w:p>
      <w:pPr>
        <w:keepNext/>
        <w:spacing w:before="60" w:after="110" w:line="257" w:lineRule="auto"/>
        <w:jc w:val="center"/>
      </w:pPr>
      <w:r>
        <w:rPr>
          <w:rFonts w:ascii="Times New Roman" w:hAnsi="Times New Roman" w:eastAsia="Times New Roman"/>
          <w:b w:val="0"/>
          <w:i/>
          <w:sz w:val="24"/>
        </w:rPr>
        <w:t>Indonesia revenue = Indonesia transaction value × Group monetization rate</w:t>
      </w:r>
    </w:p>
    <w:p>
      <w:pPr>
        <w:spacing w:after="110" w:line="257" w:lineRule="auto"/>
        <w:jc w:val="both"/>
      </w:pPr>
      <w:r>
        <w:rPr>
          <w:rFonts w:ascii="Times New Roman" w:hAnsi="Times New Roman" w:eastAsia="Times New Roman"/>
          <w:b w:val="0"/>
          <w:i w:val="0"/>
          <w:sz w:val="24"/>
        </w:rPr>
        <w:t>Both constructions remain explicitly labeled wherever they are used.</w:t>
      </w:r>
    </w:p>
    <w:p>
      <w:pPr>
        <w:pStyle w:val="Heading2"/>
        <w:keepNext/>
        <w:spacing w:before="140" w:after="60"/>
        <w:jc w:val="left"/>
      </w:pPr>
      <w:r>
        <w:rPr>
          <w:rFonts w:ascii="Times New Roman" w:hAnsi="Times New Roman" w:eastAsia="Times New Roman"/>
          <w:b/>
          <w:i w:val="0"/>
          <w:sz w:val="24"/>
        </w:rPr>
        <w:t>4.4 Evidence Beyond Platform Accounts</w:t>
      </w:r>
    </w:p>
    <w:p>
      <w:pPr>
        <w:keepNext/>
        <w:keepLines/>
        <w:spacing w:before="80" w:after="70" w:line="240" w:lineRule="auto"/>
        <w:jc w:val="left"/>
      </w:pPr>
      <w:r>
        <w:rPr>
          <w:rFonts w:ascii="Times New Roman" w:hAnsi="Times New Roman" w:eastAsia="Times New Roman"/>
          <w:b/>
          <w:i/>
          <w:sz w:val="19"/>
        </w:rPr>
        <w:t>Table 4. Evidence modules and their role.</w:t>
      </w:r>
    </w:p>
    <w:tbl>
      <w:tblPr>
        <w:tblStyle w:val="TableGrid"/>
        <w:tblW w:type="auto" w:w="0"/>
        <w:jc w:val="center"/>
        <w:tblLayout w:type="fixed"/>
      </w:tblPr>
      <w:tblGrid>
        <w:gridCol w:w="2600"/>
        <w:gridCol w:w="3600"/>
        <w:gridCol w:w="3347"/>
      </w:tblGrid>
      <w:tr>
        <w:trPr>
          <w:tblHeader w:val="true"/>
          <w:cantSplit/>
        </w:trPr>
        <w:tc>
          <w:tcPr>
            <w:vAlign w:val="top"/>
            <w:tcW w:w="2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Evidence source</w:t>
            </w:r>
          </w:p>
        </w:tc>
        <w:tc>
          <w:tcPr>
            <w:vAlign w:val="top"/>
            <w:tcW w:w="3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What is observed</w:t>
            </w:r>
          </w:p>
        </w:tc>
        <w:tc>
          <w:tcPr>
            <w:vAlign w:val="top"/>
            <w:tcW w:w="33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Role</w:t>
            </w:r>
          </w:p>
        </w:tc>
      </w:tr>
      <w:tr>
        <w:trPr>
          <w:cantSplit/>
        </w:trPr>
        <w:tc>
          <w:tcPr>
            <w:vAlign w:val="top"/>
            <w:tcW w:w="2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Indonesian platform histories</w:t>
            </w:r>
          </w:p>
        </w:tc>
        <w:tc>
          <w:tcPr>
            <w:vAlign w:val="top"/>
            <w:tcW w:w="3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Transaction value and revenue through time</w:t>
            </w:r>
          </w:p>
        </w:tc>
        <w:tc>
          <w:tcPr>
            <w:vAlign w:val="top"/>
            <w:tcW w:w="33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Measure the wedge and its movement</w:t>
            </w:r>
          </w:p>
        </w:tc>
      </w:tr>
      <w:tr>
        <w:trPr>
          <w:cantSplit/>
        </w:trPr>
        <w:tc>
          <w:tcPr>
            <w:vAlign w:val="top"/>
            <w:tcW w:w="2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BPS national e-commerce statistics</w:t>
            </w:r>
          </w:p>
        </w:tc>
        <w:tc>
          <w:tcPr>
            <w:vAlign w:val="top"/>
            <w:tcW w:w="3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National transaction value and estimated number of businesses</w:t>
            </w:r>
          </w:p>
        </w:tc>
        <w:tc>
          <w:tcPr>
            <w:vAlign w:val="top"/>
            <w:tcW w:w="33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Examine sources of aggregate growth</w:t>
            </w:r>
          </w:p>
        </w:tc>
      </w:tr>
      <w:tr>
        <w:trPr>
          <w:cantSplit/>
        </w:trPr>
        <w:tc>
          <w:tcPr>
            <w:vAlign w:val="top"/>
            <w:tcW w:w="2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BPS marketplace study</w:t>
            </w:r>
          </w:p>
        </w:tc>
        <w:tc>
          <w:tcPr>
            <w:vAlign w:val="top"/>
            <w:tcW w:w="3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Business-level marketplace and recordkeeping evidence</w:t>
            </w:r>
          </w:p>
        </w:tc>
        <w:tc>
          <w:tcPr>
            <w:vAlign w:val="top"/>
            <w:tcW w:w="33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Examine the association with financial recordkeeping</w:t>
            </w:r>
          </w:p>
        </w:tc>
      </w:tr>
      <w:tr>
        <w:trPr>
          <w:cantSplit/>
        </w:trPr>
        <w:tc>
          <w:tcPr>
            <w:vAlign w:val="top"/>
            <w:tcW w:w="2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Bank Indonesia</w:t>
            </w:r>
          </w:p>
        </w:tc>
        <w:tc>
          <w:tcPr>
            <w:vAlign w:val="top"/>
            <w:tcW w:w="3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Digital-payment measures</w:t>
            </w:r>
          </w:p>
        </w:tc>
        <w:tc>
          <w:tcPr>
            <w:vAlign w:val="top"/>
            <w:tcW w:w="33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Compare payment growth with e-commerce growth</w:t>
            </w:r>
          </w:p>
        </w:tc>
      </w:tr>
      <w:tr>
        <w:trPr>
          <w:cantSplit/>
        </w:trPr>
        <w:tc>
          <w:tcPr>
            <w:vAlign w:val="top"/>
            <w:tcW w:w="26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Platform companies outside Indonesia</w:t>
            </w:r>
          </w:p>
        </w:tc>
        <w:tc>
          <w:tcPr>
            <w:vAlign w:val="top"/>
            <w:tcW w:w="36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Matched transaction and revenue measures</w:t>
            </w:r>
          </w:p>
        </w:tc>
        <w:tc>
          <w:tcPr>
            <w:vAlign w:val="top"/>
            <w:tcW w:w="33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Test whether the same boundary appears elsewhere</w:t>
            </w:r>
          </w:p>
        </w:tc>
      </w:tr>
    </w:tbl>
    <w:p>
      <w:pPr>
        <w:keepLines/>
        <w:spacing w:before="120" w:after="110" w:line="257" w:lineRule="auto"/>
        <w:jc w:val="both"/>
      </w:pPr>
      <w:r>
        <w:rPr>
          <w:rFonts w:ascii="Times New Roman" w:hAnsi="Times New Roman" w:eastAsia="Times New Roman"/>
          <w:b w:val="0"/>
          <w:i w:val="0"/>
          <w:sz w:val="24"/>
        </w:rPr>
        <w:t>Table 4 gives each source a single role. The modules answer different questions, so they are reported separately rather than pooled into one estimate.</w:t>
      </w:r>
    </w:p>
    <w:p>
      <w:pPr>
        <w:spacing w:after="110" w:line="257" w:lineRule="auto"/>
        <w:jc w:val="both"/>
      </w:pPr>
      <w:r>
        <w:rPr>
          <w:rFonts w:ascii="Times New Roman" w:hAnsi="Times New Roman" w:eastAsia="Times New Roman"/>
          <w:b w:val="0"/>
          <w:i w:val="0"/>
          <w:sz w:val="24"/>
        </w:rPr>
        <w:t>For H2, national e-commerce value is expressed as:</w:t>
      </w:r>
    </w:p>
    <w:p>
      <w:pPr>
        <w:keepNext/>
        <w:spacing w:before="60" w:after="110" w:line="257" w:lineRule="auto"/>
        <w:jc w:val="center"/>
      </w:pPr>
      <w:r>
        <w:rPr>
          <w:rFonts w:ascii="Times New Roman" w:hAnsi="Times New Roman" w:eastAsia="Times New Roman"/>
          <w:b w:val="0"/>
          <w:i/>
          <w:sz w:val="24"/>
        </w:rPr>
        <w:t>V = N × A</w:t>
      </w:r>
    </w:p>
    <w:p>
      <w:pPr>
        <w:spacing w:after="110" w:line="257" w:lineRule="auto"/>
        <w:jc w:val="both"/>
      </w:pPr>
      <w:r>
        <w:rPr>
          <w:rFonts w:ascii="Times New Roman" w:hAnsi="Times New Roman" w:eastAsia="Times New Roman"/>
          <w:b w:val="0"/>
          <w:i w:val="0"/>
          <w:sz w:val="24"/>
        </w:rPr>
        <w:t>where N is the estimated number of e-commerce businesses and A is implied nominal transaction value per business. Changes in total value are divided arithmetically between the business-count and value-per-business components. This does not identify causal entry, productivity, or growth among continuing firms. A conflicting published 2023 business count is retained as a sensitivity check.</w:t>
      </w:r>
    </w:p>
    <w:p>
      <w:pPr>
        <w:spacing w:after="110" w:line="257" w:lineRule="auto"/>
        <w:jc w:val="both"/>
      </w:pPr>
      <w:r>
        <w:rPr>
          <w:rFonts w:ascii="Times New Roman" w:hAnsi="Times New Roman" w:eastAsia="Times New Roman"/>
          <w:b w:val="0"/>
          <w:i w:val="0"/>
          <w:sz w:val="24"/>
        </w:rPr>
        <w:t>For H3, BPS's published business-level evidence is used to examine the association between marketplace participation and financial recordkeeping. Province-level correlations are supporting diagnostics only.</w:t>
      </w:r>
    </w:p>
    <w:p>
      <w:pPr>
        <w:spacing w:after="110" w:line="257" w:lineRule="auto"/>
        <w:jc w:val="both"/>
      </w:pPr>
      <w:r>
        <w:rPr>
          <w:rFonts w:ascii="Times New Roman" w:hAnsi="Times New Roman" w:eastAsia="Times New Roman"/>
          <w:b w:val="0"/>
          <w:i w:val="0"/>
          <w:sz w:val="24"/>
        </w:rPr>
        <w:t>Bank Indonesia payment measures provide a separate comparison for H4. They are compared with e-commerce growth but are not treated as sales estimates or added to platform or BPS transaction values.</w:t>
      </w:r>
    </w:p>
    <w:p>
      <w:pPr>
        <w:pStyle w:val="Heading2"/>
        <w:keepNext/>
        <w:spacing w:before="140" w:after="60"/>
        <w:jc w:val="left"/>
      </w:pPr>
      <w:r>
        <w:rPr>
          <w:rFonts w:ascii="Times New Roman" w:hAnsi="Times New Roman" w:eastAsia="Times New Roman"/>
          <w:b/>
          <w:i w:val="0"/>
          <w:sz w:val="24"/>
        </w:rPr>
        <w:t>4.5 External Evidence and Robustness</w:t>
      </w:r>
    </w:p>
    <w:p>
      <w:pPr>
        <w:keepLines/>
        <w:spacing w:after="110" w:line="257" w:lineRule="auto"/>
        <w:jc w:val="both"/>
      </w:pPr>
      <w:r>
        <w:rPr>
          <w:rFonts w:ascii="Times New Roman" w:hAnsi="Times New Roman" w:eastAsia="Times New Roman"/>
          <w:b w:val="0"/>
          <w:i w:val="0"/>
          <w:sz w:val="24"/>
        </w:rPr>
        <w:t>The external comparison contains 48 matched annual transaction-and-revenue observations from eight platform businesses covering 2017-2025. It tests whether the same transaction-revenue boundary appears under other business models; it is not a representative sample of global e-commerce and does not enlarge the Indonesian sample.</w:t>
      </w:r>
    </w:p>
    <w:p>
      <w:pPr>
        <w:spacing w:after="110" w:line="257" w:lineRule="auto"/>
        <w:jc w:val="both"/>
      </w:pPr>
      <w:r>
        <w:rPr>
          <w:rFonts w:ascii="Times New Roman" w:hAnsi="Times New Roman" w:eastAsia="Times New Roman"/>
          <w:b w:val="0"/>
          <w:i w:val="0"/>
          <w:sz w:val="24"/>
        </w:rPr>
        <w:t>Robustness checks vary admission rules, revenue definitions, publication versions, and assumptions used in reconstructed country measures. The resulting ranges are treated as sensitivity or scenario ranges rather than statistical confidence intervals.</w:t>
      </w:r>
    </w:p>
    <w:p>
      <w:pPr>
        <w:pStyle w:val="Heading1"/>
        <w:keepNext/>
        <w:spacing w:before="200" w:after="100"/>
        <w:jc w:val="left"/>
      </w:pPr>
      <w:r>
        <w:rPr>
          <w:rFonts w:ascii="Times New Roman" w:hAnsi="Times New Roman" w:eastAsia="Times New Roman"/>
          <w:b/>
          <w:i w:val="0"/>
          <w:sz w:val="24"/>
        </w:rPr>
        <w:t>5. Preliminary Evidence and Feasibility</w:t>
      </w:r>
    </w:p>
    <w:p>
      <w:pPr>
        <w:keepLines/>
        <w:spacing w:after="110" w:line="257" w:lineRule="auto"/>
        <w:jc w:val="both"/>
      </w:pPr>
      <w:r>
        <w:rPr>
          <w:rFonts w:ascii="Times New Roman" w:hAnsi="Times New Roman" w:eastAsia="Times New Roman"/>
          <w:b w:val="0"/>
          <w:i w:val="0"/>
          <w:sz w:val="24"/>
        </w:rPr>
        <w:t>The evidence assembled so far is sufficient to establish that the proposed comparisons can be carried out and that the choice of measurement produces economically meaningful differences. The preliminary results first show the scale and movement of the transaction-revenue boundary, then examine whether the wider Indonesian evidence tells the same story.</w:t>
      </w:r>
    </w:p>
    <w:p>
      <w:pPr>
        <w:pStyle w:val="Heading2"/>
        <w:keepNext/>
        <w:spacing w:before="140" w:after="60"/>
        <w:jc w:val="left"/>
      </w:pPr>
      <w:r>
        <w:rPr>
          <w:rFonts w:ascii="Times New Roman" w:hAnsi="Times New Roman" w:eastAsia="Times New Roman"/>
          <w:b/>
          <w:i w:val="0"/>
          <w:sz w:val="24"/>
        </w:rPr>
        <w:t>5.1 Platform Scale and Movement</w:t>
      </w:r>
    </w:p>
    <w:p>
      <w:pPr>
        <w:keepNext/>
        <w:keepLines/>
        <w:spacing w:after="110" w:line="257" w:lineRule="auto"/>
        <w:jc w:val="both"/>
      </w:pPr>
      <w:r>
        <w:rPr>
          <w:rFonts w:ascii="Times New Roman" w:hAnsi="Times New Roman" w:eastAsia="Times New Roman"/>
          <w:b w:val="0"/>
          <w:i w:val="0"/>
          <w:sz w:val="24"/>
        </w:rPr>
        <w:t>The 2023 fiscal year provides a common comparison across Grab, Tokopedia, and Shopee.</w:t>
      </w:r>
    </w:p>
    <w:p>
      <w:pPr>
        <w:keepNext/>
        <w:keepLines/>
        <w:spacing w:before="80" w:after="70" w:line="240" w:lineRule="auto"/>
        <w:jc w:val="left"/>
      </w:pPr>
      <w:r>
        <w:rPr>
          <w:rFonts w:ascii="Times New Roman" w:hAnsi="Times New Roman" w:eastAsia="Times New Roman"/>
          <w:b/>
          <w:i/>
          <w:sz w:val="19"/>
        </w:rPr>
        <w:t>Table 5. Indonesia-focused 2023 platform comparison, US$ billions.</w:t>
      </w:r>
    </w:p>
    <w:tbl>
      <w:tblPr>
        <w:tblStyle w:val="TableGrid"/>
        <w:tblW w:type="auto" w:w="0"/>
        <w:jc w:val="center"/>
        <w:tblLayout w:type="fixed"/>
      </w:tblPr>
      <w:tblGrid>
        <w:gridCol w:w="2000"/>
        <w:gridCol w:w="1250"/>
        <w:gridCol w:w="1050"/>
        <w:gridCol w:w="1050"/>
        <w:gridCol w:w="1250"/>
        <w:gridCol w:w="2947"/>
      </w:tblGrid>
      <w:tr>
        <w:trPr>
          <w:tblHeader w:val="true"/>
          <w:cantSplit/>
        </w:trPr>
        <w:tc>
          <w:tcPr>
            <w:vAlign w:val="top"/>
            <w:tcW w:w="20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Case</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Transaction value V</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Revenue R</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Wedge W</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Ecosystem Ratio E</w:t>
            </w:r>
          </w:p>
        </w:tc>
        <w:tc>
          <w:tcPr>
            <w:vAlign w:val="top"/>
            <w:tcW w:w="29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Evidence</w:t>
            </w:r>
          </w:p>
        </w:tc>
      </w:tr>
      <w:tr>
        <w:trPr>
          <w:cantSplit/>
        </w:trPr>
        <w:tc>
          <w:tcPr>
            <w:vAlign w:val="top"/>
            <w:tcW w:w="20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Grab Indonesia</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5.381</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0.605</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4.776</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7.895x</w:t>
            </w:r>
          </w:p>
        </w:tc>
        <w:tc>
          <w:tcPr>
            <w:vAlign w:val="top"/>
            <w:tcW w:w="29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Transaction value reconstructed</w:t>
            </w:r>
          </w:p>
        </w:tc>
      </w:tr>
      <w:tr>
        <w:trPr>
          <w:cantSplit/>
        </w:trPr>
        <w:tc>
          <w:tcPr>
            <w:vAlign w:val="top"/>
            <w:tcW w:w="20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Tokopedia</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16.331</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0.405</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15.926</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39.296x</w:t>
            </w:r>
          </w:p>
        </w:tc>
        <w:tc>
          <w:tcPr>
            <w:vAlign w:val="top"/>
            <w:tcW w:w="29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Direct matched pair</w:t>
            </w:r>
          </w:p>
        </w:tc>
      </w:tr>
      <w:tr>
        <w:trPr>
          <w:cantSplit/>
        </w:trPr>
        <w:tc>
          <w:tcPr>
            <w:vAlign w:val="top"/>
            <w:tcW w:w="20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Shopee Indonesia</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21.520</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2.152</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19.368</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9.000x</w:t>
            </w:r>
          </w:p>
        </w:tc>
        <w:tc>
          <w:tcPr>
            <w:vAlign w:val="top"/>
            <w:tcW w:w="29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Transaction value and revenue estimated</w:t>
            </w:r>
          </w:p>
        </w:tc>
      </w:tr>
      <w:tr>
        <w:trPr>
          <w:cantSplit/>
        </w:trPr>
        <w:tc>
          <w:tcPr>
            <w:vAlign w:val="top"/>
            <w:tcW w:w="200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Selected cases</w:t>
            </w:r>
          </w:p>
        </w:tc>
        <w:tc>
          <w:tcPr>
            <w:vAlign w:val="top"/>
            <w:tcW w:w="125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43.233</w:t>
            </w:r>
          </w:p>
        </w:tc>
        <w:tc>
          <w:tcPr>
            <w:vAlign w:val="top"/>
            <w:tcW w:w="105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3.162</w:t>
            </w:r>
          </w:p>
        </w:tc>
        <w:tc>
          <w:tcPr>
            <w:vAlign w:val="top"/>
            <w:tcW w:w="105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40.070</w:t>
            </w:r>
          </w:p>
        </w:tc>
        <w:tc>
          <w:tcPr>
            <w:vAlign w:val="top"/>
            <w:tcW w:w="125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12.671x</w:t>
            </w:r>
          </w:p>
        </w:tc>
        <w:tc>
          <w:tcPr>
            <w:vAlign w:val="top"/>
            <w:tcW w:w="2947"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Sum of three cases, not national total</w:t>
            </w:r>
          </w:p>
        </w:tc>
      </w:tr>
    </w:tbl>
    <w:p>
      <w:pPr>
        <w:keepLines/>
        <w:spacing w:before="100" w:after="110" w:line="257" w:lineRule="auto"/>
        <w:jc w:val="both"/>
      </w:pPr>
      <w:r>
        <w:rPr>
          <w:rFonts w:ascii="Times New Roman" w:hAnsi="Times New Roman" w:eastAsia="Times New Roman"/>
          <w:b w:val="0"/>
          <w:i w:val="0"/>
          <w:sz w:val="24"/>
        </w:rPr>
        <w:t>Table 5 reports that cross-section. Across the three cases, US$43.23 billion of transaction value corresponds to US$3.16 billion of recognized platform revenue, leaving a US$40.07 billion wedge, so transaction value is approximately 13.7 times recognized revenue. For scale, that wedge is equivalent in magnitude to about 2.9 percent of Indonesia's 2023 nominal GDP of US$1.371 trillion. The comparison is one of magnitude only: the three platforms are not the whole market, and the wedge is transaction value outside platform revenue, not value added.</w:t>
      </w:r>
    </w:p>
    <w:p>
      <w:pPr>
        <w:spacing w:after="110" w:line="257" w:lineRule="auto"/>
        <w:jc w:val="both"/>
      </w:pPr>
      <w:r>
        <w:rPr>
          <w:rFonts w:ascii="Times New Roman" w:hAnsi="Times New Roman" w:eastAsia="Times New Roman"/>
          <w:b w:val="0"/>
          <w:i w:val="0"/>
          <w:sz w:val="24"/>
        </w:rPr>
        <w:t>Shopee's ratio of 9.0 follows from the Group monetization rate used to estimate its Indonesian revenue. In preliminary checks, rates between 9 and 11 percent move the combined wedge only between US$39.86 billion and US$40.29 billion, and excluding any one platform leaves a wedge of at least US$20.70 billion.</w:t>
      </w:r>
    </w:p>
    <w:p>
      <w:pPr>
        <w:keepNext w:val="0"/>
        <w:spacing w:after="110" w:line="257" w:lineRule="auto"/>
        <w:jc w:val="both"/>
      </w:pPr>
      <w:r>
        <w:rPr>
          <w:rFonts w:ascii="Times New Roman" w:hAnsi="Times New Roman" w:eastAsia="Times New Roman"/>
          <w:b w:val="0"/>
          <w:i w:val="0"/>
          <w:sz w:val="24"/>
        </w:rPr>
        <w:t>The longitudinal evidence shows that this relationship is not constant. Across twelve year-to-year comparisons, revenue grows faster than transaction value in ten, with a median absolute growth divergence of 42.02 percentage points. Figure 1 tracks the Ecosystem Ratio for each platform across those years; it ends lower than it started in every series, though not by a steady decline.</w:t>
      </w:r>
    </w:p>
    <w:p>
      <w:pPr>
        <w:keepNext/>
        <w:spacing w:before="80" w:after="40" w:line="254" w:lineRule="auto"/>
        <w:jc w:val="center"/>
      </w:pPr>
      <w:r>
        <w:rPr>
          <w:rFonts w:ascii="Times New Roman" w:hAnsi="Times New Roman" w:cs="Times New Roman" w:eastAsia="Times New Roman"/>
          <w:sz w:val="24"/>
        </w:rPr>
        <w:drawing>
          <wp:inline xmlns:a="http://schemas.openxmlformats.org/drawingml/2006/main" xmlns:pic="http://schemas.openxmlformats.org/drawingml/2006/picture">
            <wp:extent cx="6058799" cy="2206539"/>
            <wp:docPr id="1" name="Picture 1"/>
            <wp:cNvGraphicFramePr>
              <a:graphicFrameLocks noChangeAspect="1"/>
            </wp:cNvGraphicFramePr>
            <a:graphic>
              <a:graphicData uri="http://schemas.openxmlformats.org/drawingml/2006/picture">
                <pic:pic>
                  <pic:nvPicPr>
                    <pic:cNvPr id="0" name="figure1_ecosystem_ratio_extended_sample_bw.png"/>
                    <pic:cNvPicPr/>
                  </pic:nvPicPr>
                  <pic:blipFill>
                    <a:blip r:embed="rId10"/>
                    <a:stretch>
                      <a:fillRect/>
                    </a:stretch>
                  </pic:blipFill>
                  <pic:spPr>
                    <a:xfrm>
                      <a:off x="0" y="0"/>
                      <a:ext cx="6058799" cy="2206539"/>
                    </a:xfrm>
                    <a:prstGeom prst="rect"/>
                  </pic:spPr>
                </pic:pic>
              </a:graphicData>
            </a:graphic>
          </wp:inline>
        </w:drawing>
      </w:r>
    </w:p>
    <w:p>
      <w:pPr>
        <w:keepNext w:val="0"/>
        <w:spacing w:before="40" w:after="30" w:line="240" w:lineRule="auto"/>
        <w:jc w:val="center"/>
      </w:pPr>
      <w:r>
        <w:rPr>
          <w:rFonts w:ascii="Times New Roman" w:hAnsi="Times New Roman" w:eastAsia="Times New Roman"/>
          <w:b/>
          <w:i/>
          <w:sz w:val="19"/>
        </w:rPr>
        <w:t>Figure 1. Ecosystem Ratio through time for each retained platform. Each line follows one platform's matched figures; differences between platforms are descriptive.</w:t>
      </w:r>
    </w:p>
    <w:p>
      <w:pPr>
        <w:spacing w:after="110" w:line="257" w:lineRule="auto"/>
        <w:jc w:val="both"/>
      </w:pPr>
      <w:r>
        <w:rPr>
          <w:rFonts w:ascii="Times New Roman" w:hAnsi="Times New Roman" w:eastAsia="Times New Roman"/>
          <w:b w:val="0"/>
          <w:i w:val="0"/>
          <w:sz w:val="24"/>
        </w:rPr>
        <w:t>Tokopedia provides the clearest illustration of why the two measures can separate. Between 2022 and 2023, transaction value falls 8.9 percent while third-party net revenue rises 53.2 percent. The change in net revenue can be reconciled arithmetically to lower customer incentives and higher gross revenue rather than treated as an unexplained residual.</w:t>
      </w:r>
    </w:p>
    <w:p>
      <w:pPr>
        <w:pStyle w:val="Heading2"/>
        <w:keepNext/>
        <w:spacing w:before="140" w:after="60"/>
        <w:jc w:val="left"/>
      </w:pPr>
      <w:r>
        <w:rPr>
          <w:rFonts w:ascii="Times New Roman" w:hAnsi="Times New Roman" w:eastAsia="Times New Roman"/>
          <w:b/>
          <w:i w:val="0"/>
          <w:sz w:val="24"/>
        </w:rPr>
        <w:t>5.2 Evidence Beyond Platform Revenue</w:t>
      </w:r>
    </w:p>
    <w:p>
      <w:pPr>
        <w:keepLines/>
        <w:spacing w:after="110" w:line="257" w:lineRule="auto"/>
        <w:jc w:val="both"/>
      </w:pPr>
      <w:r>
        <w:rPr>
          <w:rFonts w:ascii="Times New Roman" w:hAnsi="Times New Roman" w:eastAsia="Times New Roman"/>
          <w:b w:val="0"/>
          <w:i w:val="0"/>
          <w:sz w:val="24"/>
        </w:rPr>
        <w:t>National e-commerce and business evidence provides a different view of the same digital economy. Table 6 summarizes the preliminary evidence corresponding to H2-H4.</w:t>
      </w:r>
    </w:p>
    <w:p>
      <w:pPr>
        <w:keepNext/>
        <w:spacing w:before="80" w:after="70" w:line="240" w:lineRule="auto"/>
        <w:jc w:val="left"/>
      </w:pPr>
      <w:r>
        <w:rPr>
          <w:rFonts w:ascii="Times New Roman" w:hAnsi="Times New Roman" w:eastAsia="Times New Roman"/>
          <w:b/>
          <w:i/>
          <w:sz w:val="19"/>
        </w:rPr>
        <w:t>Table 6. Preliminary evidence beyond platform accounts.</w:t>
      </w:r>
    </w:p>
    <w:tbl>
      <w:tblPr>
        <w:tblStyle w:val="TableGrid"/>
        <w:tblW w:type="auto" w:w="0"/>
        <w:jc w:val="center"/>
        <w:tblLayout w:type="fixed"/>
      </w:tblPr>
      <w:tblGrid>
        <w:gridCol w:w="2050"/>
        <w:gridCol w:w="4450"/>
        <w:gridCol w:w="3047"/>
      </w:tblGrid>
      <w:tr>
        <w:trPr>
          <w:tblHeader w:val="true"/>
          <w:cantSplit/>
        </w:trPr>
        <w:tc>
          <w:tcPr>
            <w:vAlign w:val="top"/>
            <w:tcW w:w="20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Question</w:t>
            </w:r>
          </w:p>
        </w:tc>
        <w:tc>
          <w:tcPr>
            <w:vAlign w:val="top"/>
            <w:tcW w:w="44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Preliminary evidence</w:t>
            </w:r>
          </w:p>
        </w:tc>
        <w:tc>
          <w:tcPr>
            <w:vAlign w:val="top"/>
            <w:tcW w:w="3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Interpretation</w:t>
            </w:r>
          </w:p>
        </w:tc>
      </w:tr>
      <w:tr>
        <w:trPr>
          <w:cantSplit/>
        </w:trPr>
        <w:tc>
          <w:tcPr>
            <w:vAlign w:val="top"/>
            <w:tcW w:w="20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Where does e-commerce growth come from?</w:t>
            </w:r>
          </w:p>
        </w:tc>
        <w:tc>
          <w:tcPr>
            <w:vAlign w:val="top"/>
            <w:tcW w:w="44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E-commerce value +17.08%; estimated business count +15.31%; implied nominal value per business +1.54%</w:t>
            </w:r>
          </w:p>
        </w:tc>
        <w:tc>
          <w:tcPr>
            <w:vAlign w:val="top"/>
            <w:tcW w:w="3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Much of the aggregate increase is associated with broader participation rather than a large increase in value per business</w:t>
            </w:r>
          </w:p>
        </w:tc>
      </w:tr>
      <w:tr>
        <w:trPr>
          <w:cantSplit/>
        </w:trPr>
        <w:tc>
          <w:tcPr>
            <w:vAlign w:val="top"/>
            <w:tcW w:w="20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Where does that growth occur?</w:t>
            </w:r>
          </w:p>
        </w:tc>
        <w:tc>
          <w:tcPr>
            <w:vAlign w:val="top"/>
            <w:tcW w:w="44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Approximately 98.46% of the nominal increase occurs outside the marketplace component</w:t>
            </w:r>
          </w:p>
        </w:tc>
        <w:tc>
          <w:tcPr>
            <w:vAlign w:val="top"/>
            <w:tcW w:w="3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Marketplace-centered evidence captures only part of recent national e-commerce growth</w:t>
            </w:r>
          </w:p>
        </w:tc>
      </w:tr>
      <w:tr>
        <w:trPr>
          <w:cantSplit/>
        </w:trPr>
        <w:tc>
          <w:tcPr>
            <w:vAlign w:val="top"/>
            <w:tcW w:w="20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Are marketplace use and financial records related?</w:t>
            </w:r>
          </w:p>
        </w:tc>
        <w:tc>
          <w:tcPr>
            <w:vAlign w:val="top"/>
            <w:tcW w:w="44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Complete financial statements: 28.63% of marketplace users versus 12.25% of non-marketplace users</w:t>
            </w:r>
          </w:p>
        </w:tc>
        <w:tc>
          <w:tcPr>
            <w:vAlign w:val="top"/>
            <w:tcW w:w="3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Marketplace participation is associated with stronger financial recordkeeping; the evidence is observational</w:t>
            </w:r>
          </w:p>
        </w:tc>
      </w:tr>
      <w:tr>
        <w:trPr>
          <w:cantSplit/>
        </w:trPr>
        <w:tc>
          <w:tcPr>
            <w:vAlign w:val="top"/>
            <w:tcW w:w="205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Do other digital records show the same growth?</w:t>
            </w:r>
          </w:p>
        </w:tc>
        <w:tc>
          <w:tcPr>
            <w:vAlign w:val="top"/>
            <w:tcW w:w="445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BPS e-commerce +17.08%; electronic-money shopping +30.47%; mobile-banking payments and purchases +82.84%; QRIS +186.98%</w:t>
            </w:r>
          </w:p>
        </w:tc>
        <w:tc>
          <w:tcPr>
            <w:vAlign w:val="top"/>
            <w:tcW w:w="30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Different records produce substantially different descriptions of digital growth</w:t>
            </w:r>
          </w:p>
        </w:tc>
      </w:tr>
    </w:tbl>
    <w:p>
      <w:pPr>
        <w:spacing w:before="120" w:after="110" w:line="257" w:lineRule="auto"/>
        <w:jc w:val="both"/>
      </w:pPr>
      <w:r>
        <w:rPr>
          <w:rFonts w:ascii="Times New Roman" w:hAnsi="Times New Roman" w:eastAsia="Times New Roman"/>
          <w:b w:val="0"/>
          <w:i w:val="0"/>
          <w:sz w:val="24"/>
        </w:rPr>
        <w:t>These comparisons are deliberately kept separate. The business-count decomposition is arithmetic rather than causal, marketplace participation is treated as an association rather than a cause of formalization, and payment values are not interpreted as alternative estimates of e-commerce sales.</w:t>
      </w:r>
    </w:p>
    <w:p>
      <w:pPr>
        <w:spacing w:after="110" w:line="257" w:lineRule="auto"/>
        <w:jc w:val="both"/>
      </w:pPr>
      <w:r>
        <w:rPr>
          <w:rFonts w:ascii="Times New Roman" w:hAnsi="Times New Roman" w:eastAsia="Times New Roman"/>
          <w:b w:val="0"/>
          <w:i w:val="0"/>
          <w:sz w:val="24"/>
        </w:rPr>
        <w:t>The evidence nevertheless shows why measurement choice matters. Recent e-commerce growth is concentrated differently depending on whether the analyst looks at marketplace activity, national e-commerce statistics, or payment records.</w:t>
      </w:r>
    </w:p>
    <w:p>
      <w:pPr>
        <w:pStyle w:val="Heading2"/>
        <w:keepNext/>
        <w:spacing w:before="140" w:after="60"/>
        <w:jc w:val="left"/>
      </w:pPr>
      <w:r>
        <w:rPr>
          <w:rFonts w:ascii="Times New Roman" w:hAnsi="Times New Roman" w:eastAsia="Times New Roman"/>
          <w:b/>
          <w:i w:val="0"/>
          <w:sz w:val="24"/>
        </w:rPr>
        <w:t>5.3 Feasibility and Scope of the Preliminary Findings</w:t>
      </w:r>
    </w:p>
    <w:p>
      <w:pPr>
        <w:keepLines/>
        <w:spacing w:after="110" w:line="257" w:lineRule="auto"/>
        <w:jc w:val="both"/>
      </w:pPr>
      <w:r>
        <w:rPr>
          <w:rFonts w:ascii="Times New Roman" w:hAnsi="Times New Roman" w:eastAsia="Times New Roman"/>
          <w:b w:val="0"/>
          <w:i w:val="0"/>
          <w:sz w:val="24"/>
        </w:rPr>
        <w:t>The preliminary evidence is sufficient to motivate the full analysis. It supports H1, through the substantial movement between transaction value and revenue within platforms. H2 and H3 can be examined using national and business-level BPS evidence, while the contrast between platform, e-commerce, and payment records provides a direct test of H4.</w:t>
      </w:r>
    </w:p>
    <w:p>
      <w:pPr>
        <w:spacing w:after="110" w:line="257" w:lineRule="auto"/>
        <w:jc w:val="both"/>
      </w:pPr>
      <w:r>
        <w:rPr>
          <w:rFonts w:ascii="Times New Roman" w:hAnsi="Times New Roman" w:eastAsia="Times New Roman"/>
          <w:b w:val="0"/>
          <w:i w:val="0"/>
          <w:sz w:val="24"/>
        </w:rPr>
        <w:t>Indonesia's marketplace reporting regime provides an institutional application of the same distinction. PMK 37/2025, administered by the Directorate General of Taxes (DJP), shows how seller-linked transaction records can enter reporting and withholding, but implementation begins only on 1 November 2026, so post-implementation outcomes are not yet available. Because the regime designates marketplace operators, its reach is bounded by the marketplace channel, which carried 15.8 percent of 2024 e-commerce value and 1.5 percent of 2023-2024 growth. The regulation is therefore examined as institutional architecture, not as evidence of unpaid tax or of a completed compliance effect.</w:t>
      </w:r>
    </w:p>
    <w:p>
      <w:pPr>
        <w:spacing w:after="110" w:line="257" w:lineRule="auto"/>
        <w:jc w:val="both"/>
      </w:pPr>
      <w:r>
        <w:rPr>
          <w:rFonts w:ascii="Times New Roman" w:hAnsi="Times New Roman" w:eastAsia="Times New Roman"/>
          <w:b w:val="0"/>
          <w:i w:val="0"/>
          <w:sz w:val="24"/>
        </w:rPr>
        <w:t>At this stage, the preliminary results establish that the proposed measurement can be constructed, followed through time, connected to disclosed accounting changes, and compared with independent records of Indonesian digital activity.</w:t>
      </w:r>
    </w:p>
    <w:p>
      <w:pPr>
        <w:pStyle w:val="Heading1"/>
        <w:keepNext/>
        <w:spacing w:before="200" w:after="100"/>
        <w:jc w:val="left"/>
      </w:pPr>
      <w:r>
        <w:rPr>
          <w:rFonts w:ascii="Times New Roman" w:hAnsi="Times New Roman" w:eastAsia="Times New Roman"/>
          <w:b/>
          <w:i w:val="0"/>
          <w:sz w:val="24"/>
        </w:rPr>
        <w:t>6. Why the Problem Matters</w:t>
      </w:r>
    </w:p>
    <w:p>
      <w:pPr>
        <w:keepLines/>
        <w:spacing w:after="110" w:line="257" w:lineRule="auto"/>
        <w:jc w:val="both"/>
      </w:pPr>
      <w:r>
        <w:rPr>
          <w:rFonts w:ascii="Times New Roman" w:hAnsi="Times New Roman" w:eastAsia="Times New Roman"/>
          <w:b w:val="0"/>
          <w:i w:val="0"/>
          <w:sz w:val="24"/>
        </w:rPr>
        <w:t>These records are designed to measure different things, and the problem arises when one is used as a substitute for another. Platform revenue measures what the platform recognizes as its own income, transaction value measures the commerce it processes, national e-commerce statistics describe a broader market, and payment systems record the movement of funds. When these measures move differently, the choice of record can change conclusions about economic scale, growth, and monetization.</w:t>
      </w:r>
    </w:p>
    <w:p>
      <w:pPr>
        <w:spacing w:after="110" w:line="257" w:lineRule="auto"/>
        <w:jc w:val="both"/>
      </w:pPr>
      <w:r>
        <w:rPr>
          <w:rFonts w:ascii="Times New Roman" w:hAnsi="Times New Roman" w:eastAsia="Times New Roman"/>
          <w:b w:val="0"/>
          <w:i w:val="0"/>
          <w:sz w:val="24"/>
        </w:rPr>
        <w:t>Administrative use is a separate question. Platform-held transaction records may contain information about sellers and transactions that does not appear in the platform's corporate revenue, but those records become useful to government only when identity, reporting, transmission, and matching are in place. PMK 37/2025 illustrates this institutional link without establishing a compliance or tax-revenue effect.</w:t>
      </w:r>
    </w:p>
    <w:p>
      <w:pPr>
        <w:spacing w:after="110" w:line="257" w:lineRule="auto"/>
        <w:jc w:val="both"/>
      </w:pPr>
      <w:r>
        <w:rPr>
          <w:rFonts w:ascii="Times New Roman" w:hAnsi="Times New Roman" w:eastAsia="Times New Roman"/>
          <w:b w:val="0"/>
          <w:i w:val="0"/>
          <w:sz w:val="24"/>
        </w:rPr>
        <w:t>The thesis therefore treats measurement and administrative visibility as related but distinct problems.</w:t>
      </w:r>
    </w:p>
    <w:p>
      <w:pPr>
        <w:pStyle w:val="Heading1"/>
        <w:keepNext/>
        <w:spacing w:before="200" w:after="100"/>
        <w:jc w:val="left"/>
      </w:pPr>
      <w:r>
        <w:rPr>
          <w:rFonts w:ascii="Times New Roman" w:hAnsi="Times New Roman" w:eastAsia="Times New Roman"/>
          <w:b/>
          <w:i w:val="0"/>
          <w:sz w:val="24"/>
        </w:rPr>
        <w:t>7. Limitations and Robustness</w:t>
      </w:r>
    </w:p>
    <w:p>
      <w:pPr>
        <w:keepLines/>
        <w:spacing w:after="110" w:line="257" w:lineRule="auto"/>
        <w:jc w:val="both"/>
      </w:pPr>
      <w:r>
        <w:rPr>
          <w:rFonts w:ascii="Times New Roman" w:hAnsi="Times New Roman" w:eastAsia="Times New Roman"/>
          <w:b w:val="0"/>
          <w:i w:val="0"/>
          <w:sz w:val="24"/>
        </w:rPr>
        <w:t>The evidence supports several conclusions, but the interpretation of each result is deliberately bounded. Table 7 pairs each supported conclusion with what it does not establish.</w:t>
      </w:r>
    </w:p>
    <w:p>
      <w:pPr>
        <w:keepNext/>
        <w:spacing w:before="80" w:after="70" w:line="240" w:lineRule="auto"/>
        <w:jc w:val="left"/>
      </w:pPr>
      <w:r>
        <w:rPr>
          <w:rFonts w:ascii="Times New Roman" w:hAnsi="Times New Roman" w:eastAsia="Times New Roman"/>
          <w:b/>
          <w:i/>
          <w:sz w:val="19"/>
        </w:rPr>
        <w:t>Table 7. Main inference boundaries.</w:t>
      </w:r>
    </w:p>
    <w:tbl>
      <w:tblPr>
        <w:tblStyle w:val="TableGrid"/>
        <w:tblW w:type="auto" w:w="0"/>
        <w:jc w:val="center"/>
        <w:tblLayout w:type="fixed"/>
      </w:tblPr>
      <w:tblGrid>
        <w:gridCol w:w="4500"/>
        <w:gridCol w:w="5047"/>
      </w:tblGrid>
      <w:tr>
        <w:trPr>
          <w:tblHeader w:val="true"/>
          <w:cantSplit/>
        </w:trPr>
        <w:tc>
          <w:tcPr>
            <w:vAlign w:val="top"/>
            <w:tcW w:w="4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Evidence supports</w:t>
            </w:r>
          </w:p>
        </w:tc>
        <w:tc>
          <w:tcPr>
            <w:vAlign w:val="top"/>
            <w:tcW w:w="5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Does not by itself establish</w:t>
            </w:r>
          </w:p>
        </w:tc>
      </w:tr>
      <w:tr>
        <w:trPr>
          <w:cantSplit/>
        </w:trPr>
        <w:tc>
          <w:tcPr>
            <w:vAlign w:val="top"/>
            <w:tcW w:w="4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W, E, and D describe the size and movement of the transaction-revenue boundary.</w:t>
            </w:r>
          </w:p>
        </w:tc>
        <w:tc>
          <w:tcPr>
            <w:vAlign w:val="top"/>
            <w:tcW w:w="5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Participant profit, taxable income, unpaid tax, tax evasion, or missing GDP.</w:t>
            </w:r>
          </w:p>
        </w:tc>
      </w:tr>
      <w:tr>
        <w:trPr>
          <w:cantSplit/>
        </w:trPr>
        <w:tc>
          <w:tcPr>
            <w:vAlign w:val="top"/>
            <w:tcW w:w="4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Separate evidence types show how directly each platform measure represents Indonesia.</w:t>
            </w:r>
          </w:p>
        </w:tc>
        <w:tc>
          <w:tcPr>
            <w:vAlign w:val="top"/>
            <w:tcW w:w="5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That direct, broader-scope, and reconstructed observations are interchangeable.</w:t>
            </w:r>
          </w:p>
        </w:tc>
      </w:tr>
      <w:tr>
        <w:trPr>
          <w:cantSplit/>
        </w:trPr>
        <w:tc>
          <w:tcPr>
            <w:vAlign w:val="top"/>
            <w:tcW w:w="4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Disclosed revenue components can reconcile selected movements in the wedge.</w:t>
            </w:r>
          </w:p>
        </w:tc>
        <w:tc>
          <w:tcPr>
            <w:vAlign w:val="top"/>
            <w:tcW w:w="5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A causal effect of incentives, monetization, or accounting choices.</w:t>
            </w:r>
          </w:p>
        </w:tc>
      </w:tr>
      <w:tr>
        <w:trPr>
          <w:cantSplit/>
        </w:trPr>
        <w:tc>
          <w:tcPr>
            <w:vAlign w:val="top"/>
            <w:tcW w:w="4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BPS evidence describes aggregate e-commerce growth and recordkeeping associations.</w:t>
            </w:r>
          </w:p>
        </w:tc>
        <w:tc>
          <w:tcPr>
            <w:vAlign w:val="top"/>
            <w:tcW w:w="5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Causal business entry, productivity effects, or marketplace-induced formalization.</w:t>
            </w:r>
          </w:p>
        </w:tc>
      </w:tr>
      <w:tr>
        <w:trPr>
          <w:cantSplit/>
        </w:trPr>
        <w:tc>
          <w:tcPr>
            <w:vAlign w:val="top"/>
            <w:tcW w:w="45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Payment statistics and PMK provide additional measurement and institutional evidence.</w:t>
            </w:r>
          </w:p>
        </w:tc>
        <w:tc>
          <w:tcPr>
            <w:vAlign w:val="top"/>
            <w:tcW w:w="50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Equivalent measures of sales or a completed compliance or tax-revenue effect.</w:t>
            </w:r>
          </w:p>
        </w:tc>
      </w:tr>
    </w:tbl>
    <w:p>
      <w:pPr>
        <w:spacing w:before="120" w:after="110" w:line="257" w:lineRule="auto"/>
        <w:jc w:val="both"/>
      </w:pPr>
      <w:r>
        <w:rPr>
          <w:rFonts w:ascii="Times New Roman" w:hAnsi="Times New Roman" w:eastAsia="Times New Roman"/>
          <w:b w:val="0"/>
          <w:i w:val="0"/>
          <w:sz w:val="24"/>
        </w:rPr>
        <w:t>Robustness analysis tests whether the main findings depend on one preferred construction. The longitudinal results are compared under narrower evidence-admission rules, alternative revenue definitions, different publication versions, and alternative assumptions for reconstructed country measures. These checks are reported as sensitivity analyses rather than statistical confidence intervals.</w:t>
      </w:r>
    </w:p>
    <w:p>
      <w:pPr>
        <w:pStyle w:val="Heading1"/>
        <w:keepNext/>
        <w:spacing w:before="200" w:after="100"/>
        <w:jc w:val="left"/>
      </w:pPr>
      <w:r>
        <w:rPr>
          <w:rFonts w:ascii="Times New Roman" w:hAnsi="Times New Roman" w:eastAsia="Times New Roman"/>
          <w:b/>
          <w:i w:val="0"/>
          <w:sz w:val="24"/>
        </w:rPr>
        <w:t>8. Next Steps</w:t>
      </w:r>
    </w:p>
    <w:p>
      <w:pPr>
        <w:keepLines/>
        <w:spacing w:after="110" w:line="257" w:lineRule="auto"/>
        <w:jc w:val="both"/>
      </w:pPr>
      <w:r>
        <w:rPr>
          <w:rFonts w:ascii="Times New Roman" w:hAnsi="Times New Roman" w:eastAsia="Times New Roman"/>
          <w:b w:val="0"/>
          <w:i w:val="0"/>
          <w:sz w:val="24"/>
        </w:rPr>
        <w:t>The main data and empirical framework are already assembled. The remaining work is to complete the robustness checks, finalize the treatment of the different evidence types, verify source consistency, and develop the preliminary results into the full thesis analysis. Table 8 sets out that schedule.</w:t>
      </w:r>
    </w:p>
    <w:p>
      <w:pPr>
        <w:keepNext/>
        <w:spacing w:before="80" w:after="70" w:line="240" w:lineRule="auto"/>
        <w:jc w:val="left"/>
      </w:pPr>
      <w:r>
        <w:rPr>
          <w:rFonts w:ascii="Times New Roman" w:hAnsi="Times New Roman" w:eastAsia="Times New Roman"/>
          <w:b/>
          <w:i/>
          <w:sz w:val="19"/>
        </w:rPr>
        <w:t>Table 8. Planned work toward the final thesis.</w:t>
      </w:r>
    </w:p>
    <w:tbl>
      <w:tblPr>
        <w:tblStyle w:val="TableGrid"/>
        <w:tblW w:type="auto" w:w="0"/>
        <w:jc w:val="center"/>
        <w:tblLayout w:type="fixed"/>
      </w:tblPr>
      <w:tblGrid>
        <w:gridCol w:w="2232"/>
        <w:gridCol w:w="7315"/>
      </w:tblGrid>
      <w:tr>
        <w:trPr>
          <w:tblHeader w:val="true"/>
          <w:cantSplit/>
        </w:trPr>
        <w:tc>
          <w:tcPr>
            <w:vAlign w:val="top"/>
            <w:tcW w:w="2232"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Period</w:t>
            </w:r>
          </w:p>
        </w:tc>
        <w:tc>
          <w:tcPr>
            <w:vAlign w:val="top"/>
            <w:tcW w:w="7315"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Planned work</w:t>
            </w:r>
          </w:p>
        </w:tc>
      </w:tr>
      <w:tr>
        <w:trPr>
          <w:cantSplit/>
        </w:trPr>
        <w:tc>
          <w:tcPr>
            <w:vAlign w:val="top"/>
            <w:tcW w:w="2232"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Proposal stage</w:t>
            </w:r>
          </w:p>
        </w:tc>
        <w:tc>
          <w:tcPr>
            <w:vAlign w:val="top"/>
            <w:tcW w:w="7315"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Incorporate feedback from the proposal examination and finalize the empirical specification.</w:t>
            </w:r>
          </w:p>
        </w:tc>
      </w:tr>
      <w:tr>
        <w:trPr>
          <w:cantSplit/>
        </w:trPr>
        <w:tc>
          <w:tcPr>
            <w:vAlign w:val="top"/>
            <w:tcW w:w="2232"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October-November 2026</w:t>
            </w:r>
          </w:p>
        </w:tc>
        <w:tc>
          <w:tcPr>
            <w:vAlign w:val="top"/>
            <w:tcW w:w="7315"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Complete remaining source checks and robustness analysis; finalize the main tables and figures.</w:t>
            </w:r>
          </w:p>
        </w:tc>
      </w:tr>
      <w:tr>
        <w:trPr>
          <w:cantSplit/>
        </w:trPr>
        <w:tc>
          <w:tcPr>
            <w:vAlign w:val="top"/>
            <w:tcW w:w="2232"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Before the final defense</w:t>
            </w:r>
          </w:p>
        </w:tc>
        <w:tc>
          <w:tcPr>
            <w:vAlign w:val="top"/>
            <w:tcW w:w="7315"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Complete the full manuscript, integrate supporting evidence where it strengthens the argument, and conduct the final citation and consistency review.</w:t>
            </w:r>
          </w:p>
        </w:tc>
      </w:tr>
    </w:tbl>
    <w:p>
      <w:pPr>
        <w:spacing w:before="120" w:after="110" w:line="257" w:lineRule="auto"/>
        <w:jc w:val="both"/>
      </w:pPr>
      <w:r>
        <w:rPr>
          <w:rFonts w:ascii="Times New Roman" w:hAnsi="Times New Roman" w:eastAsia="Times New Roman"/>
          <w:b w:val="0"/>
          <w:i w:val="0"/>
          <w:sz w:val="24"/>
        </w:rPr>
        <w:t>The proposed study begins from a simple distinction between the value a platform processes and the revenue it recognizes. The preliminary evidence indicates that this boundary is economically large, changes through time, and produces different conclusions when compared with other records of digital activity. The final thesis will test how robust those conclusions remain under alternative evidence and measurement choices.</w:t>
      </w:r>
    </w:p>
    <w:p>
      <w:pPr>
        <w:pStyle w:val="Heading1"/>
        <w:keepNext/>
        <w:spacing w:before="200" w:after="100"/>
        <w:jc w:val="left"/>
      </w:pPr>
      <w:r>
        <w:rPr>
          <w:rFonts w:ascii="Times New Roman" w:hAnsi="Times New Roman" w:eastAsia="Times New Roman"/>
          <w:b/>
          <w:i w:val="0"/>
          <w:sz w:val="24"/>
        </w:rPr>
        <w:t>Appendix A - Variables and Data Sources</w:t>
      </w:r>
    </w:p>
    <w:p>
      <w:pPr>
        <w:keepNext/>
        <w:keepLines/>
        <w:spacing w:before="80" w:after="70" w:line="240" w:lineRule="auto"/>
        <w:jc w:val="left"/>
      </w:pPr>
      <w:r>
        <w:rPr>
          <w:rFonts w:ascii="Times New Roman" w:hAnsi="Times New Roman" w:eastAsia="Times New Roman"/>
          <w:b/>
          <w:i/>
          <w:sz w:val="19"/>
        </w:rPr>
        <w:t>Table A1. Variable definitions and sources.</w:t>
      </w:r>
    </w:p>
    <w:tbl>
      <w:tblPr>
        <w:tblStyle w:val="TableGrid"/>
        <w:tblW w:type="auto" w:w="0"/>
        <w:jc w:val="center"/>
        <w:tblLayout w:type="fixed"/>
      </w:tblPr>
      <w:tblGrid>
        <w:gridCol w:w="1500"/>
        <w:gridCol w:w="4900"/>
        <w:gridCol w:w="3147"/>
      </w:tblGrid>
      <w:tr>
        <w:trPr>
          <w:tblHeader w:val="true"/>
          <w:cantSplit/>
        </w:trPr>
        <w:tc>
          <w:tcPr>
            <w:vAlign w:val="top"/>
            <w:tcW w:w="1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Variable</w:t>
            </w:r>
          </w:p>
        </w:tc>
        <w:tc>
          <w:tcPr>
            <w:vAlign w:val="top"/>
            <w:tcW w:w="4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Definition</w:t>
            </w:r>
          </w:p>
        </w:tc>
        <w:tc>
          <w:tcPr>
            <w:vAlign w:val="top"/>
            <w:tcW w:w="31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Source</w:t>
            </w:r>
          </w:p>
        </w:tc>
      </w:tr>
      <w:tr>
        <w:trPr>
          <w:cantSplit/>
        </w:trPr>
        <w:tc>
          <w:tcPr>
            <w:vAlign w:val="top"/>
            <w:tcW w:w="1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V</w:t>
            </w:r>
          </w:p>
        </w:tc>
        <w:tc>
          <w:tcPr>
            <w:vAlign w:val="top"/>
            <w:tcW w:w="4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Transaction value processed through the platform in the period</w:t>
            </w:r>
          </w:p>
        </w:tc>
        <w:tc>
          <w:tcPr>
            <w:vAlign w:val="top"/>
            <w:tcW w:w="31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Issuer disclosure, or reconstruction as set out in Table 3</w:t>
            </w:r>
          </w:p>
        </w:tc>
      </w:tr>
      <w:tr>
        <w:trPr>
          <w:cantSplit/>
        </w:trPr>
        <w:tc>
          <w:tcPr>
            <w:vAlign w:val="top"/>
            <w:tcW w:w="1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R</w:t>
            </w:r>
          </w:p>
        </w:tc>
        <w:tc>
          <w:tcPr>
            <w:vAlign w:val="top"/>
            <w:tcW w:w="4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Revenue the platform recognizes for the same period and business scope</w:t>
            </w:r>
          </w:p>
        </w:tc>
        <w:tc>
          <w:tcPr>
            <w:vAlign w:val="top"/>
            <w:tcW w:w="31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Issuer disclosure, or derived as set out in Table 3</w:t>
            </w:r>
          </w:p>
        </w:tc>
      </w:tr>
      <w:tr>
        <w:trPr>
          <w:cantSplit/>
        </w:trPr>
        <w:tc>
          <w:tcPr>
            <w:vAlign w:val="top"/>
            <w:tcW w:w="1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W = V - R</w:t>
            </w:r>
          </w:p>
        </w:tc>
        <w:tc>
          <w:tcPr>
            <w:vAlign w:val="top"/>
            <w:tcW w:w="4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Absolute invisible wedge: transaction value outside recognized revenue</w:t>
            </w:r>
          </w:p>
        </w:tc>
        <w:tc>
          <w:tcPr>
            <w:vAlign w:val="top"/>
            <w:tcW w:w="31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Computed</w:t>
            </w:r>
          </w:p>
        </w:tc>
      </w:tr>
      <w:tr>
        <w:trPr>
          <w:cantSplit/>
        </w:trPr>
        <w:tc>
          <w:tcPr>
            <w:vAlign w:val="top"/>
            <w:tcW w:w="1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 = (V - R) / R</w:t>
            </w:r>
          </w:p>
        </w:tc>
        <w:tc>
          <w:tcPr>
            <w:vAlign w:val="top"/>
            <w:tcW w:w="4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Ecosystem Ratio: wedge per unit of platform revenue; constructed for this study</w:t>
            </w:r>
          </w:p>
        </w:tc>
        <w:tc>
          <w:tcPr>
            <w:vAlign w:val="top"/>
            <w:tcW w:w="31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Computed</w:t>
            </w:r>
          </w:p>
        </w:tc>
      </w:tr>
      <w:tr>
        <w:trPr>
          <w:cantSplit/>
        </w:trPr>
        <w:tc>
          <w:tcPr>
            <w:vAlign w:val="top"/>
            <w:tcW w:w="15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D = g(V) - g(R)</w:t>
            </w:r>
          </w:p>
        </w:tc>
        <w:tc>
          <w:tcPr>
            <w:vAlign w:val="top"/>
            <w:tcW w:w="49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Annual growth divergence between transaction value and revenue</w:t>
            </w:r>
          </w:p>
        </w:tc>
        <w:tc>
          <w:tcPr>
            <w:vAlign w:val="top"/>
            <w:tcW w:w="31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Computed from consecutive years</w:t>
            </w:r>
          </w:p>
        </w:tc>
      </w:tr>
    </w:tbl>
    <w:p>
      <w:pPr>
        <w:keepLines/>
        <w:spacing w:before="120" w:after="110" w:line="257" w:lineRule="auto"/>
        <w:jc w:val="both"/>
      </w:pPr>
      <w:r>
        <w:rPr>
          <w:rFonts w:ascii="Times New Roman" w:hAnsi="Times New Roman" w:eastAsia="Times New Roman"/>
          <w:b w:val="0"/>
          <w:i w:val="0"/>
          <w:sz w:val="24"/>
        </w:rPr>
        <w:t>Table A1 defines each variable and says where it comes from. Table A2 traces each evidence type to the filings and publications behind it.</w:t>
      </w:r>
    </w:p>
    <w:p>
      <w:pPr>
        <w:keepNext/>
        <w:spacing w:before="80" w:after="70" w:line="240" w:lineRule="auto"/>
        <w:jc w:val="left"/>
      </w:pPr>
      <w:r>
        <w:rPr>
          <w:rFonts w:ascii="Times New Roman" w:hAnsi="Times New Roman" w:eastAsia="Times New Roman"/>
          <w:b/>
          <w:i/>
          <w:sz w:val="19"/>
        </w:rPr>
        <w:t>Table A2. Source lineage by evidence type.</w:t>
      </w:r>
    </w:p>
    <w:tbl>
      <w:tblPr>
        <w:tblStyle w:val="TableGrid"/>
        <w:tblW w:type="auto" w:w="0"/>
        <w:jc w:val="center"/>
        <w:tblLayout w:type="fixed"/>
      </w:tblPr>
      <w:tblGrid>
        <w:gridCol w:w="2000"/>
        <w:gridCol w:w="2100"/>
        <w:gridCol w:w="2900"/>
        <w:gridCol w:w="2547"/>
      </w:tblGrid>
      <w:tr>
        <w:trPr>
          <w:tblHeader w:val="true"/>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Evidence type</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Platform / source</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Transaction-value source</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Revenue / comparison source</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Direct Indonesia-aligned</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Tokopedia e-commerce</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GoTo annual report, e-commerce segment metrics</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GoTo annual report, segment note</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Company-reported broader scope</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Blibli third-party business</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Global Digital Niaga prospectus and results releases</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Same issuer filings</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Company-reported broader scope</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Bukalapak Group</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Bukalapak annual and sustainability reports</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Same issuer filings</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Indonesia reconstruction</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Grab Indonesia</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Derived from Indonesia revenue and Group monetization rate</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Grab Form 20-F</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Indonesia reconstruction</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Shopee Indonesia</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Momentum Works Southeast Asia e-commerce estimate</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Derived from Sea Limited Form 20-F</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National statistics</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BPS-Statistics Indonesia</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E-Commerce Statistics 2023 and 2024; marketplace study</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Business-count and recordkeeping evidence</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Payment statistics</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Bank Indonesia</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Payment System Statistics and QRIS reports</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Growth-rate comparison only</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External corroboration</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Eight platform businesses</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Issuer transaction measures</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Issuer revenue measures</w:t>
            </w:r>
          </w:p>
        </w:tc>
      </w:tr>
      <w:tr>
        <w:trPr>
          <w:cantSplit/>
        </w:trPr>
        <w:tc>
          <w:tcPr>
            <w:vAlign w:val="top"/>
            <w:tcW w:w="20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Regulatory</w:t>
            </w:r>
          </w:p>
        </w:tc>
        <w:tc>
          <w:tcPr>
            <w:vAlign w:val="top"/>
            <w:tcW w:w="21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PMK 37/2025; DJP</w:t>
            </w:r>
          </w:p>
        </w:tc>
        <w:tc>
          <w:tcPr>
            <w:vAlign w:val="top"/>
            <w:tcW w:w="29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Ministry of Finance / Directorate General of Taxes</w:t>
            </w:r>
          </w:p>
        </w:tc>
        <w:tc>
          <w:tcPr>
            <w:vAlign w:val="top"/>
            <w:tcW w:w="25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Institutional architecture only</w:t>
            </w:r>
          </w:p>
        </w:tc>
      </w:tr>
    </w:tbl>
    <w:p>
      <w:pPr>
        <w:keepLines/>
        <w:spacing w:before="100" w:after="110" w:line="257" w:lineRule="auto"/>
        <w:jc w:val="both"/>
      </w:pPr>
      <w:r>
        <w:rPr>
          <w:rFonts w:ascii="Times New Roman" w:hAnsi="Times New Roman" w:eastAsia="Times New Roman"/>
          <w:b w:val="0"/>
          <w:i w:val="0"/>
          <w:sz w:val="24"/>
        </w:rPr>
        <w:t>Every figure used in this proposal traces to a named file and locator in the accompanying data package.</w:t>
      </w:r>
    </w:p>
    <w:p>
      <w:pPr>
        <w:pStyle w:val="Heading1"/>
        <w:keepNext/>
        <w:pageBreakBefore/>
        <w:spacing w:before="160" w:after="100"/>
        <w:jc w:val="left"/>
      </w:pPr>
      <w:r>
        <w:rPr>
          <w:rFonts w:ascii="Times New Roman" w:hAnsi="Times New Roman" w:cs="Times New Roman" w:eastAsia="Times New Roman"/>
          <w:b/>
          <w:sz w:val="24"/>
        </w:rPr>
        <w:t>References</w:t>
      </w:r>
    </w:p>
    <w:p>
      <w:pPr>
        <w:pStyle w:val="Reference"/>
        <w:keepNext/>
        <w:keepLines/>
        <w:spacing w:before="0" w:after="12" w:line="240" w:lineRule="auto"/>
        <w:ind w:left="216" w:hanging="216"/>
        <w:jc w:val="left"/>
      </w:pPr>
      <w:r>
        <w:rPr>
          <w:rFonts w:ascii="Times New Roman" w:hAnsi="Times New Roman" w:cs="Times New Roman" w:eastAsia="Times New Roman"/>
          <w:sz w:val="21"/>
        </w:rPr>
        <w:t>Ahmad, N., &amp; Schreyer, P. (2016). Measuring GDP in a Digitalised Economy. OECD Statistics Working Papers 2016/07.</w:t>
      </w:r>
    </w:p>
    <w:p>
      <w:pPr>
        <w:pStyle w:val="Reference"/>
        <w:keepLines/>
        <w:spacing w:before="0" w:after="12" w:line="240" w:lineRule="auto"/>
        <w:ind w:left="216" w:hanging="216"/>
        <w:jc w:val="left"/>
      </w:pPr>
      <w:r>
        <w:rPr>
          <w:rFonts w:ascii="Times New Roman" w:hAnsi="Times New Roman" w:cs="Times New Roman" w:eastAsia="Times New Roman"/>
          <w:sz w:val="21"/>
        </w:rPr>
        <w:t>Armstrong, M. (2006). Competition in two-sided markets. RAND Journal of Economics, 37(3), 668-691.</w:t>
      </w:r>
    </w:p>
    <w:p>
      <w:pPr>
        <w:pStyle w:val="Reference"/>
        <w:spacing w:before="0" w:after="12" w:line="240" w:lineRule="auto"/>
        <w:ind w:left="216" w:hanging="216"/>
        <w:jc w:val="left"/>
      </w:pPr>
      <w:r>
        <w:rPr>
          <w:rFonts w:ascii="Times New Roman" w:hAnsi="Times New Roman" w:cs="Times New Roman" w:eastAsia="Times New Roman"/>
          <w:sz w:val="21"/>
        </w:rPr>
        <w:t>Bank Indonesia. (2025). Payment System Statistics (SPIP) and QRIS reports. Jakarta: Bank Indonesia.</w:t>
      </w:r>
    </w:p>
    <w:p>
      <w:pPr>
        <w:pStyle w:val="Reference"/>
        <w:spacing w:before="0" w:after="12" w:line="240" w:lineRule="auto"/>
        <w:ind w:left="216" w:hanging="216"/>
        <w:jc w:val="left"/>
      </w:pPr>
      <w:r>
        <w:rPr>
          <w:rFonts w:ascii="Times New Roman" w:hAnsi="Times New Roman" w:cs="Times New Roman" w:eastAsia="Times New Roman"/>
          <w:sz w:val="21"/>
        </w:rPr>
        <w:t>Barrios, J. M., Hochberg, Y. V., &amp; Yi, H. (2022). Launching with a parachute: The gig economy and new business formation. Journal of Financial Economics, 144(1), 22-43.</w:t>
      </w:r>
    </w:p>
    <w:p>
      <w:pPr>
        <w:pStyle w:val="Reference"/>
        <w:spacing w:before="0" w:after="12" w:line="240" w:lineRule="auto"/>
        <w:ind w:left="216" w:hanging="216"/>
        <w:jc w:val="left"/>
      </w:pPr>
      <w:r>
        <w:rPr>
          <w:rFonts w:ascii="Times New Roman" w:hAnsi="Times New Roman" w:cs="Times New Roman" w:eastAsia="Times New Roman"/>
          <w:sz w:val="21"/>
        </w:rPr>
        <w:t>Berg, T., Burg, V., Gombovic, A., &amp; Puri, M. (2020). On the rise of FinTechs: Credit scoring using digital footprints. Review of Financial Studies, 33(7), 2845-2897.</w:t>
      </w:r>
    </w:p>
    <w:p>
      <w:pPr>
        <w:pStyle w:val="Reference"/>
        <w:spacing w:before="0" w:after="12" w:line="240" w:lineRule="auto"/>
        <w:ind w:left="216" w:hanging="216"/>
        <w:jc w:val="left"/>
      </w:pPr>
      <w:r>
        <w:rPr>
          <w:rFonts w:ascii="Times New Roman" w:hAnsi="Times New Roman" w:cs="Times New Roman" w:eastAsia="Times New Roman"/>
          <w:sz w:val="21"/>
        </w:rPr>
        <w:t>BPS-Statistics Indonesia. (2025). E-Commerce Statistics 2023 and 2024. Jakarta: BPS.</w:t>
      </w:r>
    </w:p>
    <w:p>
      <w:pPr>
        <w:pStyle w:val="Reference"/>
        <w:spacing w:before="0" w:after="12" w:line="240" w:lineRule="auto"/>
        <w:ind w:left="216" w:hanging="216"/>
        <w:jc w:val="left"/>
      </w:pPr>
      <w:r>
        <w:rPr>
          <w:rFonts w:ascii="Times New Roman" w:hAnsi="Times New Roman" w:cs="Times New Roman" w:eastAsia="Times New Roman"/>
          <w:sz w:val="21"/>
        </w:rPr>
        <w:t>Caillaud, B., &amp; Jullien, B. (2003). Chicken and egg: Competition among intermediation service providers. RAND Journal of Economics, 34(2), 309-328.</w:t>
      </w:r>
    </w:p>
    <w:p>
      <w:pPr>
        <w:pStyle w:val="Reference"/>
        <w:spacing w:before="0" w:after="12" w:line="240" w:lineRule="auto"/>
        <w:ind w:left="216" w:hanging="216"/>
        <w:jc w:val="left"/>
      </w:pPr>
      <w:r>
        <w:rPr>
          <w:rFonts w:ascii="Times New Roman" w:hAnsi="Times New Roman" w:cs="Times New Roman" w:eastAsia="Times New Roman"/>
          <w:sz w:val="21"/>
        </w:rPr>
        <w:t>De Franco, G., Kothari, S. P., &amp; Verdi, R. S. (2011). The benefits of financial statement comparability. Journal of Accounting Research, 49(4), 895-931.</w:t>
      </w:r>
    </w:p>
    <w:p>
      <w:pPr>
        <w:pStyle w:val="Reference"/>
        <w:spacing w:before="0" w:after="12" w:line="240" w:lineRule="auto"/>
        <w:ind w:left="216" w:hanging="216"/>
        <w:jc w:val="left"/>
      </w:pPr>
      <w:r>
        <w:rPr>
          <w:rFonts w:ascii="Times New Roman" w:hAnsi="Times New Roman" w:cs="Times New Roman" w:eastAsia="Times New Roman"/>
          <w:sz w:val="21"/>
        </w:rPr>
        <w:t>Denes, M. R., Lagaras, S., &amp; Tsoutsoura, M. (2025). Entrepreneurship and the gig economy: Evidence from U.S. tax returns. Journal of Financial Economics, 173, 104156.</w:t>
      </w:r>
    </w:p>
    <w:p>
      <w:pPr>
        <w:pStyle w:val="Reference"/>
        <w:spacing w:before="0" w:after="12" w:line="240" w:lineRule="auto"/>
        <w:ind w:left="216" w:hanging="216"/>
        <w:jc w:val="left"/>
      </w:pPr>
      <w:r>
        <w:rPr>
          <w:rFonts w:ascii="Times New Roman" w:hAnsi="Times New Roman" w:cs="Times New Roman" w:eastAsia="Times New Roman"/>
          <w:sz w:val="21"/>
        </w:rPr>
        <w:t>European Union. (2021). Council Directive (EU) 2021/514 amending Directive 2011/16/EU (DAC7).</w:t>
      </w:r>
    </w:p>
    <w:p>
      <w:pPr>
        <w:pStyle w:val="Reference"/>
        <w:spacing w:before="0" w:after="12" w:line="240" w:lineRule="auto"/>
        <w:ind w:left="216" w:hanging="216"/>
        <w:jc w:val="left"/>
      </w:pPr>
      <w:r>
        <w:rPr>
          <w:rFonts w:ascii="Times New Roman" w:hAnsi="Times New Roman" w:cs="Times New Roman" w:eastAsia="Times New Roman"/>
          <w:sz w:val="21"/>
        </w:rPr>
        <w:t>Evans, D. S., &amp; Schmalensee, R. (2016). Matchmakers: The New Economics of Multisided Platforms. Boston: Harvard Business Review Press.</w:t>
      </w:r>
    </w:p>
    <w:p>
      <w:pPr>
        <w:pStyle w:val="Reference"/>
        <w:spacing w:before="0" w:after="12" w:line="240" w:lineRule="auto"/>
        <w:ind w:left="216" w:hanging="216"/>
        <w:jc w:val="left"/>
      </w:pPr>
      <w:r>
        <w:rPr>
          <w:rFonts w:ascii="Times New Roman" w:hAnsi="Times New Roman" w:cs="Times New Roman" w:eastAsia="Times New Roman"/>
          <w:sz w:val="21"/>
        </w:rPr>
        <w:t>Google, Temasek, &amp; Bain &amp; Company. (2020). e-Conomy SEA 2020: At Full Velocity.</w:t>
      </w:r>
    </w:p>
    <w:p>
      <w:pPr>
        <w:pStyle w:val="Reference"/>
        <w:spacing w:before="0" w:after="12" w:line="240" w:lineRule="auto"/>
        <w:ind w:left="216" w:hanging="216"/>
        <w:jc w:val="left"/>
      </w:pPr>
      <w:r>
        <w:rPr>
          <w:rFonts w:ascii="Times New Roman" w:hAnsi="Times New Roman" w:cs="Times New Roman" w:eastAsia="Times New Roman"/>
          <w:sz w:val="21"/>
        </w:rPr>
        <w:t>Google, Temasek, &amp; Bain &amp; Company. (2024). e-Conomy SEA 2024: Profits on the Rise.</w:t>
      </w:r>
    </w:p>
    <w:p>
      <w:pPr>
        <w:pStyle w:val="Reference"/>
        <w:spacing w:before="0" w:after="12" w:line="240" w:lineRule="auto"/>
        <w:ind w:left="216" w:hanging="216"/>
        <w:jc w:val="left"/>
      </w:pPr>
      <w:r>
        <w:rPr>
          <w:rFonts w:ascii="Times New Roman" w:hAnsi="Times New Roman" w:cs="Times New Roman" w:eastAsia="Times New Roman"/>
          <w:sz w:val="21"/>
        </w:rPr>
        <w:t>Hagiu, A., &amp; Wright, J. (2015). Multi-sided platforms. International Journal of Industrial Organization, 43, 162-174.</w:t>
      </w:r>
    </w:p>
    <w:p>
      <w:pPr>
        <w:pStyle w:val="Reference"/>
        <w:spacing w:before="0" w:after="12" w:line="240" w:lineRule="auto"/>
        <w:ind w:left="216" w:hanging="216"/>
        <w:jc w:val="left"/>
      </w:pPr>
      <w:r>
        <w:rPr>
          <w:rFonts w:ascii="Times New Roman" w:hAnsi="Times New Roman" w:cs="Times New Roman" w:eastAsia="Times New Roman"/>
          <w:sz w:val="21"/>
        </w:rPr>
        <w:t>International Accounting Standards Board. (2014). IFRS 15: Revenue from Contracts with Customers.</w:t>
      </w:r>
    </w:p>
    <w:p>
      <w:pPr>
        <w:pStyle w:val="Reference"/>
        <w:spacing w:before="0" w:after="12" w:line="240" w:lineRule="auto"/>
        <w:ind w:left="216" w:hanging="216"/>
        <w:jc w:val="left"/>
      </w:pPr>
      <w:r>
        <w:rPr>
          <w:rFonts w:ascii="Times New Roman" w:hAnsi="Times New Roman" w:cs="Times New Roman" w:eastAsia="Times New Roman"/>
          <w:sz w:val="21"/>
        </w:rPr>
        <w:t>International Monetary Fund. (2018). Measuring the Digital Economy. IMF Policy Paper.</w:t>
      </w:r>
    </w:p>
    <w:p>
      <w:pPr>
        <w:pStyle w:val="Reference"/>
        <w:spacing w:before="0" w:after="12" w:line="240" w:lineRule="auto"/>
        <w:ind w:left="216" w:hanging="216"/>
        <w:jc w:val="left"/>
      </w:pPr>
      <w:r>
        <w:rPr>
          <w:rFonts w:ascii="Times New Roman" w:hAnsi="Times New Roman" w:cs="Times New Roman" w:eastAsia="Times New Roman"/>
          <w:sz w:val="21"/>
        </w:rPr>
        <w:t>Kleven, H. J., Knudsen, M. B., Kreiner, C. T., Pedersen, S., &amp; Saez, E. (2011). Unwilling or unable to cheat? Evidence from a tax audit experiment in Denmark. Econometrica, 79(3), 651-692.</w:t>
      </w:r>
    </w:p>
    <w:p>
      <w:pPr>
        <w:pStyle w:val="Reference"/>
        <w:spacing w:before="0" w:after="12" w:line="240" w:lineRule="auto"/>
        <w:ind w:left="216" w:hanging="216"/>
        <w:jc w:val="left"/>
      </w:pPr>
      <w:r>
        <w:rPr>
          <w:rFonts w:ascii="Times New Roman" w:hAnsi="Times New Roman" w:cs="Times New Roman" w:eastAsia="Times New Roman"/>
          <w:sz w:val="21"/>
        </w:rPr>
        <w:t>Kleven, H. J., Kreiner, C. T., &amp; Saez, E. (2016). Why can modern governments tax so much? Economica, 83(330), 219-246.</w:t>
      </w:r>
    </w:p>
    <w:p>
      <w:pPr>
        <w:pStyle w:val="Reference"/>
        <w:spacing w:before="0" w:after="12" w:line="240" w:lineRule="auto"/>
        <w:ind w:left="216" w:hanging="216"/>
        <w:jc w:val="left"/>
      </w:pPr>
      <w:r>
        <w:rPr>
          <w:rFonts w:ascii="Times New Roman" w:hAnsi="Times New Roman" w:cs="Times New Roman" w:eastAsia="Times New Roman"/>
          <w:sz w:val="21"/>
        </w:rPr>
        <w:t>La Porta, R., &amp; Shleifer, A. (2014). Informality and development. Journal of Economic Perspectives, 28(3), 109-126.</w:t>
      </w:r>
    </w:p>
    <w:p>
      <w:pPr>
        <w:pStyle w:val="Reference"/>
        <w:spacing w:before="0" w:after="12" w:line="240" w:lineRule="auto"/>
        <w:ind w:left="216" w:hanging="216"/>
        <w:jc w:val="left"/>
      </w:pPr>
      <w:r>
        <w:rPr>
          <w:rFonts w:ascii="Times New Roman" w:hAnsi="Times New Roman" w:cs="Times New Roman" w:eastAsia="Times New Roman"/>
          <w:sz w:val="21"/>
        </w:rPr>
        <w:t>Medina, L., &amp; Schneider, F. (2019). Shedding light on the shadow economy: A global database. CESifo Working Paper 7981.</w:t>
      </w:r>
    </w:p>
    <w:p>
      <w:pPr>
        <w:pStyle w:val="Reference"/>
        <w:spacing w:before="0" w:after="12" w:line="240" w:lineRule="auto"/>
        <w:ind w:left="216" w:hanging="216"/>
        <w:jc w:val="left"/>
      </w:pPr>
      <w:r>
        <w:rPr>
          <w:rFonts w:ascii="Times New Roman" w:hAnsi="Times New Roman" w:cs="Times New Roman" w:eastAsia="Times New Roman"/>
          <w:sz w:val="21"/>
        </w:rPr>
        <w:t>Ministry of Finance of the Republic of Indonesia. (2025). PMK 37 Tahun 2025; Directorate General of Taxes marketplace guidance.</w:t>
      </w:r>
    </w:p>
    <w:p>
      <w:pPr>
        <w:pStyle w:val="Reference"/>
        <w:spacing w:before="0" w:after="12" w:line="240" w:lineRule="auto"/>
        <w:ind w:left="216" w:hanging="216"/>
        <w:jc w:val="left"/>
      </w:pPr>
      <w:r>
        <w:rPr>
          <w:rFonts w:ascii="Times New Roman" w:hAnsi="Times New Roman" w:cs="Times New Roman" w:eastAsia="Times New Roman"/>
          <w:sz w:val="21"/>
        </w:rPr>
        <w:t>Momentum Works. (2024). Ecommerce in Southeast Asia. Singapore: Momentum Works.</w:t>
      </w:r>
    </w:p>
    <w:p>
      <w:pPr>
        <w:pStyle w:val="Reference"/>
        <w:spacing w:before="0" w:after="12" w:line="240" w:lineRule="auto"/>
        <w:ind w:left="216" w:hanging="216"/>
        <w:jc w:val="left"/>
      </w:pPr>
      <w:r>
        <w:rPr>
          <w:rFonts w:ascii="Times New Roman" w:hAnsi="Times New Roman" w:cs="Times New Roman" w:eastAsia="Times New Roman"/>
          <w:sz w:val="21"/>
        </w:rPr>
        <w:t>Naritomi, J. (2019). Consumers as tax auditors. American Economic Review, 109(9), 3031-3072.</w:t>
      </w:r>
    </w:p>
    <w:p>
      <w:pPr>
        <w:pStyle w:val="Reference"/>
        <w:spacing w:before="0" w:after="12" w:line="240" w:lineRule="auto"/>
        <w:ind w:left="216" w:hanging="216"/>
        <w:jc w:val="left"/>
      </w:pPr>
      <w:r>
        <w:rPr>
          <w:rFonts w:ascii="Times New Roman" w:hAnsi="Times New Roman" w:cs="Times New Roman" w:eastAsia="Times New Roman"/>
          <w:sz w:val="21"/>
        </w:rPr>
        <w:t>OECD. (2020). Model Rules for Reporting by Platform Operators with respect to Sellers in the Sharing and Gig Economy.</w:t>
      </w:r>
    </w:p>
    <w:p>
      <w:pPr>
        <w:pStyle w:val="Reference"/>
        <w:spacing w:before="0" w:after="12" w:line="240" w:lineRule="auto"/>
        <w:ind w:left="216" w:hanging="216"/>
        <w:jc w:val="left"/>
      </w:pPr>
      <w:r>
        <w:rPr>
          <w:rFonts w:ascii="Times New Roman" w:hAnsi="Times New Roman" w:cs="Times New Roman" w:eastAsia="Times New Roman"/>
          <w:sz w:val="21"/>
        </w:rPr>
        <w:t>OECD. (2023). OECD Handbook on Compiling Digital Supply and Use Tables. Paris: OECD Publishing.</w:t>
      </w:r>
    </w:p>
    <w:p>
      <w:pPr>
        <w:pStyle w:val="Reference"/>
        <w:spacing w:before="0" w:after="12" w:line="240" w:lineRule="auto"/>
        <w:ind w:left="216" w:hanging="216"/>
        <w:jc w:val="left"/>
      </w:pPr>
      <w:r>
        <w:rPr>
          <w:rFonts w:ascii="Times New Roman" w:hAnsi="Times New Roman" w:cs="Times New Roman" w:eastAsia="Times New Roman"/>
          <w:sz w:val="21"/>
        </w:rPr>
        <w:t>Parker, G. G., &amp; Van Alstyne, M. W. (2005). Two-sided network effects: A theory of information product design. Management Science, 51(10), 1494-1504.</w:t>
      </w:r>
    </w:p>
    <w:p>
      <w:pPr>
        <w:pStyle w:val="Reference"/>
        <w:spacing w:before="0" w:after="12" w:line="240" w:lineRule="auto"/>
        <w:ind w:left="216" w:hanging="216"/>
        <w:jc w:val="left"/>
      </w:pPr>
      <w:r>
        <w:rPr>
          <w:rFonts w:ascii="Times New Roman" w:hAnsi="Times New Roman" w:cs="Times New Roman" w:eastAsia="Times New Roman"/>
          <w:sz w:val="21"/>
        </w:rPr>
        <w:t>Pomeranz, D. (2015). No taxation without information: Deterrence and self-enforcement in the value added tax. American Economic Review, 105(8), 2539-2569.</w:t>
      </w:r>
    </w:p>
    <w:p>
      <w:pPr>
        <w:pStyle w:val="Reference"/>
        <w:spacing w:before="0" w:after="12" w:line="240" w:lineRule="auto"/>
        <w:ind w:left="216" w:hanging="216"/>
        <w:jc w:val="left"/>
      </w:pPr>
      <w:r>
        <w:rPr>
          <w:rFonts w:ascii="Times New Roman" w:hAnsi="Times New Roman" w:cs="Times New Roman" w:eastAsia="Times New Roman"/>
          <w:sz w:val="21"/>
        </w:rPr>
        <w:t>Rochet, J.-C., &amp; Tirole, J. (2003). Platform competition in two-sided markets. Journal of the European Economic Association, 1(4), 990-1029.</w:t>
      </w:r>
    </w:p>
    <w:p>
      <w:pPr>
        <w:pStyle w:val="Reference"/>
        <w:spacing w:before="0" w:after="12" w:line="240" w:lineRule="auto"/>
        <w:ind w:left="216" w:hanging="216"/>
        <w:jc w:val="left"/>
      </w:pPr>
      <w:r>
        <w:rPr>
          <w:rFonts w:ascii="Times New Roman" w:hAnsi="Times New Roman" w:cs="Times New Roman" w:eastAsia="Times New Roman"/>
          <w:sz w:val="21"/>
        </w:rPr>
        <w:t>Slemrod, J. (2019). Tax compliance and enforcement. Journal of Economic Literature, 57(4), 904-954.</w:t>
      </w:r>
    </w:p>
    <w:p>
      <w:pPr>
        <w:pStyle w:val="Reference"/>
        <w:spacing w:before="0" w:after="12" w:line="240" w:lineRule="auto"/>
        <w:ind w:left="216" w:hanging="216"/>
        <w:jc w:val="left"/>
      </w:pPr>
      <w:r>
        <w:rPr>
          <w:rFonts w:ascii="Times New Roman" w:hAnsi="Times New Roman" w:cs="Times New Roman" w:eastAsia="Times New Roman"/>
          <w:sz w:val="21"/>
        </w:rPr>
        <w:t>Ulyssea, G. (2018). Firms, informality, and development: Theory and evidence from Brazil. American Economic Review, 108(8), 2015-2047.</w:t>
      </w:r>
    </w:p>
    <w:p>
      <w:pPr>
        <w:pStyle w:val="Reference"/>
        <w:spacing w:before="0" w:after="12" w:line="240" w:lineRule="auto"/>
        <w:ind w:left="216" w:hanging="216"/>
        <w:jc w:val="left"/>
      </w:pPr>
      <w:r>
        <w:rPr>
          <w:rFonts w:ascii="Times New Roman" w:hAnsi="Times New Roman" w:cs="Times New Roman" w:eastAsia="Times New Roman"/>
          <w:sz w:val="21"/>
        </w:rPr>
        <w:t>United Nations et al. (2025). System of National Accounts 2025.</w:t>
      </w:r>
    </w:p>
    <w:sectPr w:rsidR="00FC693F" w:rsidRPr="0006063C" w:rsidSect="00034616">
      <w:footerReference w:type="default" r:id="rId9"/>
      <w:pgSz w:w="11906" w:h="16838"/>
      <w:pgMar w:top="1123" w:right="1181" w:bottom="1037"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sz w:val="18"/>
      </w:rPr>
      <w:t xml:space="preserve">Yuan Ze University | Master of Science in Finance | September 2026 | </w:t>
    </w:r>
    <w:r>
      <w:rPr>
        <w:rFonts w:ascii="Times New Roman" w:hAnsi="Times New Roman" w:cs="Times New Roman" w:eastAsia="Times New Roman"/>
        <w:sz w:val="18"/>
      </w:rPr>
      <w:fldChar w:fldCharType="begin"/>
      <w:instrText xml:space="preserve"> PAGE </w:instrText>
      <w:fldChar w:fldCharType="end"/>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2">
    <w:p>
      <w:pPr>
        <w:spacing w:after="0" w:line="240" w:lineRule="auto"/>
        <w:jc w:val="both"/>
      </w:pPr>
      <w:r>
        <w:rPr>
          <w:rFonts w:ascii="Times New Roman" w:hAnsi="Times New Roman" w:eastAsia="Times New Roman"/>
          <w:vertAlign w:val="superscript"/>
          <w:sz w:val="20"/>
        </w:rPr>
        <w:footnoteRef/>
      </w:r>
      <w:r>
        <w:rPr>
          <w:rFonts w:ascii="Times New Roman" w:hAnsi="Times New Roman" w:eastAsia="Times New Roman"/>
          <w:sz w:val="20"/>
        </w:rPr>
        <w:t xml:space="preserve"> Issuer labels differ. GoTo reports GTV and Sea Limited reports GMV for Shopee; for these the label differs but the measure is the same. Blibli and Bukalapak report TPV for the segments used here, and Grab reports GMV for deliveries and mobility and TPV for financial services. Where a source reports TPV the measure rests on a different basis, so it is retained under its own label rather than relabeled as GTV.</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5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5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90" w:after="3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40" w:line="240" w:lineRule="auto"/>
      <w:ind w:left="317" w:hanging="317"/>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Quantifying the Invisible Wedge in Indonesia's Platform Economy</dc:title>
  <dc:subject>Master's Thesis Proposal</dc:subject>
  <dc:creator>Christopher Ongko</dc:creator>
  <cp:keywords>Invisible Ledger, Indonesia, platform economy, Ecosystem Ratio</cp:keywords>
  <dc:description>generated by python-docx</dc:description>
  <cp:lastModifiedBy/>
  <cp:revision>1</cp:revision>
  <dcterms:created xsi:type="dcterms:W3CDTF">2013-12-23T23:15:00Z</dcterms:created>
  <dcterms:modified xsi:type="dcterms:W3CDTF">2013-12-23T23:15:00Z</dcterms:modified>
  <cp:category/>
</cp:coreProperties>
</file>