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jc w:val="center"/>
      </w:pPr>
      <w:r>
        <w:rPr>
          <w:rFonts w:ascii="Times New Roman" w:hAnsi="Times New Roman" w:cs="Times New Roman" w:eastAsia="Times New Roman"/>
          <w:b/>
          <w:sz w:val="24"/>
        </w:rPr>
        <w:t>碩士論文計畫書</w:t>
        <w:br/>
        <w:t>MASTER'S THESIS PROPOSAL</w:t>
      </w:r>
    </w:p>
    <w:p/>
    <w:p>
      <w:pPr>
        <w:jc w:val="center"/>
      </w:pPr>
      <w:r>
        <w:rPr>
          <w:rFonts w:ascii="Times New Roman" w:hAnsi="Times New Roman" w:cs="Times New Roman" w:eastAsia="Times New Roman"/>
          <w:b/>
          <w:sz w:val="24"/>
        </w:rPr>
        <w:t>隱形帳簿：量化印尼平台經濟中的隱形楔子</w:t>
      </w:r>
    </w:p>
    <w:p>
      <w:pPr>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sz w:val="24"/>
        </w:rPr>
        <w:br w:type="page"/>
      </w:r>
    </w:p>
    <w:p>
      <w:pPr>
        <w:pStyle w:val="Heading1"/>
        <w:keepNext/>
        <w:spacing w:before="200" w:after="100"/>
        <w:jc w:val="left"/>
      </w:pPr>
      <w:r>
        <w:rPr>
          <w:rFonts w:ascii="Times New Roman" w:hAnsi="Times New Roman" w:cs="Times New Roman" w:eastAsia="Times New Roman"/>
          <w:b/>
          <w:sz w:val="24"/>
        </w:rPr>
        <w:t>Abstract</w:t>
      </w:r>
    </w:p>
    <w:p>
      <w:pPr>
        <w:spacing w:after="110" w:line="257" w:lineRule="auto"/>
        <w:jc w:val="both"/>
      </w:pPr>
      <w:r>
        <w:rPr>
          <w:rFonts w:ascii="Times New Roman" w:hAnsi="Times New Roman" w:eastAsia="Times New Roman"/>
          <w:b w:val="0"/>
          <w:i w:val="0"/>
          <w:sz w:val="24"/>
        </w:rPr>
        <w:t>Digital commerce is observed through transaction value, platform revenue, national e-commerce statistics and payment data, each describing a different economic object. This study asks how much activity remains invisible when digital platforms are measured through reported revenue. The invisible wedge is transaction value minus recognized revenue. In selected issuer-reported histories for 2020-2025, revenue outgrew transaction value in six of eight annual comparisons and moved in the opposite direction twice. Tokopedia's 2022-2023 change reconciles to lower incentives and higher gross revenue even as transaction value declined. Separately, BPS places approximately 98.5 percent of 2023-2024 e-commerce growth outside its marketplace component and shows expansion concentrated in estimated business counts. Constructed country measures, economy-wide payment indicators and eight external platform businesses provide supporting evidence. The contribution is to distinguish growth in platform monetization, processed commerce, channels and participation without treating the underlying records as interchangeable.</w:t>
      </w:r>
    </w:p>
    <w:p>
      <w:pPr>
        <w:pStyle w:val="Heading1"/>
        <w:spacing w:before="200" w:after="100"/>
        <w:jc w:val="left"/>
      </w:pPr>
      <w:r>
        <w:rPr>
          <w:rFonts w:ascii="Times New Roman" w:hAnsi="Times New Roman" w:eastAsia="Times New Roman"/>
          <w:b/>
          <w:i w:val="0"/>
          <w:sz w:val="24"/>
        </w:rPr>
        <w:t>1. Introduction</w:t>
      </w:r>
    </w:p>
    <w:p>
      <w:pPr>
        <w:spacing w:after="110" w:line="257" w:lineRule="auto"/>
        <w:jc w:val="both"/>
      </w:pPr>
      <w:r>
        <w:rPr>
          <w:rFonts w:ascii="Times New Roman" w:hAnsi="Times New Roman" w:eastAsia="Times New Roman"/>
          <w:b w:val="0"/>
          <w:i w:val="0"/>
          <w:sz w:val="24"/>
        </w:rPr>
        <w:t>Southeast Asia's digital economy grew from approximately US$100 billion in 2020 to US$263 billion in 2024 in gross merchandise value terms (Google, Temasek and Bain 2020, 2024). This expansion raises a measurement question: how do platform revenue, transaction activity and participating businesses change together? The study examines when using one measure to represent another changes the interpretation of digital commerce.</w:t>
      </w:r>
    </w:p>
    <w:p>
      <w:pPr>
        <w:spacing w:after="110" w:line="257" w:lineRule="auto"/>
        <w:jc w:val="both"/>
      </w:pPr>
      <w:r>
        <w:rPr>
          <w:rFonts w:ascii="Times New Roman" w:hAnsi="Times New Roman" w:eastAsia="Times New Roman"/>
          <w:b w:val="0"/>
          <w:i w:val="0"/>
          <w:sz w:val="24"/>
        </w:rPr>
        <w:t>Suppose a platform processes 100 units of transaction value but recognizes 10 as revenue. The 90-unit difference is the invisible wedge, not an allocation to merchant income, costs or taxes. Its significance becomes clearer through time: revenue can rise while transaction value falls. The study follows this relationship and reconciles selected movements to disclosed revenue components.</w:t>
      </w:r>
    </w:p>
    <w:p>
      <w:pPr>
        <w:spacing w:after="110" w:line="257" w:lineRule="auto"/>
        <w:jc w:val="both"/>
      </w:pPr>
      <w:r>
        <w:rPr>
          <w:rFonts w:ascii="Times New Roman" w:hAnsi="Times New Roman" w:eastAsia="Times New Roman"/>
          <w:b w:val="0"/>
          <w:i w:val="0"/>
          <w:sz w:val="24"/>
        </w:rPr>
        <w:t>Indonesia provides the main setting. Tokopedia, Blibli and Bukalapak supply issuer-reported pairs with different geographic and business coverage; Grab and Shopee require constructed Indonesian measures. A separate 2023 illustration combines Tokopedia with the conditional Grab and Shopee cases: US$43.23 billion in transaction value against US$3.16 billion in revenue. These selected cases are not a national total. BPS supplies national evidence beyond the platform cases.</w:t>
      </w:r>
    </w:p>
    <w:p>
      <w:pPr>
        <w:spacing w:after="110" w:line="257" w:lineRule="auto"/>
        <w:jc w:val="both"/>
      </w:pPr>
      <w:r>
        <w:rPr>
          <w:rFonts w:ascii="Times New Roman" w:hAnsi="Times New Roman" w:eastAsia="Times New Roman"/>
          <w:b w:val="0"/>
          <w:i w:val="0"/>
          <w:sz w:val="24"/>
        </w:rPr>
        <w:t>Between 2022 and 2023, Tokopedia's third-party net revenue rose 53.2 percent while transaction value fell 8.9 percent. Revenue increased, but the value of commerce processed declined. In the selected issuer-reported sample, revenue outgrew transaction value in six of eight comparisons and the measures moved in opposite directions twice. A second distinction appears in the national evidence: BPS reports total e-commerce value increasing 17.08 percent between 2023 and 2024, against 1.45 percent in its marketplace component and 20.57 percent in the non-marketplace component. These results distinguish monetization from activity within platforms, and marketplace growth from the wider expansion of online commerce.</w:t>
      </w:r>
    </w:p>
    <w:p>
      <w:pPr>
        <w:spacing w:after="110" w:line="257" w:lineRule="auto"/>
        <w:jc w:val="both"/>
      </w:pPr>
      <w:r>
        <w:rPr>
          <w:rFonts w:ascii="Times New Roman" w:hAnsi="Times New Roman" w:eastAsia="Times New Roman"/>
          <w:b w:val="0"/>
          <w:i w:val="0"/>
          <w:sz w:val="24"/>
        </w:rPr>
        <w:t>Revenue alone cannot distinguish greater transaction activity from changing monetization or incentives. Marketplace-only evidence cannot describe the national composition of online sales. Reconciliation can reveal these different economic changes without treating the records as interchangeable estimates.</w:t>
      </w:r>
    </w:p>
    <w:p>
      <w:pPr>
        <w:pStyle w:val="Heading2"/>
        <w:spacing w:before="140" w:after="60"/>
        <w:jc w:val="left"/>
      </w:pPr>
      <w:r>
        <w:rPr>
          <w:rFonts w:ascii="Times New Roman" w:hAnsi="Times New Roman" w:eastAsia="Times New Roman"/>
          <w:b/>
          <w:i w:val="0"/>
          <w:sz w:val="24"/>
        </w:rPr>
        <w:t>1.1 Research question and objectives</w:t>
      </w:r>
    </w:p>
    <w:p>
      <w:pPr>
        <w:spacing w:after="110" w:line="257" w:lineRule="auto"/>
        <w:jc w:val="both"/>
      </w:pPr>
      <w:r>
        <w:rPr>
          <w:rFonts w:ascii="Times New Roman" w:hAnsi="Times New Roman" w:eastAsia="Times New Roman"/>
          <w:b w:val="0"/>
          <w:i w:val="0"/>
          <w:sz w:val="24"/>
        </w:rPr>
        <w:t>One question drives the proposal:</w:t>
      </w:r>
    </w:p>
    <w:p>
      <w:pPr>
        <w:spacing w:after="110" w:line="257" w:lineRule="auto"/>
        <w:jc w:val="center"/>
      </w:pPr>
      <w:r>
        <w:rPr>
          <w:rFonts w:ascii="Times New Roman" w:hAnsi="Times New Roman" w:eastAsia="Times New Roman"/>
          <w:b/>
          <w:i w:val="0"/>
          <w:sz w:val="24"/>
        </w:rPr>
        <w:t>How much economic activity remains invisible when digital platforms are measured through their reported revenue?</w:t>
      </w:r>
    </w:p>
    <w:p>
      <w:pPr>
        <w:spacing w:after="110" w:line="257" w:lineRule="auto"/>
        <w:jc w:val="both"/>
      </w:pPr>
      <w:r>
        <w:rPr>
          <w:rFonts w:ascii="Times New Roman" w:hAnsi="Times New Roman" w:eastAsia="Times New Roman"/>
          <w:b w:val="0"/>
          <w:i w:val="0"/>
          <w:sz w:val="24"/>
        </w:rPr>
        <w:t>Indonesia provides the main empirical setting. Three objectives follow: first, to measure the transaction–revenue relationship across the selected platform histories; second, to reconcile major movements using disclosed revenue components and reporting scope; and third, to relate these results to national evidence on online sales channels, participation and recordkeeping. Payment and institutional records provide supporting context. The aim is to explain the dimensions of digital transformation that become apparent when each record is used for the question it can answer.</w:t>
      </w:r>
    </w:p>
    <w:p>
      <w:pPr>
        <w:spacing w:after="110" w:line="257" w:lineRule="auto"/>
        <w:jc w:val="both"/>
      </w:pPr>
      <w:r>
        <w:rPr>
          <w:rFonts w:ascii="Times New Roman" w:hAnsi="Times New Roman" w:eastAsia="Times New Roman"/>
          <w:b w:val="0"/>
          <w:i w:val="0"/>
          <w:sz w:val="24"/>
        </w:rPr>
        <w:t>A separate comparison of eight listed platform businesses outside Indonesia, including eBay, Etsy, Shopify and Mercado Libre, tests whether the same separation between transaction value and revenue appears under other business models.</w:t>
      </w:r>
    </w:p>
    <w:p>
      <w:pPr>
        <w:pStyle w:val="Heading2"/>
        <w:spacing w:before="140" w:after="60"/>
        <w:jc w:val="left"/>
      </w:pPr>
      <w:r>
        <w:rPr>
          <w:rFonts w:ascii="Times New Roman" w:hAnsi="Times New Roman" w:eastAsia="Times New Roman"/>
          <w:b/>
          <w:i w:val="0"/>
          <w:sz w:val="24"/>
        </w:rPr>
        <w:t>1.2 Contributions</w:t>
      </w:r>
    </w:p>
    <w:p>
      <w:pPr>
        <w:spacing w:after="110" w:line="257" w:lineRule="auto"/>
        <w:jc w:val="both"/>
      </w:pPr>
      <w:r>
        <w:rPr>
          <w:rFonts w:ascii="Times New Roman" w:hAnsi="Times New Roman" w:eastAsia="Times New Roman"/>
          <w:b w:val="0"/>
          <w:i w:val="0"/>
          <w:sz w:val="24"/>
        </w:rPr>
        <w:t>First, the study turns the invisible wedge from a one-year estimate into a measure followed over time, and shows that revenue is not a stable guide to the commerce behind it: among the issuer-reported platforms, revenue outgrew transaction value in six of eight comparisons and moved against it twice.</w:t>
      </w:r>
    </w:p>
    <w:p>
      <w:pPr>
        <w:spacing w:after="110" w:line="257" w:lineRule="auto"/>
        <w:jc w:val="both"/>
      </w:pPr>
      <w:r>
        <w:rPr>
          <w:rFonts w:ascii="Times New Roman" w:hAnsi="Times New Roman" w:eastAsia="Times New Roman"/>
          <w:b w:val="0"/>
          <w:i w:val="0"/>
          <w:sz w:val="24"/>
        </w:rPr>
        <w:t>Second, I explain why the wedge moves using accounting components the platforms disclose. Of the increase in Tokopedia's net revenue between 2022 and 2023, 60.6 percent reconciles to lower customer incentives and 39.4 percent to higher gross revenue, in a year when its transaction value fell.</w:t>
      </w:r>
    </w:p>
    <w:p>
      <w:pPr>
        <w:spacing w:after="110" w:line="257" w:lineRule="auto"/>
        <w:jc w:val="both"/>
      </w:pPr>
      <w:r>
        <w:rPr>
          <w:rFonts w:ascii="Times New Roman" w:hAnsi="Times New Roman" w:eastAsia="Times New Roman"/>
          <w:b w:val="0"/>
          <w:i w:val="0"/>
          <w:sz w:val="24"/>
        </w:rPr>
        <w:t>Third, I relate the platform evidence to national e-commerce statistics on sales channels, business participation and financial recordkeeping. This identifies dimensions of digital commerce that selected issuer accounts cannot describe. Payment statistics provide separate context on payment use rather than another estimate of e-commerce sales.</w:t>
      </w:r>
    </w:p>
    <w:p>
      <w:pPr>
        <w:spacing w:after="110" w:line="257" w:lineRule="auto"/>
        <w:jc w:val="both"/>
      </w:pPr>
      <w:r>
        <w:rPr>
          <w:rFonts w:ascii="Times New Roman" w:hAnsi="Times New Roman" w:eastAsia="Times New Roman"/>
          <w:b w:val="0"/>
          <w:i w:val="0"/>
          <w:sz w:val="24"/>
        </w:rPr>
        <w:t>Fourth, the study separates the figures issuers report from those that must be constructed, and shows that the longitudinal result rests on the reported figures alone.</w:t>
      </w:r>
    </w:p>
    <w:p>
      <w:pPr>
        <w:pStyle w:val="Heading2"/>
        <w:spacing w:before="140" w:after="60"/>
        <w:jc w:val="left"/>
      </w:pPr>
      <w:r>
        <w:rPr>
          <w:rFonts w:ascii="Times New Roman" w:hAnsi="Times New Roman" w:eastAsia="Times New Roman"/>
          <w:b/>
          <w:i w:val="0"/>
          <w:sz w:val="24"/>
        </w:rPr>
        <w:t>1.3 Positioning the contribution</w:t>
      </w:r>
    </w:p>
    <w:p>
      <w:pPr>
        <w:spacing w:after="110" w:line="257" w:lineRule="auto"/>
        <w:jc w:val="both"/>
      </w:pPr>
      <w:r>
        <w:rPr>
          <w:rFonts w:ascii="Times New Roman" w:hAnsi="Times New Roman" w:eastAsia="Times New Roman"/>
          <w:b w:val="0"/>
          <w:i w:val="0"/>
          <w:sz w:val="24"/>
        </w:rPr>
        <w:t>The contribution concerns the interpretation of financial and economic measures. De Franco, Kothari and Verdi (2011) motivate attention to accounting comparability, while Berg et al. (2020) show that digital traces can contain information absent from conventional predictors. Here, matched platform histories distinguish revenue growth from growth in processed commerce. National evidence then situates those platform histories within a wider pattern of online business participation and sales channels. The study applies these perspectives together without treating them as measurements of an identical population.</w:t>
      </w:r>
    </w:p>
    <w:p>
      <w:pPr>
        <w:pStyle w:val="Heading1"/>
        <w:spacing w:before="200" w:after="100"/>
        <w:jc w:val="left"/>
      </w:pPr>
      <w:r>
        <w:rPr>
          <w:rFonts w:ascii="Times New Roman" w:hAnsi="Times New Roman" w:eastAsia="Times New Roman"/>
          <w:b/>
          <w:i w:val="0"/>
          <w:sz w:val="24"/>
        </w:rPr>
        <w:t>2. Literature Review and Research Gap</w:t>
      </w:r>
    </w:p>
    <w:p>
      <w:pPr>
        <w:spacing w:after="110" w:line="257" w:lineRule="auto"/>
        <w:jc w:val="both"/>
      </w:pPr>
      <w:r>
        <w:rPr>
          <w:rFonts w:ascii="Times New Roman" w:hAnsi="Times New Roman" w:eastAsia="Times New Roman"/>
          <w:b w:val="0"/>
          <w:i w:val="0"/>
          <w:sz w:val="24"/>
        </w:rPr>
        <w:t>Digital platforms sit between economic activity and the records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how much activity remains invisible when platforms are measured through reported revenue.</w:t>
      </w:r>
    </w:p>
    <w:p>
      <w:pPr>
        <w:pStyle w:val="Heading2"/>
        <w:spacing w:before="140" w:after="60"/>
        <w:jc w:val="left"/>
      </w:pPr>
      <w:r>
        <w:rPr>
          <w:rFonts w:ascii="Times New Roman" w:hAnsi="Times New Roman" w:eastAsia="Times New Roman"/>
          <w:b/>
          <w:i w:val="0"/>
          <w:sz w:val="24"/>
        </w:rPr>
        <w:t>2.1 Platform Economics and Revenue Recognition</w:t>
      </w:r>
    </w:p>
    <w:p>
      <w:pPr>
        <w:spacing w:after="110" w:line="257" w:lineRule="auto"/>
        <w:jc w:val="both"/>
      </w:pPr>
      <w:r>
        <w:rPr>
          <w:rFonts w:ascii="Times New Roman" w:hAnsi="Times New Roman" w:eastAsia="Times New Roman"/>
          <w:b w:val="0"/>
          <w:i w:val="0"/>
          <w:sz w:val="24"/>
        </w:rPr>
        <w:t>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Tirole 2003; Caillaud and Jullien 2003; Parker and Van Alstyne 2005; Armstrong 2006; Hagiu and Wright 2015; Evans and Schmalensee 2016).</w:t>
      </w:r>
    </w:p>
    <w:p>
      <w:pPr>
        <w:spacing w:after="110" w:line="257" w:lineRule="auto"/>
        <w:jc w:val="both"/>
      </w:pPr>
      <w:r>
        <w:rPr>
          <w:rFonts w:ascii="Times New Roman" w:hAnsi="Times New Roman" w:eastAsia="Times New Roman"/>
          <w:b w:val="0"/>
          <w:i w:val="0"/>
          <w:sz w:val="24"/>
        </w:rPr>
        <w:t>Accounting can widen or narrow this difference. Under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The literature therefore explains why a transaction–revenue gap can exist and move over time, but not how economically large that gap becomes in practice.</w:t>
      </w:r>
    </w:p>
    <w:p>
      <w:pPr>
        <w:pStyle w:val="Heading2"/>
        <w:spacing w:before="140" w:after="60"/>
        <w:jc w:val="left"/>
      </w:pPr>
      <w:r>
        <w:rPr>
          <w:rFonts w:ascii="Times New Roman" w:hAnsi="Times New Roman" w:eastAsia="Times New Roman"/>
          <w:b/>
          <w:i w:val="0"/>
          <w:sz w:val="24"/>
        </w:rPr>
        <w:t>2.2 Measuring the Digital Economy</w:t>
      </w:r>
    </w:p>
    <w:p>
      <w:pPr>
        <w:spacing w:after="110" w:line="257" w:lineRule="auto"/>
        <w:jc w:val="both"/>
      </w:pPr>
      <w:r>
        <w:rPr>
          <w:rFonts w:ascii="Times New Roman" w:hAnsi="Times New Roman" w:eastAsia="Times New Roman"/>
          <w:b w:val="0"/>
          <w:i w:val="0"/>
          <w:sz w:val="24"/>
        </w:rPr>
        <w:t>Official measurement frameworks already distinguish between the commerce facilitated through a platform and the service provided by the platform itself. National-accounting guidance separates the buyer-seller transaction from the platform's intermediation service rather than treating the full transaction value as platform output (Ahmad and Schreyer 2016; International Monetary Fund 2018; OECD 2023; United Nations et al. 2025).</w:t>
      </w:r>
    </w:p>
    <w:p>
      <w:pPr>
        <w:spacing w:after="110" w:line="257" w:lineRule="auto"/>
        <w:jc w:val="both"/>
      </w:pPr>
      <w:r>
        <w:rPr>
          <w:rFonts w:ascii="Times New Roman" w:hAnsi="Times New Roman" w:eastAsia="Times New Roman"/>
          <w:b w:val="0"/>
          <w:i w:val="0"/>
          <w:sz w:val="24"/>
        </w:rPr>
        <w:t>In practice, the quantities are published by different producers. Industry reports size the regional digital economy by gross merchandise value (Google, Temasek and Bain 2024), national statistics measure the online sales of surveyed businesses (BPS-Statistics Indonesia 2025), and listed platforms report the revenue they recognize under IFRS 15 (International Accounting Standards Board 2014).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Heading2"/>
        <w:spacing w:before="140" w:after="60"/>
        <w:jc w:val="left"/>
      </w:pPr>
      <w:r>
        <w:rPr>
          <w:rFonts w:ascii="Times New Roman" w:hAnsi="Times New Roman" w:eastAsia="Times New Roman"/>
          <w:b/>
          <w:i w:val="0"/>
          <w:sz w:val="24"/>
        </w:rPr>
        <w:t>2.3 Digital Records and Third-Party Information</w:t>
      </w:r>
    </w:p>
    <w:p>
      <w:pPr>
        <w:spacing w:after="110" w:line="257" w:lineRule="auto"/>
        <w:jc w:val="both"/>
      </w:pPr>
      <w:r>
        <w:rPr>
          <w:rFonts w:ascii="Times New Roman" w:hAnsi="Times New Roman" w:eastAsia="Times New Roman"/>
          <w:b w:val="0"/>
          <w:i w:val="0"/>
          <w:sz w:val="24"/>
        </w:rPr>
        <w:t>Activity outside the revenue line need not be absent from company disclosures or other records. Merchants and service providers can have limited conventional financial records while transactions generate digital traces. Informality research provides context on heterogeneous firms and reporting arrangements (La Porta and Shleifer 2014; Ulyssea 2018; Medina and Schneider 2019). Research on digital footprints and platform-mediated work shows that digital records can contain useful information about economic participants (Berg et al. 2020; Barrios, Hochberg and Yi 2022; Denes, Lagaras and Tsoutsoura 2025). Whether a trace is available to another institution is a separate empirical question.</w:t>
      </w:r>
    </w:p>
    <w:p>
      <w:pPr>
        <w:spacing w:after="110" w:line="257" w:lineRule="auto"/>
        <w:jc w:val="both"/>
      </w:pPr>
      <w:r>
        <w:rPr>
          <w:rFonts w:ascii="Times New Roman" w:hAnsi="Times New Roman" w:eastAsia="Times New Roman"/>
          <w:b w:val="0"/>
          <w:i w:val="0"/>
          <w:sz w:val="24"/>
        </w:rPr>
        <w:t>These records also matter once they become available to government. Public-finance research shows that compliance and enforcement change when information about income or transactions is independently reported by third parties (Kleven et al. 2011; Pomeranz 2015; Naritomi 2019; Kleven, Kreiner and Saez 2016; Slemrod 2019). The OECD Model Rules (OECD 2020) and the European Union's DAC7 regime (European Union 2021) apply this principle to digital platforms, and PMK 37/2025 follows the same logic through seller identification, transaction-linked reporting, and marketplace withholding. The relevance here is informational: records outside platform revenue exist, and what they can show depends on which of them a measure or a rule draws on.</w:t>
      </w:r>
    </w:p>
    <w:p>
      <w:pPr>
        <w:pStyle w:val="Heading2"/>
        <w:spacing w:before="140" w:after="60"/>
        <w:jc w:val="left"/>
      </w:pPr>
      <w:r>
        <w:rPr>
          <w:rFonts w:ascii="Times New Roman" w:hAnsi="Times New Roman" w:eastAsia="Times New Roman"/>
          <w:b/>
          <w:i w:val="0"/>
          <w:sz w:val="24"/>
        </w:rPr>
        <w:t>2.4 Research Gap</w:t>
      </w:r>
    </w:p>
    <w:p>
      <w:pPr>
        <w:spacing w:after="110" w:line="257" w:lineRule="auto"/>
        <w:jc w:val="both"/>
      </w:pPr>
      <w:r>
        <w:rPr>
          <w:rFonts w:ascii="Times New Roman" w:hAnsi="Times New Roman" w:eastAsia="Times New Roman"/>
          <w:b w:val="0"/>
          <w:i w:val="0"/>
          <w:sz w:val="24"/>
        </w:rPr>
        <w:t>Existing research explains the pieces of the problem separately. Platform economics explains why transaction value can exceed revenue; accounting explains why the gap can move; official measurement frameworks explain why these quantities should not be treated as equivalent; and research on digital records explains why activity outside revenue is still observable.</w:t>
      </w:r>
    </w:p>
    <w:p>
      <w:pPr>
        <w:spacing w:after="110" w:line="257" w:lineRule="auto"/>
        <w:jc w:val="both"/>
      </w:pPr>
      <w:r>
        <w:rPr>
          <w:rFonts w:ascii="Times New Roman" w:hAnsi="Times New Roman" w:eastAsia="Times New Roman"/>
          <w:b w:val="0"/>
          <w:i w:val="0"/>
          <w:sz w:val="24"/>
        </w:rPr>
        <w:t>What remains less clear is how large these differences become in practice, whether they persist over time, and whether choosing one record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pattern appears beyond Indonesia.</w:t>
      </w:r>
    </w:p>
    <w:p>
      <w:pPr>
        <w:pStyle w:val="Heading1"/>
        <w:spacing w:before="200" w:after="100"/>
        <w:jc w:val="left"/>
      </w:pPr>
      <w:r>
        <w:rPr>
          <w:rFonts w:ascii="Times New Roman" w:hAnsi="Times New Roman" w:eastAsia="Times New Roman"/>
          <w:b/>
          <w:i w:val="0"/>
          <w:sz w:val="24"/>
        </w:rPr>
        <w:t>3. Theoretical Framework and Hypotheses</w:t>
      </w:r>
    </w:p>
    <w:p>
      <w:pPr>
        <w:spacing w:after="110" w:line="257" w:lineRule="auto"/>
        <w:jc w:val="both"/>
      </w:pPr>
      <w:r>
        <w:rPr>
          <w:rFonts w:ascii="Times New Roman" w:hAnsi="Times New Roman" w:eastAsia="Times New Roman"/>
          <w:b w:val="0"/>
          <w:i w:val="0"/>
          <w:sz w:val="24"/>
        </w:rPr>
        <w:t>The framework examines the transaction-revenue relationship within platforms, then relates it to national evidence on channels, participation and recordkeeping. Each comparison preserves the meaning and scope of its inputs.</w:t>
      </w:r>
    </w:p>
    <w:p>
      <w:pPr>
        <w:spacing w:after="110" w:line="257" w:lineRule="auto"/>
        <w:jc w:val="both"/>
      </w:pPr>
      <w:r>
        <w:rPr>
          <w:rFonts w:ascii="Times New Roman" w:hAnsi="Times New Roman" w:eastAsia="Times New Roman"/>
          <w:b w:val="0"/>
          <w:i w:val="0"/>
          <w:sz w:val="24"/>
        </w:rPr>
        <w:t>For the platform analysis, transaction value and revenue are paired only when they refer to the same period and business activity. Figures that issuers report and figures that must be constructed are kept apart, as are national statistics and payment records (Section 4).</w:t>
      </w:r>
    </w:p>
    <w:p>
      <w:pPr>
        <w:pStyle w:val="Heading2"/>
        <w:spacing w:before="140" w:after="60"/>
        <w:jc w:val="left"/>
      </w:pPr>
      <w:r>
        <w:rPr>
          <w:rFonts w:ascii="Times New Roman" w:hAnsi="Times New Roman" w:eastAsia="Times New Roman"/>
          <w:b/>
          <w:i w:val="0"/>
          <w:sz w:val="24"/>
        </w:rPr>
        <w:t>3.1 Measurement Framework</w:t>
      </w:r>
    </w:p>
    <w:p>
      <w:pPr>
        <w:keepNext/>
        <w:spacing w:after="110" w:line="257" w:lineRule="auto"/>
        <w:jc w:val="both"/>
      </w:pPr>
      <w:r>
        <w:rPr>
          <w:rFonts w:ascii="Times New Roman" w:hAnsi="Times New Roman" w:eastAsia="Times New Roman"/>
          <w:b w:val="0"/>
          <w:i w:val="0"/>
          <w:sz w:val="24"/>
        </w:rPr>
        <w:t>Let V</w:t>
      </w:r>
      <w:r>
        <w:rPr>
          <w:rFonts w:ascii="Times New Roman" w:hAnsi="Times New Roman" w:eastAsia="Times New Roman"/>
          <w:b w:val="0"/>
          <w:i w:val="0"/>
          <w:sz w:val="24"/>
          <w:vertAlign w:val="subscript"/>
        </w:rPr>
        <w:t>it</w:t>
      </w:r>
      <w:r>
        <w:rPr>
          <w:rFonts w:ascii="Times New Roman" w:hAnsi="Times New Roman" w:eastAsia="Times New Roman"/>
          <w:b w:val="0"/>
          <w:i w:val="0"/>
          <w:sz w:val="24"/>
        </w:rPr>
        <w:t xml:space="preserve"> denote transaction value processed by platform i in period t, and R</w:t>
      </w:r>
      <w:r>
        <w:rPr>
          <w:rFonts w:ascii="Times New Roman" w:hAnsi="Times New Roman" w:eastAsia="Times New Roman"/>
          <w:b w:val="0"/>
          <w:i w:val="0"/>
          <w:sz w:val="24"/>
          <w:vertAlign w:val="subscript"/>
        </w:rPr>
        <w:t>it</w:t>
      </w:r>
      <w:r>
        <w:rPr>
          <w:rFonts w:ascii="Times New Roman" w:hAnsi="Times New Roman" w:eastAsia="Times New Roman"/>
          <w:b w:val="0"/>
          <w:i w:val="0"/>
          <w:sz w:val="24"/>
        </w:rPr>
        <w:t xml:space="preserve"> the revenue recognized over the same matched period and business scope. The absolute invisible wedge is:</w:t>
      </w:r>
    </w:p>
    <w:p>
      <w:pPr>
        <w:keepNext w:val="0"/>
        <w:spacing w:before="60" w:after="110" w:line="257" w:lineRule="auto"/>
        <w:jc w:val="center"/>
      </w:pPr>
      <w:r>
        <w:rPr>
          <w:rFonts w:ascii="Times New Roman" w:hAnsi="Times New Roman" w:eastAsia="Times New Roman"/>
          <w:b w:val="0"/>
          <w:i/>
          <w:sz w:val="24"/>
        </w:rPr>
        <w:t>W</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V</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R</w:t>
      </w:r>
      <w:r>
        <w:rPr>
          <w:rFonts w:ascii="Times New Roman" w:hAnsi="Times New Roman" w:eastAsia="Times New Roman"/>
          <w:b w:val="0"/>
          <w:i/>
          <w:sz w:val="24"/>
          <w:vertAlign w:val="subscript"/>
        </w:rPr>
        <w:t>it</w:t>
      </w:r>
    </w:p>
    <w:p>
      <w:pPr>
        <w:spacing w:after="110" w:line="257" w:lineRule="auto"/>
        <w:jc w:val="both"/>
      </w:pPr>
      <w:r>
        <w:rPr>
          <w:rFonts w:ascii="Times New Roman" w:hAnsi="Times New Roman" w:eastAsia="Times New Roman"/>
          <w:b w:val="0"/>
          <w:i w:val="0"/>
          <w:sz w:val="24"/>
        </w:rPr>
        <w:t>W describes scale, not an omission from company accounts: both inputs may appear in the same report. It does not measure participant profit, tax liability or value added. The Ecosystem Ratio expresses the difference relative to revenue:</w:t>
      </w:r>
    </w:p>
    <w:p>
      <w:pPr>
        <w:keepNext/>
        <w:spacing w:before="60" w:after="110" w:line="257" w:lineRule="auto"/>
        <w:jc w:val="center"/>
      </w:pPr>
      <w:r>
        <w:rPr>
          <w:rFonts w:ascii="Times New Roman" w:hAnsi="Times New Roman" w:eastAsia="Times New Roman"/>
          <w:b w:val="0"/>
          <w:i/>
          <w:sz w:val="24"/>
        </w:rPr>
        <w:t>E</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(V</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R</w:t>
      </w:r>
      <w:r>
        <w:rPr>
          <w:rFonts w:ascii="Times New Roman" w:hAnsi="Times New Roman" w:eastAsia="Times New Roman"/>
          <w:b w:val="0"/>
          <w:i/>
          <w:sz w:val="24"/>
          <w:vertAlign w:val="subscript"/>
        </w:rPr>
        <w:t>it</w:t>
      </w:r>
      <w:r>
        <w:rPr>
          <w:rFonts w:ascii="Times New Roman" w:hAnsi="Times New Roman" w:eastAsia="Times New Roman"/>
          <w:b w:val="0"/>
          <w:i/>
          <w:sz w:val="24"/>
        </w:rPr>
        <w:t>) / R</w:t>
      </w:r>
      <w:r>
        <w:rPr>
          <w:rFonts w:ascii="Times New Roman" w:hAnsi="Times New Roman" w:eastAsia="Times New Roman"/>
          <w:b w:val="0"/>
          <w:i/>
          <w:sz w:val="24"/>
          <w:vertAlign w:val="subscript"/>
        </w:rPr>
        <w:t>it</w:t>
      </w:r>
    </w:p>
    <w:p>
      <w:pPr>
        <w:spacing w:after="110" w:line="257" w:lineRule="auto"/>
        <w:jc w:val="both"/>
      </w:pPr>
      <w:r>
        <w:rPr>
          <w:rFonts w:ascii="Times New Roman" w:hAnsi="Times New Roman" w:eastAsia="Times New Roman"/>
          <w:b w:val="0"/>
          <w:i w:val="0"/>
          <w:sz w:val="24"/>
        </w:rPr>
        <w:t>An E of 9 means the wedge equals nine times revenue. With monetization t = R/V, E = 1/t - 1: the same information expressed differently. Comparisons require consistent transaction, revenue and business definitions.</w:t>
      </w:r>
    </w:p>
    <w:p>
      <w:pPr>
        <w:spacing w:after="110" w:line="257" w:lineRule="auto"/>
        <w:jc w:val="both"/>
      </w:pPr>
      <w:r>
        <w:rPr>
          <w:rFonts w:ascii="Times New Roman" w:hAnsi="Times New Roman" w:eastAsia="Times New Roman"/>
          <w:b w:val="0"/>
          <w:i w:val="0"/>
          <w:sz w:val="24"/>
        </w:rPr>
        <w:t>E is a descriptive transformation, not a new underlying quantity. Platform economics motivates the distinction (Rochet and Tirole 2003; Hagiu and Wright 2015; Evans and Schmalensee 2016); accounting literature motivates checking recognition and scope (International Accounting Standards Board 2014; De Franco, Kothari and Verdi 2011).</w:t>
      </w:r>
    </w:p>
    <w:p>
      <w:pPr>
        <w:spacing w:after="110" w:line="257" w:lineRule="auto"/>
        <w:jc w:val="both"/>
      </w:pPr>
      <w:r>
        <w:rPr>
          <w:rFonts w:ascii="Times New Roman" w:hAnsi="Times New Roman" w:eastAsia="Times New Roman"/>
          <w:b w:val="0"/>
          <w:i w:val="0"/>
          <w:sz w:val="24"/>
        </w:rPr>
        <w:t>A single ratio does not show whether the relationship holds through time, so I define annual growth divergence as:</w:t>
      </w:r>
    </w:p>
    <w:p>
      <w:pPr>
        <w:keepNext/>
        <w:spacing w:before="60" w:after="110" w:line="257" w:lineRule="auto"/>
        <w:jc w:val="center"/>
      </w:pPr>
      <w:r>
        <w:rPr>
          <w:rFonts w:ascii="Times New Roman" w:hAnsi="Times New Roman" w:eastAsia="Times New Roman"/>
          <w:b w:val="0"/>
          <w:i/>
          <w:sz w:val="24"/>
        </w:rPr>
        <w:t>D</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g(V</w:t>
      </w:r>
      <w:r>
        <w:rPr>
          <w:rFonts w:ascii="Times New Roman" w:hAnsi="Times New Roman" w:eastAsia="Times New Roman"/>
          <w:b w:val="0"/>
          <w:i/>
          <w:sz w:val="24"/>
          <w:vertAlign w:val="subscript"/>
        </w:rPr>
        <w:t>it</w:t>
      </w:r>
      <w:r>
        <w:rPr>
          <w:rFonts w:ascii="Times New Roman" w:hAnsi="Times New Roman" w:eastAsia="Times New Roman"/>
          <w:b w:val="0"/>
          <w:i/>
          <w:sz w:val="24"/>
        </w:rPr>
        <w:t>) − g(R</w:t>
      </w:r>
      <w:r>
        <w:rPr>
          <w:rFonts w:ascii="Times New Roman" w:hAnsi="Times New Roman" w:eastAsia="Times New Roman"/>
          <w:b w:val="0"/>
          <w:i/>
          <w:sz w:val="24"/>
          <w:vertAlign w:val="subscript"/>
        </w:rPr>
        <w:t>it</w:t>
      </w:r>
      <w:r>
        <w:rPr>
          <w:rFonts w:ascii="Times New Roman" w:hAnsi="Times New Roman" w:eastAsia="Times New Roman"/>
          <w:b w:val="0"/>
          <w:i/>
          <w:sz w:val="24"/>
        </w:rPr>
        <w:t>)</w:t>
      </w:r>
    </w:p>
    <w:p>
      <w:pPr>
        <w:spacing w:after="110" w:line="257" w:lineRule="auto"/>
        <w:jc w:val="both"/>
      </w:pPr>
      <w:r>
        <w:rPr>
          <w:rFonts w:ascii="Times New Roman" w:hAnsi="Times New Roman" w:eastAsia="Times New Roman"/>
          <w:b w:val="0"/>
          <w:i w:val="0"/>
          <w:sz w:val="24"/>
        </w:rPr>
        <w:t>Negative D means revenue grew faster; positive D means transaction value grew faster. Absolute D measures the difference in percentage points. A constant revenue-to-transaction ratio implies D = 0. This tests a fixed conversion within the sample, not every possible predictive model.</w:t>
      </w:r>
    </w:p>
    <w:p>
      <w:pPr>
        <w:pStyle w:val="Heading2"/>
        <w:spacing w:before="140" w:after="60"/>
        <w:jc w:val="left"/>
      </w:pPr>
      <w:r>
        <w:rPr>
          <w:rFonts w:ascii="Times New Roman" w:hAnsi="Times New Roman" w:eastAsia="Times New Roman"/>
          <w:b/>
          <w:i w:val="0"/>
          <w:sz w:val="24"/>
        </w:rPr>
        <w:t>3.2 Hypotheses</w:t>
      </w:r>
    </w:p>
    <w:p>
      <w:pPr>
        <w:spacing w:after="110" w:line="257" w:lineRule="auto"/>
        <w:jc w:val="both"/>
      </w:pPr>
      <w:r>
        <w:rPr>
          <w:rFonts w:ascii="Times New Roman" w:hAnsi="Times New Roman" w:eastAsia="Times New Roman"/>
          <w:b w:val="0"/>
          <w:i w:val="0"/>
          <w:sz w:val="24"/>
        </w:rPr>
        <w:t>H1 tests matched platform histories. H2-H4 examine BPS participation, recordkeeping and channel growth. These are complementary descriptive tests, not causal estimates.</w:t>
      </w:r>
    </w:p>
    <w:p>
      <w:pPr>
        <w:keepNext/>
        <w:spacing w:after="110" w:line="257" w:lineRule="auto"/>
        <w:jc w:val="left"/>
      </w:pPr>
      <w:r>
        <w:rPr>
          <w:rFonts w:ascii="Times New Roman" w:hAnsi="Times New Roman" w:eastAsia="Times New Roman"/>
          <w:b/>
          <w:i w:val="0"/>
          <w:sz w:val="24"/>
        </w:rPr>
        <w:t>H1. Within the same platform, transaction value and platform revenue do not grow in proportion.</w:t>
      </w:r>
    </w:p>
    <w:p>
      <w:pPr>
        <w:spacing w:after="110" w:line="257" w:lineRule="auto"/>
        <w:jc w:val="both"/>
      </w:pPr>
      <w:r>
        <w:rPr>
          <w:rFonts w:ascii="Times New Roman" w:hAnsi="Times New Roman" w:eastAsia="Times New Roman"/>
          <w:b w:val="0"/>
          <w:i w:val="0"/>
          <w:sz w:val="24"/>
        </w:rPr>
        <w:t>Proportional growth would leave E constant and D at zero. The analysis reports the magnitude and direction of D and separately counts transitions in which the two underlying growth rates have opposite signs.</w:t>
      </w:r>
    </w:p>
    <w:p>
      <w:pPr>
        <w:keepNext/>
        <w:spacing w:after="110" w:line="257" w:lineRule="auto"/>
        <w:jc w:val="left"/>
      </w:pPr>
      <w:r>
        <w:rPr>
          <w:rFonts w:ascii="Times New Roman" w:hAnsi="Times New Roman" w:eastAsia="Times New Roman"/>
          <w:b/>
          <w:i w:val="0"/>
          <w:sz w:val="24"/>
        </w:rPr>
        <w:t>H2. National e-commerce growth comes mainly from more participating businesses rather than from higher sales per business.</w:t>
      </w:r>
    </w:p>
    <w:p>
      <w:pPr>
        <w:spacing w:after="110" w:line="257" w:lineRule="auto"/>
        <w:jc w:val="both"/>
      </w:pPr>
      <w:r>
        <w:rPr>
          <w:rFonts w:ascii="Times New Roman" w:hAnsi="Times New Roman" w:eastAsia="Times New Roman"/>
          <w:b w:val="0"/>
          <w:i w:val="0"/>
          <w:sz w:val="24"/>
        </w:rPr>
        <w:t>The arithmetic decomposition distinguishes changes in estimated business counts from changes in implied sales per business. It is not a panel of entering firms, and the national count decomposition does not allocate participation growth to individual channels.</w:t>
      </w:r>
    </w:p>
    <w:p>
      <w:pPr>
        <w:keepNext/>
        <w:spacing w:after="110" w:line="257" w:lineRule="auto"/>
        <w:jc w:val="left"/>
      </w:pPr>
      <w:r>
        <w:rPr>
          <w:rFonts w:ascii="Times New Roman" w:hAnsi="Times New Roman" w:eastAsia="Times New Roman"/>
          <w:b/>
          <w:i w:val="0"/>
          <w:sz w:val="24"/>
        </w:rPr>
        <w:t>H3. Marketplace participation is associated with stronger financial recordkeeping.</w:t>
      </w:r>
    </w:p>
    <w:p>
      <w:pPr>
        <w:spacing w:after="110" w:line="257" w:lineRule="auto"/>
        <w:jc w:val="both"/>
      </w:pPr>
      <w:r>
        <w:rPr>
          <w:rFonts w:ascii="Times New Roman" w:hAnsi="Times New Roman" w:eastAsia="Times New Roman"/>
          <w:b w:val="0"/>
          <w:i w:val="0"/>
          <w:sz w:val="24"/>
        </w:rPr>
        <w:t>Complete financial statements indicate one aspect of recordkeeping. Their absence does not establish absence from surveys, payment records or tax systems; the comparison is associative.</w:t>
      </w:r>
    </w:p>
    <w:p>
      <w:pPr>
        <w:keepNext/>
        <w:spacing w:after="110" w:line="257" w:lineRule="auto"/>
        <w:jc w:val="left"/>
      </w:pPr>
      <w:r>
        <w:rPr>
          <w:rFonts w:ascii="Times New Roman" w:hAnsi="Times New Roman" w:eastAsia="Times New Roman"/>
          <w:b/>
          <w:i w:val="0"/>
          <w:sz w:val="24"/>
        </w:rPr>
        <w:t>H4. A marketplace-only account of e-commerce growth differs from the broader national channel account.</w:t>
      </w:r>
    </w:p>
    <w:p>
      <w:pPr>
        <w:spacing w:after="110" w:line="257" w:lineRule="auto"/>
        <w:jc w:val="both"/>
      </w:pPr>
      <w:r>
        <w:rPr>
          <w:rFonts w:ascii="Times New Roman" w:hAnsi="Times New Roman" w:eastAsia="Times New Roman"/>
          <w:b w:val="0"/>
          <w:i w:val="0"/>
          <w:sz w:val="24"/>
        </w:rPr>
        <w:t>H4 compares marketplace and total e-commerce growth within BPS. Together, H1-H4 distinguish monetization, participation, recordkeeping and channel composition. Cross-source levels and payment indicators remain supporting diagnostics requiring definition and coverage checks.</w:t>
      </w:r>
    </w:p>
    <w:p>
      <w:pPr>
        <w:keepNext/>
        <w:spacing w:before="80" w:after="70" w:line="240" w:lineRule="auto"/>
        <w:jc w:val="left"/>
      </w:pPr>
      <w:r>
        <w:rPr>
          <w:rFonts w:ascii="Times New Roman" w:hAnsi="Times New Roman" w:eastAsia="Times New Roman"/>
          <w:b/>
          <w:i/>
          <w:sz w:val="19"/>
        </w:rPr>
        <w:t>Table 1. Hypotheses and principal empirical tests.</w:t>
      </w:r>
    </w:p>
    <w:tbl>
      <w:tblPr>
        <w:tblStyle w:val="TableGrid"/>
        <w:tblW w:type="auto" w:w="0"/>
        <w:jc w:val="center"/>
        <w:tblLayout w:type="fixed"/>
      </w:tblPr>
      <w:tblGrid>
        <w:gridCol w:w="4773"/>
        <w:gridCol w:w="4773"/>
      </w:tblGrid>
      <w:tr>
        <w:trPr>
          <w:tblHeader w:val="true"/>
          <w:cantSplit/>
        </w:trPr>
        <w:tc>
          <w:tcPr>
            <w:vAlign w:val="center"/>
          </w:tcPr>
          <w:p>
            <w:r>
              <w:rPr>
                <w:rFonts w:ascii="Times New Roman" w:hAnsi="Times New Roman" w:eastAsia="Times New Roman"/>
                <w:b/>
                <w:i w:val="0"/>
                <w:sz w:val="18"/>
              </w:rPr>
              <w:t>Hypothesis</w:t>
            </w:r>
          </w:p>
        </w:tc>
        <w:tc>
          <w:tcPr>
            <w:vAlign w:val="center"/>
          </w:tcPr>
          <w:p>
            <w:r>
              <w:rPr>
                <w:rFonts w:ascii="Times New Roman" w:hAnsi="Times New Roman" w:eastAsia="Times New Roman"/>
                <w:b/>
                <w:i w:val="0"/>
                <w:sz w:val="18"/>
              </w:rPr>
              <w:t>Principal empirical test</w:t>
            </w:r>
          </w:p>
        </w:tc>
      </w:tr>
      <w:tr>
        <w:trPr>
          <w:cantSplit/>
        </w:trPr>
        <w:tc>
          <w:tcPr>
            <w:vAlign w:val="center"/>
          </w:tcPr>
          <w:p>
            <w:r>
              <w:rPr>
                <w:rFonts w:ascii="Times New Roman" w:hAnsi="Times New Roman" w:eastAsia="Times New Roman"/>
                <w:b w:val="0"/>
                <w:i w:val="0"/>
                <w:sz w:val="18"/>
              </w:rPr>
              <w:t>H1 - Transaction-revenue divergence</w:t>
            </w:r>
          </w:p>
        </w:tc>
        <w:tc>
          <w:tcPr>
            <w:vAlign w:val="center"/>
          </w:tcPr>
          <w:p>
            <w:r>
              <w:rPr>
                <w:rFonts w:ascii="Times New Roman" w:hAnsi="Times New Roman" w:eastAsia="Times New Roman"/>
                <w:b w:val="0"/>
                <w:i w:val="0"/>
                <w:sz w:val="18"/>
              </w:rPr>
              <w:t>Growth divergence D and the Ecosystem Ratio for the platforms that report both figures</w:t>
            </w:r>
          </w:p>
        </w:tc>
      </w:tr>
      <w:tr>
        <w:trPr>
          <w:cantSplit/>
        </w:trPr>
        <w:tc>
          <w:tcPr>
            <w:vAlign w:val="center"/>
          </w:tcPr>
          <w:p>
            <w:r>
              <w:rPr>
                <w:rFonts w:ascii="Times New Roman" w:hAnsi="Times New Roman" w:eastAsia="Times New Roman"/>
                <w:b w:val="0"/>
                <w:i w:val="0"/>
                <w:sz w:val="18"/>
              </w:rPr>
              <w:t>H2 - Sources of e-commerce growth</w:t>
            </w:r>
          </w:p>
        </w:tc>
        <w:tc>
          <w:tcPr>
            <w:vAlign w:val="center"/>
          </w:tcPr>
          <w:p>
            <w:r>
              <w:rPr>
                <w:rFonts w:ascii="Times New Roman" w:hAnsi="Times New Roman" w:eastAsia="Times New Roman"/>
                <w:b w:val="0"/>
                <w:i w:val="0"/>
                <w:sz w:val="18"/>
              </w:rPr>
              <w:t>BPS national e-commerce value split into business count and sales per business</w:t>
            </w:r>
          </w:p>
        </w:tc>
      </w:tr>
      <w:tr>
        <w:trPr>
          <w:cantSplit/>
        </w:trPr>
        <w:tc>
          <w:tcPr>
            <w:vAlign w:val="center"/>
          </w:tcPr>
          <w:p>
            <w:r>
              <w:rPr>
                <w:rFonts w:ascii="Times New Roman" w:hAnsi="Times New Roman" w:eastAsia="Times New Roman"/>
                <w:b w:val="0"/>
                <w:i w:val="0"/>
                <w:sz w:val="18"/>
              </w:rPr>
              <w:t>H3 - Marketplace participation and recordkeeping</w:t>
            </w:r>
          </w:p>
        </w:tc>
        <w:tc>
          <w:tcPr>
            <w:vAlign w:val="center"/>
          </w:tcPr>
          <w:p>
            <w:r>
              <w:rPr>
                <w:rFonts w:ascii="Times New Roman" w:hAnsi="Times New Roman" w:eastAsia="Times New Roman"/>
                <w:b w:val="0"/>
                <w:i w:val="0"/>
                <w:sz w:val="18"/>
              </w:rPr>
              <w:t>BPS published comparison of marketplace and non-marketplace sellers</w:t>
            </w:r>
          </w:p>
        </w:tc>
      </w:tr>
      <w:tr>
        <w:trPr>
          <w:cantSplit/>
        </w:trPr>
        <w:tc>
          <w:tcPr>
            <w:vAlign w:val="center"/>
          </w:tcPr>
          <w:p>
            <w:r>
              <w:rPr>
                <w:rFonts w:ascii="Times New Roman" w:hAnsi="Times New Roman" w:eastAsia="Times New Roman"/>
                <w:b w:val="0"/>
                <w:i w:val="0"/>
                <w:sz w:val="18"/>
              </w:rPr>
              <w:t>H4 - Measurement choice</w:t>
            </w:r>
          </w:p>
        </w:tc>
        <w:tc>
          <w:tcPr>
            <w:vAlign w:val="center"/>
          </w:tcPr>
          <w:p>
            <w:r>
              <w:rPr>
                <w:rFonts w:ascii="Times New Roman" w:hAnsi="Times New Roman" w:eastAsia="Times New Roman"/>
                <w:b w:val="0"/>
                <w:i w:val="0"/>
                <w:sz w:val="18"/>
              </w:rPr>
              <w:t>Marketplace and total e-commerce growth within the BPS channel decomposition</w:t>
            </w:r>
          </w:p>
        </w:tc>
      </w:tr>
    </w:tbl>
    <w:p>
      <w:pPr>
        <w:spacing w:before="120" w:after="110" w:line="257" w:lineRule="auto"/>
        <w:jc w:val="both"/>
      </w:pPr>
      <w:r>
        <w:rPr>
          <w:rFonts w:ascii="Times New Roman" w:hAnsi="Times New Roman" w:eastAsia="Times New Roman"/>
          <w:b w:val="0"/>
          <w:i w:val="0"/>
          <w:sz w:val="24"/>
        </w:rPr>
        <w:t>The comparison of platform businesses outside Indonesia corroborates H1 rather than forming a fifth hypothesis.</w:t>
      </w:r>
    </w:p>
    <w:p>
      <w:pPr>
        <w:pStyle w:val="Heading1"/>
        <w:spacing w:before="200" w:after="100"/>
        <w:jc w:val="left"/>
      </w:pPr>
      <w:r>
        <w:rPr>
          <w:rFonts w:ascii="Times New Roman" w:hAnsi="Times New Roman" w:eastAsia="Times New Roman"/>
          <w:b/>
          <w:i w:val="0"/>
          <w:sz w:val="24"/>
        </w:rPr>
        <w:t>4. Data and Methodology</w:t>
      </w:r>
    </w:p>
    <w:p>
      <w:pPr>
        <w:spacing w:after="110" w:line="257" w:lineRule="auto"/>
        <w:jc w:val="both"/>
      </w:pPr>
      <w:r>
        <w:rPr>
          <w:rFonts w:ascii="Times New Roman" w:hAnsi="Times New Roman" w:eastAsia="Times New Roman"/>
          <w:b w:val="0"/>
          <w:i w:val="0"/>
          <w:sz w:val="24"/>
        </w:rPr>
        <w:t>Platform reports supply transaction-revenue pairs; BPS supplies national sales and business evidence; Bank Indonesia supplies payment context. External platforms provide corroboration. These populations are not pooled.</w:t>
      </w:r>
    </w:p>
    <w:p>
      <w:pPr>
        <w:pStyle w:val="Heading2"/>
        <w:spacing w:before="140" w:after="60"/>
        <w:jc w:val="left"/>
      </w:pPr>
      <w:r>
        <w:rPr>
          <w:rFonts w:ascii="Times New Roman" w:hAnsi="Times New Roman" w:eastAsia="Times New Roman"/>
          <w:b/>
          <w:i w:val="0"/>
          <w:sz w:val="24"/>
        </w:rPr>
        <w:t>4.1 Selecting the Platform Evidence</w:t>
      </w:r>
    </w:p>
    <w:p>
      <w:pPr>
        <w:spacing w:after="110" w:line="257" w:lineRule="auto"/>
        <w:jc w:val="both"/>
      </w:pPr>
      <w:r>
        <w:rPr>
          <w:rFonts w:ascii="Times New Roman" w:hAnsi="Times New Roman" w:eastAsia="Times New Roman"/>
          <w:b w:val="0"/>
          <w:i w:val="0"/>
          <w:sz w:val="24"/>
        </w:rPr>
        <w:t>The basic observation is one platform in one year, with transaction value and revenue referring to the same period and, as closely as possible, the same business activity. An observation is retained only when its period, geographic and business coverage, units, definitions, and source can be identified; measures referring to different periods are excluded, and major changes in accounting definitions or business structure are recorded.</w:t>
      </w:r>
    </w:p>
    <w:p>
      <w:pPr>
        <w:spacing w:after="110" w:line="257" w:lineRule="auto"/>
        <w:jc w:val="both"/>
      </w:pPr>
      <w:r>
        <w:rPr>
          <w:rFonts w:ascii="Times New Roman" w:hAnsi="Times New Roman" w:eastAsia="Times New Roman"/>
          <w:b w:val="0"/>
          <w:i w:val="0"/>
          <w:sz w:val="24"/>
        </w:rPr>
        <w:t>The main longitudinal sample contains the issuer-reported pairs selected in the current candidate-level file. Lazada and TikTok Shop are outside that matched sample because no corresponding Indonesian revenue series has been located for either. The selected window extends from Bukalapak in 2020 through Blibli in 2025. It is a disclosure-based case sample rather than a representative sample of Indonesian platforms.</w:t>
      </w:r>
    </w:p>
    <w:p>
      <w:pPr>
        <w:keepNext/>
        <w:spacing w:before="80" w:after="70" w:line="240" w:lineRule="auto"/>
        <w:jc w:val="left"/>
      </w:pPr>
      <w:r>
        <w:rPr>
          <w:rFonts w:ascii="Times New Roman" w:hAnsi="Times New Roman" w:eastAsia="Times New Roman"/>
          <w:b/>
          <w:i/>
          <w:sz w:val="19"/>
        </w:rPr>
        <w:t>Table 2. Indonesian platform evidence.</w:t>
      </w:r>
    </w:p>
    <w:tbl>
      <w:tblPr>
        <w:tblStyle w:val="TableGrid"/>
        <w:tblW w:type="auto" w:w="0"/>
        <w:jc w:val="center"/>
        <w:tblLayout w:type="fixed"/>
      </w:tblPr>
      <w:tblGrid>
        <w:gridCol w:w="2386"/>
        <w:gridCol w:w="2386"/>
        <w:gridCol w:w="2386"/>
        <w:gridCol w:w="2386"/>
      </w:tblGrid>
      <w:tr>
        <w:trPr>
          <w:tblHeader w:val="true"/>
          <w:cantSplit/>
        </w:trPr>
        <w:tc>
          <w:tcPr>
            <w:vAlign w:val="center"/>
          </w:tcPr>
          <w:p>
            <w:r>
              <w:rPr>
                <w:rFonts w:ascii="Times New Roman" w:hAnsi="Times New Roman" w:eastAsia="Times New Roman"/>
                <w:b/>
                <w:i w:val="0"/>
                <w:sz w:val="18"/>
              </w:rPr>
              <w:t>Type of evidence</w:t>
            </w:r>
          </w:p>
        </w:tc>
        <w:tc>
          <w:tcPr>
            <w:vAlign w:val="center"/>
          </w:tcPr>
          <w:p>
            <w:r>
              <w:rPr>
                <w:rFonts w:ascii="Times New Roman" w:hAnsi="Times New Roman" w:eastAsia="Times New Roman"/>
                <w:b/>
                <w:i w:val="0"/>
                <w:sz w:val="18"/>
              </w:rPr>
              <w:t>Platforms</w:t>
            </w:r>
          </w:p>
        </w:tc>
        <w:tc>
          <w:tcPr>
            <w:vAlign w:val="center"/>
          </w:tcPr>
          <w:p>
            <w:r>
              <w:rPr>
                <w:rFonts w:ascii="Times New Roman" w:hAnsi="Times New Roman" w:eastAsia="Times New Roman"/>
                <w:b/>
                <w:i w:val="0"/>
                <w:sz w:val="18"/>
              </w:rPr>
              <w:t>Annual observations</w:t>
            </w:r>
          </w:p>
        </w:tc>
        <w:tc>
          <w:tcPr>
            <w:vAlign w:val="center"/>
          </w:tcPr>
          <w:p>
            <w:r>
              <w:rPr>
                <w:rFonts w:ascii="Times New Roman" w:hAnsi="Times New Roman" w:eastAsia="Times New Roman"/>
                <w:b/>
                <w:i w:val="0"/>
                <w:sz w:val="18"/>
              </w:rPr>
              <w:t>Role</w:t>
            </w:r>
          </w:p>
        </w:tc>
      </w:tr>
      <w:tr>
        <w:trPr>
          <w:cantSplit/>
        </w:trPr>
        <w:tc>
          <w:tcPr>
            <w:vAlign w:val="center"/>
          </w:tcPr>
          <w:p>
            <w:r>
              <w:rPr>
                <w:rFonts w:ascii="Times New Roman" w:hAnsi="Times New Roman" w:eastAsia="Times New Roman"/>
                <w:b w:val="0"/>
                <w:i w:val="0"/>
                <w:sz w:val="18"/>
              </w:rPr>
              <w:t>Issuer-reported, Indonesia-aligned</w:t>
            </w:r>
          </w:p>
        </w:tc>
        <w:tc>
          <w:tcPr>
            <w:vAlign w:val="center"/>
          </w:tcPr>
          <w:p>
            <w:r>
              <w:rPr>
                <w:rFonts w:ascii="Times New Roman" w:hAnsi="Times New Roman" w:eastAsia="Times New Roman"/>
                <w:b w:val="0"/>
                <w:i w:val="0"/>
                <w:sz w:val="18"/>
              </w:rPr>
              <w:t>Tokopedia e-commerce</w:t>
            </w:r>
          </w:p>
        </w:tc>
        <w:tc>
          <w:tcPr>
            <w:vAlign w:val="center"/>
          </w:tcPr>
          <w:p>
            <w:r>
              <w:rPr>
                <w:rFonts w:ascii="Times New Roman" w:hAnsi="Times New Roman" w:eastAsia="Times New Roman"/>
                <w:b w:val="0"/>
                <w:i w:val="0"/>
                <w:sz w:val="18"/>
              </w:rPr>
              <w:t>2</w:t>
            </w:r>
          </w:p>
        </w:tc>
        <w:tc>
          <w:tcPr>
            <w:vAlign w:val="center"/>
          </w:tcPr>
          <w:p>
            <w:r>
              <w:rPr>
                <w:rFonts w:ascii="Times New Roman" w:hAnsi="Times New Roman" w:eastAsia="Times New Roman"/>
                <w:b w:val="0"/>
                <w:i w:val="0"/>
                <w:sz w:val="18"/>
              </w:rPr>
              <w:t>Main sample: cleanest scope, shortest window</w:t>
            </w:r>
          </w:p>
        </w:tc>
      </w:tr>
      <w:tr>
        <w:trPr>
          <w:cantSplit/>
        </w:trPr>
        <w:tc>
          <w:tcPr>
            <w:vAlign w:val="center"/>
          </w:tcPr>
          <w:p>
            <w:r>
              <w:rPr>
                <w:rFonts w:ascii="Times New Roman" w:hAnsi="Times New Roman" w:eastAsia="Times New Roman"/>
                <w:b w:val="0"/>
                <w:i w:val="0"/>
                <w:sz w:val="18"/>
              </w:rPr>
              <w:t>Issuer-reported, broader scope</w:t>
            </w:r>
          </w:p>
        </w:tc>
        <w:tc>
          <w:tcPr>
            <w:vAlign w:val="center"/>
          </w:tcPr>
          <w:p>
            <w:r>
              <w:rPr>
                <w:rFonts w:ascii="Times New Roman" w:hAnsi="Times New Roman" w:eastAsia="Times New Roman"/>
                <w:b w:val="0"/>
                <w:i w:val="0"/>
                <w:sz w:val="18"/>
              </w:rPr>
              <w:t>Blibli third-party business; Bukalapak Group</w:t>
            </w:r>
          </w:p>
        </w:tc>
        <w:tc>
          <w:tcPr>
            <w:vAlign w:val="center"/>
          </w:tcPr>
          <w:p>
            <w:r>
              <w:rPr>
                <w:rFonts w:ascii="Times New Roman" w:hAnsi="Times New Roman" w:eastAsia="Times New Roman"/>
                <w:b w:val="0"/>
                <w:i w:val="0"/>
                <w:sz w:val="18"/>
              </w:rPr>
              <w:t>9</w:t>
            </w:r>
          </w:p>
        </w:tc>
        <w:tc>
          <w:tcPr>
            <w:vAlign w:val="center"/>
          </w:tcPr>
          <w:p>
            <w:r>
              <w:rPr>
                <w:rFonts w:ascii="Times New Roman" w:hAnsi="Times New Roman" w:eastAsia="Times New Roman"/>
                <w:b w:val="0"/>
                <w:i w:val="0"/>
                <w:sz w:val="18"/>
              </w:rPr>
              <w:t>Main sample: most of the time series</w:t>
            </w:r>
          </w:p>
        </w:tc>
      </w:tr>
      <w:tr>
        <w:trPr>
          <w:cantSplit/>
        </w:trPr>
        <w:tc>
          <w:tcPr>
            <w:vAlign w:val="center"/>
          </w:tcPr>
          <w:p>
            <w:r>
              <w:rPr>
                <w:rFonts w:ascii="Times New Roman" w:hAnsi="Times New Roman" w:eastAsia="Times New Roman"/>
                <w:b w:val="0"/>
                <w:i w:val="0"/>
                <w:sz w:val="18"/>
              </w:rPr>
              <w:t>Requires construction</w:t>
            </w:r>
          </w:p>
        </w:tc>
        <w:tc>
          <w:tcPr>
            <w:vAlign w:val="center"/>
          </w:tcPr>
          <w:p>
            <w:r>
              <w:rPr>
                <w:rFonts w:ascii="Times New Roman" w:hAnsi="Times New Roman" w:eastAsia="Times New Roman"/>
                <w:b w:val="0"/>
                <w:i w:val="0"/>
                <w:sz w:val="18"/>
              </w:rPr>
              <w:t>Grab; Shopee Indonesia</w:t>
            </w:r>
          </w:p>
        </w:tc>
        <w:tc>
          <w:tcPr>
            <w:vAlign w:val="center"/>
          </w:tcPr>
          <w:p>
            <w:r>
              <w:rPr>
                <w:rFonts w:ascii="Times New Roman" w:hAnsi="Times New Roman" w:eastAsia="Times New Roman"/>
                <w:b w:val="0"/>
                <w:i w:val="0"/>
                <w:sz w:val="18"/>
              </w:rPr>
              <w:t>6</w:t>
            </w:r>
          </w:p>
        </w:tc>
        <w:tc>
          <w:tcPr>
            <w:vAlign w:val="center"/>
          </w:tcPr>
          <w:p>
            <w:r>
              <w:rPr>
                <w:rFonts w:ascii="Times New Roman" w:hAnsi="Times New Roman" w:eastAsia="Times New Roman"/>
                <w:b w:val="0"/>
                <w:i w:val="0"/>
                <w:sz w:val="18"/>
              </w:rPr>
              <w:t>Supporting: 2023 scale comparison</w:t>
            </w:r>
          </w:p>
        </w:tc>
      </w:tr>
    </w:tbl>
    <w:p>
      <w:pPr>
        <w:spacing w:before="120" w:after="110" w:line="257" w:lineRule="auto"/>
        <w:jc w:val="both"/>
      </w:pPr>
      <w:r>
        <w:rPr>
          <w:rFonts w:ascii="Times New Roman" w:hAnsi="Times New Roman" w:eastAsia="Times New Roman"/>
          <w:b w:val="0"/>
          <w:i w:val="0"/>
          <w:sz w:val="24"/>
        </w:rPr>
        <w:t>The two issuer-reported rows yield 11 platform-years and 8 comparisons; adding the constructed series gives 17 and 12. Blibli starts in 2021 in these headline counts. Its FY2020 prospectus extension belongs to a separate sensitivity.</w:t>
      </w:r>
    </w:p>
    <w:p>
      <w:pPr>
        <w:spacing w:after="110" w:line="257" w:lineRule="auto"/>
        <w:jc w:val="both"/>
      </w:pPr>
      <w:r>
        <w:rPr>
          <w:rFonts w:ascii="Times New Roman" w:hAnsi="Times New Roman" w:eastAsia="Times New Roman"/>
          <w:b w:val="0"/>
          <w:i w:val="0"/>
          <w:sz w:val="24"/>
        </w:rPr>
        <w:t>Each series covers the years in which a matched pair exists. Tokopedia is an Indonesia-aligned segment rather than a literal country line and enters only for 2022 and 2023: the 2021 pair covers mismatched periods, and the Tokopedia and TikTok Shop businesses were combined under PT Tokopedia on 31 January 2024, after which the listed parent reports a contractual fee rather than platform revenue. Blibli's reported pairs run from 2021 to 2025, and its third-party segment includes online travel. Bukalapak reports at Group level, including some overseas activity, from 2020 to 2023; its 2024 pair is excluded because transaction value covers nine months and revenue twelve. Grab is observed from 2021 to 2023, after which it reports transaction value on a different basis, and Shopee from 2022 to 2024.</w:t>
      </w:r>
    </w:p>
    <w:p>
      <w:pPr>
        <w:pStyle w:val="Heading2"/>
        <w:spacing w:before="140" w:after="60"/>
        <w:jc w:val="left"/>
      </w:pPr>
      <w:r>
        <w:rPr>
          <w:rFonts w:ascii="Times New Roman" w:hAnsi="Times New Roman" w:eastAsia="Times New Roman"/>
          <w:b/>
          <w:i w:val="0"/>
          <w:sz w:val="24"/>
        </w:rPr>
        <w:t>4.2 Comparing Platform Activity Through Time</w:t>
      </w:r>
    </w:p>
    <w:p>
      <w:pPr>
        <w:spacing w:after="110" w:line="257" w:lineRule="auto"/>
        <w:jc w:val="both"/>
      </w:pPr>
      <w:r>
        <w:rPr>
          <w:rFonts w:ascii="Times New Roman" w:hAnsi="Times New Roman" w:eastAsia="Times New Roman"/>
          <w:b w:val="0"/>
          <w:i w:val="0"/>
          <w:sz w:val="24"/>
        </w:rPr>
        <w:t>Changes through time are examined mainly by comparing each platform with itself. This keeps the company, business activity, and reporting convention as similar as the disclosures allow. When transaction value and revenue move sharply apart, disclosed changes in monetization, customer incentives, revenue recognition, and business scope are used to reconcile the movement where the filings permit; these reconciliations are arithmetic rather than causal.</w:t>
      </w:r>
    </w:p>
    <w:p>
      <w:pPr>
        <w:spacing w:after="110" w:line="257" w:lineRule="auto"/>
        <w:jc w:val="both"/>
      </w:pPr>
      <w:r>
        <w:rPr>
          <w:rFonts w:ascii="Times New Roman" w:hAnsi="Times New Roman" w:eastAsia="Times New Roman"/>
          <w:b w:val="0"/>
          <w:i w:val="0"/>
          <w:sz w:val="24"/>
        </w:rPr>
        <w:t>Companies use different names for transaction activity, including gross transaction value (GTV), gross merchandise value (GMV), and total payment volume (TPV). Transaction value, V, is the umbrella concept in this proposal and GTV is the label used for it, while each issuer's own label and definition are retained and checked rather than assumed to be identical.</w:t>
      </w:r>
      <w:r>
        <w:rPr>
          <w:rFonts w:ascii="Times New Roman" w:hAnsi="Times New Roman" w:eastAsia="Times New Roman"/>
          <w:sz w:val="24"/>
          <w:vertAlign w:val="superscript"/>
        </w:rPr>
        <w:footnoteReference w:id="2"/>
      </w:r>
    </w:p>
    <w:p>
      <w:pPr>
        <w:spacing w:after="110" w:line="257" w:lineRule="auto"/>
        <w:jc w:val="both"/>
      </w:pPr>
      <w:r>
        <w:rPr>
          <w:rFonts w:ascii="Times New Roman" w:hAnsi="Times New Roman" w:eastAsia="Times New Roman"/>
          <w:b w:val="0"/>
          <w:i w:val="0"/>
          <w:sz w:val="24"/>
        </w:rPr>
        <w:t>Growth rates are computed in each issuer's reporting currency, so exchange-rate movements do not enter D. US dollar values are used only for the 2023 cross-section, where rupiah figures are converted at the World Bank's 2023 official exchange rate of 15,236.88 rupiah per dollar (World Bank n.d.).</w:t>
      </w:r>
    </w:p>
    <w:p>
      <w:pPr>
        <w:pStyle w:val="Heading2"/>
        <w:spacing w:before="140" w:after="60"/>
        <w:jc w:val="left"/>
      </w:pPr>
      <w:r>
        <w:rPr>
          <w:rFonts w:ascii="Times New Roman" w:hAnsi="Times New Roman" w:eastAsia="Times New Roman"/>
          <w:b/>
          <w:i w:val="0"/>
          <w:sz w:val="24"/>
        </w:rPr>
        <w:t>4.3 Direct and Constructed Indonesia Measures</w:t>
      </w:r>
    </w:p>
    <w:p>
      <w:pPr>
        <w:spacing w:after="110" w:line="257" w:lineRule="auto"/>
        <w:jc w:val="both"/>
      </w:pPr>
      <w:r>
        <w:rPr>
          <w:rFonts w:ascii="Times New Roman" w:hAnsi="Times New Roman" w:eastAsia="Times New Roman"/>
          <w:b w:val="0"/>
          <w:i w:val="0"/>
          <w:sz w:val="24"/>
        </w:rPr>
        <w:t>Not every company reports the same Indonesia-specific information. Table 3 sets out, for each platform, what is disclosed directly, what has to be constructed, and the limitation that follows.</w:t>
      </w:r>
    </w:p>
    <w:p>
      <w:pPr>
        <w:keepNext/>
        <w:spacing w:before="80" w:after="70" w:line="240" w:lineRule="auto"/>
        <w:jc w:val="left"/>
      </w:pPr>
      <w:r>
        <w:rPr>
          <w:rFonts w:ascii="Times New Roman" w:hAnsi="Times New Roman" w:eastAsia="Times New Roman"/>
          <w:b/>
          <w:i/>
          <w:sz w:val="19"/>
        </w:rPr>
        <w:t>Table 3. Construction of the principal platform measures.</w:t>
      </w:r>
    </w:p>
    <w:tbl>
      <w:tblPr>
        <w:tblStyle w:val="TableGrid"/>
        <w:tblW w:type="auto" w:w="0"/>
        <w:jc w:val="center"/>
        <w:tblLayout w:type="fixed"/>
      </w:tblPr>
      <w:tblGrid>
        <w:gridCol w:w="2386"/>
        <w:gridCol w:w="2386"/>
        <w:gridCol w:w="2386"/>
        <w:gridCol w:w="2386"/>
      </w:tblGrid>
      <w:tr>
        <w:trPr>
          <w:tblHeader w:val="true"/>
          <w:cantSplit/>
        </w:trPr>
        <w:tc>
          <w:tcPr>
            <w:vAlign w:val="center"/>
          </w:tcPr>
          <w:p>
            <w:r>
              <w:rPr>
                <w:rFonts w:ascii="Times New Roman" w:hAnsi="Times New Roman" w:eastAsia="Times New Roman"/>
                <w:b/>
                <w:i w:val="0"/>
                <w:sz w:val="18"/>
              </w:rPr>
              <w:t>Platform</w:t>
            </w:r>
          </w:p>
        </w:tc>
        <w:tc>
          <w:tcPr>
            <w:vAlign w:val="center"/>
          </w:tcPr>
          <w:p>
            <w:r>
              <w:rPr>
                <w:rFonts w:ascii="Times New Roman" w:hAnsi="Times New Roman" w:eastAsia="Times New Roman"/>
                <w:b/>
                <w:i w:val="0"/>
                <w:sz w:val="18"/>
              </w:rPr>
              <w:t>Directly available</w:t>
            </w:r>
          </w:p>
        </w:tc>
        <w:tc>
          <w:tcPr>
            <w:vAlign w:val="center"/>
          </w:tcPr>
          <w:p>
            <w:r>
              <w:rPr>
                <w:rFonts w:ascii="Times New Roman" w:hAnsi="Times New Roman" w:eastAsia="Times New Roman"/>
                <w:b/>
                <w:i w:val="0"/>
                <w:sz w:val="18"/>
              </w:rPr>
              <w:t>Constructed or external input</w:t>
            </w:r>
          </w:p>
        </w:tc>
        <w:tc>
          <w:tcPr>
            <w:vAlign w:val="center"/>
          </w:tcPr>
          <w:p>
            <w:r>
              <w:rPr>
                <w:rFonts w:ascii="Times New Roman" w:hAnsi="Times New Roman" w:eastAsia="Times New Roman"/>
                <w:b/>
                <w:i w:val="0"/>
                <w:sz w:val="18"/>
              </w:rPr>
              <w:t>Main limitation</w:t>
            </w:r>
          </w:p>
        </w:tc>
      </w:tr>
      <w:tr>
        <w:trPr>
          <w:cantSplit/>
        </w:trPr>
        <w:tc>
          <w:tcPr>
            <w:vAlign w:val="center"/>
          </w:tcPr>
          <w:p>
            <w:r>
              <w:rPr>
                <w:rFonts w:ascii="Times New Roman" w:hAnsi="Times New Roman" w:eastAsia="Times New Roman"/>
                <w:b w:val="0"/>
                <w:i w:val="0"/>
                <w:sz w:val="18"/>
              </w:rPr>
              <w:t>Tokopedia</w:t>
            </w:r>
          </w:p>
        </w:tc>
        <w:tc>
          <w:tcPr>
            <w:vAlign w:val="center"/>
          </w:tcPr>
          <w:p>
            <w:r>
              <w:rPr>
                <w:rFonts w:ascii="Times New Roman" w:hAnsi="Times New Roman" w:eastAsia="Times New Roman"/>
                <w:b w:val="0"/>
                <w:i w:val="0"/>
                <w:sz w:val="18"/>
              </w:rPr>
              <w:t>E-commerce transaction value and segment revenue</w:t>
            </w:r>
          </w:p>
        </w:tc>
        <w:tc>
          <w:tcPr>
            <w:vAlign w:val="center"/>
          </w:tcPr>
          <w:p>
            <w:r>
              <w:rPr>
                <w:rFonts w:ascii="Times New Roman" w:hAnsi="Times New Roman" w:eastAsia="Times New Roman"/>
                <w:b w:val="0"/>
                <w:i w:val="0"/>
                <w:sz w:val="18"/>
              </w:rPr>
              <w:t>None for matched pair</w:t>
            </w:r>
          </w:p>
        </w:tc>
        <w:tc>
          <w:tcPr>
            <w:vAlign w:val="center"/>
          </w:tcPr>
          <w:p>
            <w:r>
              <w:rPr>
                <w:rFonts w:ascii="Times New Roman" w:hAnsi="Times New Roman" w:eastAsia="Times New Roman"/>
                <w:b w:val="0"/>
                <w:i w:val="0"/>
                <w:sz w:val="18"/>
              </w:rPr>
              <w:t>Indonesia-aligned segment, not literal country line</w:t>
            </w:r>
          </w:p>
        </w:tc>
      </w:tr>
      <w:tr>
        <w:trPr>
          <w:cantSplit/>
        </w:trPr>
        <w:tc>
          <w:tcPr>
            <w:vAlign w:val="center"/>
          </w:tcPr>
          <w:p>
            <w:r>
              <w:rPr>
                <w:rFonts w:ascii="Times New Roman" w:hAnsi="Times New Roman" w:eastAsia="Times New Roman"/>
                <w:b w:val="0"/>
                <w:i w:val="0"/>
                <w:sz w:val="18"/>
              </w:rPr>
              <w:t>Grab</w:t>
            </w:r>
          </w:p>
        </w:tc>
        <w:tc>
          <w:tcPr>
            <w:vAlign w:val="center"/>
          </w:tcPr>
          <w:p>
            <w:r>
              <w:rPr>
                <w:rFonts w:ascii="Times New Roman" w:hAnsi="Times New Roman" w:eastAsia="Times New Roman"/>
                <w:b w:val="0"/>
                <w:i w:val="0"/>
                <w:sz w:val="18"/>
              </w:rPr>
              <w:t>Indonesia revenue; Group revenue and GTV</w:t>
            </w:r>
          </w:p>
        </w:tc>
        <w:tc>
          <w:tcPr>
            <w:vAlign w:val="center"/>
          </w:tcPr>
          <w:p>
            <w:r>
              <w:rPr>
                <w:rFonts w:ascii="Times New Roman" w:hAnsi="Times New Roman" w:eastAsia="Times New Roman"/>
                <w:b w:val="0"/>
                <w:i w:val="0"/>
                <w:sz w:val="18"/>
              </w:rPr>
              <w:t>Indonesia GTV derived from Group figures</w:t>
            </w:r>
          </w:p>
        </w:tc>
        <w:tc>
          <w:tcPr>
            <w:vAlign w:val="center"/>
          </w:tcPr>
          <w:p>
            <w:r>
              <w:rPr>
                <w:rFonts w:ascii="Times New Roman" w:hAnsi="Times New Roman" w:eastAsia="Times New Roman"/>
                <w:b w:val="0"/>
                <w:i w:val="0"/>
                <w:sz w:val="18"/>
              </w:rPr>
              <w:t>Indonesian ratio equals the Group ratio</w:t>
            </w:r>
          </w:p>
        </w:tc>
      </w:tr>
      <w:tr>
        <w:trPr>
          <w:cantSplit/>
        </w:trPr>
        <w:tc>
          <w:tcPr>
            <w:vAlign w:val="center"/>
          </w:tcPr>
          <w:p>
            <w:r>
              <w:rPr>
                <w:rFonts w:ascii="Times New Roman" w:hAnsi="Times New Roman" w:eastAsia="Times New Roman"/>
                <w:b w:val="0"/>
                <w:i w:val="0"/>
                <w:sz w:val="18"/>
              </w:rPr>
              <w:t>Shopee</w:t>
            </w:r>
          </w:p>
        </w:tc>
        <w:tc>
          <w:tcPr>
            <w:vAlign w:val="center"/>
          </w:tcPr>
          <w:p>
            <w:r>
              <w:rPr>
                <w:rFonts w:ascii="Times New Roman" w:hAnsi="Times New Roman" w:eastAsia="Times New Roman"/>
                <w:b w:val="0"/>
                <w:i w:val="0"/>
                <w:sz w:val="18"/>
              </w:rPr>
              <w:t>Group service monetization rate</w:t>
            </w:r>
          </w:p>
        </w:tc>
        <w:tc>
          <w:tcPr>
            <w:vAlign w:val="center"/>
          </w:tcPr>
          <w:p>
            <w:r>
              <w:rPr>
                <w:rFonts w:ascii="Times New Roman" w:hAnsi="Times New Roman" w:eastAsia="Times New Roman"/>
                <w:b w:val="0"/>
                <w:i w:val="0"/>
                <w:sz w:val="18"/>
              </w:rPr>
              <w:t>External Indonesia transaction estimate; Indonesia revenue derived</w:t>
            </w:r>
          </w:p>
        </w:tc>
        <w:tc>
          <w:tcPr>
            <w:vAlign w:val="center"/>
          </w:tcPr>
          <w:p>
            <w:r>
              <w:rPr>
                <w:rFonts w:ascii="Times New Roman" w:hAnsi="Times New Roman" w:eastAsia="Times New Roman"/>
                <w:b w:val="0"/>
                <w:i w:val="0"/>
                <w:sz w:val="18"/>
              </w:rPr>
              <w:t>Indonesian ratio set by the Group rate</w:t>
            </w:r>
          </w:p>
        </w:tc>
      </w:tr>
      <w:tr>
        <w:trPr>
          <w:cantSplit/>
        </w:trPr>
        <w:tc>
          <w:tcPr>
            <w:vAlign w:val="center"/>
          </w:tcPr>
          <w:p>
            <w:r>
              <w:rPr>
                <w:rFonts w:ascii="Times New Roman" w:hAnsi="Times New Roman" w:eastAsia="Times New Roman"/>
                <w:b w:val="0"/>
                <w:i w:val="0"/>
                <w:sz w:val="18"/>
              </w:rPr>
              <w:t>Blibli / Bukalapak</w:t>
            </w:r>
          </w:p>
        </w:tc>
        <w:tc>
          <w:tcPr>
            <w:vAlign w:val="center"/>
          </w:tcPr>
          <w:p>
            <w:r>
              <w:rPr>
                <w:rFonts w:ascii="Times New Roman" w:hAnsi="Times New Roman" w:eastAsia="Times New Roman"/>
                <w:b w:val="0"/>
                <w:i w:val="0"/>
                <w:sz w:val="18"/>
              </w:rPr>
              <w:t>Reported transaction and revenue pairs</w:t>
            </w:r>
          </w:p>
        </w:tc>
        <w:tc>
          <w:tcPr>
            <w:vAlign w:val="center"/>
          </w:tcPr>
          <w:p>
            <w:r>
              <w:rPr>
                <w:rFonts w:ascii="Times New Roman" w:hAnsi="Times New Roman" w:eastAsia="Times New Roman"/>
                <w:b w:val="0"/>
                <w:i w:val="0"/>
                <w:sz w:val="18"/>
              </w:rPr>
              <w:t>None for retained pairs</w:t>
            </w:r>
          </w:p>
        </w:tc>
        <w:tc>
          <w:tcPr>
            <w:vAlign w:val="center"/>
          </w:tcPr>
          <w:p>
            <w:r>
              <w:rPr>
                <w:rFonts w:ascii="Times New Roman" w:hAnsi="Times New Roman" w:eastAsia="Times New Roman"/>
                <w:b w:val="0"/>
                <w:i w:val="0"/>
                <w:sz w:val="18"/>
              </w:rPr>
              <w:t>Scope extends beyond Indonesian goods commerce</w:t>
            </w:r>
          </w:p>
        </w:tc>
      </w:tr>
    </w:tbl>
    <w:p>
      <w:pPr>
        <w:spacing w:before="120" w:after="110" w:line="257" w:lineRule="auto"/>
        <w:jc w:val="both"/>
      </w:pPr>
      <w:r>
        <w:rPr>
          <w:rFonts w:ascii="Times New Roman" w:hAnsi="Times New Roman" w:eastAsia="Times New Roman"/>
          <w:b w:val="0"/>
          <w:i w:val="0"/>
          <w:sz w:val="24"/>
        </w:rPr>
        <w:t>Grab reports Indonesian revenue directly but not Indonesian transaction value. Indonesian GTV is therefore estimated as:</w:t>
      </w:r>
    </w:p>
    <w:p>
      <w:pPr>
        <w:keepNext/>
        <w:spacing w:before="60" w:after="80"/>
        <w:jc w:val="center"/>
      </w:pPr>
      <w:r>
        <w:rPr>
          <w:rFonts w:ascii="Times New Roman" w:hAnsi="Times New Roman" w:eastAsia="Times New Roman"/>
          <w:b w:val="0"/>
          <w:i/>
          <w:sz w:val="24"/>
        </w:rPr>
        <w:t>Indonesia GTV = Indonesia revenue × Group GTV / Group revenue</w:t>
      </w:r>
    </w:p>
    <w:p>
      <w:pPr>
        <w:spacing w:after="110" w:line="257" w:lineRule="auto"/>
        <w:jc w:val="both"/>
      </w:pPr>
      <w:r>
        <w:rPr>
          <w:rFonts w:ascii="Times New Roman" w:hAnsi="Times New Roman" w:eastAsia="Times New Roman"/>
          <w:b w:val="0"/>
          <w:i w:val="0"/>
          <w:sz w:val="24"/>
        </w:rPr>
        <w:t>The Group monetization rate is platform revenue divided by gross transaction value.</w:t>
      </w:r>
    </w:p>
    <w:p>
      <w:pPr>
        <w:spacing w:after="110" w:line="257" w:lineRule="auto"/>
        <w:jc w:val="both"/>
      </w:pPr>
      <w:r>
        <w:rPr>
          <w:rFonts w:ascii="Times New Roman" w:hAnsi="Times New Roman" w:eastAsia="Times New Roman"/>
          <w:b w:val="0"/>
          <w:i w:val="0"/>
          <w:sz w:val="24"/>
        </w:rPr>
        <w:t>Sea does not disclose a matched Indonesian transaction figure, so Shopee's Indonesian transaction value comes from Momentum Works. Revenue is estimated using the Group service monetization rate:</w:t>
      </w:r>
    </w:p>
    <w:p>
      <w:pPr>
        <w:keepNext/>
        <w:spacing w:before="60" w:after="80"/>
        <w:jc w:val="center"/>
      </w:pPr>
      <w:r>
        <w:rPr>
          <w:rFonts w:ascii="Times New Roman" w:hAnsi="Times New Roman" w:eastAsia="Times New Roman"/>
          <w:b w:val="0"/>
          <w:i/>
          <w:sz w:val="24"/>
        </w:rPr>
        <w:t>Indonesia revenue = Indonesia transaction value × Group monetization rate</w:t>
      </w:r>
    </w:p>
    <w:p>
      <w:pPr>
        <w:spacing w:after="110" w:line="257" w:lineRule="auto"/>
        <w:jc w:val="both"/>
      </w:pPr>
      <w:r>
        <w:rPr>
          <w:rFonts w:ascii="Times New Roman" w:hAnsi="Times New Roman" w:eastAsia="Times New Roman"/>
          <w:b w:val="0"/>
          <w:i w:val="0"/>
          <w:sz w:val="24"/>
        </w:rPr>
        <w:t>Both Indonesian E ratios equal Group-based ratios by construction. Country inputs anchor conditional levels, but the ratios and their movement provide no independent Indonesian monetization evidence. These series remain outside the main sample.</w:t>
      </w:r>
    </w:p>
    <w:p>
      <w:pPr>
        <w:pStyle w:val="Heading2"/>
        <w:spacing w:before="140" w:after="60"/>
        <w:jc w:val="left"/>
      </w:pPr>
      <w:r>
        <w:rPr>
          <w:rFonts w:ascii="Times New Roman" w:hAnsi="Times New Roman" w:eastAsia="Times New Roman"/>
          <w:b/>
          <w:i w:val="0"/>
          <w:sz w:val="24"/>
        </w:rPr>
        <w:t>4.4 Evidence Beyond Platform Accounts</w:t>
      </w:r>
    </w:p>
    <w:p>
      <w:pPr>
        <w:keepNext/>
        <w:spacing w:before="80" w:after="70" w:line="240" w:lineRule="auto"/>
        <w:jc w:val="left"/>
      </w:pPr>
      <w:r>
        <w:rPr>
          <w:rFonts w:ascii="Times New Roman" w:hAnsi="Times New Roman" w:eastAsia="Times New Roman"/>
          <w:b/>
          <w:i/>
          <w:sz w:val="19"/>
        </w:rPr>
        <w:t>Table 4. Records used and their role.</w:t>
      </w:r>
    </w:p>
    <w:tbl>
      <w:tblPr>
        <w:tblStyle w:val="TableGrid"/>
        <w:tblW w:type="auto" w:w="0"/>
        <w:jc w:val="center"/>
        <w:tblLayout w:type="fixed"/>
      </w:tblPr>
      <w:tblGrid>
        <w:gridCol w:w="3182"/>
        <w:gridCol w:w="3182"/>
        <w:gridCol w:w="3182"/>
      </w:tblGrid>
      <w:tr>
        <w:trPr>
          <w:tblHeader w:val="true"/>
          <w:cantSplit/>
        </w:trPr>
        <w:tc>
          <w:tcPr>
            <w:vAlign w:val="center"/>
          </w:tcPr>
          <w:p>
            <w:r>
              <w:rPr>
                <w:rFonts w:ascii="Times New Roman" w:hAnsi="Times New Roman" w:eastAsia="Times New Roman"/>
                <w:b/>
                <w:i w:val="0"/>
                <w:sz w:val="18"/>
              </w:rPr>
              <w:t>Evidence source</w:t>
            </w:r>
          </w:p>
        </w:tc>
        <w:tc>
          <w:tcPr>
            <w:vAlign w:val="center"/>
          </w:tcPr>
          <w:p>
            <w:r>
              <w:rPr>
                <w:rFonts w:ascii="Times New Roman" w:hAnsi="Times New Roman" w:eastAsia="Times New Roman"/>
                <w:b/>
                <w:i w:val="0"/>
                <w:sz w:val="18"/>
              </w:rPr>
              <w:t>What is observed</w:t>
            </w:r>
          </w:p>
        </w:tc>
        <w:tc>
          <w:tcPr>
            <w:vAlign w:val="center"/>
          </w:tcPr>
          <w:p>
            <w:r>
              <w:rPr>
                <w:rFonts w:ascii="Times New Roman" w:hAnsi="Times New Roman" w:eastAsia="Times New Roman"/>
                <w:b/>
                <w:i w:val="0"/>
                <w:sz w:val="18"/>
              </w:rPr>
              <w:t>Role</w:t>
            </w:r>
          </w:p>
        </w:tc>
      </w:tr>
      <w:tr>
        <w:trPr>
          <w:cantSplit/>
        </w:trPr>
        <w:tc>
          <w:tcPr>
            <w:vAlign w:val="center"/>
          </w:tcPr>
          <w:p>
            <w:r>
              <w:rPr>
                <w:rFonts w:ascii="Times New Roman" w:hAnsi="Times New Roman" w:eastAsia="Times New Roman"/>
                <w:b w:val="0"/>
                <w:i w:val="0"/>
                <w:sz w:val="18"/>
              </w:rPr>
              <w:t>Indonesian platform histories</w:t>
            </w:r>
          </w:p>
        </w:tc>
        <w:tc>
          <w:tcPr>
            <w:vAlign w:val="center"/>
          </w:tcPr>
          <w:p>
            <w:r>
              <w:rPr>
                <w:rFonts w:ascii="Times New Roman" w:hAnsi="Times New Roman" w:eastAsia="Times New Roman"/>
                <w:b w:val="0"/>
                <w:i w:val="0"/>
                <w:sz w:val="18"/>
              </w:rPr>
              <w:t>Transaction value and revenue through time</w:t>
            </w:r>
          </w:p>
        </w:tc>
        <w:tc>
          <w:tcPr>
            <w:vAlign w:val="center"/>
          </w:tcPr>
          <w:p>
            <w:r>
              <w:rPr>
                <w:rFonts w:ascii="Times New Roman" w:hAnsi="Times New Roman" w:eastAsia="Times New Roman"/>
                <w:b w:val="0"/>
                <w:i w:val="0"/>
                <w:sz w:val="18"/>
              </w:rPr>
              <w:t>Measure the wedge and its movement</w:t>
            </w:r>
          </w:p>
        </w:tc>
      </w:tr>
      <w:tr>
        <w:trPr>
          <w:cantSplit/>
        </w:trPr>
        <w:tc>
          <w:tcPr>
            <w:vAlign w:val="center"/>
          </w:tcPr>
          <w:p>
            <w:r>
              <w:rPr>
                <w:rFonts w:ascii="Times New Roman" w:hAnsi="Times New Roman" w:eastAsia="Times New Roman"/>
                <w:b w:val="0"/>
                <w:i w:val="0"/>
                <w:sz w:val="18"/>
              </w:rPr>
              <w:t>BPS national e-commerce statistics</w:t>
            </w:r>
          </w:p>
        </w:tc>
        <w:tc>
          <w:tcPr>
            <w:vAlign w:val="center"/>
          </w:tcPr>
          <w:p>
            <w:r>
              <w:rPr>
                <w:rFonts w:ascii="Times New Roman" w:hAnsi="Times New Roman" w:eastAsia="Times New Roman"/>
                <w:b w:val="0"/>
                <w:i w:val="0"/>
                <w:sz w:val="18"/>
              </w:rPr>
              <w:t>Online sales of surveyed businesses, by channel, and the number of businesses</w:t>
            </w:r>
          </w:p>
        </w:tc>
        <w:tc>
          <w:tcPr>
            <w:vAlign w:val="center"/>
          </w:tcPr>
          <w:p>
            <w:r>
              <w:rPr>
                <w:rFonts w:ascii="Times New Roman" w:hAnsi="Times New Roman" w:eastAsia="Times New Roman"/>
                <w:b w:val="0"/>
                <w:i w:val="0"/>
                <w:sz w:val="18"/>
              </w:rPr>
              <w:t>Examine the level and sources of growth</w:t>
            </w:r>
          </w:p>
        </w:tc>
      </w:tr>
      <w:tr>
        <w:trPr>
          <w:cantSplit/>
        </w:trPr>
        <w:tc>
          <w:tcPr>
            <w:vAlign w:val="center"/>
          </w:tcPr>
          <w:p>
            <w:r>
              <w:rPr>
                <w:rFonts w:ascii="Times New Roman" w:hAnsi="Times New Roman" w:eastAsia="Times New Roman"/>
                <w:b w:val="0"/>
                <w:i w:val="0"/>
                <w:sz w:val="18"/>
              </w:rPr>
              <w:t>BPS marketplace study</w:t>
            </w:r>
          </w:p>
        </w:tc>
        <w:tc>
          <w:tcPr>
            <w:vAlign w:val="center"/>
          </w:tcPr>
          <w:p>
            <w:r>
              <w:rPr>
                <w:rFonts w:ascii="Times New Roman" w:hAnsi="Times New Roman" w:eastAsia="Times New Roman"/>
                <w:b w:val="0"/>
                <w:i w:val="0"/>
                <w:sz w:val="18"/>
              </w:rPr>
              <w:t>Business-level marketplace and recordkeeping evidence</w:t>
            </w:r>
          </w:p>
        </w:tc>
        <w:tc>
          <w:tcPr>
            <w:vAlign w:val="center"/>
          </w:tcPr>
          <w:p>
            <w:r>
              <w:rPr>
                <w:rFonts w:ascii="Times New Roman" w:hAnsi="Times New Roman" w:eastAsia="Times New Roman"/>
                <w:b w:val="0"/>
                <w:i w:val="0"/>
                <w:sz w:val="18"/>
              </w:rPr>
              <w:t>Examine the association with financial recordkeeping</w:t>
            </w:r>
          </w:p>
        </w:tc>
      </w:tr>
      <w:tr>
        <w:trPr>
          <w:cantSplit/>
        </w:trPr>
        <w:tc>
          <w:tcPr>
            <w:vAlign w:val="center"/>
          </w:tcPr>
          <w:p>
            <w:r>
              <w:rPr>
                <w:rFonts w:ascii="Times New Roman" w:hAnsi="Times New Roman" w:eastAsia="Times New Roman"/>
                <w:b w:val="0"/>
                <w:i w:val="0"/>
                <w:sz w:val="18"/>
              </w:rPr>
              <w:t>Bank Indonesia</w:t>
            </w:r>
          </w:p>
        </w:tc>
        <w:tc>
          <w:tcPr>
            <w:vAlign w:val="center"/>
          </w:tcPr>
          <w:p>
            <w:r>
              <w:rPr>
                <w:rFonts w:ascii="Times New Roman" w:hAnsi="Times New Roman" w:eastAsia="Times New Roman"/>
                <w:b w:val="0"/>
                <w:i w:val="0"/>
                <w:sz w:val="18"/>
              </w:rPr>
              <w:t>Economy-wide digital payment measures</w:t>
            </w:r>
          </w:p>
        </w:tc>
        <w:tc>
          <w:tcPr>
            <w:vAlign w:val="center"/>
          </w:tcPr>
          <w:p>
            <w:r>
              <w:rPr>
                <w:rFonts w:ascii="Times New Roman" w:hAnsi="Times New Roman" w:eastAsia="Times New Roman"/>
                <w:b w:val="0"/>
                <w:i w:val="0"/>
                <w:sz w:val="18"/>
              </w:rPr>
              <w:t>Context on economy-wide payment adoption and use</w:t>
            </w:r>
          </w:p>
        </w:tc>
      </w:tr>
      <w:tr>
        <w:trPr>
          <w:cantSplit/>
        </w:trPr>
        <w:tc>
          <w:tcPr>
            <w:vAlign w:val="center"/>
          </w:tcPr>
          <w:p>
            <w:r>
              <w:rPr>
                <w:rFonts w:ascii="Times New Roman" w:hAnsi="Times New Roman" w:eastAsia="Times New Roman"/>
                <w:b w:val="0"/>
                <w:i w:val="0"/>
                <w:sz w:val="18"/>
              </w:rPr>
              <w:t>Platform companies outside Indonesia</w:t>
            </w:r>
          </w:p>
        </w:tc>
        <w:tc>
          <w:tcPr>
            <w:vAlign w:val="center"/>
          </w:tcPr>
          <w:p>
            <w:r>
              <w:rPr>
                <w:rFonts w:ascii="Times New Roman" w:hAnsi="Times New Roman" w:eastAsia="Times New Roman"/>
                <w:b w:val="0"/>
                <w:i w:val="0"/>
                <w:sz w:val="18"/>
              </w:rPr>
              <w:t>Matched transaction and revenue measures</w:t>
            </w:r>
          </w:p>
        </w:tc>
        <w:tc>
          <w:tcPr>
            <w:vAlign w:val="center"/>
          </w:tcPr>
          <w:p>
            <w:r>
              <w:rPr>
                <w:rFonts w:ascii="Times New Roman" w:hAnsi="Times New Roman" w:eastAsia="Times New Roman"/>
                <w:b w:val="0"/>
                <w:i w:val="0"/>
                <w:sz w:val="18"/>
              </w:rPr>
              <w:t>Compare transaction–revenue relationships across business models</w:t>
            </w:r>
          </w:p>
        </w:tc>
      </w:tr>
    </w:tbl>
    <w:p>
      <w:pPr>
        <w:spacing w:after="110" w:line="257" w:lineRule="auto"/>
        <w:jc w:val="both"/>
      </w:pPr>
      <w:r>
        <w:rPr>
          <w:rFonts w:ascii="Times New Roman" w:hAnsi="Times New Roman" w:eastAsia="Times New Roman"/>
          <w:b w:val="0"/>
          <w:i w:val="0"/>
          <w:sz w:val="24"/>
        </w:rPr>
        <w:t>For H2, national e-commerce value S is written as:</w:t>
      </w:r>
    </w:p>
    <w:p>
      <w:pPr>
        <w:keepNext/>
        <w:spacing w:before="60" w:after="80"/>
        <w:jc w:val="center"/>
      </w:pPr>
      <w:r>
        <w:rPr>
          <w:rFonts w:ascii="Times New Roman" w:hAnsi="Times New Roman" w:eastAsia="Times New Roman"/>
          <w:b w:val="0"/>
          <w:i/>
          <w:sz w:val="24"/>
        </w:rPr>
        <w:t>S = N × A</w:t>
      </w:r>
    </w:p>
    <w:p>
      <w:pPr>
        <w:spacing w:after="110" w:line="257" w:lineRule="auto"/>
        <w:jc w:val="both"/>
      </w:pPr>
      <w:r>
        <w:rPr>
          <w:rFonts w:ascii="Times New Roman" w:hAnsi="Times New Roman" w:eastAsia="Times New Roman"/>
          <w:b w:val="0"/>
          <w:i w:val="0"/>
          <w:sz w:val="24"/>
        </w:rPr>
        <w:t>where N is the estimated number of e-commerce businesses and A is implied nominal sales per business, and the change in S is divided arithmetically between the two. BPS publishes two counts of 2023 businesses; the count consistent with its stated growth figure is used, and the other is retained as a sensitivity check.</w:t>
      </w:r>
    </w:p>
    <w:p>
      <w:pPr>
        <w:spacing w:after="110" w:line="257" w:lineRule="auto"/>
        <w:jc w:val="both"/>
      </w:pPr>
      <w:r>
        <w:rPr>
          <w:rFonts w:ascii="Times New Roman" w:hAnsi="Times New Roman" w:eastAsia="Times New Roman"/>
          <w:b w:val="0"/>
          <w:i w:val="0"/>
          <w:sz w:val="24"/>
        </w:rPr>
        <w:t>H3 uses BPS's published business-level comparison. H4 compares marketplace and total e-commerce growth within BPS. Bank Indonesia adds economy-wide payment context: adoption and payment-channel substitution can affect growth, so its rates are not alternative estimates of e-commerce growth.</w:t>
      </w:r>
    </w:p>
    <w:p>
      <w:pPr>
        <w:pStyle w:val="Heading2"/>
        <w:spacing w:before="140" w:after="60"/>
        <w:jc w:val="left"/>
      </w:pPr>
      <w:r>
        <w:rPr>
          <w:rFonts w:ascii="Times New Roman" w:hAnsi="Times New Roman" w:eastAsia="Times New Roman"/>
          <w:b/>
          <w:i w:val="0"/>
          <w:sz w:val="24"/>
        </w:rPr>
        <w:t>4.5 External Evidence and Robustness</w:t>
      </w:r>
    </w:p>
    <w:p>
      <w:pPr>
        <w:spacing w:after="110" w:line="257" w:lineRule="auto"/>
        <w:jc w:val="both"/>
      </w:pPr>
      <w:r>
        <w:rPr>
          <w:rFonts w:ascii="Times New Roman" w:hAnsi="Times New Roman" w:eastAsia="Times New Roman"/>
          <w:b w:val="0"/>
          <w:i w:val="0"/>
          <w:sz w:val="24"/>
        </w:rPr>
        <w:t>The external comparison contains 48 matched annual observations for eight listed platform businesses from 2017 to 2025: eBay, Etsy, Jumia, Mercado Libre, Rakuten, Sea, Shopify and Zalando. It tests whether the same separation between transaction value and revenue appears under other business models and is reported separately from the Indonesian evidence.</w:t>
      </w:r>
    </w:p>
    <w:p>
      <w:pPr>
        <w:spacing w:after="110" w:line="257" w:lineRule="auto"/>
        <w:jc w:val="both"/>
      </w:pPr>
      <w:r>
        <w:rPr>
          <w:rFonts w:ascii="Times New Roman" w:hAnsi="Times New Roman" w:eastAsia="Times New Roman"/>
          <w:b w:val="0"/>
          <w:i w:val="0"/>
          <w:sz w:val="24"/>
        </w:rPr>
        <w:t>Robustness checks vary the admission rules, revenue definitions, publication versions, and the assumptions in the constructed country measures. The resulting ranges are reported as sensitivity ranges rather than statistical confidence intervals.</w:t>
      </w:r>
    </w:p>
    <w:p>
      <w:pPr>
        <w:pStyle w:val="Heading1"/>
        <w:spacing w:before="200" w:after="100"/>
        <w:jc w:val="left"/>
      </w:pPr>
      <w:r>
        <w:rPr>
          <w:rFonts w:ascii="Times New Roman" w:hAnsi="Times New Roman" w:eastAsia="Times New Roman"/>
          <w:b/>
          <w:i w:val="0"/>
          <w:sz w:val="24"/>
        </w:rPr>
        <w:t>5. Preliminary Evidence and Feasibility</w:t>
      </w:r>
    </w:p>
    <w:p>
      <w:pPr>
        <w:spacing w:after="110" w:line="257" w:lineRule="auto"/>
        <w:jc w:val="both"/>
      </w:pPr>
      <w:r>
        <w:rPr>
          <w:rFonts w:ascii="Times New Roman" w:hAnsi="Times New Roman" w:eastAsia="Times New Roman"/>
          <w:b w:val="0"/>
          <w:i w:val="0"/>
          <w:sz w:val="24"/>
        </w:rPr>
        <w:t>The preliminary results first describe platform scale and movement, then national channels, participation and recordkeeping.</w:t>
      </w:r>
    </w:p>
    <w:p>
      <w:pPr>
        <w:pStyle w:val="Heading2"/>
        <w:spacing w:before="140" w:after="60"/>
        <w:jc w:val="left"/>
      </w:pPr>
      <w:r>
        <w:rPr>
          <w:rFonts w:ascii="Times New Roman" w:hAnsi="Times New Roman" w:eastAsia="Times New Roman"/>
          <w:b/>
          <w:i w:val="0"/>
          <w:sz w:val="24"/>
        </w:rPr>
        <w:t>5.1 Platform Scale and Movement</w:t>
      </w:r>
    </w:p>
    <w:p>
      <w:pPr>
        <w:spacing w:after="110" w:line="257" w:lineRule="auto"/>
        <w:jc w:val="both"/>
      </w:pPr>
      <w:r>
        <w:rPr>
          <w:rFonts w:ascii="Times New Roman" w:hAnsi="Times New Roman" w:eastAsia="Times New Roman"/>
          <w:b w:val="0"/>
          <w:i w:val="0"/>
          <w:sz w:val="24"/>
        </w:rPr>
        <w:t>The 2023 comparison covers Shopee and Tokopedia, which together represented about 70 percent of estimated Indonesian marketplace transaction value, and Grab, a major delivery intermediary.</w:t>
      </w:r>
    </w:p>
    <w:p>
      <w:pPr>
        <w:keepNext/>
        <w:spacing w:before="80" w:after="70" w:line="240" w:lineRule="auto"/>
        <w:jc w:val="left"/>
      </w:pPr>
      <w:r>
        <w:rPr>
          <w:rFonts w:ascii="Times New Roman" w:hAnsi="Times New Roman" w:eastAsia="Times New Roman"/>
          <w:b/>
          <w:i/>
          <w:sz w:val="19"/>
        </w:rPr>
        <w:t>Table 5. Indonesia-focused 2023 platform comparison, US$ billions.</w:t>
      </w:r>
    </w:p>
    <w:tbl>
      <w:tblPr>
        <w:tblStyle w:val="TableGrid"/>
        <w:tblW w:type="auto" w:w="0"/>
        <w:jc w:val="center"/>
        <w:tblLayout w:type="fixed"/>
      </w:tblPr>
      <w:tblGrid>
        <w:gridCol w:w="1591"/>
        <w:gridCol w:w="1591"/>
        <w:gridCol w:w="1591"/>
        <w:gridCol w:w="1591"/>
        <w:gridCol w:w="1591"/>
        <w:gridCol w:w="1591"/>
      </w:tblGrid>
      <w:tr>
        <w:trPr>
          <w:tblHeader w:val="true"/>
          <w:cantSplit/>
        </w:trPr>
        <w:tc>
          <w:tcPr>
            <w:vAlign w:val="center"/>
          </w:tcPr>
          <w:p>
            <w:r>
              <w:rPr>
                <w:rFonts w:ascii="Times New Roman" w:hAnsi="Times New Roman" w:eastAsia="Times New Roman"/>
                <w:b/>
                <w:i w:val="0"/>
                <w:sz w:val="18"/>
              </w:rPr>
              <w:t>Case</w:t>
            </w:r>
          </w:p>
        </w:tc>
        <w:tc>
          <w:tcPr>
            <w:vAlign w:val="center"/>
          </w:tcPr>
          <w:p>
            <w:r>
              <w:rPr>
                <w:rFonts w:ascii="Times New Roman" w:hAnsi="Times New Roman" w:eastAsia="Times New Roman"/>
                <w:b/>
                <w:i w:val="0"/>
                <w:sz w:val="18"/>
              </w:rPr>
              <w:t>Transaction value V</w:t>
            </w:r>
          </w:p>
        </w:tc>
        <w:tc>
          <w:tcPr>
            <w:vAlign w:val="center"/>
          </w:tcPr>
          <w:p>
            <w:r>
              <w:rPr>
                <w:rFonts w:ascii="Times New Roman" w:hAnsi="Times New Roman" w:eastAsia="Times New Roman"/>
                <w:b/>
                <w:i w:val="0"/>
                <w:sz w:val="18"/>
              </w:rPr>
              <w:t>Revenue R</w:t>
            </w:r>
          </w:p>
        </w:tc>
        <w:tc>
          <w:tcPr>
            <w:vAlign w:val="center"/>
          </w:tcPr>
          <w:p>
            <w:r>
              <w:rPr>
                <w:rFonts w:ascii="Times New Roman" w:hAnsi="Times New Roman" w:eastAsia="Times New Roman"/>
                <w:b/>
                <w:i w:val="0"/>
                <w:sz w:val="18"/>
              </w:rPr>
              <w:t>Wedge W</w:t>
            </w:r>
          </w:p>
        </w:tc>
        <w:tc>
          <w:tcPr>
            <w:vAlign w:val="center"/>
          </w:tcPr>
          <w:p>
            <w:r>
              <w:rPr>
                <w:rFonts w:ascii="Times New Roman" w:hAnsi="Times New Roman" w:eastAsia="Times New Roman"/>
                <w:b/>
                <w:i w:val="0"/>
                <w:sz w:val="18"/>
              </w:rPr>
              <w:t>Ecosystem Ratio E</w:t>
            </w:r>
          </w:p>
        </w:tc>
        <w:tc>
          <w:tcPr>
            <w:vAlign w:val="center"/>
          </w:tcPr>
          <w:p>
            <w:r>
              <w:rPr>
                <w:rFonts w:ascii="Times New Roman" w:hAnsi="Times New Roman" w:eastAsia="Times New Roman"/>
                <w:b/>
                <w:i w:val="0"/>
                <w:sz w:val="18"/>
              </w:rPr>
              <w:t>Evidence</w:t>
            </w:r>
          </w:p>
        </w:tc>
      </w:tr>
      <w:tr>
        <w:trPr>
          <w:cantSplit/>
        </w:trPr>
        <w:tc>
          <w:tcPr>
            <w:vAlign w:val="center"/>
          </w:tcPr>
          <w:p>
            <w:r>
              <w:rPr>
                <w:rFonts w:ascii="Times New Roman" w:hAnsi="Times New Roman" w:eastAsia="Times New Roman"/>
                <w:b w:val="0"/>
                <w:i w:val="0"/>
                <w:sz w:val="18"/>
              </w:rPr>
              <w:t>Grab Indonesia</w:t>
            </w:r>
          </w:p>
        </w:tc>
        <w:tc>
          <w:tcPr>
            <w:vAlign w:val="center"/>
          </w:tcPr>
          <w:p>
            <w:r>
              <w:rPr>
                <w:rFonts w:ascii="Times New Roman" w:hAnsi="Times New Roman" w:eastAsia="Times New Roman"/>
                <w:b w:val="0"/>
                <w:i w:val="0"/>
                <w:sz w:val="18"/>
              </w:rPr>
              <w:t>5.381</w:t>
            </w:r>
          </w:p>
        </w:tc>
        <w:tc>
          <w:tcPr>
            <w:vAlign w:val="center"/>
          </w:tcPr>
          <w:p>
            <w:r>
              <w:rPr>
                <w:rFonts w:ascii="Times New Roman" w:hAnsi="Times New Roman" w:eastAsia="Times New Roman"/>
                <w:b w:val="0"/>
                <w:i w:val="0"/>
                <w:sz w:val="18"/>
              </w:rPr>
              <w:t>0.605</w:t>
            </w:r>
          </w:p>
        </w:tc>
        <w:tc>
          <w:tcPr>
            <w:vAlign w:val="center"/>
          </w:tcPr>
          <w:p>
            <w:r>
              <w:rPr>
                <w:rFonts w:ascii="Times New Roman" w:hAnsi="Times New Roman" w:eastAsia="Times New Roman"/>
                <w:b w:val="0"/>
                <w:i w:val="0"/>
                <w:sz w:val="18"/>
              </w:rPr>
              <w:t>4.776</w:t>
            </w:r>
          </w:p>
        </w:tc>
        <w:tc>
          <w:tcPr>
            <w:vAlign w:val="center"/>
          </w:tcPr>
          <w:p>
            <w:r>
              <w:rPr>
                <w:rFonts w:ascii="Times New Roman" w:hAnsi="Times New Roman" w:eastAsia="Times New Roman"/>
                <w:b w:val="0"/>
                <w:i w:val="0"/>
                <w:sz w:val="18"/>
              </w:rPr>
              <w:t>7.895x</w:t>
            </w:r>
          </w:p>
        </w:tc>
        <w:tc>
          <w:tcPr>
            <w:vAlign w:val="center"/>
          </w:tcPr>
          <w:p>
            <w:r>
              <w:rPr>
                <w:rFonts w:ascii="Times New Roman" w:hAnsi="Times New Roman" w:eastAsia="Times New Roman"/>
                <w:b w:val="0"/>
                <w:i w:val="0"/>
                <w:sz w:val="18"/>
              </w:rPr>
              <w:t>Transaction value constructed</w:t>
            </w:r>
          </w:p>
        </w:tc>
      </w:tr>
      <w:tr>
        <w:trPr>
          <w:cantSplit/>
        </w:trPr>
        <w:tc>
          <w:tcPr>
            <w:vAlign w:val="center"/>
          </w:tcPr>
          <w:p>
            <w:r>
              <w:rPr>
                <w:rFonts w:ascii="Times New Roman" w:hAnsi="Times New Roman" w:eastAsia="Times New Roman"/>
                <w:b w:val="0"/>
                <w:i w:val="0"/>
                <w:sz w:val="18"/>
              </w:rPr>
              <w:t>Tokopedia</w:t>
            </w:r>
          </w:p>
        </w:tc>
        <w:tc>
          <w:tcPr>
            <w:vAlign w:val="center"/>
          </w:tcPr>
          <w:p>
            <w:r>
              <w:rPr>
                <w:rFonts w:ascii="Times New Roman" w:hAnsi="Times New Roman" w:eastAsia="Times New Roman"/>
                <w:b w:val="0"/>
                <w:i w:val="0"/>
                <w:sz w:val="18"/>
              </w:rPr>
              <w:t>16.331</w:t>
            </w:r>
          </w:p>
        </w:tc>
        <w:tc>
          <w:tcPr>
            <w:vAlign w:val="center"/>
          </w:tcPr>
          <w:p>
            <w:r>
              <w:rPr>
                <w:rFonts w:ascii="Times New Roman" w:hAnsi="Times New Roman" w:eastAsia="Times New Roman"/>
                <w:b w:val="0"/>
                <w:i w:val="0"/>
                <w:sz w:val="18"/>
              </w:rPr>
              <w:t>0.405</w:t>
            </w:r>
          </w:p>
        </w:tc>
        <w:tc>
          <w:tcPr>
            <w:vAlign w:val="center"/>
          </w:tcPr>
          <w:p>
            <w:r>
              <w:rPr>
                <w:rFonts w:ascii="Times New Roman" w:hAnsi="Times New Roman" w:eastAsia="Times New Roman"/>
                <w:b w:val="0"/>
                <w:i w:val="0"/>
                <w:sz w:val="18"/>
              </w:rPr>
              <w:t>15.926</w:t>
            </w:r>
          </w:p>
        </w:tc>
        <w:tc>
          <w:tcPr>
            <w:vAlign w:val="center"/>
          </w:tcPr>
          <w:p>
            <w:r>
              <w:rPr>
                <w:rFonts w:ascii="Times New Roman" w:hAnsi="Times New Roman" w:eastAsia="Times New Roman"/>
                <w:b w:val="0"/>
                <w:i w:val="0"/>
                <w:sz w:val="18"/>
              </w:rPr>
              <w:t>39.296x</w:t>
            </w:r>
          </w:p>
        </w:tc>
        <w:tc>
          <w:tcPr>
            <w:vAlign w:val="center"/>
          </w:tcPr>
          <w:p>
            <w:r>
              <w:rPr>
                <w:rFonts w:ascii="Times New Roman" w:hAnsi="Times New Roman" w:eastAsia="Times New Roman"/>
                <w:b w:val="0"/>
                <w:i w:val="0"/>
                <w:sz w:val="18"/>
              </w:rPr>
              <w:t>Issuer-reported pair</w:t>
            </w:r>
          </w:p>
        </w:tc>
      </w:tr>
      <w:tr>
        <w:trPr>
          <w:cantSplit/>
        </w:trPr>
        <w:tc>
          <w:tcPr>
            <w:vAlign w:val="center"/>
          </w:tcPr>
          <w:p>
            <w:r>
              <w:rPr>
                <w:rFonts w:ascii="Times New Roman" w:hAnsi="Times New Roman" w:eastAsia="Times New Roman"/>
                <w:b w:val="0"/>
                <w:i w:val="0"/>
                <w:sz w:val="18"/>
              </w:rPr>
              <w:t>Shopee Indonesia</w:t>
            </w:r>
          </w:p>
        </w:tc>
        <w:tc>
          <w:tcPr>
            <w:vAlign w:val="center"/>
          </w:tcPr>
          <w:p>
            <w:r>
              <w:rPr>
                <w:rFonts w:ascii="Times New Roman" w:hAnsi="Times New Roman" w:eastAsia="Times New Roman"/>
                <w:b w:val="0"/>
                <w:i w:val="0"/>
                <w:sz w:val="18"/>
              </w:rPr>
              <w:t>21.520</w:t>
            </w:r>
          </w:p>
        </w:tc>
        <w:tc>
          <w:tcPr>
            <w:vAlign w:val="center"/>
          </w:tcPr>
          <w:p>
            <w:r>
              <w:rPr>
                <w:rFonts w:ascii="Times New Roman" w:hAnsi="Times New Roman" w:eastAsia="Times New Roman"/>
                <w:b w:val="0"/>
                <w:i w:val="0"/>
                <w:sz w:val="18"/>
              </w:rPr>
              <w:t>2.152</w:t>
            </w:r>
          </w:p>
        </w:tc>
        <w:tc>
          <w:tcPr>
            <w:vAlign w:val="center"/>
          </w:tcPr>
          <w:p>
            <w:r>
              <w:rPr>
                <w:rFonts w:ascii="Times New Roman" w:hAnsi="Times New Roman" w:eastAsia="Times New Roman"/>
                <w:b w:val="0"/>
                <w:i w:val="0"/>
                <w:sz w:val="18"/>
              </w:rPr>
              <w:t>19.368</w:t>
            </w:r>
          </w:p>
        </w:tc>
        <w:tc>
          <w:tcPr>
            <w:vAlign w:val="center"/>
          </w:tcPr>
          <w:p>
            <w:r>
              <w:rPr>
                <w:rFonts w:ascii="Times New Roman" w:hAnsi="Times New Roman" w:eastAsia="Times New Roman"/>
                <w:b w:val="0"/>
                <w:i w:val="0"/>
                <w:sz w:val="18"/>
              </w:rPr>
              <w:t>9.000x</w:t>
            </w:r>
          </w:p>
        </w:tc>
        <w:tc>
          <w:tcPr>
            <w:vAlign w:val="center"/>
          </w:tcPr>
          <w:p>
            <w:r>
              <w:rPr>
                <w:rFonts w:ascii="Times New Roman" w:hAnsi="Times New Roman" w:eastAsia="Times New Roman"/>
                <w:b w:val="0"/>
                <w:i w:val="0"/>
                <w:sz w:val="18"/>
              </w:rPr>
              <w:t>Transaction value and revenue estimated</w:t>
            </w:r>
          </w:p>
        </w:tc>
      </w:tr>
      <w:tr>
        <w:trPr>
          <w:cantSplit/>
        </w:trPr>
        <w:tc>
          <w:tcPr>
            <w:vAlign w:val="center"/>
          </w:tcPr>
          <w:p>
            <w:r>
              <w:rPr>
                <w:rFonts w:ascii="Times New Roman" w:hAnsi="Times New Roman" w:eastAsia="Times New Roman"/>
                <w:b w:val="0"/>
                <w:i w:val="0"/>
                <w:sz w:val="18"/>
              </w:rPr>
              <w:t>Three platforms</w:t>
            </w:r>
          </w:p>
        </w:tc>
        <w:tc>
          <w:tcPr>
            <w:vAlign w:val="center"/>
          </w:tcPr>
          <w:p>
            <w:r>
              <w:rPr>
                <w:rFonts w:ascii="Times New Roman" w:hAnsi="Times New Roman" w:eastAsia="Times New Roman"/>
                <w:b w:val="0"/>
                <w:i w:val="0"/>
                <w:sz w:val="18"/>
              </w:rPr>
              <w:t>43.233</w:t>
            </w:r>
          </w:p>
        </w:tc>
        <w:tc>
          <w:tcPr>
            <w:vAlign w:val="center"/>
          </w:tcPr>
          <w:p>
            <w:r>
              <w:rPr>
                <w:rFonts w:ascii="Times New Roman" w:hAnsi="Times New Roman" w:eastAsia="Times New Roman"/>
                <w:b w:val="0"/>
                <w:i w:val="0"/>
                <w:sz w:val="18"/>
              </w:rPr>
              <w:t>3.162</w:t>
            </w:r>
          </w:p>
        </w:tc>
        <w:tc>
          <w:tcPr>
            <w:vAlign w:val="center"/>
          </w:tcPr>
          <w:p>
            <w:r>
              <w:rPr>
                <w:rFonts w:ascii="Times New Roman" w:hAnsi="Times New Roman" w:eastAsia="Times New Roman"/>
                <w:b w:val="0"/>
                <w:i w:val="0"/>
                <w:sz w:val="18"/>
              </w:rPr>
              <w:t>40.070</w:t>
            </w:r>
          </w:p>
        </w:tc>
        <w:tc>
          <w:tcPr>
            <w:vAlign w:val="center"/>
          </w:tcPr>
          <w:p>
            <w:r>
              <w:rPr>
                <w:rFonts w:ascii="Times New Roman" w:hAnsi="Times New Roman" w:eastAsia="Times New Roman"/>
                <w:b w:val="0"/>
                <w:i w:val="0"/>
                <w:sz w:val="18"/>
              </w:rPr>
              <w:t>12.671x</w:t>
            </w:r>
          </w:p>
        </w:tc>
        <w:tc>
          <w:tcPr>
            <w:vAlign w:val="center"/>
          </w:tcPr>
          <w:p>
            <w:r>
              <w:rPr>
                <w:rFonts w:ascii="Times New Roman" w:hAnsi="Times New Roman" w:eastAsia="Times New Roman"/>
                <w:b w:val="0"/>
                <w:i w:val="0"/>
                <w:sz w:val="18"/>
              </w:rPr>
              <w:t>Sum of three cases, not national total</w:t>
            </w:r>
          </w:p>
        </w:tc>
      </w:tr>
    </w:tbl>
    <w:p>
      <w:pPr>
        <w:spacing w:before="120" w:after="110" w:line="257" w:lineRule="auto"/>
        <w:jc w:val="both"/>
      </w:pPr>
      <w:r>
        <w:rPr>
          <w:rFonts w:ascii="Times New Roman" w:hAnsi="Times New Roman" w:eastAsia="Times New Roman"/>
          <w:b w:val="0"/>
          <w:i w:val="0"/>
          <w:sz w:val="24"/>
        </w:rPr>
        <w:t>Table 5 reports that cross-section. Across the three platforms, US$43.23 billion of transaction value corresponds to US$3.16 billion of recognized revenue, a wedge of US$40.07 billion and a ratio of 13.7 to 1. The wedge is equivalent in magnitude to about 2.9 percent of Indonesia's 2023 nominal GDP of US$1.371 trillion (World Bank n.d.); the comparison is of magnitude only, since the wedge is transaction value rather than value added.</w:t>
      </w:r>
    </w:p>
    <w:p>
      <w:pPr>
        <w:spacing w:after="110" w:line="257" w:lineRule="auto"/>
        <w:jc w:val="both"/>
      </w:pPr>
      <w:r>
        <w:rPr>
          <w:rFonts w:ascii="Times New Roman" w:hAnsi="Times New Roman" w:eastAsia="Times New Roman"/>
          <w:b w:val="0"/>
          <w:i w:val="0"/>
          <w:sz w:val="24"/>
        </w:rPr>
        <w:t>Two of the three ratios rest on construction. Shopee's 9.0 is the inverse of the assumed Group monetization rate less one, and Grab's 7.9 is its Group ratio. Varying Shopee's rate between 9 and 11 percent moves the combined wedge only between US$39.86 billion and US$40.29 billion, and excluding any one platform leaves at least US$20.70 billion.</w:t>
      </w:r>
    </w:p>
    <w:p>
      <w:pPr>
        <w:spacing w:after="110" w:line="257" w:lineRule="auto"/>
        <w:jc w:val="both"/>
      </w:pPr>
      <w:r>
        <w:rPr>
          <w:rFonts w:ascii="Times New Roman" w:hAnsi="Times New Roman" w:eastAsia="Times New Roman"/>
          <w:b w:val="0"/>
          <w:i w:val="0"/>
          <w:sz w:val="24"/>
        </w:rPr>
        <w:t>Blibli's third-party business and Bukalapak Group, which report both figures themselves, carried wedges of US$3.20 billion and US$10.50 billion in 2023 at the same exchange rate. They are not added to the total because their measures include online travel and Group-level activity, but their ratios, 43.4 and 36.0, sit close to Tokopedia's 39.3: the three issuer-reported ratios lie between 36 and 43, while the two constructed ratios reflect Group monetization.</w:t>
      </w:r>
    </w:p>
    <w:p>
      <w:pPr>
        <w:spacing w:after="110" w:line="257" w:lineRule="auto"/>
        <w:jc w:val="both"/>
      </w:pPr>
      <w:r>
        <w:rPr>
          <w:rFonts w:ascii="Times New Roman" w:hAnsi="Times New Roman" w:eastAsia="Times New Roman"/>
          <w:b w:val="0"/>
          <w:i w:val="0"/>
          <w:sz w:val="24"/>
        </w:rPr>
        <w:t>The relationship is not stable. Across the eight year-to-year comparisons in the main sample, revenue grew faster than transaction value in six, with a median absolute gap of 38.92 percentage points between the two growth rates, and the two moved in opposite directions twice. Without the largest comparison, revenue still grew faster in five of seven, with a median gap of 15.74 points, and excluding any single platform leaves revenue faster in most comparisons and at least one reversal. Including Grab and Shopee gives ten of twelve, but those four comparisons track Group monetization rather than Indonesian activity. Figure 1 shows the Ecosystem Ratio for each platform; every series ends lower than it began, though not by a steady decline.</w:t>
      </w:r>
    </w:p>
    <w:p>
      <w:pPr>
        <w:keepNext/>
        <w:spacing w:before="80" w:after="40" w:line="25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6058799" cy="2206539"/>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6058799" cy="2206539"/>
                    </a:xfrm>
                    <a:prstGeom prst="rect"/>
                  </pic:spPr>
                </pic:pic>
              </a:graphicData>
            </a:graphic>
          </wp:inline>
        </w:drawing>
      </w:r>
    </w:p>
    <w:p>
      <w:pPr>
        <w:keepNext/>
        <w:spacing w:before="40" w:after="30" w:line="240" w:lineRule="auto"/>
        <w:jc w:val="center"/>
      </w:pPr>
      <w:r>
        <w:rPr>
          <w:rFonts w:ascii="Times New Roman" w:hAnsi="Times New Roman" w:eastAsia="Times New Roman"/>
          <w:b/>
          <w:i/>
          <w:sz w:val="19"/>
        </w:rPr>
        <w:t>Figure 1. Ecosystem Ratio by platform, 2020–2025. Solid lines are issuer-reported pairs; dashed lines are constructed Indonesian series whose ratios equal Group ratios by construction.</w:t>
      </w:r>
    </w:p>
    <w:p>
      <w:pPr>
        <w:spacing w:after="110" w:line="257" w:lineRule="auto"/>
        <w:jc w:val="both"/>
      </w:pPr>
      <w:r>
        <w:rPr>
          <w:rFonts w:ascii="Times New Roman" w:hAnsi="Times New Roman" w:eastAsia="Times New Roman"/>
          <w:b w:val="0"/>
          <w:i w:val="0"/>
          <w:sz w:val="24"/>
        </w:rPr>
        <w:t>Tokopedia supplies the clearest component reconciliation. Between 2022 and 2023 its transaction value fell 8.9 percent while third-party net revenue rose 53.2 percent; 60.6 percent of the revenue increase reconciles to lower customer incentives and 39.4 percent to higher gross revenue. Revenue growth therefore did not represent expansion in processed transaction value. Blibli provides another observed reversal in 2024–2025, with transaction value down 1.89 percent and net revenue up 12.07 percent. The reversal recurs, although the Tokopedia component explanation is not automatically an explanation of the Blibli case.</w:t>
      </w:r>
    </w:p>
    <w:p>
      <w:pPr>
        <w:pStyle w:val="Heading2"/>
        <w:spacing w:before="140" w:after="60"/>
        <w:jc w:val="left"/>
      </w:pPr>
      <w:r>
        <w:rPr>
          <w:rFonts w:ascii="Times New Roman" w:hAnsi="Times New Roman" w:eastAsia="Times New Roman"/>
          <w:b/>
          <w:i w:val="0"/>
          <w:sz w:val="24"/>
        </w:rPr>
        <w:t>5.2 Evidence Beyond Platform Revenue</w:t>
      </w:r>
    </w:p>
    <w:p>
      <w:pPr>
        <w:spacing w:after="110" w:line="257" w:lineRule="auto"/>
        <w:jc w:val="both"/>
      </w:pPr>
      <w:r>
        <w:rPr>
          <w:rFonts w:ascii="Times New Roman" w:hAnsi="Times New Roman" w:eastAsia="Times New Roman"/>
          <w:b w:val="0"/>
          <w:i w:val="0"/>
          <w:sz w:val="24"/>
        </w:rPr>
        <w:t>BPS observes online sales reported by surveyed businesses rather than the selected issuers’ transaction metrics. Its 2023 marketplace component is Rp200.68 trillion, approximately US$13.2 billion at the stated exchange rate. The separate Tokopedia disclosure and Shopee country estimate total approximately US$37.9 billion. These are not established as like-for-like estimates. Differences in channel attribution, reporting definitions and covered populations must be reconciled before assigning any residual to coverage failure. Multiple-response sales-media statistics are kept separate from the additive channel decomposition.</w:t>
      </w:r>
    </w:p>
    <w:p>
      <w:pPr>
        <w:spacing w:after="110" w:line="257" w:lineRule="auto"/>
        <w:jc w:val="both"/>
      </w:pPr>
      <w:r>
        <w:rPr>
          <w:rFonts w:ascii="Times New Roman" w:hAnsi="Times New Roman" w:eastAsia="Times New Roman"/>
          <w:b w:val="0"/>
          <w:i w:val="0"/>
          <w:sz w:val="24"/>
        </w:rPr>
        <w:t>The national growth comparison can be made within the BPS decomposition itself. Table 6 separates this result from the business-count, recordkeeping and payment evidence.</w:t>
      </w:r>
    </w:p>
    <w:p>
      <w:pPr>
        <w:keepNext/>
        <w:spacing w:before="80" w:after="70" w:line="240" w:lineRule="auto"/>
        <w:jc w:val="left"/>
      </w:pPr>
      <w:r>
        <w:rPr>
          <w:rFonts w:ascii="Times New Roman" w:hAnsi="Times New Roman" w:eastAsia="Times New Roman"/>
          <w:b/>
          <w:i/>
          <w:sz w:val="19"/>
        </w:rPr>
        <w:t>Table 6. Preliminary evidence beyond platform accounts.</w:t>
      </w:r>
    </w:p>
    <w:tbl>
      <w:tblPr>
        <w:tblStyle w:val="TableGrid"/>
        <w:tblW w:type="auto" w:w="0"/>
        <w:jc w:val="center"/>
        <w:tblLayout w:type="fixed"/>
      </w:tblPr>
      <w:tblGrid>
        <w:gridCol w:w="3182"/>
        <w:gridCol w:w="3182"/>
        <w:gridCol w:w="3182"/>
      </w:tblGrid>
      <w:tr>
        <w:trPr>
          <w:tblHeader w:val="true"/>
          <w:cantSplit/>
        </w:trPr>
        <w:tc>
          <w:tcPr>
            <w:vAlign w:val="center"/>
          </w:tcPr>
          <w:p>
            <w:r>
              <w:rPr>
                <w:rFonts w:ascii="Times New Roman" w:hAnsi="Times New Roman" w:eastAsia="Times New Roman"/>
                <w:b/>
                <w:i w:val="0"/>
                <w:sz w:val="18"/>
              </w:rPr>
              <w:t>Question</w:t>
            </w:r>
          </w:p>
        </w:tc>
        <w:tc>
          <w:tcPr>
            <w:vAlign w:val="center"/>
          </w:tcPr>
          <w:p>
            <w:r>
              <w:rPr>
                <w:rFonts w:ascii="Times New Roman" w:hAnsi="Times New Roman" w:eastAsia="Times New Roman"/>
                <w:b/>
                <w:i w:val="0"/>
                <w:sz w:val="18"/>
              </w:rPr>
              <w:t>Preliminary evidence</w:t>
            </w:r>
          </w:p>
        </w:tc>
        <w:tc>
          <w:tcPr>
            <w:vAlign w:val="center"/>
          </w:tcPr>
          <w:p>
            <w:r>
              <w:rPr>
                <w:rFonts w:ascii="Times New Roman" w:hAnsi="Times New Roman" w:eastAsia="Times New Roman"/>
                <w:b/>
                <w:i w:val="0"/>
                <w:sz w:val="18"/>
              </w:rPr>
              <w:t>Interpretation</w:t>
            </w:r>
          </w:p>
        </w:tc>
      </w:tr>
      <w:tr>
        <w:trPr>
          <w:cantSplit/>
        </w:trPr>
        <w:tc>
          <w:tcPr>
            <w:vAlign w:val="center"/>
          </w:tcPr>
          <w:p>
            <w:r>
              <w:rPr>
                <w:rFonts w:ascii="Times New Roman" w:hAnsi="Times New Roman" w:eastAsia="Times New Roman"/>
                <w:b w:val="0"/>
                <w:i w:val="0"/>
                <w:sz w:val="18"/>
              </w:rPr>
              <w:t>Where does e-commerce growth come from?</w:t>
            </w:r>
          </w:p>
        </w:tc>
        <w:tc>
          <w:tcPr>
            <w:vAlign w:val="center"/>
          </w:tcPr>
          <w:p>
            <w:r>
              <w:rPr>
                <w:rFonts w:ascii="Times New Roman" w:hAnsi="Times New Roman" w:eastAsia="Times New Roman"/>
                <w:b w:val="0"/>
                <w:i w:val="0"/>
                <w:sz w:val="18"/>
              </w:rPr>
              <w:t>E-commerce value +17.08%; estimated business count +15.31%; sales per business +1.54%. The business count accounts for 90.29% of the increase (70.95% under BPS's other count)</w:t>
            </w:r>
          </w:p>
        </w:tc>
        <w:tc>
          <w:tcPr>
            <w:vAlign w:val="center"/>
          </w:tcPr>
          <w:p>
            <w:r>
              <w:rPr>
                <w:rFonts w:ascii="Times New Roman" w:hAnsi="Times New Roman" w:eastAsia="Times New Roman"/>
                <w:b w:val="0"/>
                <w:i w:val="0"/>
                <w:sz w:val="18"/>
              </w:rPr>
              <w:t>Estimated business counts account for most of the arithmetic increase (H2)</w:t>
            </w:r>
          </w:p>
        </w:tc>
      </w:tr>
      <w:tr>
        <w:trPr>
          <w:cantSplit/>
        </w:trPr>
        <w:tc>
          <w:tcPr>
            <w:vAlign w:val="center"/>
          </w:tcPr>
          <w:p>
            <w:r>
              <w:rPr>
                <w:rFonts w:ascii="Times New Roman" w:hAnsi="Times New Roman" w:eastAsia="Times New Roman"/>
                <w:b w:val="0"/>
                <w:i w:val="0"/>
                <w:sz w:val="18"/>
              </w:rPr>
              <w:t>Where does that growth occur?</w:t>
            </w:r>
          </w:p>
        </w:tc>
        <w:tc>
          <w:tcPr>
            <w:vAlign w:val="center"/>
          </w:tcPr>
          <w:p>
            <w:r>
              <w:rPr>
                <w:rFonts w:ascii="Times New Roman" w:hAnsi="Times New Roman" w:eastAsia="Times New Roman"/>
                <w:b w:val="0"/>
                <w:i w:val="0"/>
                <w:sz w:val="18"/>
              </w:rPr>
              <w:t>Marketplace channel +1.45%; other channels +20.57%; 98.46% of the increase is outside the marketplace channel</w:t>
            </w:r>
          </w:p>
        </w:tc>
        <w:tc>
          <w:tcPr>
            <w:vAlign w:val="center"/>
          </w:tcPr>
          <w:p>
            <w:r>
              <w:rPr>
                <w:rFonts w:ascii="Times New Roman" w:hAnsi="Times New Roman" w:eastAsia="Times New Roman"/>
                <w:b w:val="0"/>
                <w:i w:val="0"/>
                <w:sz w:val="18"/>
              </w:rPr>
              <w:t>Most measured growth lies outside the BPS marketplace component (H4)</w:t>
            </w:r>
          </w:p>
        </w:tc>
      </w:tr>
      <w:tr>
        <w:trPr>
          <w:cantSplit/>
        </w:trPr>
        <w:tc>
          <w:tcPr>
            <w:vAlign w:val="center"/>
          </w:tcPr>
          <w:p>
            <w:r>
              <w:rPr>
                <w:rFonts w:ascii="Times New Roman" w:hAnsi="Times New Roman" w:eastAsia="Times New Roman"/>
                <w:b w:val="0"/>
                <w:i w:val="0"/>
                <w:sz w:val="18"/>
              </w:rPr>
              <w:t>Are marketplace use and financial records related?</w:t>
            </w:r>
          </w:p>
        </w:tc>
        <w:tc>
          <w:tcPr>
            <w:vAlign w:val="center"/>
          </w:tcPr>
          <w:p>
            <w:r>
              <w:rPr>
                <w:rFonts w:ascii="Times New Roman" w:hAnsi="Times New Roman" w:eastAsia="Times New Roman"/>
                <w:b w:val="0"/>
                <w:i w:val="0"/>
                <w:sz w:val="18"/>
              </w:rPr>
              <w:t>Complete financial statements: 28.63% of marketplace users versus 12.25% of non-marketplace users</w:t>
            </w:r>
          </w:p>
        </w:tc>
        <w:tc>
          <w:tcPr>
            <w:vAlign w:val="center"/>
          </w:tcPr>
          <w:p>
            <w:r>
              <w:rPr>
                <w:rFonts w:ascii="Times New Roman" w:hAnsi="Times New Roman" w:eastAsia="Times New Roman"/>
                <w:b w:val="0"/>
                <w:i w:val="0"/>
                <w:sz w:val="18"/>
              </w:rPr>
              <w:t>Marketplace participation is associated with stronger recordkeeping (H3)</w:t>
            </w:r>
          </w:p>
        </w:tc>
      </w:tr>
      <w:tr>
        <w:trPr>
          <w:cantSplit/>
        </w:trPr>
        <w:tc>
          <w:tcPr>
            <w:vAlign w:val="center"/>
          </w:tcPr>
          <w:p>
            <w:r>
              <w:rPr>
                <w:rFonts w:ascii="Times New Roman" w:hAnsi="Times New Roman" w:eastAsia="Times New Roman"/>
                <w:b w:val="0"/>
                <w:i w:val="0"/>
                <w:sz w:val="18"/>
              </w:rPr>
              <w:t>Do payment records show the same growth?</w:t>
            </w:r>
          </w:p>
        </w:tc>
        <w:tc>
          <w:tcPr>
            <w:vAlign w:val="center"/>
          </w:tcPr>
          <w:p>
            <w:r>
              <w:rPr>
                <w:rFonts w:ascii="Times New Roman" w:hAnsi="Times New Roman" w:eastAsia="Times New Roman"/>
                <w:b w:val="0"/>
                <w:i w:val="0"/>
                <w:sz w:val="18"/>
              </w:rPr>
              <w:t>BPS e-commerce +17.08%; electronic-money shopping +30.47%; mobile-banking payments and purchases +82.84%; QRIS +186.98%</w:t>
            </w:r>
          </w:p>
        </w:tc>
        <w:tc>
          <w:tcPr>
            <w:vAlign w:val="center"/>
          </w:tcPr>
          <w:p>
            <w:r>
              <w:rPr>
                <w:rFonts w:ascii="Times New Roman" w:hAnsi="Times New Roman" w:eastAsia="Times New Roman"/>
                <w:b w:val="0"/>
                <w:i w:val="0"/>
                <w:sz w:val="18"/>
              </w:rPr>
              <w:t>Different payment populations and adoption dynamics; contextual evidence</w:t>
            </w:r>
          </w:p>
        </w:tc>
      </w:tr>
    </w:tbl>
    <w:p>
      <w:pPr>
        <w:spacing w:before="120" w:after="110" w:line="257" w:lineRule="auto"/>
        <w:jc w:val="both"/>
      </w:pPr>
      <w:r>
        <w:rPr>
          <w:rFonts w:ascii="Times New Roman" w:hAnsi="Times New Roman" w:eastAsia="Times New Roman"/>
          <w:b w:val="0"/>
          <w:i w:val="0"/>
          <w:sz w:val="24"/>
        </w:rPr>
        <w:t>The growth decomposition identifies the non-marketplace component as a whole. Messaging and social-media prevalence alone cannot allocate that increase among individual channels. The count decomposition separately describes participation-intensive expansion; it does not locate new businesses by channel.</w:t>
      </w:r>
    </w:p>
    <w:p>
      <w:pPr>
        <w:pStyle w:val="Heading2"/>
        <w:spacing w:before="140" w:after="60"/>
        <w:jc w:val="left"/>
      </w:pPr>
      <w:r>
        <w:rPr>
          <w:rFonts w:ascii="Times New Roman" w:hAnsi="Times New Roman" w:eastAsia="Times New Roman"/>
          <w:b/>
          <w:i w:val="0"/>
          <w:sz w:val="24"/>
        </w:rPr>
        <w:t>5.3 Feasibility and Scope of the Preliminary Findings</w:t>
      </w:r>
    </w:p>
    <w:p>
      <w:pPr>
        <w:spacing w:after="110" w:line="257" w:lineRule="auto"/>
        <w:jc w:val="both"/>
      </w:pPr>
      <w:r>
        <w:rPr>
          <w:rFonts w:ascii="Times New Roman" w:hAnsi="Times New Roman" w:eastAsia="Times New Roman"/>
          <w:b w:val="0"/>
          <w:i w:val="0"/>
          <w:sz w:val="24"/>
        </w:rPr>
        <w:t>The results establish the feasibility of the descriptive tests: issuer divergence for H1, business-count decomposition for H2, recordkeeping association for H3 and channel-growth differences for H4. Explaining cross-source level differences remains a reconciliation task.</w:t>
      </w:r>
    </w:p>
    <w:p>
      <w:pPr>
        <w:spacing w:after="110" w:line="257" w:lineRule="auto"/>
        <w:jc w:val="both"/>
      </w:pPr>
      <w:r>
        <w:rPr>
          <w:rFonts w:ascii="Times New Roman" w:hAnsi="Times New Roman" w:eastAsia="Times New Roman"/>
          <w:b w:val="0"/>
          <w:i w:val="0"/>
          <w:sz w:val="24"/>
        </w:rPr>
        <w:t>The external comparison corroborates the direction of H1 and qualifies its size. Transaction value exceeds revenue in all eight businesses, with monetization rates from about 2.4 percent at Shopify to about 25 percent at Mercado Libre among the marketplaces. Among the 29 comparisons free of acquisitions or perimeter changes, revenue grew faster than transaction value in 22 and the two moved in opposite directions in 4, but the median gap, 7.1 percentage points, is far smaller than in the Indonesian main sample.</w:t>
      </w:r>
    </w:p>
    <w:p>
      <w:pPr>
        <w:spacing w:after="110" w:line="257" w:lineRule="auto"/>
        <w:jc w:val="both"/>
      </w:pPr>
      <w:r>
        <w:rPr>
          <w:rFonts w:ascii="Times New Roman" w:hAnsi="Times New Roman" w:eastAsia="Times New Roman"/>
          <w:b w:val="0"/>
          <w:i w:val="0"/>
          <w:sz w:val="24"/>
        </w:rPr>
        <w:t>PMK 37/2025 provides an institutional context for distinguishing platform-company revenue from seller-linked transaction information. The proposal examines the reporting architecture, rather than estimating compliance or tax revenue. A quantitative claim about the regime’s coverage would require mapping its legal scope and designated operators to the statistical channel definitions and verifying implementation. BPS channel shares alone do not supply that mapping.</w:t>
      </w:r>
    </w:p>
    <w:p>
      <w:pPr>
        <w:pStyle w:val="Heading1"/>
        <w:spacing w:before="200" w:after="100"/>
        <w:jc w:val="left"/>
      </w:pPr>
      <w:r>
        <w:rPr>
          <w:rFonts w:ascii="Times New Roman" w:hAnsi="Times New Roman" w:eastAsia="Times New Roman"/>
          <w:b/>
          <w:i w:val="0"/>
          <w:sz w:val="24"/>
        </w:rPr>
        <w:t>6. Why the Problem Matters</w:t>
      </w:r>
    </w:p>
    <w:p>
      <w:pPr>
        <w:spacing w:after="110" w:line="257" w:lineRule="auto"/>
        <w:jc w:val="both"/>
      </w:pPr>
      <w:r>
        <w:rPr>
          <w:rFonts w:ascii="Times New Roman" w:hAnsi="Times New Roman" w:eastAsia="Times New Roman"/>
          <w:b w:val="0"/>
          <w:i w:val="0"/>
          <w:sz w:val="24"/>
        </w:rPr>
        <w:t>The substantive payoff is a more specific account of digital expansion. In the issuer histories, revenue can increase because monetization changes even when processed commerce contracts; Tokopedia’s component reconciliation makes that distinction observable. In the national evidence, total online sales growth can coexist with a nearly flat marketplace component, while estimated participation expands. These are different economic changes, and separating them matters to an analyst interpreting platform performance or describing the breadth of digital commerce.</w:t>
      </w:r>
    </w:p>
    <w:p>
      <w:pPr>
        <w:spacing w:after="110" w:line="257" w:lineRule="auto"/>
        <w:jc w:val="both"/>
      </w:pPr>
      <w:r>
        <w:rPr>
          <w:rFonts w:ascii="Times New Roman" w:hAnsi="Times New Roman" w:eastAsia="Times New Roman"/>
          <w:b w:val="0"/>
          <w:i w:val="0"/>
          <w:sz w:val="24"/>
        </w:rPr>
        <w:t>The study does not need to show that all records are defective. Its contribution is to identify which question each record can answer and to explain selected differences between their signals. Where a definition or population cannot yet be aligned, the unresolved bridge remains explicit rather than becoming an estimate of hidden activity.</w:t>
      </w:r>
    </w:p>
    <w:p>
      <w:pPr>
        <w:pStyle w:val="Heading1"/>
        <w:spacing w:before="200" w:after="100"/>
        <w:jc w:val="left"/>
      </w:pPr>
      <w:r>
        <w:rPr>
          <w:rFonts w:ascii="Times New Roman" w:hAnsi="Times New Roman" w:eastAsia="Times New Roman"/>
          <w:b/>
          <w:i w:val="0"/>
          <w:sz w:val="24"/>
        </w:rPr>
        <w:t>7. Limitations and Robustness</w:t>
      </w:r>
    </w:p>
    <w:p>
      <w:pPr>
        <w:spacing w:after="110" w:line="257" w:lineRule="auto"/>
        <w:jc w:val="both"/>
      </w:pPr>
      <w:r>
        <w:rPr>
          <w:rFonts w:ascii="Times New Roman" w:hAnsi="Times New Roman" w:eastAsia="Times New Roman"/>
          <w:b w:val="0"/>
          <w:i w:val="0"/>
          <w:sz w:val="24"/>
        </w:rPr>
        <w:t>The evidence is descriptive, and its limits are specific. The main sample is small: three issuer-reported platforms, 11 platform-years and 8 comparisons, which supports description rather than statistical inference. Its scope is uneven: Tokopedia is an Indonesia-aligned segment observed for two years, Blibli's segment includes online travel, and Bukalapak reports at Group level. Grab's and Shopee's Indonesian figures are constructed, so their ratios carry no independent Indonesian information, and Shopee's revenue rests on an assumed monetization rate. The records compared in Section 5.2 are defined differently, so their disagreement is measured at this stage rather than reconciled.</w:t>
      </w:r>
    </w:p>
    <w:p>
      <w:pPr>
        <w:spacing w:after="110" w:line="257" w:lineRule="auto"/>
        <w:jc w:val="both"/>
      </w:pPr>
      <w:r>
        <w:rPr>
          <w:rFonts w:ascii="Times New Roman" w:hAnsi="Times New Roman" w:eastAsia="Times New Roman"/>
          <w:b w:val="0"/>
          <w:i w:val="0"/>
          <w:sz w:val="24"/>
        </w:rPr>
        <w:t>Table 7 pairs each supported conclusion with what it does not establish.</w:t>
      </w:r>
    </w:p>
    <w:p>
      <w:pPr>
        <w:keepNext/>
        <w:spacing w:before="80" w:after="70" w:line="240" w:lineRule="auto"/>
        <w:jc w:val="left"/>
      </w:pPr>
      <w:r>
        <w:rPr>
          <w:rFonts w:ascii="Times New Roman" w:hAnsi="Times New Roman" w:eastAsia="Times New Roman"/>
          <w:b/>
          <w:i/>
          <w:sz w:val="19"/>
        </w:rPr>
        <w:t>Table 7. Main inference boundaries.</w:t>
      </w:r>
    </w:p>
    <w:tbl>
      <w:tblPr>
        <w:tblStyle w:val="TableGrid"/>
        <w:tblW w:type="auto" w:w="0"/>
        <w:jc w:val="center"/>
        <w:tblLayout w:type="fixed"/>
      </w:tblPr>
      <w:tblGrid>
        <w:gridCol w:w="4773"/>
        <w:gridCol w:w="4773"/>
      </w:tblGrid>
      <w:tr>
        <w:trPr>
          <w:tblHeader w:val="true"/>
          <w:cantSplit/>
        </w:trPr>
        <w:tc>
          <w:tcPr>
            <w:vAlign w:val="center"/>
          </w:tcPr>
          <w:p>
            <w:r>
              <w:rPr>
                <w:rFonts w:ascii="Times New Roman" w:hAnsi="Times New Roman" w:eastAsia="Times New Roman"/>
                <w:b/>
                <w:i w:val="0"/>
                <w:sz w:val="18"/>
              </w:rPr>
              <w:t>Evidence supports</w:t>
            </w:r>
          </w:p>
        </w:tc>
        <w:tc>
          <w:tcPr>
            <w:vAlign w:val="center"/>
          </w:tcPr>
          <w:p>
            <w:r>
              <w:rPr>
                <w:rFonts w:ascii="Times New Roman" w:hAnsi="Times New Roman" w:eastAsia="Times New Roman"/>
                <w:b/>
                <w:i w:val="0"/>
                <w:sz w:val="18"/>
              </w:rPr>
              <w:t>Does not by itself establish</w:t>
            </w:r>
          </w:p>
        </w:tc>
      </w:tr>
      <w:tr>
        <w:trPr>
          <w:cantSplit/>
        </w:trPr>
        <w:tc>
          <w:tcPr>
            <w:vAlign w:val="center"/>
          </w:tcPr>
          <w:p>
            <w:r>
              <w:rPr>
                <w:rFonts w:ascii="Times New Roman" w:hAnsi="Times New Roman" w:eastAsia="Times New Roman"/>
                <w:b w:val="0"/>
                <w:i w:val="0"/>
                <w:sz w:val="18"/>
              </w:rPr>
              <w:t>W, E, and D describe the size and movement of the wedge.</w:t>
            </w:r>
          </w:p>
        </w:tc>
        <w:tc>
          <w:tcPr>
            <w:vAlign w:val="center"/>
          </w:tcPr>
          <w:p>
            <w:r>
              <w:rPr>
                <w:rFonts w:ascii="Times New Roman" w:hAnsi="Times New Roman" w:eastAsia="Times New Roman"/>
                <w:b w:val="0"/>
                <w:i w:val="0"/>
                <w:sz w:val="18"/>
              </w:rPr>
              <w:t>Participant profit, taxable income, unpaid tax, tax evasion, or missing GDP.</w:t>
            </w:r>
          </w:p>
        </w:tc>
      </w:tr>
      <w:tr>
        <w:trPr>
          <w:cantSplit/>
        </w:trPr>
        <w:tc>
          <w:tcPr>
            <w:vAlign w:val="center"/>
          </w:tcPr>
          <w:p>
            <w:r>
              <w:rPr>
                <w:rFonts w:ascii="Times New Roman" w:hAnsi="Times New Roman" w:eastAsia="Times New Roman"/>
                <w:b w:val="0"/>
                <w:i w:val="0"/>
                <w:sz w:val="18"/>
              </w:rPr>
              <w:t>Issuer-reported pairs show revenue and transaction value moving apart within platforms.</w:t>
            </w:r>
          </w:p>
        </w:tc>
        <w:tc>
          <w:tcPr>
            <w:vAlign w:val="center"/>
          </w:tcPr>
          <w:p>
            <w:r>
              <w:rPr>
                <w:rFonts w:ascii="Times New Roman" w:hAnsi="Times New Roman" w:eastAsia="Times New Roman"/>
                <w:b w:val="0"/>
                <w:i w:val="0"/>
                <w:sz w:val="18"/>
              </w:rPr>
              <w:t>Independent Indonesian ratio evidence from the constructed Grab and Shopee series.</w:t>
            </w:r>
          </w:p>
        </w:tc>
      </w:tr>
      <w:tr>
        <w:trPr>
          <w:cantSplit/>
        </w:trPr>
        <w:tc>
          <w:tcPr>
            <w:vAlign w:val="center"/>
          </w:tcPr>
          <w:p>
            <w:r>
              <w:rPr>
                <w:rFonts w:ascii="Times New Roman" w:hAnsi="Times New Roman" w:eastAsia="Times New Roman"/>
                <w:b w:val="0"/>
                <w:i w:val="0"/>
                <w:sz w:val="18"/>
              </w:rPr>
              <w:t>Disclosed revenue components reconcile selected movements in the wedge.</w:t>
            </w:r>
          </w:p>
        </w:tc>
        <w:tc>
          <w:tcPr>
            <w:vAlign w:val="center"/>
          </w:tcPr>
          <w:p>
            <w:r>
              <w:rPr>
                <w:rFonts w:ascii="Times New Roman" w:hAnsi="Times New Roman" w:eastAsia="Times New Roman"/>
                <w:b w:val="0"/>
                <w:i w:val="0"/>
                <w:sz w:val="18"/>
              </w:rPr>
              <w:t>A causal effect of incentives, monetization, or accounting choices.</w:t>
            </w:r>
          </w:p>
        </w:tc>
      </w:tr>
      <w:tr>
        <w:trPr>
          <w:cantSplit/>
        </w:trPr>
        <w:tc>
          <w:tcPr>
            <w:vAlign w:val="center"/>
          </w:tcPr>
          <w:p>
            <w:r>
              <w:rPr>
                <w:rFonts w:ascii="Times New Roman" w:hAnsi="Times New Roman" w:eastAsia="Times New Roman"/>
                <w:b w:val="0"/>
                <w:i w:val="0"/>
                <w:sz w:val="18"/>
              </w:rPr>
              <w:t>BPS evidence describes the sources and channels of e-commerce growth and recordkeeping associations.</w:t>
            </w:r>
          </w:p>
        </w:tc>
        <w:tc>
          <w:tcPr>
            <w:vAlign w:val="center"/>
          </w:tcPr>
          <w:p>
            <w:r>
              <w:rPr>
                <w:rFonts w:ascii="Times New Roman" w:hAnsi="Times New Roman" w:eastAsia="Times New Roman"/>
                <w:b w:val="0"/>
                <w:i w:val="0"/>
                <w:sz w:val="18"/>
              </w:rPr>
              <w:t>Causal business entry, productivity effects, or marketplace-induced formalization.</w:t>
            </w:r>
          </w:p>
        </w:tc>
      </w:tr>
      <w:tr>
        <w:trPr>
          <w:cantSplit/>
        </w:trPr>
        <w:tc>
          <w:tcPr>
            <w:vAlign w:val="center"/>
          </w:tcPr>
          <w:p>
            <w:r>
              <w:rPr>
                <w:rFonts w:ascii="Times New Roman" w:hAnsi="Times New Roman" w:eastAsia="Times New Roman"/>
                <w:b w:val="0"/>
                <w:i w:val="0"/>
                <w:sz w:val="18"/>
              </w:rPr>
              <w:t>Matched issuer histories and the BPS channel decomposition reveal distinct growth patterns.</w:t>
            </w:r>
          </w:p>
        </w:tc>
        <w:tc>
          <w:tcPr>
            <w:vAlign w:val="center"/>
          </w:tcPr>
          <w:p>
            <w:r>
              <w:rPr>
                <w:rFonts w:ascii="Times New Roman" w:hAnsi="Times New Roman" w:eastAsia="Times New Roman"/>
                <w:b w:val="0"/>
                <w:i w:val="0"/>
                <w:sz w:val="18"/>
              </w:rPr>
              <w:t>That either record is wrong, or that payment values measure sales.</w:t>
            </w:r>
          </w:p>
        </w:tc>
      </w:tr>
      <w:tr>
        <w:trPr>
          <w:cantSplit/>
        </w:trPr>
        <w:tc>
          <w:tcPr>
            <w:vAlign w:val="center"/>
          </w:tcPr>
          <w:p>
            <w:r>
              <w:rPr>
                <w:rFonts w:ascii="Times New Roman" w:hAnsi="Times New Roman" w:eastAsia="Times New Roman"/>
                <w:b w:val="0"/>
                <w:i w:val="0"/>
                <w:sz w:val="18"/>
              </w:rPr>
              <w:t>PMK 37/2025 illustrates a rule built on the marketplace record.</w:t>
            </w:r>
          </w:p>
        </w:tc>
        <w:tc>
          <w:tcPr>
            <w:vAlign w:val="center"/>
          </w:tcPr>
          <w:p>
            <w:r>
              <w:rPr>
                <w:rFonts w:ascii="Times New Roman" w:hAnsi="Times New Roman" w:eastAsia="Times New Roman"/>
                <w:b w:val="0"/>
                <w:i w:val="0"/>
                <w:sz w:val="18"/>
              </w:rPr>
              <w:t>A completed compliance or tax-revenue effect.</w:t>
            </w:r>
          </w:p>
        </w:tc>
      </w:tr>
    </w:tbl>
    <w:p>
      <w:pPr>
        <w:spacing w:before="120" w:after="110" w:line="257" w:lineRule="auto"/>
        <w:jc w:val="both"/>
      </w:pPr>
      <w:r>
        <w:rPr>
          <w:rFonts w:ascii="Times New Roman" w:hAnsi="Times New Roman" w:eastAsia="Times New Roman"/>
          <w:b w:val="0"/>
          <w:i w:val="0"/>
          <w:sz w:val="24"/>
        </w:rPr>
        <w:t>Robustness is reported as sensitivity ranges: Shopee's assumed rate is varied, each platform is excluded in turn, the largest comparison is dropped, and the longitudinal result is restricted to issuer-reported pairs.</w:t>
      </w:r>
    </w:p>
    <w:p>
      <w:pPr>
        <w:pStyle w:val="Heading1"/>
        <w:spacing w:before="200" w:after="100"/>
        <w:jc w:val="left"/>
      </w:pPr>
      <w:r>
        <w:rPr>
          <w:rFonts w:ascii="Times New Roman" w:hAnsi="Times New Roman" w:eastAsia="Times New Roman"/>
          <w:b/>
          <w:i w:val="0"/>
          <w:sz w:val="24"/>
        </w:rPr>
        <w:t>8. Next Steps</w:t>
      </w:r>
    </w:p>
    <w:p>
      <w:pPr>
        <w:spacing w:after="110" w:line="257" w:lineRule="auto"/>
        <w:jc w:val="both"/>
      </w:pPr>
      <w:r>
        <w:rPr>
          <w:rFonts w:ascii="Times New Roman" w:hAnsi="Times New Roman" w:eastAsia="Times New Roman"/>
          <w:b w:val="0"/>
          <w:i w:val="0"/>
          <w:sz w:val="24"/>
        </w:rPr>
        <w:t>The data and empirical framework are assembled. The remaining work is to confirm with the committee the treatment of the broader-scope and constructed series, reconcile the definitions behind the BPS and platform levels, divide movements in the wedge into changes in transaction volume and in monetization, and complete the robustness checks. Table 8 sets out that schedule.</w:t>
      </w:r>
    </w:p>
    <w:p>
      <w:pPr>
        <w:keepNext/>
        <w:spacing w:before="80" w:after="70" w:line="240" w:lineRule="auto"/>
        <w:jc w:val="left"/>
      </w:pPr>
      <w:r>
        <w:rPr>
          <w:rFonts w:ascii="Times New Roman" w:hAnsi="Times New Roman" w:eastAsia="Times New Roman"/>
          <w:b/>
          <w:i/>
          <w:sz w:val="19"/>
        </w:rPr>
        <w:t>Table 8. Planned work toward the final thesis.</w:t>
      </w:r>
    </w:p>
    <w:tbl>
      <w:tblPr>
        <w:tblStyle w:val="TableGrid"/>
        <w:tblW w:type="auto" w:w="0"/>
        <w:jc w:val="center"/>
        <w:tblLayout w:type="fixed"/>
      </w:tblPr>
      <w:tblGrid>
        <w:gridCol w:w="4773"/>
        <w:gridCol w:w="4773"/>
      </w:tblGrid>
      <w:tr>
        <w:trPr>
          <w:tblHeader w:val="true"/>
          <w:cantSplit/>
        </w:trPr>
        <w:tc>
          <w:tcPr>
            <w:vAlign w:val="center"/>
          </w:tcPr>
          <w:p>
            <w:r>
              <w:rPr>
                <w:rFonts w:ascii="Times New Roman" w:hAnsi="Times New Roman" w:eastAsia="Times New Roman"/>
                <w:b/>
                <w:i w:val="0"/>
                <w:sz w:val="18"/>
              </w:rPr>
              <w:t>Period</w:t>
            </w:r>
          </w:p>
        </w:tc>
        <w:tc>
          <w:tcPr>
            <w:vAlign w:val="center"/>
          </w:tcPr>
          <w:p>
            <w:r>
              <w:rPr>
                <w:rFonts w:ascii="Times New Roman" w:hAnsi="Times New Roman" w:eastAsia="Times New Roman"/>
                <w:b/>
                <w:i w:val="0"/>
                <w:sz w:val="18"/>
              </w:rPr>
              <w:t>Planned work</w:t>
            </w:r>
          </w:p>
        </w:tc>
      </w:tr>
      <w:tr>
        <w:trPr>
          <w:cantSplit/>
        </w:trPr>
        <w:tc>
          <w:tcPr>
            <w:vAlign w:val="center"/>
          </w:tcPr>
          <w:p>
            <w:r>
              <w:rPr>
                <w:rFonts w:ascii="Times New Roman" w:hAnsi="Times New Roman" w:eastAsia="Times New Roman"/>
                <w:b w:val="0"/>
                <w:i w:val="0"/>
                <w:sz w:val="18"/>
              </w:rPr>
              <w:t>Proposal stage</w:t>
            </w:r>
          </w:p>
        </w:tc>
        <w:tc>
          <w:tcPr>
            <w:vAlign w:val="center"/>
          </w:tcPr>
          <w:p>
            <w:r>
              <w:rPr>
                <w:rFonts w:ascii="Times New Roman" w:hAnsi="Times New Roman" w:eastAsia="Times New Roman"/>
                <w:b w:val="0"/>
                <w:i w:val="0"/>
                <w:sz w:val="18"/>
              </w:rPr>
              <w:t>Incorporate examination feedback; confirm the main sample and the treatment of broader-scope and constructed series.</w:t>
            </w:r>
          </w:p>
        </w:tc>
      </w:tr>
      <w:tr>
        <w:trPr>
          <w:cantSplit/>
        </w:trPr>
        <w:tc>
          <w:tcPr>
            <w:vAlign w:val="center"/>
          </w:tcPr>
          <w:p>
            <w:r>
              <w:rPr>
                <w:rFonts w:ascii="Times New Roman" w:hAnsi="Times New Roman" w:eastAsia="Times New Roman"/>
                <w:b w:val="0"/>
                <w:i w:val="0"/>
                <w:sz w:val="18"/>
              </w:rPr>
              <w:t>October–November 2026</w:t>
            </w:r>
          </w:p>
        </w:tc>
        <w:tc>
          <w:tcPr>
            <w:vAlign w:val="center"/>
          </w:tcPr>
          <w:p>
            <w:r>
              <w:rPr>
                <w:rFonts w:ascii="Times New Roman" w:hAnsi="Times New Roman" w:eastAsia="Times New Roman"/>
                <w:b w:val="0"/>
                <w:i w:val="0"/>
                <w:sz w:val="18"/>
              </w:rPr>
              <w:t>Reconcile BPS and platform definitions; divide wedge movements into volume and monetization effects; complete robustness checks; finalize tables and figures.</w:t>
            </w:r>
          </w:p>
        </w:tc>
      </w:tr>
      <w:tr>
        <w:trPr>
          <w:cantSplit/>
        </w:trPr>
        <w:tc>
          <w:tcPr>
            <w:vAlign w:val="center"/>
          </w:tcPr>
          <w:p>
            <w:r>
              <w:rPr>
                <w:rFonts w:ascii="Times New Roman" w:hAnsi="Times New Roman" w:eastAsia="Times New Roman"/>
                <w:b w:val="0"/>
                <w:i w:val="0"/>
                <w:sz w:val="18"/>
              </w:rPr>
              <w:t>Before the final defense</w:t>
            </w:r>
          </w:p>
        </w:tc>
        <w:tc>
          <w:tcPr>
            <w:vAlign w:val="center"/>
          </w:tcPr>
          <w:p>
            <w:r>
              <w:rPr>
                <w:rFonts w:ascii="Times New Roman" w:hAnsi="Times New Roman" w:eastAsia="Times New Roman"/>
                <w:b w:val="0"/>
                <w:i w:val="0"/>
                <w:sz w:val="18"/>
              </w:rPr>
              <w:t>Complete the full manuscript and the final citation and consistency review.</w:t>
            </w:r>
          </w:p>
        </w:tc>
      </w:tr>
    </w:tbl>
    <w:p>
      <w:pPr>
        <w:spacing w:before="120" w:after="110" w:line="257" w:lineRule="auto"/>
        <w:jc w:val="both"/>
      </w:pPr>
      <w:r>
        <w:rPr>
          <w:rFonts w:ascii="Times New Roman" w:hAnsi="Times New Roman" w:eastAsia="Times New Roman"/>
          <w:b w:val="0"/>
          <w:i w:val="0"/>
          <w:sz w:val="24"/>
        </w:rPr>
        <w:t>The study begins with a difference that is familiar in platform accounting and asks when that difference changes the economic interpretation. Its preliminary evidence distinguishes growth in revenue from growth in processed transactions, and marketplace growth from wider online commercial expansion. The final thesis will connect these findings through explicit source definitions and component reconciliations, showing what can be learned about digital transformation by reading its records together.</w:t>
      </w:r>
    </w:p>
    <w:p>
      <w:pPr>
        <w:pStyle w:val="Heading1"/>
        <w:spacing w:before="200" w:after="100"/>
        <w:jc w:val="left"/>
      </w:pPr>
      <w:r>
        <w:rPr>
          <w:rFonts w:ascii="Times New Roman" w:hAnsi="Times New Roman" w:eastAsia="Times New Roman"/>
          <w:b/>
          <w:i w:val="0"/>
          <w:sz w:val="24"/>
        </w:rPr>
        <w:t>Appendix A - Variables and Data Sources</w:t>
      </w:r>
    </w:p>
    <w:p>
      <w:pPr>
        <w:keepNext/>
        <w:spacing w:before="80" w:after="70" w:line="240" w:lineRule="auto"/>
        <w:jc w:val="left"/>
      </w:pPr>
      <w:r>
        <w:rPr>
          <w:rFonts w:ascii="Times New Roman" w:hAnsi="Times New Roman" w:eastAsia="Times New Roman"/>
          <w:b/>
          <w:i/>
          <w:sz w:val="19"/>
        </w:rPr>
        <w:t>Table A1. Variable definitions and sources.</w:t>
      </w:r>
    </w:p>
    <w:tbl>
      <w:tblPr>
        <w:tblStyle w:val="TableGrid"/>
        <w:tblW w:type="auto" w:w="0"/>
        <w:jc w:val="center"/>
        <w:tblLayout w:type="fixed"/>
      </w:tblPr>
      <w:tblGrid>
        <w:gridCol w:w="3182"/>
        <w:gridCol w:w="3182"/>
        <w:gridCol w:w="3182"/>
      </w:tblGrid>
      <w:tr>
        <w:trPr>
          <w:tblHeader w:val="true"/>
          <w:cantSplit/>
        </w:trPr>
        <w:tc>
          <w:tcPr>
            <w:vAlign w:val="center"/>
          </w:tcPr>
          <w:p>
            <w:r>
              <w:rPr>
                <w:rFonts w:ascii="Times New Roman" w:hAnsi="Times New Roman" w:eastAsia="Times New Roman"/>
                <w:b/>
                <w:i w:val="0"/>
                <w:sz w:val="18"/>
              </w:rPr>
              <w:t>Variable</w:t>
            </w:r>
          </w:p>
        </w:tc>
        <w:tc>
          <w:tcPr>
            <w:vAlign w:val="center"/>
          </w:tcPr>
          <w:p>
            <w:r>
              <w:rPr>
                <w:rFonts w:ascii="Times New Roman" w:hAnsi="Times New Roman" w:eastAsia="Times New Roman"/>
                <w:b/>
                <w:i w:val="0"/>
                <w:sz w:val="18"/>
              </w:rPr>
              <w:t>Definition</w:t>
            </w:r>
          </w:p>
        </w:tc>
        <w:tc>
          <w:tcPr>
            <w:vAlign w:val="center"/>
          </w:tcPr>
          <w:p>
            <w:r>
              <w:rPr>
                <w:rFonts w:ascii="Times New Roman" w:hAnsi="Times New Roman" w:eastAsia="Times New Roman"/>
                <w:b/>
                <w:i w:val="0"/>
                <w:sz w:val="18"/>
              </w:rPr>
              <w:t>Source</w:t>
            </w:r>
          </w:p>
        </w:tc>
      </w:tr>
      <w:tr>
        <w:trPr>
          <w:cantSplit/>
        </w:trPr>
        <w:tc>
          <w:tcPr>
            <w:vAlign w:val="center"/>
          </w:tcPr>
          <w:p>
            <w:r>
              <w:rPr>
                <w:rFonts w:ascii="Times New Roman" w:hAnsi="Times New Roman" w:eastAsia="Times New Roman"/>
                <w:b w:val="0"/>
                <w:i w:val="0"/>
                <w:sz w:val="18"/>
              </w:rPr>
              <w:t>V</w:t>
            </w:r>
          </w:p>
        </w:tc>
        <w:tc>
          <w:tcPr>
            <w:vAlign w:val="center"/>
          </w:tcPr>
          <w:p>
            <w:r>
              <w:rPr>
                <w:rFonts w:ascii="Times New Roman" w:hAnsi="Times New Roman" w:eastAsia="Times New Roman"/>
                <w:b w:val="0"/>
                <w:i w:val="0"/>
                <w:sz w:val="18"/>
              </w:rPr>
              <w:t>Transaction value processed through the platform in the period</w:t>
            </w:r>
          </w:p>
        </w:tc>
        <w:tc>
          <w:tcPr>
            <w:vAlign w:val="center"/>
          </w:tcPr>
          <w:p>
            <w:r>
              <w:rPr>
                <w:rFonts w:ascii="Times New Roman" w:hAnsi="Times New Roman" w:eastAsia="Times New Roman"/>
                <w:b w:val="0"/>
                <w:i w:val="0"/>
                <w:sz w:val="18"/>
              </w:rPr>
              <w:t>Issuer disclosure, or construction (Table 3)</w:t>
            </w:r>
          </w:p>
        </w:tc>
      </w:tr>
      <w:tr>
        <w:trPr>
          <w:cantSplit/>
        </w:trPr>
        <w:tc>
          <w:tcPr>
            <w:vAlign w:val="center"/>
          </w:tcPr>
          <w:p>
            <w:r>
              <w:rPr>
                <w:rFonts w:ascii="Times New Roman" w:hAnsi="Times New Roman" w:eastAsia="Times New Roman"/>
                <w:b w:val="0"/>
                <w:i w:val="0"/>
                <w:sz w:val="18"/>
              </w:rPr>
              <w:t>R</w:t>
            </w:r>
          </w:p>
        </w:tc>
        <w:tc>
          <w:tcPr>
            <w:vAlign w:val="center"/>
          </w:tcPr>
          <w:p>
            <w:r>
              <w:rPr>
                <w:rFonts w:ascii="Times New Roman" w:hAnsi="Times New Roman" w:eastAsia="Times New Roman"/>
                <w:b w:val="0"/>
                <w:i w:val="0"/>
                <w:sz w:val="18"/>
              </w:rPr>
              <w:t>Revenue the platform recognizes for the same period and business scope</w:t>
            </w:r>
          </w:p>
        </w:tc>
        <w:tc>
          <w:tcPr>
            <w:vAlign w:val="center"/>
          </w:tcPr>
          <w:p>
            <w:r>
              <w:rPr>
                <w:rFonts w:ascii="Times New Roman" w:hAnsi="Times New Roman" w:eastAsia="Times New Roman"/>
                <w:b w:val="0"/>
                <w:i w:val="0"/>
                <w:sz w:val="18"/>
              </w:rPr>
              <w:t>Issuer disclosure, or construction (Table 3)</w:t>
            </w:r>
          </w:p>
        </w:tc>
      </w:tr>
      <w:tr>
        <w:trPr>
          <w:cantSplit/>
        </w:trPr>
        <w:tc>
          <w:tcPr>
            <w:vAlign w:val="center"/>
          </w:tcPr>
          <w:p>
            <w:r>
              <w:rPr>
                <w:rFonts w:ascii="Times New Roman" w:hAnsi="Times New Roman" w:eastAsia="Times New Roman"/>
                <w:b w:val="0"/>
                <w:i w:val="0"/>
                <w:sz w:val="18"/>
              </w:rPr>
              <w:t>t = R / V</w:t>
            </w:r>
          </w:p>
        </w:tc>
        <w:tc>
          <w:tcPr>
            <w:vAlign w:val="center"/>
          </w:tcPr>
          <w:p>
            <w:r>
              <w:rPr>
                <w:rFonts w:ascii="Times New Roman" w:hAnsi="Times New Roman" w:eastAsia="Times New Roman"/>
                <w:b w:val="0"/>
                <w:i w:val="0"/>
                <w:sz w:val="18"/>
              </w:rPr>
              <w:t>Monetization rate: the share of transaction value recognized as revenue</w:t>
            </w:r>
          </w:p>
        </w:tc>
        <w:tc>
          <w:tcPr>
            <w:vAlign w:val="center"/>
          </w:tcPr>
          <w:p>
            <w:r>
              <w:rPr>
                <w:rFonts w:ascii="Times New Roman" w:hAnsi="Times New Roman" w:eastAsia="Times New Roman"/>
                <w:b w:val="0"/>
                <w:i w:val="0"/>
                <w:sz w:val="18"/>
              </w:rPr>
              <w:t>Computed</w:t>
            </w:r>
          </w:p>
        </w:tc>
      </w:tr>
      <w:tr>
        <w:trPr>
          <w:cantSplit/>
        </w:trPr>
        <w:tc>
          <w:tcPr>
            <w:vAlign w:val="center"/>
          </w:tcPr>
          <w:p>
            <w:r>
              <w:rPr>
                <w:rFonts w:ascii="Times New Roman" w:hAnsi="Times New Roman" w:eastAsia="Times New Roman"/>
                <w:b w:val="0"/>
                <w:i w:val="0"/>
                <w:sz w:val="18"/>
              </w:rPr>
              <w:t>W = V − R</w:t>
            </w:r>
          </w:p>
        </w:tc>
        <w:tc>
          <w:tcPr>
            <w:vAlign w:val="center"/>
          </w:tcPr>
          <w:p>
            <w:r>
              <w:rPr>
                <w:rFonts w:ascii="Times New Roman" w:hAnsi="Times New Roman" w:eastAsia="Times New Roman"/>
                <w:b w:val="0"/>
                <w:i w:val="0"/>
                <w:sz w:val="18"/>
              </w:rPr>
              <w:t>Invisible wedge: transaction value outside recognized revenue</w:t>
            </w:r>
          </w:p>
        </w:tc>
        <w:tc>
          <w:tcPr>
            <w:vAlign w:val="center"/>
          </w:tcPr>
          <w:p>
            <w:r>
              <w:rPr>
                <w:rFonts w:ascii="Times New Roman" w:hAnsi="Times New Roman" w:eastAsia="Times New Roman"/>
                <w:b w:val="0"/>
                <w:i w:val="0"/>
                <w:sz w:val="18"/>
              </w:rPr>
              <w:t>Computed</w:t>
            </w:r>
          </w:p>
        </w:tc>
      </w:tr>
      <w:tr>
        <w:trPr>
          <w:cantSplit/>
        </w:trPr>
        <w:tc>
          <w:tcPr>
            <w:vAlign w:val="center"/>
          </w:tcPr>
          <w:p>
            <w:r>
              <w:rPr>
                <w:rFonts w:ascii="Times New Roman" w:hAnsi="Times New Roman" w:eastAsia="Times New Roman"/>
                <w:b w:val="0"/>
                <w:i w:val="0"/>
                <w:sz w:val="18"/>
              </w:rPr>
              <w:t>E = (V − R) / R = 1/t − 1</w:t>
            </w:r>
          </w:p>
        </w:tc>
        <w:tc>
          <w:tcPr>
            <w:vAlign w:val="center"/>
          </w:tcPr>
          <w:p>
            <w:r>
              <w:rPr>
                <w:rFonts w:ascii="Times New Roman" w:hAnsi="Times New Roman" w:eastAsia="Times New Roman"/>
                <w:b w:val="0"/>
                <w:i w:val="0"/>
                <w:sz w:val="18"/>
              </w:rPr>
              <w:t>Ecosystem Ratio: wedge per unit of revenue; constructed for this study</w:t>
            </w:r>
          </w:p>
        </w:tc>
        <w:tc>
          <w:tcPr>
            <w:vAlign w:val="center"/>
          </w:tcPr>
          <w:p>
            <w:r>
              <w:rPr>
                <w:rFonts w:ascii="Times New Roman" w:hAnsi="Times New Roman" w:eastAsia="Times New Roman"/>
                <w:b w:val="0"/>
                <w:i w:val="0"/>
                <w:sz w:val="18"/>
              </w:rPr>
              <w:t>Computed</w:t>
            </w:r>
          </w:p>
        </w:tc>
      </w:tr>
      <w:tr>
        <w:trPr>
          <w:cantSplit/>
        </w:trPr>
        <w:tc>
          <w:tcPr>
            <w:vAlign w:val="center"/>
          </w:tcPr>
          <w:p>
            <w:r>
              <w:rPr>
                <w:rFonts w:ascii="Times New Roman" w:hAnsi="Times New Roman" w:eastAsia="Times New Roman"/>
                <w:b w:val="0"/>
                <w:i w:val="0"/>
                <w:sz w:val="18"/>
              </w:rPr>
              <w:t>D = g(V) − g(R)</w:t>
            </w:r>
          </w:p>
        </w:tc>
        <w:tc>
          <w:tcPr>
            <w:vAlign w:val="center"/>
          </w:tcPr>
          <w:p>
            <w:r>
              <w:rPr>
                <w:rFonts w:ascii="Times New Roman" w:hAnsi="Times New Roman" w:eastAsia="Times New Roman"/>
                <w:b w:val="0"/>
                <w:i w:val="0"/>
                <w:sz w:val="18"/>
              </w:rPr>
              <w:t>Growth divergence: transaction-value growth minus revenue growth</w:t>
            </w:r>
          </w:p>
        </w:tc>
        <w:tc>
          <w:tcPr>
            <w:vAlign w:val="center"/>
          </w:tcPr>
          <w:p>
            <w:r>
              <w:rPr>
                <w:rFonts w:ascii="Times New Roman" w:hAnsi="Times New Roman" w:eastAsia="Times New Roman"/>
                <w:b w:val="0"/>
                <w:i w:val="0"/>
                <w:sz w:val="18"/>
              </w:rPr>
              <w:t>Computed from consecutive years</w:t>
            </w:r>
          </w:p>
        </w:tc>
      </w:tr>
      <w:tr>
        <w:trPr>
          <w:cantSplit/>
        </w:trPr>
        <w:tc>
          <w:tcPr>
            <w:vAlign w:val="center"/>
          </w:tcPr>
          <w:p>
            <w:r>
              <w:rPr>
                <w:rFonts w:ascii="Times New Roman" w:hAnsi="Times New Roman" w:eastAsia="Times New Roman"/>
                <w:b w:val="0"/>
                <w:i w:val="0"/>
                <w:sz w:val="18"/>
              </w:rPr>
              <w:t>S = N × A</w:t>
            </w:r>
          </w:p>
        </w:tc>
        <w:tc>
          <w:tcPr>
            <w:vAlign w:val="center"/>
          </w:tcPr>
          <w:p>
            <w:r>
              <w:rPr>
                <w:rFonts w:ascii="Times New Roman" w:hAnsi="Times New Roman" w:eastAsia="Times New Roman"/>
                <w:b w:val="0"/>
                <w:i w:val="0"/>
                <w:sz w:val="18"/>
              </w:rPr>
              <w:t>National e-commerce value: number of businesses times sales per business</w:t>
            </w:r>
          </w:p>
        </w:tc>
        <w:tc>
          <w:tcPr>
            <w:vAlign w:val="center"/>
          </w:tcPr>
          <w:p>
            <w:r>
              <w:rPr>
                <w:rFonts w:ascii="Times New Roman" w:hAnsi="Times New Roman" w:eastAsia="Times New Roman"/>
                <w:b w:val="0"/>
                <w:i w:val="0"/>
                <w:sz w:val="18"/>
              </w:rPr>
              <w:t>BPS-Statistics Indonesia</w:t>
            </w:r>
          </w:p>
        </w:tc>
      </w:tr>
    </w:tbl>
    <w:p>
      <w:pPr>
        <w:spacing w:before="120" w:after="110" w:line="257" w:lineRule="auto"/>
        <w:jc w:val="both"/>
      </w:pPr>
      <w:r>
        <w:rPr>
          <w:rFonts w:ascii="Times New Roman" w:hAnsi="Times New Roman" w:eastAsia="Times New Roman"/>
          <w:b w:val="0"/>
          <w:i w:val="0"/>
          <w:sz w:val="24"/>
        </w:rPr>
        <w:t>Table A1 defines each variable and says where it comes from. Table A2 traces each record to the filings and publications behind it.</w:t>
      </w:r>
      <w:r>
        <w:t xml:space="preserve"> Every figure used in this proposal traces to a named file and locator in the accompanying data package.</w:t>
      </w:r>
    </w:p>
    <w:p>
      <w:pPr>
        <w:keepNext/>
        <w:spacing w:before="80" w:after="70" w:line="240" w:lineRule="auto"/>
        <w:jc w:val="left"/>
      </w:pPr>
      <w:r>
        <w:rPr>
          <w:rFonts w:ascii="Times New Roman" w:hAnsi="Times New Roman" w:eastAsia="Times New Roman"/>
          <w:b/>
          <w:i/>
          <w:sz w:val="19"/>
        </w:rPr>
        <w:t>Table A2. Source lineage by evidence type.</w:t>
      </w:r>
    </w:p>
    <w:tbl>
      <w:tblPr>
        <w:tblStyle w:val="TableGrid"/>
        <w:tblW w:type="auto" w:w="0"/>
        <w:jc w:val="center"/>
        <w:tblLayout w:type="fixed"/>
      </w:tblPr>
      <w:tblGrid>
        <w:gridCol w:w="2386"/>
        <w:gridCol w:w="2386"/>
        <w:gridCol w:w="2386"/>
        <w:gridCol w:w="2386"/>
      </w:tblGrid>
      <w:tr>
        <w:trPr>
          <w:tblHeader w:val="true"/>
          <w:cantSplit/>
        </w:trPr>
        <w:tc>
          <w:tcPr>
            <w:vAlign w:val="center"/>
          </w:tcPr>
          <w:p>
            <w:r>
              <w:rPr>
                <w:rFonts w:ascii="Times New Roman" w:hAnsi="Times New Roman" w:eastAsia="Times New Roman"/>
                <w:b/>
                <w:i w:val="0"/>
                <w:sz w:val="18"/>
              </w:rPr>
              <w:t>Evidence type</w:t>
            </w:r>
          </w:p>
        </w:tc>
        <w:tc>
          <w:tcPr>
            <w:vAlign w:val="center"/>
          </w:tcPr>
          <w:p>
            <w:r>
              <w:rPr>
                <w:rFonts w:ascii="Times New Roman" w:hAnsi="Times New Roman" w:eastAsia="Times New Roman"/>
                <w:b/>
                <w:i w:val="0"/>
                <w:sz w:val="18"/>
              </w:rPr>
              <w:t>Platform / source</w:t>
            </w:r>
          </w:p>
        </w:tc>
        <w:tc>
          <w:tcPr>
            <w:vAlign w:val="center"/>
          </w:tcPr>
          <w:p>
            <w:r>
              <w:rPr>
                <w:rFonts w:ascii="Times New Roman" w:hAnsi="Times New Roman" w:eastAsia="Times New Roman"/>
                <w:b/>
                <w:i w:val="0"/>
                <w:sz w:val="18"/>
              </w:rPr>
              <w:t>Transaction-value source</w:t>
            </w:r>
          </w:p>
        </w:tc>
        <w:tc>
          <w:tcPr>
            <w:vAlign w:val="center"/>
          </w:tcPr>
          <w:p>
            <w:r>
              <w:rPr>
                <w:rFonts w:ascii="Times New Roman" w:hAnsi="Times New Roman" w:eastAsia="Times New Roman"/>
                <w:b/>
                <w:i w:val="0"/>
                <w:sz w:val="18"/>
              </w:rPr>
              <w:t>Revenue / comparison source</w:t>
            </w:r>
          </w:p>
        </w:tc>
      </w:tr>
      <w:tr>
        <w:trPr>
          <w:cantSplit/>
        </w:trPr>
        <w:tc>
          <w:tcPr>
            <w:vAlign w:val="center"/>
          </w:tcPr>
          <w:p>
            <w:r>
              <w:rPr>
                <w:rFonts w:ascii="Times New Roman" w:hAnsi="Times New Roman" w:eastAsia="Times New Roman"/>
                <w:b w:val="0"/>
                <w:i w:val="0"/>
                <w:sz w:val="18"/>
              </w:rPr>
              <w:t>Issuer-reported, Indonesia-aligned</w:t>
            </w:r>
          </w:p>
        </w:tc>
        <w:tc>
          <w:tcPr>
            <w:vAlign w:val="center"/>
          </w:tcPr>
          <w:p>
            <w:r>
              <w:rPr>
                <w:rFonts w:ascii="Times New Roman" w:hAnsi="Times New Roman" w:eastAsia="Times New Roman"/>
                <w:b w:val="0"/>
                <w:i w:val="0"/>
                <w:sz w:val="18"/>
              </w:rPr>
              <w:t>Tokopedia e-commerce</w:t>
            </w:r>
          </w:p>
        </w:tc>
        <w:tc>
          <w:tcPr>
            <w:vAlign w:val="center"/>
          </w:tcPr>
          <w:p>
            <w:r>
              <w:rPr>
                <w:rFonts w:ascii="Times New Roman" w:hAnsi="Times New Roman" w:eastAsia="Times New Roman"/>
                <w:b w:val="0"/>
                <w:i w:val="0"/>
                <w:sz w:val="18"/>
              </w:rPr>
              <w:t>GoTo annual report, e-commerce segment metrics</w:t>
            </w:r>
          </w:p>
        </w:tc>
        <w:tc>
          <w:tcPr>
            <w:vAlign w:val="center"/>
          </w:tcPr>
          <w:p>
            <w:r>
              <w:rPr>
                <w:rFonts w:ascii="Times New Roman" w:hAnsi="Times New Roman" w:eastAsia="Times New Roman"/>
                <w:b w:val="0"/>
                <w:i w:val="0"/>
                <w:sz w:val="18"/>
              </w:rPr>
              <w:t>GoTo annual report, segment note</w:t>
            </w:r>
          </w:p>
        </w:tc>
      </w:tr>
      <w:tr>
        <w:trPr>
          <w:cantSplit/>
        </w:trPr>
        <w:tc>
          <w:tcPr>
            <w:vAlign w:val="center"/>
          </w:tcPr>
          <w:p>
            <w:r>
              <w:rPr>
                <w:rFonts w:ascii="Times New Roman" w:hAnsi="Times New Roman" w:eastAsia="Times New Roman"/>
                <w:b w:val="0"/>
                <w:i w:val="0"/>
                <w:sz w:val="18"/>
              </w:rPr>
              <w:t>Issuer-reported, broader scope</w:t>
            </w:r>
          </w:p>
        </w:tc>
        <w:tc>
          <w:tcPr>
            <w:vAlign w:val="center"/>
          </w:tcPr>
          <w:p>
            <w:r>
              <w:rPr>
                <w:rFonts w:ascii="Times New Roman" w:hAnsi="Times New Roman" w:eastAsia="Times New Roman"/>
                <w:b w:val="0"/>
                <w:i w:val="0"/>
                <w:sz w:val="18"/>
              </w:rPr>
              <w:t>Blibli third-party business</w:t>
            </w:r>
          </w:p>
        </w:tc>
        <w:tc>
          <w:tcPr>
            <w:vAlign w:val="center"/>
          </w:tcPr>
          <w:p>
            <w:r>
              <w:rPr>
                <w:rFonts w:ascii="Times New Roman" w:hAnsi="Times New Roman" w:eastAsia="Times New Roman"/>
                <w:b w:val="0"/>
                <w:i w:val="0"/>
                <w:sz w:val="18"/>
              </w:rPr>
              <w:t>Global Digital Niaga prospectus and results releases</w:t>
            </w:r>
          </w:p>
        </w:tc>
        <w:tc>
          <w:tcPr>
            <w:vAlign w:val="center"/>
          </w:tcPr>
          <w:p>
            <w:r>
              <w:rPr>
                <w:rFonts w:ascii="Times New Roman" w:hAnsi="Times New Roman" w:eastAsia="Times New Roman"/>
                <w:b w:val="0"/>
                <w:i w:val="0"/>
                <w:sz w:val="18"/>
              </w:rPr>
              <w:t>Same issuer filings</w:t>
            </w:r>
          </w:p>
        </w:tc>
      </w:tr>
      <w:tr>
        <w:trPr>
          <w:cantSplit/>
        </w:trPr>
        <w:tc>
          <w:tcPr>
            <w:vAlign w:val="center"/>
          </w:tcPr>
          <w:p>
            <w:r>
              <w:rPr>
                <w:rFonts w:ascii="Times New Roman" w:hAnsi="Times New Roman" w:eastAsia="Times New Roman"/>
                <w:b w:val="0"/>
                <w:i w:val="0"/>
                <w:sz w:val="18"/>
              </w:rPr>
              <w:t>Issuer-reported, broader scope</w:t>
            </w:r>
          </w:p>
        </w:tc>
        <w:tc>
          <w:tcPr>
            <w:vAlign w:val="center"/>
          </w:tcPr>
          <w:p>
            <w:r>
              <w:rPr>
                <w:rFonts w:ascii="Times New Roman" w:hAnsi="Times New Roman" w:eastAsia="Times New Roman"/>
                <w:b w:val="0"/>
                <w:i w:val="0"/>
                <w:sz w:val="18"/>
              </w:rPr>
              <w:t>Bukalapak Group</w:t>
            </w:r>
          </w:p>
        </w:tc>
        <w:tc>
          <w:tcPr>
            <w:vAlign w:val="center"/>
          </w:tcPr>
          <w:p>
            <w:r>
              <w:rPr>
                <w:rFonts w:ascii="Times New Roman" w:hAnsi="Times New Roman" w:eastAsia="Times New Roman"/>
                <w:b w:val="0"/>
                <w:i w:val="0"/>
                <w:sz w:val="18"/>
              </w:rPr>
              <w:t>Bukalapak annual and sustainability reports</w:t>
            </w:r>
          </w:p>
        </w:tc>
        <w:tc>
          <w:tcPr>
            <w:vAlign w:val="center"/>
          </w:tcPr>
          <w:p>
            <w:r>
              <w:rPr>
                <w:rFonts w:ascii="Times New Roman" w:hAnsi="Times New Roman" w:eastAsia="Times New Roman"/>
                <w:b w:val="0"/>
                <w:i w:val="0"/>
                <w:sz w:val="18"/>
              </w:rPr>
              <w:t>Same issuer filings</w:t>
            </w:r>
          </w:p>
        </w:tc>
      </w:tr>
      <w:tr>
        <w:trPr>
          <w:cantSplit/>
        </w:trPr>
        <w:tc>
          <w:tcPr>
            <w:vAlign w:val="center"/>
          </w:tcPr>
          <w:p>
            <w:r>
              <w:rPr>
                <w:rFonts w:ascii="Times New Roman" w:hAnsi="Times New Roman" w:eastAsia="Times New Roman"/>
                <w:b w:val="0"/>
                <w:i w:val="0"/>
                <w:sz w:val="18"/>
              </w:rPr>
              <w:t>Requires construction</w:t>
            </w:r>
          </w:p>
        </w:tc>
        <w:tc>
          <w:tcPr>
            <w:vAlign w:val="center"/>
          </w:tcPr>
          <w:p>
            <w:r>
              <w:rPr>
                <w:rFonts w:ascii="Times New Roman" w:hAnsi="Times New Roman" w:eastAsia="Times New Roman"/>
                <w:b w:val="0"/>
                <w:i w:val="0"/>
                <w:sz w:val="18"/>
              </w:rPr>
              <w:t>Grab Indonesia</w:t>
            </w:r>
          </w:p>
        </w:tc>
        <w:tc>
          <w:tcPr>
            <w:vAlign w:val="center"/>
          </w:tcPr>
          <w:p>
            <w:r>
              <w:rPr>
                <w:rFonts w:ascii="Times New Roman" w:hAnsi="Times New Roman" w:eastAsia="Times New Roman"/>
                <w:b w:val="0"/>
                <w:i w:val="0"/>
                <w:sz w:val="18"/>
              </w:rPr>
              <w:t>Derived from Indonesia revenue and Group monetization rate</w:t>
            </w:r>
          </w:p>
        </w:tc>
        <w:tc>
          <w:tcPr>
            <w:vAlign w:val="center"/>
          </w:tcPr>
          <w:p>
            <w:r>
              <w:rPr>
                <w:rFonts w:ascii="Times New Roman" w:hAnsi="Times New Roman" w:eastAsia="Times New Roman"/>
                <w:b w:val="0"/>
                <w:i w:val="0"/>
                <w:sz w:val="18"/>
              </w:rPr>
              <w:t>Grab Form 20-F</w:t>
            </w:r>
          </w:p>
        </w:tc>
      </w:tr>
      <w:tr>
        <w:trPr>
          <w:cantSplit/>
        </w:trPr>
        <w:tc>
          <w:tcPr>
            <w:vAlign w:val="center"/>
          </w:tcPr>
          <w:p>
            <w:r>
              <w:rPr>
                <w:rFonts w:ascii="Times New Roman" w:hAnsi="Times New Roman" w:eastAsia="Times New Roman"/>
                <w:b w:val="0"/>
                <w:i w:val="0"/>
                <w:sz w:val="18"/>
              </w:rPr>
              <w:t>Requires construction</w:t>
            </w:r>
          </w:p>
        </w:tc>
        <w:tc>
          <w:tcPr>
            <w:vAlign w:val="center"/>
          </w:tcPr>
          <w:p>
            <w:r>
              <w:rPr>
                <w:rFonts w:ascii="Times New Roman" w:hAnsi="Times New Roman" w:eastAsia="Times New Roman"/>
                <w:b w:val="0"/>
                <w:i w:val="0"/>
                <w:sz w:val="18"/>
              </w:rPr>
              <w:t>Shopee Indonesia</w:t>
            </w:r>
          </w:p>
        </w:tc>
        <w:tc>
          <w:tcPr>
            <w:vAlign w:val="center"/>
          </w:tcPr>
          <w:p>
            <w:r>
              <w:rPr>
                <w:rFonts w:ascii="Times New Roman" w:hAnsi="Times New Roman" w:eastAsia="Times New Roman"/>
                <w:b w:val="0"/>
                <w:i w:val="0"/>
                <w:sz w:val="18"/>
              </w:rPr>
              <w:t>Momentum Works Southeast Asia e-commerce estimate</w:t>
            </w:r>
          </w:p>
        </w:tc>
        <w:tc>
          <w:tcPr>
            <w:vAlign w:val="center"/>
          </w:tcPr>
          <w:p>
            <w:r>
              <w:rPr>
                <w:rFonts w:ascii="Times New Roman" w:hAnsi="Times New Roman" w:eastAsia="Times New Roman"/>
                <w:b w:val="0"/>
                <w:i w:val="0"/>
                <w:sz w:val="18"/>
              </w:rPr>
              <w:t>Derived from Sea Limited Form 20-F</w:t>
            </w:r>
          </w:p>
        </w:tc>
      </w:tr>
      <w:tr>
        <w:trPr>
          <w:cantSplit/>
        </w:trPr>
        <w:tc>
          <w:tcPr>
            <w:vAlign w:val="center"/>
          </w:tcPr>
          <w:p>
            <w:r>
              <w:rPr>
                <w:rFonts w:ascii="Times New Roman" w:hAnsi="Times New Roman" w:eastAsia="Times New Roman"/>
                <w:b w:val="0"/>
                <w:i w:val="0"/>
                <w:sz w:val="18"/>
              </w:rPr>
              <w:t>National statistics</w:t>
            </w:r>
          </w:p>
        </w:tc>
        <w:tc>
          <w:tcPr>
            <w:vAlign w:val="center"/>
          </w:tcPr>
          <w:p>
            <w:r>
              <w:rPr>
                <w:rFonts w:ascii="Times New Roman" w:hAnsi="Times New Roman" w:eastAsia="Times New Roman"/>
                <w:b w:val="0"/>
                <w:i w:val="0"/>
                <w:sz w:val="18"/>
              </w:rPr>
              <w:t>BPS-Statistics Indonesia</w:t>
            </w:r>
          </w:p>
        </w:tc>
        <w:tc>
          <w:tcPr>
            <w:vAlign w:val="center"/>
          </w:tcPr>
          <w:p>
            <w:r>
              <w:rPr>
                <w:rFonts w:ascii="Times New Roman" w:hAnsi="Times New Roman" w:eastAsia="Times New Roman"/>
                <w:b w:val="0"/>
                <w:i w:val="0"/>
                <w:sz w:val="18"/>
              </w:rPr>
              <w:t>E-Commerce Statistics 2023 and 2024; marketplace study</w:t>
            </w:r>
          </w:p>
        </w:tc>
        <w:tc>
          <w:tcPr>
            <w:vAlign w:val="center"/>
          </w:tcPr>
          <w:p>
            <w:r>
              <w:rPr>
                <w:rFonts w:ascii="Times New Roman" w:hAnsi="Times New Roman" w:eastAsia="Times New Roman"/>
                <w:b w:val="0"/>
                <w:i w:val="0"/>
                <w:sz w:val="18"/>
              </w:rPr>
              <w:t>Business-count, channel and recordkeeping evidence</w:t>
            </w:r>
          </w:p>
        </w:tc>
      </w:tr>
      <w:tr>
        <w:trPr>
          <w:cantSplit/>
        </w:trPr>
        <w:tc>
          <w:tcPr>
            <w:vAlign w:val="center"/>
          </w:tcPr>
          <w:p>
            <w:r>
              <w:rPr>
                <w:rFonts w:ascii="Times New Roman" w:hAnsi="Times New Roman" w:eastAsia="Times New Roman"/>
                <w:b w:val="0"/>
                <w:i w:val="0"/>
                <w:sz w:val="18"/>
              </w:rPr>
              <w:t>Payment statistics</w:t>
            </w:r>
          </w:p>
        </w:tc>
        <w:tc>
          <w:tcPr>
            <w:vAlign w:val="center"/>
          </w:tcPr>
          <w:p>
            <w:r>
              <w:rPr>
                <w:rFonts w:ascii="Times New Roman" w:hAnsi="Times New Roman" w:eastAsia="Times New Roman"/>
                <w:b w:val="0"/>
                <w:i w:val="0"/>
                <w:sz w:val="18"/>
              </w:rPr>
              <w:t>Bank Indonesia</w:t>
            </w:r>
          </w:p>
        </w:tc>
        <w:tc>
          <w:tcPr>
            <w:vAlign w:val="center"/>
          </w:tcPr>
          <w:p>
            <w:r>
              <w:rPr>
                <w:rFonts w:ascii="Times New Roman" w:hAnsi="Times New Roman" w:eastAsia="Times New Roman"/>
                <w:b w:val="0"/>
                <w:i w:val="0"/>
                <w:sz w:val="18"/>
              </w:rPr>
              <w:t>Payment System Statistics and QRIS reports</w:t>
            </w:r>
          </w:p>
        </w:tc>
        <w:tc>
          <w:tcPr>
            <w:vAlign w:val="center"/>
          </w:tcPr>
          <w:p>
            <w:r>
              <w:rPr>
                <w:rFonts w:ascii="Times New Roman" w:hAnsi="Times New Roman" w:eastAsia="Times New Roman"/>
                <w:b w:val="0"/>
                <w:i w:val="0"/>
                <w:sz w:val="18"/>
              </w:rPr>
              <w:t>Economy-wide payment context; not an e-commerce sales estimate</w:t>
            </w:r>
          </w:p>
        </w:tc>
      </w:tr>
      <w:tr>
        <w:trPr>
          <w:cantSplit/>
        </w:trPr>
        <w:tc>
          <w:tcPr>
            <w:vAlign w:val="center"/>
          </w:tcPr>
          <w:p>
            <w:r>
              <w:rPr>
                <w:rFonts w:ascii="Times New Roman" w:hAnsi="Times New Roman" w:eastAsia="Times New Roman"/>
                <w:b w:val="0"/>
                <w:i w:val="0"/>
                <w:sz w:val="18"/>
              </w:rPr>
              <w:t>Exchange rate and GDP</w:t>
            </w:r>
          </w:p>
        </w:tc>
        <w:tc>
          <w:tcPr>
            <w:vAlign w:val="center"/>
          </w:tcPr>
          <w:p>
            <w:r>
              <w:rPr>
                <w:rFonts w:ascii="Times New Roman" w:hAnsi="Times New Roman" w:eastAsia="Times New Roman"/>
                <w:b w:val="0"/>
                <w:i w:val="0"/>
                <w:sz w:val="18"/>
              </w:rPr>
              <w:t>World Bank</w:t>
            </w:r>
          </w:p>
        </w:tc>
        <w:tc>
          <w:tcPr>
            <w:vAlign w:val="center"/>
          </w:tcPr>
          <w:p>
            <w:r>
              <w:rPr>
                <w:rFonts w:ascii="Times New Roman" w:hAnsi="Times New Roman" w:eastAsia="Times New Roman"/>
                <w:b w:val="0"/>
                <w:i w:val="0"/>
                <w:sz w:val="18"/>
              </w:rPr>
              <w:t>World Development Indicators, 2023</w:t>
            </w:r>
          </w:p>
        </w:tc>
        <w:tc>
          <w:tcPr>
            <w:vAlign w:val="center"/>
          </w:tcPr>
          <w:p>
            <w:r>
              <w:rPr>
                <w:rFonts w:ascii="Times New Roman" w:hAnsi="Times New Roman" w:eastAsia="Times New Roman"/>
                <w:b w:val="0"/>
                <w:i w:val="0"/>
                <w:sz w:val="18"/>
              </w:rPr>
              <w:t>Converts 2023 rupiah values; GDP scale comparison</w:t>
            </w:r>
          </w:p>
        </w:tc>
      </w:tr>
      <w:tr>
        <w:trPr>
          <w:cantSplit/>
        </w:trPr>
        <w:tc>
          <w:tcPr>
            <w:vAlign w:val="center"/>
          </w:tcPr>
          <w:p>
            <w:r>
              <w:rPr>
                <w:rFonts w:ascii="Times New Roman" w:hAnsi="Times New Roman" w:eastAsia="Times New Roman"/>
                <w:b w:val="0"/>
                <w:i w:val="0"/>
                <w:sz w:val="18"/>
              </w:rPr>
              <w:t>External corroboration</w:t>
            </w:r>
          </w:p>
        </w:tc>
        <w:tc>
          <w:tcPr>
            <w:vAlign w:val="center"/>
          </w:tcPr>
          <w:p>
            <w:r>
              <w:rPr>
                <w:rFonts w:ascii="Times New Roman" w:hAnsi="Times New Roman" w:eastAsia="Times New Roman"/>
                <w:b w:val="0"/>
                <w:i w:val="0"/>
                <w:sz w:val="18"/>
              </w:rPr>
              <w:t>eBay, Etsy, Jumia, Mercado Libre, Rakuten, Sea, Shopify, Zalando</w:t>
            </w:r>
          </w:p>
        </w:tc>
        <w:tc>
          <w:tcPr>
            <w:vAlign w:val="center"/>
          </w:tcPr>
          <w:p>
            <w:r>
              <w:rPr>
                <w:rFonts w:ascii="Times New Roman" w:hAnsi="Times New Roman" w:eastAsia="Times New Roman"/>
                <w:b w:val="0"/>
                <w:i w:val="0"/>
                <w:sz w:val="18"/>
              </w:rPr>
              <w:t>Issuer transaction measures</w:t>
            </w:r>
          </w:p>
        </w:tc>
        <w:tc>
          <w:tcPr>
            <w:vAlign w:val="center"/>
          </w:tcPr>
          <w:p>
            <w:r>
              <w:rPr>
                <w:rFonts w:ascii="Times New Roman" w:hAnsi="Times New Roman" w:eastAsia="Times New Roman"/>
                <w:b w:val="0"/>
                <w:i w:val="0"/>
                <w:sz w:val="18"/>
              </w:rPr>
              <w:t>Issuer revenue measures</w:t>
            </w:r>
          </w:p>
        </w:tc>
      </w:tr>
      <w:tr>
        <w:trPr>
          <w:cantSplit/>
        </w:trPr>
        <w:tc>
          <w:tcPr>
            <w:vAlign w:val="center"/>
          </w:tcPr>
          <w:p>
            <w:r>
              <w:rPr>
                <w:rFonts w:ascii="Times New Roman" w:hAnsi="Times New Roman" w:eastAsia="Times New Roman"/>
                <w:b w:val="0"/>
                <w:i w:val="0"/>
                <w:sz w:val="18"/>
              </w:rPr>
              <w:t>Regulatory</w:t>
            </w:r>
          </w:p>
        </w:tc>
        <w:tc>
          <w:tcPr>
            <w:vAlign w:val="center"/>
          </w:tcPr>
          <w:p>
            <w:r>
              <w:rPr>
                <w:rFonts w:ascii="Times New Roman" w:hAnsi="Times New Roman" w:eastAsia="Times New Roman"/>
                <w:b w:val="0"/>
                <w:i w:val="0"/>
                <w:sz w:val="18"/>
              </w:rPr>
              <w:t>PMK 37/2025; DJP</w:t>
            </w:r>
          </w:p>
        </w:tc>
        <w:tc>
          <w:tcPr>
            <w:vAlign w:val="center"/>
          </w:tcPr>
          <w:p>
            <w:r>
              <w:rPr>
                <w:rFonts w:ascii="Times New Roman" w:hAnsi="Times New Roman" w:eastAsia="Times New Roman"/>
                <w:b w:val="0"/>
                <w:i w:val="0"/>
                <w:sz w:val="18"/>
              </w:rPr>
              <w:t>Ministry of Finance / Directorate General of Taxes</w:t>
            </w:r>
          </w:p>
        </w:tc>
        <w:tc>
          <w:tcPr>
            <w:vAlign w:val="center"/>
          </w:tcPr>
          <w:p>
            <w:r>
              <w:rPr>
                <w:rFonts w:ascii="Times New Roman" w:hAnsi="Times New Roman" w:eastAsia="Times New Roman"/>
                <w:b w:val="0"/>
                <w:i w:val="0"/>
                <w:sz w:val="18"/>
              </w:rPr>
              <w:t>Institutional architecture only</w:t>
            </w:r>
          </w:p>
        </w:tc>
      </w:tr>
    </w:tbl>
    <w:p>
      <w:pPr>
        <w:pStyle w:val="Heading1"/>
        <w:keepNext/>
        <w:pageBreakBefore/>
        <w:spacing w:before="160" w:after="100"/>
        <w:jc w:val="left"/>
      </w:pPr>
      <w:r>
        <w:rPr>
          <w:rFonts w:ascii="Times New Roman" w:hAnsi="Times New Roman" w:cs="Times New Roman" w:eastAsia="Times New Roman"/>
          <w:b/>
          <w:sz w:val="24"/>
        </w:rPr>
        <w:t>References</w:t>
      </w:r>
    </w:p>
    <w:p>
      <w:pPr>
        <w:pStyle w:val="Reference"/>
        <w:keepNext/>
        <w:keepLines/>
        <w:spacing w:before="0" w:after="12" w:line="240" w:lineRule="auto"/>
        <w:ind w:left="216" w:hanging="216"/>
        <w:jc w:val="left"/>
      </w:pPr>
      <w:r>
        <w:rPr>
          <w:rFonts w:ascii="Times New Roman" w:hAnsi="Times New Roman" w:cs="Times New Roman" w:eastAsia="Times New Roman"/>
          <w:sz w:val="21"/>
        </w:rPr>
        <w:t>Ahmad, N., &amp; Schreyer, P. (2016). Measuring GDP in a Digitalised Economy. OECD Statistics Working Papers 2016/07.</w:t>
      </w:r>
    </w:p>
    <w:p>
      <w:pPr>
        <w:pStyle w:val="Reference"/>
        <w:keepLines/>
        <w:spacing w:before="0" w:after="12" w:line="240" w:lineRule="auto"/>
        <w:ind w:left="216" w:hanging="216"/>
        <w:jc w:val="left"/>
      </w:pPr>
      <w:r>
        <w:rPr>
          <w:rFonts w:ascii="Times New Roman" w:hAnsi="Times New Roman" w:cs="Times New Roman" w:eastAsia="Times New Roman"/>
          <w:sz w:val="21"/>
        </w:rPr>
        <w:t>Armstrong, M. (2006). Competition in two-sided markets. RAND Journal of Economics, 37(3), 668-691.</w:t>
      </w:r>
    </w:p>
    <w:p>
      <w:pPr>
        <w:pStyle w:val="Reference"/>
        <w:spacing w:before="0" w:after="12" w:line="240" w:lineRule="auto"/>
        <w:ind w:left="216" w:hanging="216"/>
        <w:jc w:val="left"/>
      </w:pPr>
      <w:r>
        <w:rPr>
          <w:rFonts w:ascii="Times New Roman" w:hAnsi="Times New Roman" w:cs="Times New Roman" w:eastAsia="Times New Roman"/>
          <w:sz w:val="21"/>
        </w:rPr>
        <w:t>Bank Indonesia. (2025). Payment System Statistics (SPIP) and QRIS reports. Jakarta: Bank Indonesia.</w:t>
      </w:r>
    </w:p>
    <w:p>
      <w:pPr>
        <w:pStyle w:val="Reference"/>
        <w:spacing w:before="0" w:after="12" w:line="240" w:lineRule="auto"/>
        <w:ind w:left="216" w:hanging="216"/>
        <w:jc w:val="left"/>
      </w:pPr>
      <w:r>
        <w:rPr>
          <w:rFonts w:ascii="Times New Roman" w:hAnsi="Times New Roman" w:cs="Times New Roman" w:eastAsia="Times New Roman"/>
          <w:sz w:val="21"/>
        </w:rPr>
        <w:t>Barrios, J. M., Hochberg, Y. V., &amp; Yi, H. (2022). Launching with a parachute: The gig economy and new business formation. Journal of Financial Economics, 144(1), 22-43.</w:t>
      </w:r>
    </w:p>
    <w:p>
      <w:pPr>
        <w:pStyle w:val="Reference"/>
        <w:spacing w:before="0" w:after="12" w:line="240" w:lineRule="auto"/>
        <w:ind w:left="216" w:hanging="216"/>
        <w:jc w:val="left"/>
      </w:pPr>
      <w:r>
        <w:rPr>
          <w:rFonts w:ascii="Times New Roman" w:hAnsi="Times New Roman" w:cs="Times New Roman" w:eastAsia="Times New Roman"/>
          <w:sz w:val="21"/>
        </w:rPr>
        <w:t>Berg, T., Burg, V., Gombovic, A., &amp; Puri, M. (2020). On the rise of FinTechs: Credit scoring using digital footprints. Review of Financial Studies, 33(7), 2845-2897.</w:t>
      </w:r>
    </w:p>
    <w:p>
      <w:pPr>
        <w:pStyle w:val="Reference"/>
        <w:spacing w:before="0" w:after="12" w:line="240" w:lineRule="auto"/>
        <w:ind w:left="216" w:hanging="216"/>
        <w:jc w:val="left"/>
      </w:pPr>
      <w:r>
        <w:rPr>
          <w:rFonts w:ascii="Times New Roman" w:hAnsi="Times New Roman" w:cs="Times New Roman" w:eastAsia="Times New Roman"/>
          <w:sz w:val="21"/>
        </w:rPr>
        <w:t>BPS-Statistics Indonesia. (2025). E-Commerce Statistics 2023 and 2024. Jakarta: BPS.</w:t>
      </w:r>
    </w:p>
    <w:p>
      <w:pPr>
        <w:pStyle w:val="Reference"/>
        <w:spacing w:before="0" w:after="12" w:line="240" w:lineRule="auto"/>
        <w:ind w:left="216" w:hanging="216"/>
        <w:jc w:val="left"/>
      </w:pPr>
      <w:r>
        <w:rPr>
          <w:rFonts w:ascii="Times New Roman" w:hAnsi="Times New Roman" w:cs="Times New Roman" w:eastAsia="Times New Roman"/>
          <w:sz w:val="21"/>
        </w:rPr>
        <w:t>Caillaud, B., &amp; Jullien, B. (2003). Chicken and egg: Competition among intermediation service providers. RAND Journal of Economics, 34(2), 309-328.</w:t>
      </w:r>
    </w:p>
    <w:p>
      <w:pPr>
        <w:pStyle w:val="Reference"/>
        <w:spacing w:before="0" w:after="12" w:line="240" w:lineRule="auto"/>
        <w:ind w:left="216" w:hanging="216"/>
        <w:jc w:val="left"/>
      </w:pPr>
      <w:r>
        <w:rPr>
          <w:rFonts w:ascii="Times New Roman" w:hAnsi="Times New Roman" w:cs="Times New Roman" w:eastAsia="Times New Roman"/>
          <w:sz w:val="21"/>
        </w:rPr>
        <w:t>De Franco, G., Kothari, S. P., &amp; Verdi, R. S. (2011). The benefits of financial statement comparability. Journal of Accounting Research, 49(4), 895-931.</w:t>
      </w:r>
    </w:p>
    <w:p>
      <w:pPr>
        <w:pStyle w:val="Reference"/>
        <w:spacing w:before="0" w:after="12" w:line="240" w:lineRule="auto"/>
        <w:ind w:left="216" w:hanging="216"/>
        <w:jc w:val="left"/>
      </w:pPr>
      <w:r>
        <w:rPr>
          <w:rFonts w:ascii="Times New Roman" w:hAnsi="Times New Roman" w:cs="Times New Roman" w:eastAsia="Times New Roman"/>
          <w:sz w:val="21"/>
        </w:rPr>
        <w:t>Denes, M. R., Lagaras, S., &amp; Tsoutsoura, M. (2025). Entrepreneurship and the gig economy: Evidence from U.S. tax returns. Journal of Financial Economics, 173, 104156.</w:t>
      </w:r>
    </w:p>
    <w:p>
      <w:pPr>
        <w:pStyle w:val="Reference"/>
        <w:spacing w:before="0" w:after="12" w:line="240" w:lineRule="auto"/>
        <w:ind w:left="216" w:hanging="216"/>
        <w:jc w:val="left"/>
      </w:pPr>
      <w:r>
        <w:rPr>
          <w:rFonts w:ascii="Times New Roman" w:hAnsi="Times New Roman" w:cs="Times New Roman" w:eastAsia="Times New Roman"/>
          <w:sz w:val="21"/>
        </w:rPr>
        <w:t>European Union. (2021). Council Directive (EU) 2021/514 amending Directive 2011/16/EU (DAC7).</w:t>
      </w:r>
    </w:p>
    <w:p>
      <w:pPr>
        <w:pStyle w:val="Reference"/>
        <w:spacing w:before="0" w:after="12" w:line="240" w:lineRule="auto"/>
        <w:ind w:left="216" w:hanging="216"/>
        <w:jc w:val="left"/>
      </w:pPr>
      <w:r>
        <w:rPr>
          <w:rFonts w:ascii="Times New Roman" w:hAnsi="Times New Roman" w:cs="Times New Roman" w:eastAsia="Times New Roman"/>
          <w:sz w:val="21"/>
        </w:rPr>
        <w:t>Evans, D. S., &amp; Schmalensee, R. (2016). Matchmakers: The New Economics of Multisided Platforms. Boston: Harvard Business Review Press.</w:t>
      </w:r>
    </w:p>
    <w:p>
      <w:pPr>
        <w:pStyle w:val="Reference"/>
        <w:spacing w:before="0" w:after="12" w:line="240" w:lineRule="auto"/>
        <w:ind w:left="216" w:hanging="216"/>
        <w:jc w:val="left"/>
      </w:pPr>
      <w:r>
        <w:rPr>
          <w:rFonts w:ascii="Times New Roman" w:hAnsi="Times New Roman" w:cs="Times New Roman" w:eastAsia="Times New Roman"/>
          <w:sz w:val="21"/>
        </w:rPr>
        <w:t>Google, Temasek, &amp; Bain &amp; Company. (2020). e-Conomy SEA 2020: At Full Velocity.</w:t>
      </w:r>
    </w:p>
    <w:p>
      <w:pPr>
        <w:pStyle w:val="Reference"/>
        <w:spacing w:before="0" w:after="12" w:line="240" w:lineRule="auto"/>
        <w:ind w:left="216" w:hanging="216"/>
        <w:jc w:val="left"/>
      </w:pPr>
      <w:r>
        <w:rPr>
          <w:rFonts w:ascii="Times New Roman" w:hAnsi="Times New Roman" w:cs="Times New Roman" w:eastAsia="Times New Roman"/>
          <w:sz w:val="21"/>
        </w:rPr>
        <w:t>Google, Temasek, &amp; Bain &amp; Company. (2024). e-Conomy SEA 2024: Profits on the Rise.</w:t>
      </w:r>
    </w:p>
    <w:p>
      <w:pPr>
        <w:pStyle w:val="Reference"/>
        <w:spacing w:before="0" w:after="12" w:line="240" w:lineRule="auto"/>
        <w:ind w:left="216" w:hanging="216"/>
        <w:jc w:val="left"/>
      </w:pPr>
      <w:r>
        <w:rPr>
          <w:rFonts w:ascii="Times New Roman" w:hAnsi="Times New Roman" w:cs="Times New Roman" w:eastAsia="Times New Roman"/>
          <w:sz w:val="21"/>
        </w:rPr>
        <w:t>Hagiu, A., &amp; Wright, J. (2015). Multi-sided platforms. International Journal of Industrial Organization, 43, 162-174.</w:t>
      </w:r>
    </w:p>
    <w:p>
      <w:pPr>
        <w:pStyle w:val="Reference"/>
        <w:spacing w:before="0" w:after="12" w:line="240" w:lineRule="auto"/>
        <w:ind w:left="216" w:hanging="216"/>
        <w:jc w:val="left"/>
      </w:pPr>
      <w:r>
        <w:rPr>
          <w:rFonts w:ascii="Times New Roman" w:hAnsi="Times New Roman" w:cs="Times New Roman" w:eastAsia="Times New Roman"/>
          <w:sz w:val="21"/>
        </w:rPr>
        <w:t>International Accounting Standards Board. (2014). IFRS 15: Revenue from Contracts with Customers.</w:t>
      </w:r>
    </w:p>
    <w:p>
      <w:pPr>
        <w:pStyle w:val="Reference"/>
        <w:spacing w:before="0" w:after="12" w:line="240" w:lineRule="auto"/>
        <w:ind w:left="216" w:hanging="216"/>
        <w:jc w:val="left"/>
      </w:pPr>
      <w:r>
        <w:rPr>
          <w:rFonts w:ascii="Times New Roman" w:hAnsi="Times New Roman" w:cs="Times New Roman" w:eastAsia="Times New Roman"/>
          <w:sz w:val="21"/>
        </w:rPr>
        <w:t>International Monetary Fund. (2018). Measuring the Digital Economy. IMF Policy Paper.</w:t>
      </w:r>
    </w:p>
    <w:p>
      <w:pPr>
        <w:pStyle w:val="Reference"/>
        <w:spacing w:before="0" w:after="12" w:line="240" w:lineRule="auto"/>
        <w:ind w:left="216" w:hanging="216"/>
        <w:jc w:val="left"/>
      </w:pPr>
      <w:r>
        <w:rPr>
          <w:rFonts w:ascii="Times New Roman" w:hAnsi="Times New Roman" w:cs="Times New Roman" w:eastAsia="Times New Roman"/>
          <w:sz w:val="21"/>
        </w:rPr>
        <w:t>Kleven, H. J., Knudsen, M. B., Kreiner, C. T., Pedersen, S., &amp; Saez, E. (2011). Unwilling or unable to cheat? Evidence from a tax audit experiment in Denmark. Econometrica, 79(3), 651-692.</w:t>
      </w:r>
    </w:p>
    <w:p>
      <w:pPr>
        <w:pStyle w:val="Reference"/>
        <w:spacing w:before="0" w:after="12" w:line="240" w:lineRule="auto"/>
        <w:ind w:left="216" w:hanging="216"/>
        <w:jc w:val="left"/>
      </w:pPr>
      <w:r>
        <w:rPr>
          <w:rFonts w:ascii="Times New Roman" w:hAnsi="Times New Roman" w:cs="Times New Roman" w:eastAsia="Times New Roman"/>
          <w:sz w:val="21"/>
        </w:rPr>
        <w:t>Kleven, H. J., Kreiner, C. T., &amp; Saez, E. (2016). Why can modern governments tax so much? Economica, 83(330), 219-246.</w:t>
      </w:r>
    </w:p>
    <w:p>
      <w:pPr>
        <w:pStyle w:val="Reference"/>
        <w:spacing w:before="0" w:after="12" w:line="240" w:lineRule="auto"/>
        <w:ind w:left="216" w:hanging="216"/>
        <w:jc w:val="left"/>
      </w:pPr>
      <w:r>
        <w:rPr>
          <w:rFonts w:ascii="Times New Roman" w:hAnsi="Times New Roman" w:cs="Times New Roman" w:eastAsia="Times New Roman"/>
          <w:sz w:val="21"/>
        </w:rPr>
        <w:t>La Porta, R., &amp; Shleifer, A. (2014). Informality and development. Journal of Economic Perspectives, 28(3), 109-126.</w:t>
      </w:r>
    </w:p>
    <w:p>
      <w:pPr>
        <w:pStyle w:val="Reference"/>
        <w:spacing w:before="0" w:after="12" w:line="240" w:lineRule="auto"/>
        <w:ind w:left="216" w:hanging="216"/>
        <w:jc w:val="left"/>
      </w:pPr>
      <w:r>
        <w:rPr>
          <w:rFonts w:ascii="Times New Roman" w:hAnsi="Times New Roman" w:cs="Times New Roman" w:eastAsia="Times New Roman"/>
          <w:sz w:val="21"/>
        </w:rPr>
        <w:t>Medina, L., &amp; Schneider, F. (2019). Shedding light on the shadow economy: A global database. CESifo Working Paper 7981.</w:t>
      </w:r>
    </w:p>
    <w:p>
      <w:pPr>
        <w:pStyle w:val="Reference"/>
        <w:spacing w:before="0" w:after="12" w:line="240" w:lineRule="auto"/>
        <w:ind w:left="216" w:hanging="216"/>
        <w:jc w:val="left"/>
      </w:pPr>
      <w:r>
        <w:rPr>
          <w:rFonts w:ascii="Times New Roman" w:hAnsi="Times New Roman" w:cs="Times New Roman" w:eastAsia="Times New Roman"/>
          <w:sz w:val="21"/>
        </w:rPr>
        <w:t>Ministry of Finance of the Republic of Indonesia. (2025). PMK 37 Tahun 2025; Directorate General of Taxes marketplace guidance.</w:t>
      </w:r>
    </w:p>
    <w:p>
      <w:pPr>
        <w:pStyle w:val="Reference"/>
        <w:spacing w:before="0" w:after="12" w:line="240" w:lineRule="auto"/>
        <w:ind w:left="216" w:hanging="216"/>
        <w:jc w:val="left"/>
      </w:pPr>
      <w:r>
        <w:rPr>
          <w:rFonts w:ascii="Times New Roman" w:hAnsi="Times New Roman" w:cs="Times New Roman" w:eastAsia="Times New Roman"/>
          <w:sz w:val="21"/>
        </w:rPr>
        <w:t>Momentum Works. (2024). Ecommerce in Southeast Asia. Singapore: Momentum Works.</w:t>
      </w:r>
    </w:p>
    <w:p>
      <w:pPr>
        <w:pStyle w:val="Reference"/>
        <w:spacing w:before="0" w:after="12" w:line="240" w:lineRule="auto"/>
        <w:ind w:left="216" w:hanging="216"/>
        <w:jc w:val="left"/>
      </w:pPr>
      <w:r>
        <w:rPr>
          <w:rFonts w:ascii="Times New Roman" w:hAnsi="Times New Roman" w:cs="Times New Roman" w:eastAsia="Times New Roman"/>
          <w:sz w:val="21"/>
        </w:rPr>
        <w:t>Naritomi, J. (2019). Consumers as tax auditors. American Economic Review, 109(9), 3031-3072.</w:t>
      </w:r>
    </w:p>
    <w:p>
      <w:pPr>
        <w:pStyle w:val="Reference"/>
        <w:spacing w:before="0" w:after="12" w:line="240" w:lineRule="auto"/>
        <w:ind w:left="216" w:hanging="216"/>
        <w:jc w:val="left"/>
      </w:pPr>
      <w:r>
        <w:rPr>
          <w:rFonts w:ascii="Times New Roman" w:hAnsi="Times New Roman" w:cs="Times New Roman" w:eastAsia="Times New Roman"/>
          <w:sz w:val="21"/>
        </w:rPr>
        <w:t>OECD. (2020). Model Rules for Reporting by Platform Operators with respect to Sellers in the Sharing and Gig Economy.</w:t>
      </w:r>
    </w:p>
    <w:p>
      <w:pPr>
        <w:pStyle w:val="Reference"/>
        <w:spacing w:before="0" w:after="12" w:line="240" w:lineRule="auto"/>
        <w:ind w:left="216" w:hanging="216"/>
        <w:jc w:val="left"/>
      </w:pPr>
      <w:r>
        <w:rPr>
          <w:rFonts w:ascii="Times New Roman" w:hAnsi="Times New Roman" w:cs="Times New Roman" w:eastAsia="Times New Roman"/>
          <w:sz w:val="21"/>
        </w:rPr>
        <w:t>OECD. (2023). OECD Handbook on Compiling Digital Supply and Use Tables. Paris: OECD Publishing.</w:t>
      </w:r>
    </w:p>
    <w:p>
      <w:pPr>
        <w:pStyle w:val="Reference"/>
        <w:spacing w:before="0" w:after="12" w:line="240" w:lineRule="auto"/>
        <w:ind w:left="216" w:hanging="216"/>
        <w:jc w:val="left"/>
      </w:pPr>
      <w:r>
        <w:rPr>
          <w:rFonts w:ascii="Times New Roman" w:hAnsi="Times New Roman" w:cs="Times New Roman" w:eastAsia="Times New Roman"/>
          <w:sz w:val="21"/>
        </w:rPr>
        <w:t>Parker, G. G., &amp; Van Alstyne, M. W. (2005). Two-sided network effects: A theory of information product design. Management Science, 51(10), 1494-1504.</w:t>
      </w:r>
    </w:p>
    <w:p>
      <w:pPr>
        <w:pStyle w:val="Reference"/>
        <w:spacing w:before="0" w:after="12" w:line="240" w:lineRule="auto"/>
        <w:ind w:left="216" w:hanging="216"/>
        <w:jc w:val="left"/>
      </w:pPr>
      <w:r>
        <w:rPr>
          <w:rFonts w:ascii="Times New Roman" w:hAnsi="Times New Roman" w:cs="Times New Roman" w:eastAsia="Times New Roman"/>
          <w:sz w:val="21"/>
        </w:rPr>
        <w:t>Pomeranz, D. (2015). No taxation without information: Deterrence and self-enforcement in the value added tax. American Economic Review, 105(8), 2539-2569.</w:t>
      </w:r>
    </w:p>
    <w:p>
      <w:pPr>
        <w:pStyle w:val="Reference"/>
        <w:spacing w:before="0" w:after="12" w:line="240" w:lineRule="auto"/>
        <w:ind w:left="216" w:hanging="216"/>
        <w:jc w:val="left"/>
      </w:pPr>
      <w:r>
        <w:rPr>
          <w:rFonts w:ascii="Times New Roman" w:hAnsi="Times New Roman" w:cs="Times New Roman" w:eastAsia="Times New Roman"/>
          <w:sz w:val="21"/>
        </w:rPr>
        <w:t>Rochet, J.-C., &amp; Tirole, J. (2003). Platform competition in two-sided markets. Journal of the European Economic Association, 1(4), 990-1029.</w:t>
      </w:r>
    </w:p>
    <w:p>
      <w:pPr>
        <w:pStyle w:val="Reference"/>
        <w:spacing w:before="0" w:after="12" w:line="240" w:lineRule="auto"/>
        <w:ind w:left="216" w:hanging="216"/>
        <w:jc w:val="left"/>
      </w:pPr>
      <w:r>
        <w:rPr>
          <w:rFonts w:ascii="Times New Roman" w:hAnsi="Times New Roman" w:cs="Times New Roman" w:eastAsia="Times New Roman"/>
          <w:sz w:val="21"/>
        </w:rPr>
        <w:t>Slemrod, J. (2019). Tax compliance and enforcement. Journal of Economic Literature, 57(4), 904-954.</w:t>
      </w:r>
    </w:p>
    <w:p>
      <w:pPr>
        <w:pStyle w:val="Reference"/>
        <w:spacing w:before="0" w:after="12" w:line="240" w:lineRule="auto"/>
        <w:ind w:left="216" w:hanging="216"/>
        <w:jc w:val="left"/>
      </w:pPr>
      <w:r>
        <w:rPr>
          <w:rFonts w:ascii="Times New Roman" w:hAnsi="Times New Roman" w:cs="Times New Roman" w:eastAsia="Times New Roman"/>
          <w:sz w:val="21"/>
        </w:rPr>
        <w:t>Ulyssea, G. (2018). Firms, informality, and development: Theory and evidence from Brazil. American Economic Review, 108(8), 2015-2047.</w:t>
      </w:r>
    </w:p>
    <w:p>
      <w:pPr>
        <w:pStyle w:val="Reference"/>
        <w:spacing w:before="0" w:after="12" w:line="240" w:lineRule="auto"/>
        <w:ind w:left="216" w:hanging="216"/>
        <w:jc w:val="left"/>
      </w:pPr>
      <w:r>
        <w:rPr>
          <w:rFonts w:ascii="Times New Roman" w:hAnsi="Times New Roman" w:cs="Times New Roman" w:eastAsia="Times New Roman"/>
          <w:sz w:val="21"/>
        </w:rPr>
        <w:t>United Nations et al. (2025). System of National Accounts 2025.</w:t>
      </w:r>
    </w:p>
    <w:p>
      <w:pPr>
        <w:pStyle w:val="Reference"/>
        <w:spacing w:before="0" w:after="12" w:line="240" w:lineRule="auto"/>
        <w:ind w:left="216" w:hanging="216"/>
        <w:jc w:val="left"/>
      </w:pPr>
      <w:r>
        <w:rPr>
          <w:rFonts w:ascii="Times New Roman" w:hAnsi="Times New Roman" w:cs="Times New Roman" w:eastAsia="Times New Roman"/>
          <w:sz w:val="21"/>
        </w:rPr>
        <w:t>World Bank. (n.d.). World Development Indicators: GDP (current US$) and official exchange rate (LCU per US$, period average), Indonesia. Washington, DC: World Bank.</w:t>
      </w:r>
    </w:p>
    <w:sectPr w:rsidR="00FC693F" w:rsidRPr="0006063C" w:rsidSect="00034616">
      <w:footerReference w:type="default" r:id="rId9"/>
      <w:pgSz w:w="11906" w:h="16838"/>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w:pPr>
        <w:spacing w:after="0" w:line="240" w:lineRule="auto"/>
        <w:jc w:val="both"/>
      </w:pPr>
      <w:r>
        <w:rPr>
          <w:rFonts w:ascii="Times New Roman" w:hAnsi="Times New Roman" w:eastAsia="Times New Roman"/>
          <w:vertAlign w:val="superscript"/>
          <w:sz w:val="20"/>
        </w:rPr>
        <w:footnoteRef/>
      </w:r>
      <w:r>
        <w:rPr>
          <w:rFonts w:ascii="Times New Roman" w:hAnsi="Times New Roman" w:eastAsia="Times New Roman"/>
          <w:sz w:val="20"/>
        </w:rPr>
        <w:t xml:space="preserve"> Issuer labels include GTV, GMV and TPV. Each retained pair follows its source definition; similar labels do not establish identical treatment of cancellations, returns, taxes, services or business scope.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5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90" w:after="3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notes" Target="footnotes.xml"/><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