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5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from FY2019 to FY2025. The proposal asks how large the wedge is, how it changes, and what explains those changes, then uses official statistics and Indonesia's marketplace-reporting rules to locate related activity and records beyond platform revenue.</w:t>
      </w:r>
    </w:p>
    <w:p>
      <w:pPr>
        <w:pStyle w:val="Heading1"/>
        <w:keepNext/>
        <w:spacing w:before="140" w:after="50"/>
        <w:jc w:val="left"/>
      </w:pPr>
      <w:r>
        <w:rPr>
          <w:rFonts w:ascii="Times New Roman" w:hAnsi="Times New Roman" w:cs="Times New Roman" w:eastAsia="Times New Roman"/>
          <w:b/>
          <w:sz w:val="24"/>
        </w:rPr>
        <w:t>1. Introduction</w:t>
      </w:r>
    </w:p>
    <w:p>
      <w:pPr>
        <w:spacing w:line="247" w:lineRule="auto" w:after="8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47" w:lineRule="auto" w:after="8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line="247" w:lineRule="auto" w:after="80" w:before="0"/>
        <w:jc w:val="both"/>
      </w:pPr>
      <w:r>
        <w:rPr>
          <w:rFonts w:ascii="Times New Roman" w:hAnsi="Times New Roman" w:cs="Times New Roman" w:eastAsia="Times New Roman"/>
          <w:i w:val="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line="247" w:lineRule="auto" w:after="80" w:before="0"/>
        <w:jc w:val="both"/>
      </w:pPr>
      <w:r>
        <w:rPr>
          <w:rFonts w:ascii="Times New Roman" w:hAnsi="Times New Roman" w:cs="Times New Roman" w:eastAsia="Times New Roman"/>
          <w:i w:val="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before="90" w:after="30"/>
        <w:jc w:val="left"/>
      </w:pPr>
      <w:r>
        <w:rPr>
          <w:rFonts w:ascii="Times New Roman" w:hAnsi="Times New Roman" w:cs="Times New Roman" w:eastAsia="Times New Roman"/>
          <w:b/>
          <w:sz w:val="24"/>
        </w:rPr>
        <w:t>1.1 Research question and objectives</w:t>
      </w:r>
    </w:p>
    <w:p>
      <w:pPr>
        <w:spacing w:line="247" w:lineRule="auto" w:after="50" w:before="0"/>
        <w:jc w:val="both"/>
      </w:pPr>
      <w:r>
        <w:rPr>
          <w:rFonts w:ascii="Times New Roman" w:hAnsi="Times New Roman" w:cs="Times New Roman" w:eastAsia="Times New Roman"/>
          <w:i w:val="0"/>
          <w:sz w:val="24"/>
        </w:rPr>
        <w:t>One question drives the proposal:</w:t>
      </w:r>
    </w:p>
    <w:p>
      <w:pPr>
        <w:spacing w:before="60" w:after="50" w:line="247"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47" w:lineRule="auto" w:after="80" w:before="0"/>
        <w:jc w:val="both"/>
      </w:pPr>
      <w:r>
        <w:rPr>
          <w:rFonts w:ascii="Times New Roman" w:hAnsi="Times New Roman" w:cs="Times New Roman" w:eastAsia="Times New Roman"/>
          <w:i w:val="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before="90" w:after="30"/>
        <w:jc w:val="left"/>
      </w:pPr>
      <w:r>
        <w:rPr>
          <w:rFonts w:ascii="Times New Roman" w:hAnsi="Times New Roman" w:cs="Times New Roman" w:eastAsia="Times New Roman"/>
          <w:b/>
          <w:sz w:val="24"/>
        </w:rPr>
        <w:t>1.2 Contributions</w:t>
      </w:r>
    </w:p>
    <w:p>
      <w:pPr>
        <w:spacing w:line="247" w:lineRule="auto" w:after="8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47" w:lineRule="auto" w:after="8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47" w:lineRule="auto" w:after="8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90" w:after="30"/>
        <w:jc w:val="left"/>
      </w:pPr>
      <w:r>
        <w:rPr>
          <w:rFonts w:ascii="Times New Roman" w:hAnsi="Times New Roman" w:cs="Times New Roman" w:eastAsia="Times New Roman"/>
          <w:b/>
          <w:sz w:val="24"/>
        </w:rPr>
        <w:t>1.3 Positioning the contribution</w:t>
      </w:r>
    </w:p>
    <w:p>
      <w:pPr>
        <w:spacing w:before="0" w:after="80" w:line="247"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pStyle w:val="Heading1"/>
        <w:keepNext/>
        <w:spacing w:before="140" w:after="50"/>
        <w:jc w:val="left"/>
      </w:pPr>
      <w:r>
        <w:rPr>
          <w:rFonts w:ascii="Times New Roman" w:hAnsi="Times New Roman" w:cs="Times New Roman" w:eastAsia="Times New Roman"/>
          <w:b/>
          <w:sz w:val="24"/>
        </w:rPr>
        <w:t>2. Literature Review and Research Gap</w:t>
      </w:r>
    </w:p>
    <w:p>
      <w:pPr>
        <w:pStyle w:val="Heading2"/>
        <w:keepNext/>
        <w:spacing w:before="90" w:after="30"/>
        <w:jc w:val="left"/>
      </w:pPr>
      <w:r>
        <w:rPr>
          <w:rFonts w:ascii="Times New Roman" w:hAnsi="Times New Roman" w:cs="Times New Roman" w:eastAsia="Times New Roman"/>
          <w:b/>
          <w:sz w:val="24"/>
        </w:rPr>
        <w:t>2.1 Platform economics and revenue recognition</w:t>
      </w:r>
    </w:p>
    <w:p>
      <w:pPr>
        <w:spacing w:line="247" w:lineRule="auto" w:after="8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before="90" w:after="30"/>
        <w:jc w:val="left"/>
      </w:pPr>
      <w:r>
        <w:rPr>
          <w:rFonts w:ascii="Times New Roman" w:hAnsi="Times New Roman" w:cs="Times New Roman" w:eastAsia="Times New Roman"/>
          <w:b/>
          <w:sz w:val="24"/>
        </w:rPr>
        <w:t>2.2 Informality, digital records, and third-party information</w:t>
      </w:r>
    </w:p>
    <w:p>
      <w:pPr>
        <w:spacing w:line="247" w:lineRule="auto" w:after="8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47" w:lineRule="auto" w:after="8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90" w:after="30"/>
        <w:jc w:val="left"/>
      </w:pPr>
      <w:r>
        <w:rPr>
          <w:rFonts w:ascii="Times New Roman" w:hAnsi="Times New Roman" w:cs="Times New Roman" w:eastAsia="Times New Roman"/>
          <w:b/>
          <w:sz w:val="24"/>
        </w:rPr>
        <w:t>2.3 Measuring the digital economy</w:t>
      </w:r>
    </w:p>
    <w:p>
      <w:pPr>
        <w:spacing w:line="247" w:lineRule="auto" w:after="80" w:before="0"/>
        <w:jc w:val="both"/>
      </w:pPr>
      <w:r>
        <w:rPr>
          <w:rFonts w:ascii="Times New Roman" w:hAnsi="Times New Roman" w:cs="Times New Roman" w:eastAsia="Times New Roman"/>
          <w:i w:val="0"/>
          <w:sz w:val="24"/>
        </w:rPr>
        <w:t>Digital-economy measurement frameworks address the same boundary from the national-accounting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Digitalisation also creates practical difficulties of classification, business perimeter, cross-border activity and revision of private-source data. This literature establishes what the wedge is not, and is the reason the proposal treats V - R as an accounting boundary rather than as unmeasured output.</w:t>
      </w:r>
    </w:p>
    <w:p>
      <w:pPr>
        <w:pStyle w:val="Heading2"/>
        <w:keepNext/>
        <w:spacing w:before="90" w:after="30"/>
        <w:jc w:val="left"/>
      </w:pPr>
      <w:r>
        <w:rPr>
          <w:rFonts w:ascii="Times New Roman" w:hAnsi="Times New Roman" w:cs="Times New Roman" w:eastAsia="Times New Roman"/>
          <w:b/>
          <w:sz w:val="24"/>
        </w:rPr>
        <w:t>2.4 Research gap</w:t>
      </w:r>
    </w:p>
    <w:p>
      <w:pPr>
        <w:spacing w:line="247" w:lineRule="auto" w:after="8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140" w:after="50"/>
        <w:jc w:val="left"/>
      </w:pPr>
      <w:r>
        <w:rPr>
          <w:rFonts w:ascii="Times New Roman" w:hAnsi="Times New Roman" w:cs="Times New Roman" w:eastAsia="Times New Roman"/>
          <w:b/>
          <w:sz w:val="24"/>
        </w:rPr>
        <w:t>3. Theoretical Framework and Key Variables</w:t>
      </w:r>
    </w:p>
    <w:p>
      <w:pPr>
        <w:spacing w:line="247" w:lineRule="auto" w:after="5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50" w:line="247" w:lineRule="auto"/>
        <w:jc w:val="center"/>
      </w:pPr>
      <w:r>
        <w:rPr>
          <w:rFonts w:ascii="Times New Roman" w:hAnsi="Times New Roman" w:cs="Times New Roman" w:eastAsia="Times New Roman"/>
          <w:i/>
          <w:sz w:val="24"/>
        </w:rPr>
        <w:t>W = V - R      E = (V - R) / R      D = g(V) - g(R)</w:t>
      </w:r>
    </w:p>
    <w:p>
      <w:pPr>
        <w:spacing w:line="247" w:lineRule="auto" w:after="8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47" w:lineRule="auto" w:after="8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2"/>
        <w:keepNext/>
        <w:spacing w:before="90" w:after="30"/>
        <w:jc w:val="left"/>
      </w:pPr>
      <w:r>
        <w:rPr>
          <w:rFonts w:ascii="Times New Roman" w:hAnsi="Times New Roman" w:cs="Times New Roman" w:eastAsia="Times New Roman"/>
          <w:b/>
          <w:sz w:val="24"/>
        </w:rPr>
        <w:t>3.1 Hypotheses</w:t>
      </w:r>
    </w:p>
    <w:p>
      <w:pPr>
        <w:spacing w:line="247" w:lineRule="auto" w:after="80" w:before="0"/>
        <w:jc w:val="both"/>
      </w:pPr>
      <w:r>
        <w:rPr>
          <w:rFonts w:ascii="Times New Roman" w:hAnsi="Times New Roman" w:cs="Times New Roman" w:eastAsia="Times New Roman"/>
          <w:sz w:val="24"/>
        </w:rPr>
        <w:t>The framework yields five hypotheses, which Table 1 states together with their current status. H1 to H3 and H5 are addressed by the preliminary evidence in Section 5 and are reported as current status rather than settled results; H4 is the principal question the thesis proposes to take further. None is framed as a causal claim.</w:t>
      </w:r>
    </w:p>
    <w:p>
      <w:pPr>
        <w:keepNext/>
        <w:spacing w:line="240" w:lineRule="auto" w:after="30" w:before="60"/>
        <w:jc w:val="left"/>
      </w:pPr>
      <w:r>
        <w:rPr>
          <w:rFonts w:ascii="Times New Roman" w:hAnsi="Times New Roman" w:cs="Times New Roman" w:eastAsia="Times New Roman"/>
          <w:b/>
          <w:i/>
          <w:sz w:val="19"/>
        </w:rPr>
        <w:t>Table 1. Hypotheses and current evidence status.</w:t>
      </w:r>
    </w:p>
    <w:tbl>
      <w:tblPr>
        <w:tblStyle w:val="TableGrid"/>
        <w:tblW w:type="auto" w:w="0"/>
        <w:jc w:val="center"/>
        <w:tblLayout w:type="fixed"/>
        <w:tblLook w:firstColumn="1" w:firstRow="1" w:lastColumn="0" w:lastRow="0" w:noHBand="0" w:noVBand="1" w:val="04A0"/>
        <w:tblLayout w:type="fixed"/>
        <w:tblCellMar>
          <w:top w:w="0" w:type="dxa"/>
          <w:bottom w:w="0" w:type="dxa"/>
          <w:left w:w="72" w:type="dxa"/>
          <w:right w:w="72" w:type="dxa"/>
        </w:tblCellMar>
      </w:tblPr>
      <w:tblGrid>
        <w:gridCol w:w="3200"/>
        <w:gridCol w:w="5531"/>
      </w:tblGrid>
      <w:tr>
        <w:tc>
          <w:tcPr>
            <w:tcW w:type="dxa" w:w="3200"/>
          </w:tcPr>
          <w:p>
            <w:pPr>
              <w:spacing w:after="0" w:line="240" w:lineRule="auto"/>
            </w:pPr>
            <w:r/>
            <w:r>
              <w:rPr>
                <w:rFonts w:ascii="Times New Roman" w:hAnsi="Times New Roman"/>
                <w:b/>
                <w:sz w:val="18"/>
              </w:rPr>
              <w:t>Hypothesis</w:t>
            </w:r>
          </w:p>
        </w:tc>
        <w:tc>
          <w:tcPr>
            <w:tcW w:type="dxa" w:w="5531"/>
          </w:tcPr>
          <w:p>
            <w:pPr>
              <w:spacing w:after="0" w:line="240" w:lineRule="auto"/>
            </w:pPr>
            <w:r/>
            <w:r>
              <w:rPr>
                <w:rFonts w:ascii="Times New Roman" w:hAnsi="Times New Roman"/>
                <w:b/>
                <w:sz w:val="18"/>
              </w:rPr>
              <w:t>Status in the current evidence</w:t>
            </w:r>
          </w:p>
        </w:tc>
      </w:tr>
      <w:tr>
        <w:tc>
          <w:tcPr>
            <w:tcW w:type="dxa" w:w="3200"/>
          </w:tcPr>
          <w:p>
            <w:pPr>
              <w:spacing w:after="0" w:line="240" w:lineRule="auto"/>
            </w:pPr>
            <w:r/>
            <w:r>
              <w:rPr>
                <w:rFonts w:ascii="Times New Roman" w:hAnsi="Times New Roman"/>
                <w:b w:val="0"/>
                <w:sz w:val="18"/>
              </w:rPr>
              <w:t>H1  Transaction value and platform revenue can diverge within a series.</w:t>
            </w:r>
          </w:p>
        </w:tc>
        <w:tc>
          <w:tcPr>
            <w:tcW w:type="dxa" w:w="5531"/>
          </w:tcPr>
          <w:p>
            <w:pPr>
              <w:spacing w:after="0" w:line="240" w:lineRule="auto"/>
            </w:pPr>
            <w:r/>
            <w:r>
              <w:rPr>
                <w:rFonts w:ascii="Times New Roman" w:hAnsi="Times New Roman"/>
                <w:b w:val="0"/>
                <w:sz w:val="18"/>
              </w:rPr>
              <w:t>Supported in the candidate inventory: 12 transitions, 2 opposite-sign, median absolute divergence 42.02 pp. Final Indonesian admission unresolved.</w:t>
            </w:r>
          </w:p>
        </w:tc>
      </w:tr>
      <w:tr>
        <w:tc>
          <w:tcPr>
            <w:tcW w:type="dxa" w:w="3200"/>
          </w:tcPr>
          <w:p>
            <w:pPr>
              <w:spacing w:after="0" w:line="240" w:lineRule="auto"/>
            </w:pPr>
            <w:r/>
            <w:r>
              <w:rPr>
                <w:rFonts w:ascii="Times New Roman" w:hAnsi="Times New Roman"/>
                <w:b w:val="0"/>
                <w:sz w:val="18"/>
              </w:rPr>
              <w:t>H2  Aggregate e-commerce growth partly reflects more businesses rather than more value per business.</w:t>
            </w:r>
          </w:p>
        </w:tc>
        <w:tc>
          <w:tcPr>
            <w:tcW w:type="dxa" w:w="5531"/>
          </w:tcPr>
          <w:p>
            <w:pPr>
              <w:spacing w:after="0" w:line="240" w:lineRule="auto"/>
            </w:pPr>
            <w:r/>
            <w:r>
              <w:rPr>
                <w:rFonts w:ascii="Times New Roman" w:hAnsi="Times New Roman"/>
                <w:b w:val="0"/>
                <w:sz w:val="18"/>
              </w:rPr>
              <w:t>Supported for 2023-2024: value +17.08%, businesses +15.31%, implied value per business +1.54%. Arithmetic decomposition, not causal entry.</w:t>
            </w:r>
          </w:p>
        </w:tc>
      </w:tr>
      <w:tr>
        <w:tc>
          <w:tcPr>
            <w:tcW w:type="dxa" w:w="3200"/>
          </w:tcPr>
          <w:p>
            <w:pPr>
              <w:spacing w:after="0" w:line="240" w:lineRule="auto"/>
            </w:pPr>
            <w:r/>
            <w:r>
              <w:rPr>
                <w:rFonts w:ascii="Times New Roman" w:hAnsi="Times New Roman"/>
                <w:b w:val="0"/>
                <w:sz w:val="18"/>
              </w:rPr>
              <w:t>H3  Marketplace participation is associated with financial recordkeeping.</w:t>
            </w:r>
          </w:p>
        </w:tc>
        <w:tc>
          <w:tcPr>
            <w:tcW w:type="dxa" w:w="5531"/>
          </w:tcPr>
          <w:p>
            <w:pPr>
              <w:spacing w:after="0" w:line="240" w:lineRule="auto"/>
            </w:pPr>
            <w:r/>
            <w:r>
              <w:rPr>
                <w:rFonts w:ascii="Times New Roman" w:hAnsi="Times New Roman"/>
                <w:b w:val="0"/>
                <w:sz w:val="18"/>
              </w:rPr>
              <w:t>Associated in BPS published business-level evidence; the within-province change is unstable (r = 0.309, p = 0.066). Not causal.</w:t>
            </w:r>
          </w:p>
        </w:tc>
      </w:tr>
      <w:tr>
        <w:tc>
          <w:tcPr>
            <w:tcW w:type="dxa" w:w="3200"/>
          </w:tcPr>
          <w:p>
            <w:pPr>
              <w:spacing w:after="0" w:line="240" w:lineRule="auto"/>
            </w:pPr>
            <w:r/>
            <w:r>
              <w:rPr>
                <w:rFonts w:ascii="Times New Roman" w:hAnsi="Times New Roman"/>
                <w:b w:val="0"/>
                <w:sz w:val="18"/>
              </w:rPr>
              <w:t>H4  Platform-held records are not yet administratively linked to seller obligations.</w:t>
            </w:r>
          </w:p>
        </w:tc>
        <w:tc>
          <w:tcPr>
            <w:tcW w:type="dxa" w:w="5531"/>
          </w:tcPr>
          <w:p>
            <w:pPr>
              <w:spacing w:after="0" w:line="240" w:lineRule="auto"/>
            </w:pPr>
            <w:r/>
            <w:r>
              <w:rPr>
                <w:rFonts w:ascii="Times New Roman" w:hAnsi="Times New Roman"/>
                <w:b w:val="0"/>
                <w:sz w:val="18"/>
              </w:rPr>
              <w:t>Not yet tested. Requires implementation and identifier evidence, not legal architecture alone. This is the question the thesis proposes to advance.</w:t>
            </w:r>
          </w:p>
        </w:tc>
      </w:tr>
      <w:tr>
        <w:tc>
          <w:tcPr>
            <w:tcW w:type="dxa" w:w="3200"/>
          </w:tcPr>
          <w:p>
            <w:pPr>
              <w:spacing w:after="0" w:line="240" w:lineRule="auto"/>
            </w:pPr>
            <w:r/>
            <w:r>
              <w:rPr>
                <w:rFonts w:ascii="Times New Roman" w:hAnsi="Times New Roman"/>
                <w:b w:val="0"/>
                <w:sz w:val="18"/>
              </w:rPr>
              <w:t>H5  Measurement choices can alter conclusions.</w:t>
            </w:r>
          </w:p>
        </w:tc>
        <w:tc>
          <w:tcPr>
            <w:tcW w:type="dxa" w:w="5531"/>
          </w:tcPr>
          <w:p>
            <w:pPr>
              <w:spacing w:after="0" w:line="240" w:lineRule="auto"/>
            </w:pPr>
            <w:r/>
            <w:r>
              <w:rPr>
                <w:rFonts w:ascii="Times New Roman" w:hAnsi="Times New Roman"/>
                <w:b w:val="0"/>
                <w:sz w:val="18"/>
              </w:rPr>
              <w:t>Supported by the reporting-vintage, revenue-definition and business-perimeter modules. Consequence assessed comparison by comparison.</w:t>
            </w:r>
          </w:p>
        </w:tc>
      </w:tr>
    </w:tbl>
    <w:p>
      <w:pPr>
        <w:pStyle w:val="Heading1"/>
        <w:keepNext/>
        <w:spacing w:before="140" w:after="50"/>
        <w:jc w:val="left"/>
      </w:pPr>
      <w:r>
        <w:rPr>
          <w:rFonts w:ascii="Times New Roman" w:hAnsi="Times New Roman" w:cs="Times New Roman" w:eastAsia="Times New Roman"/>
          <w:b/>
          <w:sz w:val="24"/>
        </w:rPr>
        <w:t>4. Data and Methodology</w:t>
      </w:r>
    </w:p>
    <w:p>
      <w:pPr>
        <w:pStyle w:val="Heading2"/>
        <w:keepNext/>
        <w:spacing w:before="90" w:after="30"/>
        <w:jc w:val="left"/>
      </w:pPr>
      <w:r>
        <w:rPr>
          <w:rFonts w:ascii="Times New Roman" w:hAnsi="Times New Roman" w:cs="Times New Roman" w:eastAsia="Times New Roman"/>
          <w:b/>
          <w:sz w:val="24"/>
        </w:rPr>
        <w:t>4.1 Admission rules and evidence tiers</w:t>
      </w:r>
    </w:p>
    <w:p>
      <w:pPr>
        <w:spacing w:line="247" w:lineRule="auto" w:after="8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30" w:before="60"/>
        <w:jc w:val="left"/>
      </w:pPr>
      <w:r>
        <w:rPr>
          <w:rFonts w:ascii="Times New Roman" w:hAnsi="Times New Roman" w:cs="Times New Roman" w:eastAsia="Times New Roman"/>
          <w:b/>
          <w:i/>
          <w:sz w:val="19"/>
        </w:rPr>
        <w:t>Table 2. Evidence tiers for Indonesian platform observations. Tiers differ in how directly each series maps to Indonesia; they are never pooled into a single monetary total.</w:t>
      </w:r>
    </w:p>
    <w:tbl>
      <w:tblPr>
        <w:tblStyle w:val="TableGrid"/>
        <w:tblW w:type="auto" w:w="0"/>
        <w:jc w:val="center"/>
        <w:tblLayout w:type="fixed"/>
        <w:tblLook w:firstColumn="1" w:firstRow="1" w:lastColumn="0" w:lastRow="0" w:noHBand="0" w:noVBand="1" w:val="04A0"/>
      </w:tblPr>
      <w:tblGrid>
        <w:gridCol w:w="2835"/>
        <w:gridCol w:w="3402"/>
        <w:gridCol w:w="1655"/>
        <w:gridCol w:w="1655"/>
      </w:tblGrid>
      <w:tr>
        <w:trPr>
          <w:tblHeader w:val="true"/>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tier</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t>Levels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Transitions</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Direct Indonesia-aligned</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pPr>
            <w:r>
              <w:rPr>
                <w:rFonts w:ascii="Times New Roman" w:hAnsi="Times New Roman" w:eastAsia="Times New Roman"/>
                <w:sz w:val="18"/>
              </w:rPr>
              <w:t>Direct, scope-pending</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Blibli 3P; Bukalapak Group</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Conditional reconstruction</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Grab; Shopee Indonesia</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t>All tiers (diagnostic)</w:t>
            </w:r>
          </w:p>
        </w:tc>
        <w:tc>
          <w:tcPr>
            <w:tcW w:type="dxa" w:w="3402"/>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Five series</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17</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r>
    </w:tbl>
    <w:p>
      <w:pPr>
        <w:keepNext/>
        <w:spacing w:line="247" w:lineRule="auto" w:after="80"/>
        <w:jc w:val="both"/>
      </w:pPr>
      <w:r>
        <w:rPr>
          <w:rFonts w:ascii="Times New Roman" w:hAnsi="Times New Roman" w:cs="Times New Roman" w:eastAsia="Times New Roman"/>
          <w:b w:val="0"/>
          <w:i w:val="0"/>
          <w:sz w:val="24"/>
        </w:rPr>
        <w:t>Table 2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47" w:lineRule="auto" w:after="8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therefore not collapsed into one N.</w:t>
      </w:r>
    </w:p>
    <w:p>
      <w:pPr>
        <w:pStyle w:val="Heading2"/>
        <w:keepNext/>
        <w:spacing w:before="90" w:after="30"/>
        <w:jc w:val="left"/>
      </w:pPr>
      <w:r>
        <w:rPr>
          <w:rFonts w:ascii="Times New Roman" w:hAnsi="Times New Roman" w:cs="Times New Roman" w:eastAsia="Times New Roman"/>
          <w:b/>
          <w:sz w:val="24"/>
        </w:rPr>
        <w:t>4.2 Comparability strategy</w:t>
      </w:r>
    </w:p>
    <w:p>
      <w:pPr>
        <w:spacing w:before="0" w:after="80" w:line="247"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80" w:line="247"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90" w:after="30"/>
        <w:jc w:val="left"/>
      </w:pPr>
      <w:r>
        <w:rPr>
          <w:rFonts w:ascii="Times New Roman" w:hAnsi="Times New Roman" w:cs="Times New Roman" w:eastAsia="Times New Roman"/>
          <w:b/>
          <w:sz w:val="24"/>
        </w:rPr>
        <w:t>4.3 Conditional country evidence</w:t>
      </w:r>
    </w:p>
    <w:p>
      <w:pPr>
        <w:spacing w:line="247" w:lineRule="auto" w:after="5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50" w:line="247" w:lineRule="auto"/>
        <w:jc w:val="center"/>
      </w:pPr>
      <w:r>
        <w:rPr>
          <w:rFonts w:ascii="Times New Roman" w:hAnsi="Times New Roman" w:cs="Times New Roman" w:eastAsia="Times New Roman"/>
          <w:i/>
          <w:sz w:val="24"/>
        </w:rPr>
        <w:t>Indonesia GTV = Indonesia revenue x Group GTV / Group revenue</w:t>
      </w:r>
    </w:p>
    <w:p>
      <w:pPr>
        <w:spacing w:line="247" w:lineRule="auto" w:after="8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140" w:after="50"/>
        <w:jc w:val="left"/>
      </w:pPr>
      <w:r>
        <w:rPr>
          <w:rFonts w:ascii="Times New Roman" w:hAnsi="Times New Roman" w:cs="Times New Roman" w:eastAsia="Times New Roman"/>
          <w:b/>
          <w:sz w:val="24"/>
        </w:rPr>
        <w:t>5. Preliminary Evidence and Feasibility</w:t>
      </w:r>
    </w:p>
    <w:p>
      <w:pPr>
        <w:pStyle w:val="Heading2"/>
        <w:keepNext/>
        <w:spacing w:before="90" w:after="30"/>
        <w:jc w:val="left"/>
      </w:pPr>
      <w:r>
        <w:rPr>
          <w:rFonts w:ascii="Times New Roman" w:hAnsi="Times New Roman" w:cs="Times New Roman" w:eastAsia="Times New Roman"/>
          <w:b/>
          <w:sz w:val="24"/>
        </w:rPr>
        <w:t>5.1 FY2023 scale</w:t>
      </w:r>
    </w:p>
    <w:p>
      <w:pPr>
        <w:keepNext/>
        <w:spacing w:line="240" w:lineRule="auto" w:after="30" w:before="60"/>
        <w:jc w:val="left"/>
      </w:pPr>
      <w:r>
        <w:rPr>
          <w:rFonts w:ascii="Times New Roman" w:hAnsi="Times New Roman" w:cs="Times New Roman" w:eastAsia="Times New Roman"/>
          <w:b/>
          <w:i/>
          <w:sz w:val="19"/>
        </w:rPr>
        <w:t>Table 3.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fixed"/>
        <w:tblLook w:firstColumn="1" w:firstRow="1" w:lastColumn="0" w:lastRow="0" w:noHBand="0" w:noVBand="1" w:val="04A0"/>
      </w:tblPr>
      <w:tblGrid>
        <w:gridCol w:w="2721"/>
        <w:gridCol w:w="879"/>
        <w:gridCol w:w="879"/>
        <w:gridCol w:w="879"/>
        <w:gridCol w:w="935"/>
        <w:gridCol w:w="3254"/>
      </w:tblGrid>
      <w:tr>
        <w:trPr>
          <w:tblHeader w:val="true"/>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Case</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V</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R</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W</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class</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5.381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0.605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4.776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7.895x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Tokopedia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16.331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0.405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15.926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39.296x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pair</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21.520</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19.368</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9.000x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 and R</w:t>
            </w:r>
          </w:p>
        </w:tc>
      </w:tr>
      <w:tr>
        <w:trPr>
          <w:cantSplit/>
        </w:trPr>
        <w:tc>
          <w:tcPr>
            <w:tcW w:type="dxa" w:w="2721"/>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Selected platforms</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43.233</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3.162</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40.070</w:t>
            </w:r>
          </w:p>
        </w:tc>
        <w:tc>
          <w:tcPr>
            <w:tcW w:type="dxa" w:w="9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12.671x</w:t>
            </w:r>
          </w:p>
        </w:tc>
        <w:tc>
          <w:tcPr>
            <w:tcW w:type="dxa" w:w="3254"/>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Sum, not national total</w:t>
            </w:r>
          </w:p>
        </w:tc>
      </w:tr>
    </w:tbl>
    <w:p>
      <w:pPr>
        <w:keepNext/>
        <w:spacing w:line="247" w:lineRule="auto" w:after="80"/>
        <w:jc w:val="both"/>
      </w:pPr>
      <w:r>
        <w:rPr>
          <w:rFonts w:ascii="Times New Roman" w:hAnsi="Times New Roman" w:cs="Times New Roman" w:eastAsia="Times New Roman"/>
          <w:b w:val="0"/>
          <w:i w:val="0"/>
          <w:sz w:val="24"/>
        </w:rPr>
        <w:t>Table 3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before="90" w:after="30"/>
        <w:jc w:val="left"/>
      </w:pPr>
      <w:r>
        <w:rPr>
          <w:rFonts w:ascii="Times New Roman" w:hAnsi="Times New Roman" w:cs="Times New Roman" w:eastAsia="Times New Roman"/>
          <w:b/>
          <w:sz w:val="24"/>
        </w:rPr>
        <w:t>5.2 Longitudinal movement and mechanism</w:t>
      </w:r>
    </w:p>
    <w:p>
      <w:pPr>
        <w:keepNext/>
        <w:spacing w:line="240" w:lineRule="auto" w:after="30" w:before="60"/>
        <w:jc w:val="left"/>
      </w:pPr>
      <w:r>
        <w:rPr>
          <w:rFonts w:ascii="Times New Roman" w:hAnsi="Times New Roman" w:cs="Times New Roman" w:eastAsia="Times New Roman"/>
          <w:b/>
          <w:i/>
          <w:sz w:val="19"/>
        </w:rPr>
        <w:t>Table 4. Within-series annual divergence under two admission rules. Counts differ because evidence admission differs; both are reported rather than resolved into one headline.</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All-tier inventory</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Direct-candidate sensitivity</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Revenue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10</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Transaction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Opposite-sign 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Median absolute divergence</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42.02 pp</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42.94 pp</w:t>
            </w:r>
          </w:p>
        </w:tc>
      </w:tr>
    </w:tbl>
    <w:p>
      <w:pPr>
        <w:keepNext/>
        <w:spacing w:line="247" w:lineRule="auto" w:after="80"/>
        <w:jc w:val="both"/>
      </w:pPr>
      <w:r>
        <w:rPr>
          <w:rFonts w:ascii="Times New Roman" w:hAnsi="Times New Roman" w:cs="Times New Roman" w:eastAsia="Times New Roman"/>
          <w:b w:val="0"/>
          <w:i w:val="0"/>
          <w:sz w:val="24"/>
        </w:rPr>
        <w:t>Table 4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60440" cy="2207136"/>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60440" cy="2207136"/>
                    </a:xfrm>
                    <a:prstGeom prst="rect"/>
                  </pic:spPr>
                </pic:pic>
              </a:graphicData>
            </a:graphic>
          </wp:inline>
        </w:drawing>
      </w:r>
    </w:p>
    <w:p>
      <w:pPr>
        <w:keepNext/>
        <w:spacing w:before="40" w:after="30" w:line="240" w:lineRule="auto"/>
        <w:jc w:val="center"/>
      </w:pPr>
      <w:r>
        <w:rPr>
          <w:rFonts w:ascii="Times New Roman" w:hAnsi="Times New Roman" w:cs="Times New Roman" w:eastAsia="Times New Roman"/>
          <w:b/>
          <w:i/>
          <w:sz w:val="19"/>
        </w:rPr>
        <w:t>Figure 1. Ecosystem Ratio across the extended candidate series. Each line follows one disclosed or transparently reconstructed series through time; levels are shown by series and are not pooled across evidence tiers.</w:t>
      </w:r>
    </w:p>
    <w:p>
      <w:pPr>
        <w:keepLines/>
        <w:spacing w:before="90" w:after="80" w:line="247"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90" w:after="30"/>
        <w:jc w:val="left"/>
      </w:pPr>
      <w:r>
        <w:rPr>
          <w:rFonts w:ascii="Times New Roman" w:hAnsi="Times New Roman" w:cs="Times New Roman" w:eastAsia="Times New Roman"/>
          <w:b/>
          <w:sz w:val="24"/>
        </w:rPr>
        <w:t>5.3 Wider Indonesian activity and reporting</w:t>
      </w:r>
    </w:p>
    <w:p>
      <w:pPr>
        <w:spacing w:line="247" w:lineRule="auto" w:after="8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47" w:lineRule="auto" w:after="8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47" w:lineRule="auto" w:after="8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90" w:after="30"/>
        <w:jc w:val="left"/>
      </w:pPr>
      <w:r>
        <w:rPr>
          <w:rFonts w:ascii="Times New Roman" w:hAnsi="Times New Roman" w:cs="Times New Roman" w:eastAsia="Times New Roman"/>
          <w:b/>
          <w:sz w:val="24"/>
        </w:rPr>
        <w:t>5.4 Payment traces and administrative records</w:t>
      </w:r>
    </w:p>
    <w:p>
      <w:pPr>
        <w:spacing w:line="247" w:lineRule="auto" w:after="80" w:before="0"/>
        <w:jc w:val="both"/>
      </w:pPr>
      <w:r>
        <w:rPr>
          <w:rFonts w:ascii="Times New Roman" w:hAnsi="Times New Roman" w:cs="Times New Roman" w:eastAsia="Times New Roman"/>
          <w:i w:val="0"/>
          <w:sz w:val="24"/>
        </w:rPr>
        <w:t>Bank Indonesia's payment-system statistics give an independent view of digital trace activity. Between 2023 and 2024, BPS e-commerce transaction value grows 17.08 percent, while electronic-money shopping value grows 30.47 percent, mobile-banking payment and purchase value grows 82.84 percent, and QRIS transaction value grows 186.98 percent. Payments and sales are different economic objects, so these series are not competing estimates of the same quantity and are not reconciled to issuer transaction value. Their value is to show that digital traces can expand on a different trajectory from the commerce they help record, so trace abundance is not by itself evidence of measured activity.</w:t>
      </w:r>
    </w:p>
    <w:p>
      <w:pPr>
        <w:pStyle w:val="Heading2"/>
        <w:keepNext/>
        <w:spacing w:before="90" w:after="30"/>
        <w:jc w:val="left"/>
      </w:pPr>
      <w:r>
        <w:rPr>
          <w:rFonts w:ascii="Times New Roman" w:hAnsi="Times New Roman" w:cs="Times New Roman" w:eastAsia="Times New Roman"/>
          <w:b/>
          <w:sz w:val="24"/>
        </w:rPr>
        <w:t>5.5 What the preliminary evidence establishes</w:t>
      </w:r>
    </w:p>
    <w:p>
      <w:pPr>
        <w:spacing w:before="0" w:after="80" w:line="247"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pStyle w:val="Heading1"/>
        <w:keepNext/>
        <w:spacing w:before="140" w:after="50"/>
        <w:jc w:val="left"/>
      </w:pPr>
      <w:r>
        <w:rPr>
          <w:rFonts w:ascii="Times New Roman" w:hAnsi="Times New Roman" w:cs="Times New Roman" w:eastAsia="Times New Roman"/>
          <w:b/>
          <w:sz w:val="24"/>
        </w:rPr>
        <w:t>6. Why the Problem Matters</w:t>
      </w:r>
    </w:p>
    <w:p>
      <w:pPr>
        <w:spacing w:line="247" w:lineRule="auto" w:after="80" w:before="0"/>
        <w:jc w:val="both"/>
      </w:pPr>
      <w:r>
        <w:rPr>
          <w:rFonts w:ascii="Times New Roman" w:hAnsi="Times New Roman" w:cs="Times New Roman" w:eastAsia="Times New Roman"/>
          <w:i w:val="0"/>
          <w:sz w:val="24"/>
        </w:rPr>
        <w:t>The problem matters because different records support different diagnoses of the same transformation. Platform revenue growth can imply a different performance story from transaction growth; marketplace-centred evidence can mislocate where national e-commerce growth actually occurs, which is what the 98.46 percent result shows; and payment growth can be mistaken for equivalent commerce growth. At the institutional level, abundant private traces still require seller identity, a reporting rule, transmission and matching before they become administratively usable, which is the sequence PMK 37/2025 sets out. The risk this thesis addresses is therefore not that these records differ, but that one is used as a proxy for another without reconciling the boundary between them.</w:t>
      </w:r>
    </w:p>
    <w:p>
      <w:pPr>
        <w:pStyle w:val="Heading1"/>
        <w:keepNext/>
        <w:spacing w:before="140" w:after="50"/>
        <w:jc w:val="left"/>
      </w:pPr>
      <w:r>
        <w:rPr>
          <w:rFonts w:ascii="Times New Roman" w:hAnsi="Times New Roman" w:cs="Times New Roman" w:eastAsia="Times New Roman"/>
          <w:b/>
          <w:sz w:val="24"/>
        </w:rPr>
        <w:t>7. Limitations and Proposal Decisions</w:t>
      </w:r>
    </w:p>
    <w:p>
      <w:pPr>
        <w:keepNext/>
        <w:spacing w:before="60" w:after="30" w:line="240" w:lineRule="auto"/>
        <w:jc w:val="left"/>
      </w:pPr>
      <w:r>
        <w:rPr>
          <w:rFonts w:ascii="Times New Roman" w:hAnsi="Times New Roman" w:cs="Times New Roman" w:eastAsia="Times New Roman"/>
          <w:b/>
          <w:i/>
          <w:sz w:val="19"/>
        </w:rPr>
        <w:t>Table 5. Inference boundaries for the proposal examination.</w:t>
      </w:r>
    </w:p>
    <w:tbl>
      <w:tblPr>
        <w:tblStyle w:val="TableGrid"/>
        <w:tblW w:type="auto" w:w="0"/>
        <w:jc w:val="center"/>
        <w:tblLayout w:type="fixed"/>
        <w:tblLook w:firstColumn="1" w:firstRow="1" w:lastColumn="0" w:lastRow="0" w:noHBand="0" w:noVBand="1" w:val="04A0"/>
      </w:tblPr>
      <w:tblGrid>
        <w:gridCol w:w="4300"/>
        <w:gridCol w:w="4431"/>
      </w:tblGrid>
      <w:tr>
        <w:trPr>
          <w:tblHeader w:val="true"/>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supports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Does not by itself establish</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W = V - R and E measure the transaction-revenue boundary.</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Participant profit, taxable income, unpaid tax, tax evasion or missing GDP.</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Evidence tiers identify how directly each series maps to Indonesia.</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That direct, scope-pending and conditional observations are interchangeable or should be pooled.</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Issuer revenue components can arithmetically reconcile selected divergences.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causal treatment effect of incentives, monetization or accounting choices.</w:t>
            </w:r>
          </w:p>
        </w:tc>
      </w:tr>
      <w:tr>
        <w:trPr>
          <w:cantSplit/>
        </w:trPr>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BPS and PMK document wider activity and reporting architecture.</w:t>
            </w:r>
          </w:p>
        </w:tc>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firm-level causal effect or a completed compliance / tax-revenue effect.</w:t>
            </w:r>
          </w:p>
        </w:tc>
      </w:tr>
    </w:tbl>
    <w:p>
      <w:pPr>
        <w:keepNext/>
        <w:spacing w:line="247" w:lineRule="auto" w:after="80"/>
        <w:jc w:val="both"/>
      </w:pPr>
      <w:r>
        <w:rPr>
          <w:rFonts w:ascii="Times New Roman" w:hAnsi="Times New Roman" w:cs="Times New Roman" w:eastAsia="Times New Roman"/>
          <w:b w:val="0"/>
          <w:i w:val="0"/>
          <w:sz w:val="24"/>
        </w:rPr>
        <w:t>Table 5 summarizes the inferential boundaries that govern the proposal. Measurement, accounting reconciliation and institutional interpretation are kept separate so that evidence from one layer is not used for claims belonging to another.</w:t>
      </w:r>
    </w:p>
    <w:p>
      <w:pPr>
        <w:spacing w:line="247" w:lineRule="auto" w:after="8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140" w:after="50"/>
        <w:jc w:val="left"/>
      </w:pPr>
      <w:r>
        <w:rPr>
          <w:rFonts w:ascii="Times New Roman" w:hAnsi="Times New Roman" w:cs="Times New Roman" w:eastAsia="Times New Roman"/>
          <w:b/>
          <w:sz w:val="24"/>
        </w:rPr>
        <w:t>8. Next Step</w:t>
      </w:r>
    </w:p>
    <w:p>
      <w:pPr>
        <w:spacing w:line="247" w:lineRule="auto" w:after="8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 Table 6 sets out that schedule; the empirical backend is already assembled, so what remains is sample admission, requested analysis, and manuscript construction.</w:t>
      </w:r>
    </w:p>
    <w:p>
      <w:pPr>
        <w:keepNext/>
        <w:spacing w:before="60" w:after="30" w:line="240" w:lineRule="auto"/>
        <w:jc w:val="left"/>
      </w:pPr>
      <w:r>
        <w:rPr>
          <w:rFonts w:ascii="Times New Roman" w:hAnsi="Times New Roman" w:cs="Times New Roman" w:eastAsia="Times New Roman"/>
          <w:b/>
          <w:i/>
          <w:sz w:val="19"/>
        </w:rPr>
        <w:t>Table 6. Planned work to the final defence.</w:t>
      </w:r>
    </w:p>
    <w:tbl>
      <w:tblPr>
        <w:tblStyle w:val="TableGrid"/>
        <w:tblW w:type="auto" w:w="0"/>
        <w:jc w:val="center"/>
        <w:tblLayout w:type="fixed"/>
        <w:tblLook w:firstColumn="1" w:firstRow="1" w:lastColumn="0" w:lastRow="0" w:noHBand="0" w:noVBand="1" w:val="04A0"/>
      </w:tblPr>
      <w:tblGrid>
        <w:gridCol w:w="2000"/>
        <w:gridCol w:w="6731"/>
      </w:tblGrid>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Period</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Planned work</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September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Advisor review of the empirical package; proposal oral examination; freeze the sample-admission rule and the checks the committee requests.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October-November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Complete requested reconciliations and source concordance; extend sensitivity to the approved tier boundary; freeze thesis tables and figures.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Before the final defence</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Rebuild the manuscript under the approved sample; retain supporting payment, ASEAN and global modules only where they advance the final argument.</w:t>
            </w:r>
          </w:p>
        </w:tc>
      </w:tr>
    </w:tbl>
    <w:p>
      <w:pPr>
        <w:spacing w:before="0" w:after="60" w:line="254" w:lineRule="auto"/>
        <w:jc w:val="both"/>
      </w:pPr>
      <w:r>
        <w:rPr>
          <w:rFonts w:ascii="Times New Roman" w:hAnsi="Times New Roman" w:cs="Times New Roman" w:eastAsia="Times New Roman"/>
          <w:sz w:val="24"/>
        </w:rPr>
      </w:r>
    </w:p>
    <w:p>
      <w:pPr>
        <w:pStyle w:val="Heading1"/>
        <w:keepNext/>
        <w:spacing w:before="140" w:after="50"/>
        <w:jc w:val="left"/>
      </w:pPr>
      <w:r>
        <w:rPr>
          <w:rFonts w:ascii="Times New Roman" w:hAnsi="Times New Roman" w:cs="Times New Roman" w:eastAsia="Times New Roman"/>
          <w:b/>
          <w:sz w:val="24"/>
        </w:rPr>
        <w:t>Appendix A - data sources by evidence class</w:t>
      </w:r>
    </w:p>
    <w:p>
      <w:pPr>
        <w:keepNext/>
        <w:spacing w:before="60" w:after="30" w:line="240" w:lineRule="auto"/>
        <w:jc w:val="left"/>
      </w:pPr>
      <w:r>
        <w:rPr>
          <w:rFonts w:ascii="Times New Roman" w:hAnsi="Times New Roman" w:cs="Times New Roman" w:eastAsia="Times New Roman"/>
          <w:b/>
          <w:i/>
          <w:sz w:val="19"/>
        </w:rPr>
        <w:t>Table A1. Source lineage by evidence class.</w:t>
      </w:r>
    </w:p>
    <w:tbl>
      <w:tblPr>
        <w:tblStyle w:val="TableGrid"/>
        <w:tblW w:type="auto" w:w="0"/>
        <w:jc w:val="center"/>
        <w:tblLayout w:type="fixed"/>
        <w:tblLook w:firstColumn="1" w:firstRow="1" w:lastColumn="0" w:lastRow="0" w:noHBand="0" w:noVBand="1" w:val="04A0"/>
      </w:tblPr>
      <w:tblGrid>
        <w:gridCol w:w="2050"/>
        <w:gridCol w:w="1900"/>
        <w:gridCol w:w="2400"/>
        <w:gridCol w:w="2381"/>
      </w:tblGrid>
      <w:tr>
        <w:trPr>
          <w:tblHeader w:val="true"/>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Tier</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V</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R</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Indonesia-aligned</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e-commerce segment metrics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segment note</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Blibli 3P Retail</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Global Digital Niaga prospectus and results releases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Group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annual and sustainability reports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disclosed Indonesia revenue and Group monetization rate (Form 20-F)</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Momentum Works Southeast Asia e-commerce estimate (third-party)</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Sea Limited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National statistics</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BPS-Statistics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E-Commerce Statistics 2023, 2024; BPS directorate presentation</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Regulatory</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PMK 37/2025; DJP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Ministry of Finance of the Republic of Indonesia</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bl>
    <w:p>
      <w:pPr>
        <w:keepLines/>
        <w:spacing w:line="247" w:lineRule="auto" w:after="80" w:before="10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spacing w:before="120" w:after="5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