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8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from FY2019 to FY2025. The proposal asks how large the wedge is, how it changes, and what explains those changes, then uses official statistics and Indonesia's marketplace-reporting rules to locate related activity and records beyond platform revenue.</w:t>
      </w:r>
    </w:p>
    <w:p>
      <w:pPr>
        <w:pStyle w:val="Heading1"/>
        <w:keepNext/>
        <w:spacing w:before="140" w:after="80"/>
        <w:jc w:val="left"/>
      </w:pPr>
      <w:r>
        <w:rPr>
          <w:rFonts w:ascii="Times New Roman" w:hAnsi="Times New Roman" w:cs="Times New Roman" w:eastAsia="Times New Roman"/>
          <w:b/>
          <w:sz w:val="24"/>
        </w:rPr>
        <w:t>1. Introduction</w:t>
      </w:r>
    </w:p>
    <w:p>
      <w:pPr>
        <w:spacing w:line="247" w:lineRule="auto" w:after="8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47" w:lineRule="auto" w:after="8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47" w:lineRule="auto" w:after="8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47" w:lineRule="auto" w:after="8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90" w:after="30"/>
        <w:jc w:val="left"/>
      </w:pPr>
      <w:r>
        <w:rPr>
          <w:rFonts w:ascii="Times New Roman" w:hAnsi="Times New Roman" w:cs="Times New Roman" w:eastAsia="Times New Roman"/>
          <w:b/>
          <w:sz w:val="24"/>
        </w:rPr>
        <w:t>1.1 Research question and objectives</w:t>
      </w:r>
    </w:p>
    <w:p>
      <w:pPr>
        <w:spacing w:line="247" w:lineRule="auto" w:after="80" w:before="0"/>
        <w:jc w:val="both"/>
      </w:pPr>
      <w:r>
        <w:rPr>
          <w:rFonts w:ascii="Times New Roman" w:hAnsi="Times New Roman" w:cs="Times New Roman" w:eastAsia="Times New Roman"/>
          <w:i w:val="0"/>
          <w:sz w:val="24"/>
        </w:rPr>
        <w:t>One question drives the proposal:</w:t>
      </w:r>
    </w:p>
    <w:p>
      <w:pPr>
        <w:spacing w:before="60" w:after="80" w:line="247"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47" w:lineRule="auto" w:after="8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90" w:after="30"/>
        <w:jc w:val="left"/>
      </w:pPr>
      <w:r>
        <w:rPr>
          <w:rFonts w:ascii="Times New Roman" w:hAnsi="Times New Roman" w:cs="Times New Roman" w:eastAsia="Times New Roman"/>
          <w:b/>
          <w:sz w:val="24"/>
        </w:rPr>
        <w:t>1.2 Contributions</w:t>
      </w:r>
    </w:p>
    <w:p>
      <w:pPr>
        <w:spacing w:line="247" w:lineRule="auto" w:after="8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47" w:lineRule="auto" w:after="8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47" w:lineRule="auto" w:after="8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90" w:after="30" w:line="276" w:lineRule="auto"/>
        <w:jc w:val="left"/>
      </w:pPr>
      <w:r>
        <w:rPr>
          <w:rFonts w:ascii="Times New Roman" w:hAnsi="Times New Roman" w:cs="Times New Roman" w:eastAsia="Times New Roman"/>
          <w:b/>
          <w:sz w:val="24"/>
        </w:rPr>
        <w:t>1.3 Positioning the contribution</w:t>
      </w:r>
    </w:p>
    <w:p>
      <w:pPr>
        <w:spacing w:before="0" w:after="80" w:line="247"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140" w:after="80"/>
        <w:jc w:val="left"/>
      </w:pPr>
      <w:r>
        <w:rPr>
          <w:rFonts w:ascii="Times New Roman" w:hAnsi="Times New Roman" w:cs="Times New Roman" w:eastAsia="Times New Roman"/>
          <w:b/>
          <w:sz w:val="24"/>
        </w:rPr>
        <w:t>2. Literature Review and Research Gap</w:t>
      </w:r>
    </w:p>
    <w:p>
      <w:pPr>
        <w:pStyle w:val="Heading2"/>
        <w:keepNext/>
        <w:spacing w:before="90" w:after="30"/>
        <w:jc w:val="left"/>
      </w:pPr>
      <w:r>
        <w:rPr>
          <w:rFonts w:ascii="Times New Roman" w:hAnsi="Times New Roman" w:cs="Times New Roman" w:eastAsia="Times New Roman"/>
          <w:b/>
          <w:sz w:val="24"/>
        </w:rPr>
        <w:t>2.1 Platform economics and revenue recognition</w:t>
      </w:r>
    </w:p>
    <w:p>
      <w:pPr>
        <w:spacing w:line="247" w:lineRule="auto" w:after="8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90" w:after="30"/>
        <w:jc w:val="left"/>
      </w:pPr>
      <w:r>
        <w:rPr>
          <w:rFonts w:ascii="Times New Roman" w:hAnsi="Times New Roman" w:cs="Times New Roman" w:eastAsia="Times New Roman"/>
          <w:b/>
          <w:sz w:val="24"/>
        </w:rPr>
        <w:t>2.2 Informality, digital records, and third-party information</w:t>
      </w:r>
    </w:p>
    <w:p>
      <w:pPr>
        <w:spacing w:line="247" w:lineRule="auto" w:after="8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47" w:lineRule="auto" w:after="8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90" w:after="30"/>
        <w:jc w:val="left"/>
      </w:pPr>
      <w:r>
        <w:rPr>
          <w:rFonts w:ascii="Times New Roman" w:hAnsi="Times New Roman" w:cs="Times New Roman" w:eastAsia="Times New Roman"/>
          <w:b/>
          <w:sz w:val="24"/>
        </w:rPr>
        <w:t>2.3 Measuring the digital economy</w:t>
      </w:r>
    </w:p>
    <w:p>
      <w:pPr>
        <w:spacing w:line="247" w:lineRule="auto" w:after="8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90" w:after="30"/>
        <w:jc w:val="left"/>
      </w:pPr>
      <w:r>
        <w:rPr>
          <w:rFonts w:ascii="Times New Roman" w:hAnsi="Times New Roman" w:cs="Times New Roman" w:eastAsia="Times New Roman"/>
          <w:b/>
          <w:sz w:val="24"/>
        </w:rPr>
        <w:t>2.4 Research gap</w:t>
      </w:r>
    </w:p>
    <w:p>
      <w:pPr>
        <w:spacing w:line="247" w:lineRule="auto" w:after="8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140" w:after="80"/>
        <w:jc w:val="left"/>
      </w:pPr>
      <w:r>
        <w:rPr>
          <w:rFonts w:ascii="Times New Roman" w:hAnsi="Times New Roman" w:cs="Times New Roman" w:eastAsia="Times New Roman"/>
          <w:b/>
          <w:sz w:val="24"/>
        </w:rPr>
        <w:t>3. Theoretical Framework and Key Variables</w:t>
      </w:r>
    </w:p>
    <w:p>
      <w:pPr>
        <w:spacing w:line="247" w:lineRule="auto" w:after="8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80" w:line="247" w:lineRule="auto"/>
        <w:jc w:val="center"/>
      </w:pPr>
      <w:r>
        <w:rPr>
          <w:rFonts w:ascii="Times New Roman" w:hAnsi="Times New Roman" w:cs="Times New Roman" w:eastAsia="Times New Roman"/>
          <w:i/>
          <w:sz w:val="24"/>
        </w:rPr>
        <w:t>W = V - R      E = (V - R) / R      D = g(V) - g(R)</w:t>
      </w:r>
    </w:p>
    <w:p>
      <w:pPr>
        <w:spacing w:line="247" w:lineRule="auto" w:after="8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47" w:lineRule="auto" w:after="8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1"/>
        <w:keepNext/>
        <w:spacing w:before="140" w:after="80"/>
        <w:jc w:val="left"/>
      </w:pPr>
      <w:r>
        <w:rPr>
          <w:rFonts w:ascii="Times New Roman" w:hAnsi="Times New Roman" w:cs="Times New Roman" w:eastAsia="Times New Roman"/>
          <w:b/>
          <w:sz w:val="24"/>
        </w:rPr>
        <w:t>4. Data and Methodology</w:t>
      </w:r>
    </w:p>
    <w:p>
      <w:pPr>
        <w:pStyle w:val="Heading2"/>
        <w:keepNext/>
        <w:spacing w:before="90" w:after="30"/>
        <w:jc w:val="left"/>
      </w:pPr>
      <w:r>
        <w:rPr>
          <w:rFonts w:ascii="Times New Roman" w:hAnsi="Times New Roman" w:cs="Times New Roman" w:eastAsia="Times New Roman"/>
          <w:b/>
          <w:sz w:val="24"/>
        </w:rPr>
        <w:t>4.1 Admission rules and evidence tiers</w:t>
      </w:r>
    </w:p>
    <w:p>
      <w:pPr>
        <w:spacing w:line="247" w:lineRule="auto" w:after="8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30" w:before="60"/>
        <w:jc w:val="left"/>
      </w:pPr>
      <w:r>
        <w:rPr>
          <w:rFonts w:ascii="Times New Roman" w:hAnsi="Times New Roman" w:cs="Times New Roman" w:eastAsia="Times New Roman"/>
          <w:b/>
          <w:i/>
          <w:sz w:val="19"/>
        </w:rPr>
        <w:t>Table 1. Evidence tiers for Indonesian platform observations. Tiers differ in how directly each series maps to Indonesia; they are never pooled into a single monetary total.</w:t>
      </w:r>
    </w:p>
    <w:tbl>
      <w:tblPr>
        <w:tblStyle w:val="TableGrid"/>
        <w:tblW w:type="auto" w:w="0"/>
        <w:jc w:val="center"/>
        <w:tblLayout w:type="fixed"/>
        <w:tblLook w:firstColumn="1" w:firstRow="1" w:lastColumn="0" w:lastRow="0" w:noHBand="0" w:noVBand="1" w:val="04A0"/>
      </w:tblPr>
      <w:tblGrid>
        <w:gridCol w:w="2835"/>
        <w:gridCol w:w="3402"/>
        <w:gridCol w:w="1655"/>
        <w:gridCol w:w="1655"/>
      </w:tblGrid>
      <w:tr>
        <w:trPr>
          <w:tblHeader w:val="true"/>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tier</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t>Levels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Transitions</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Direct Indonesia-aligned</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pPr>
            <w:r>
              <w:rPr>
                <w:rFonts w:ascii="Times New Roman" w:hAnsi="Times New Roman" w:eastAsia="Times New Roman"/>
                <w:sz w:val="18"/>
              </w:rPr>
              <w:t>Direct, scope-pending</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Blibli 3P; Bukalapak Group</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Conditional reconstruction</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Grab; Shopee Indonesia</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t>All tiers (diagnostic)</w:t>
            </w:r>
          </w:p>
        </w:tc>
        <w:tc>
          <w:tcPr>
            <w:tcW w:type="dxa" w:w="3402"/>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Five series</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17</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r>
    </w:tbl>
    <w:p>
      <w:pPr>
        <w:keepNext/>
        <w:spacing w:line="240" w:lineRule="auto" w:after="30" w:before="60"/>
        <w:jc w:val="both"/>
      </w:pPr>
      <w:r>
        <w:rPr>
          <w:rFonts w:ascii="Times New Roman" w:hAnsi="Times New Roman" w:cs="Times New Roman" w:eastAsia="Times New Roman"/>
          <w:b/>
          <w:i/>
          <w:sz w:val="19"/>
        </w:rPr>
        <w:t>Table 1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47" w:lineRule="auto" w:after="8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90" w:after="30" w:line="276" w:lineRule="auto"/>
        <w:jc w:val="left"/>
      </w:pPr>
      <w:r>
        <w:rPr>
          <w:rFonts w:ascii="Times New Roman" w:hAnsi="Times New Roman" w:cs="Times New Roman" w:eastAsia="Times New Roman"/>
          <w:b/>
          <w:sz w:val="24"/>
        </w:rPr>
        <w:t>4.2 Comparability strategy</w:t>
      </w:r>
    </w:p>
    <w:p>
      <w:pPr>
        <w:spacing w:before="0" w:after="80" w:line="247"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80" w:line="247"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90" w:after="30"/>
        <w:jc w:val="left"/>
      </w:pPr>
      <w:r>
        <w:rPr>
          <w:rFonts w:ascii="Times New Roman" w:hAnsi="Times New Roman" w:cs="Times New Roman" w:eastAsia="Times New Roman"/>
          <w:b/>
          <w:sz w:val="24"/>
        </w:rPr>
        <w:t>4.3 Conditional country evidence</w:t>
      </w:r>
    </w:p>
    <w:p>
      <w:pPr>
        <w:spacing w:line="247" w:lineRule="auto" w:after="8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80" w:line="247" w:lineRule="auto"/>
        <w:jc w:val="center"/>
      </w:pPr>
      <w:r>
        <w:rPr>
          <w:rFonts w:ascii="Times New Roman" w:hAnsi="Times New Roman" w:cs="Times New Roman" w:eastAsia="Times New Roman"/>
          <w:i/>
          <w:sz w:val="24"/>
        </w:rPr>
        <w:t>Indonesia GTV = Indonesia revenue x Group GTV / Group revenue</w:t>
      </w:r>
    </w:p>
    <w:p>
      <w:pPr>
        <w:spacing w:line="247" w:lineRule="auto" w:after="8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140" w:after="80"/>
        <w:jc w:val="left"/>
      </w:pPr>
      <w:r>
        <w:rPr>
          <w:rFonts w:ascii="Times New Roman" w:hAnsi="Times New Roman" w:cs="Times New Roman" w:eastAsia="Times New Roman"/>
          <w:b/>
          <w:sz w:val="24"/>
        </w:rPr>
        <w:t>5. Preliminary Evidence and Feasibility</w:t>
      </w:r>
    </w:p>
    <w:p>
      <w:pPr>
        <w:pStyle w:val="Heading2"/>
        <w:keepNext/>
        <w:spacing w:before="90" w:after="30"/>
        <w:jc w:val="left"/>
      </w:pPr>
      <w:r>
        <w:rPr>
          <w:rFonts w:ascii="Times New Roman" w:hAnsi="Times New Roman" w:cs="Times New Roman" w:eastAsia="Times New Roman"/>
          <w:b/>
          <w:sz w:val="24"/>
        </w:rPr>
        <w:t>5.1 FY2023 scale</w:t>
      </w:r>
    </w:p>
    <w:p>
      <w:pPr>
        <w:keepNext/>
        <w:spacing w:line="240" w:lineRule="auto" w:after="30" w:before="60"/>
        <w:jc w:val="left"/>
      </w:pPr>
      <w:r>
        <w:rPr>
          <w:rFonts w:ascii="Times New Roman" w:hAnsi="Times New Roman" w:cs="Times New Roman" w:eastAsia="Times New Roman"/>
          <w:b/>
          <w:i/>
          <w:sz w:val="19"/>
        </w:rPr>
        <w:t>Table 2.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2721"/>
        <w:gridCol w:w="879"/>
        <w:gridCol w:w="879"/>
        <w:gridCol w:w="879"/>
        <w:gridCol w:w="935"/>
        <w:gridCol w:w="3254"/>
      </w:tblGrid>
      <w:tr>
        <w:trPr>
          <w:tblHeader w:val="true"/>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Case</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V</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R</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W</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class</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5.381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0.605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4.776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7.895x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Tokopedia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16.331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0.405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15.926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39.296x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pair</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21.520</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19.368</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9.000x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 and R</w:t>
            </w:r>
          </w:p>
        </w:tc>
      </w:tr>
      <w:tr>
        <w:trPr>
          <w:cantSplit/>
        </w:trPr>
        <w:tc>
          <w:tcPr>
            <w:tcW w:type="dxa" w:w="2721"/>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Selected platforms</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43.233</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3.162</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40.070</w:t>
            </w:r>
          </w:p>
        </w:tc>
        <w:tc>
          <w:tcPr>
            <w:tcW w:type="dxa" w:w="9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12.671x</w:t>
            </w:r>
          </w:p>
        </w:tc>
        <w:tc>
          <w:tcPr>
            <w:tcW w:type="dxa" w:w="3254"/>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Sum, not national total</w:t>
            </w:r>
          </w:p>
        </w:tc>
      </w:tr>
    </w:tbl>
    <w:p>
      <w:pPr>
        <w:keepNext/>
        <w:spacing w:line="240" w:lineRule="auto" w:after="30" w:before="60"/>
        <w:jc w:val="both"/>
      </w:pPr>
      <w:r>
        <w:rPr>
          <w:rFonts w:ascii="Times New Roman" w:hAnsi="Times New Roman" w:cs="Times New Roman" w:eastAsia="Times New Roman"/>
          <w:b/>
          <w:i/>
          <w:sz w:val="19"/>
        </w:rPr>
        <w:t>Table 2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90" w:after="30"/>
        <w:jc w:val="left"/>
      </w:pPr>
      <w:r>
        <w:rPr>
          <w:rFonts w:ascii="Times New Roman" w:hAnsi="Times New Roman" w:cs="Times New Roman" w:eastAsia="Times New Roman"/>
          <w:b/>
          <w:sz w:val="24"/>
        </w:rPr>
        <w:t>5.2 Longitudinal movement and mechanism</w:t>
      </w:r>
    </w:p>
    <w:p>
      <w:pPr>
        <w:keepNext/>
        <w:spacing w:line="240" w:lineRule="auto" w:after="30" w:before="60"/>
        <w:jc w:val="left"/>
      </w:pPr>
      <w:r>
        <w:rPr>
          <w:rFonts w:ascii="Times New Roman" w:hAnsi="Times New Roman" w:cs="Times New Roman" w:eastAsia="Times New Roman"/>
          <w:b/>
          <w:i/>
          <w:sz w:val="19"/>
        </w:rPr>
        <w:t>Table 3. Within-series annual divergence under two admission rules. Counts differ because evidence admission differs; both are reported rather than resolved into one headline.</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All-tier inventory</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Direct-candidate sensitivity</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Revenue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10</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Transaction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Opposite-sign 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Median absolute divergence</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42.02 pp</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42.94 pp</w:t>
            </w:r>
          </w:p>
        </w:tc>
      </w:tr>
    </w:tbl>
    <w:p>
      <w:pPr>
        <w:keepNext/>
        <w:spacing w:line="240" w:lineRule="auto" w:after="30" w:before="60"/>
        <w:jc w:val="both"/>
      </w:pPr>
      <w:r>
        <w:rPr>
          <w:rFonts w:ascii="Times New Roman" w:hAnsi="Times New Roman" w:cs="Times New Roman" w:eastAsia="Times New Roman"/>
          <w:b/>
          <w:i/>
          <w:sz w:val="19"/>
        </w:rPr>
        <w:t>Table 3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5230368" cy="2673835"/>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5230368" cy="2673835"/>
                    </a:xfrm>
                    <a:prstGeom prst="rect"/>
                  </pic:spPr>
                </pic:pic>
              </a:graphicData>
            </a:graphic>
          </wp:inline>
        </w:drawing>
      </w:r>
    </w:p>
    <w:p>
      <w:pPr>
        <w:keepNext/>
        <w:spacing w:before="40" w:after="30" w:line="240" w:lineRule="auto"/>
        <w:jc w:val="center"/>
      </w:pPr>
      <w:r>
        <w:rPr>
          <w:rFonts w:ascii="Times New Roman" w:hAnsi="Times New Roman" w:cs="Times New Roman" w:eastAsia="Times New Roman"/>
          <w:b/>
          <w:i/>
          <w:sz w:val="19"/>
        </w:rPr>
        <w:t>Figure 1. Ecosystem Ratio across the extended candidate series. Each line follows one disclosed or transparently reconstructed series through time; levels are shown by series and are not pooled across evidence tiers.</w:t>
      </w:r>
    </w:p>
    <w:p>
      <w:pPr>
        <w:keepLines/>
        <w:spacing w:before="90" w:after="80" w:line="247"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90" w:after="30"/>
        <w:jc w:val="left"/>
      </w:pPr>
      <w:r>
        <w:rPr>
          <w:rFonts w:ascii="Times New Roman" w:hAnsi="Times New Roman" w:cs="Times New Roman" w:eastAsia="Times New Roman"/>
          <w:b/>
          <w:sz w:val="24"/>
        </w:rPr>
        <w:t>5.3 Wider Indonesian activity and reporting</w:t>
      </w:r>
    </w:p>
    <w:p>
      <w:pPr>
        <w:spacing w:line="247" w:lineRule="auto" w:after="8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47" w:lineRule="auto" w:after="8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47" w:lineRule="auto" w:after="8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90" w:after="30"/>
        <w:jc w:val="left"/>
      </w:pPr>
      <w:r>
        <w:rPr>
          <w:rFonts w:ascii="Times New Roman" w:hAnsi="Times New Roman" w:cs="Times New Roman" w:eastAsia="Times New Roman"/>
          <w:b/>
          <w:sz w:val="24"/>
        </w:rPr>
        <w:t>5.4 Payment traces and administrative records</w:t>
      </w:r>
    </w:p>
    <w:p>
      <w:pPr>
        <w:spacing w:line="247" w:lineRule="auto" w:after="8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90" w:after="30" w:line="276" w:lineRule="auto"/>
        <w:jc w:val="left"/>
      </w:pPr>
      <w:r>
        <w:rPr>
          <w:rFonts w:ascii="Times New Roman" w:hAnsi="Times New Roman" w:cs="Times New Roman" w:eastAsia="Times New Roman"/>
          <w:b/>
          <w:sz w:val="24"/>
        </w:rPr>
        <w:t>5.5 What the preliminary evidence establishes</w:t>
      </w:r>
    </w:p>
    <w:p>
      <w:pPr>
        <w:spacing w:before="0" w:after="80" w:line="247"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140" w:after="80"/>
        <w:jc w:val="left"/>
      </w:pPr>
      <w:r>
        <w:rPr>
          <w:rFonts w:ascii="Times New Roman" w:hAnsi="Times New Roman" w:cs="Times New Roman" w:eastAsia="Times New Roman"/>
          <w:b/>
          <w:sz w:val="24"/>
        </w:rPr>
        <w:t>6. Why the Problem Matters</w:t>
      </w:r>
    </w:p>
    <w:p>
      <w:pPr>
        <w:spacing w:line="247" w:lineRule="auto" w:after="8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140" w:after="80"/>
        <w:jc w:val="left"/>
      </w:pPr>
      <w:r>
        <w:rPr>
          <w:rFonts w:ascii="Times New Roman" w:hAnsi="Times New Roman" w:cs="Times New Roman" w:eastAsia="Times New Roman"/>
          <w:b/>
          <w:sz w:val="24"/>
        </w:rPr>
        <w:t>7. Limitations and Proposal Decisions</w:t>
      </w:r>
    </w:p>
    <w:p>
      <w:pPr>
        <w:keepNext/>
        <w:spacing w:before="60" w:after="30" w:line="240" w:lineRule="auto"/>
        <w:jc w:val="left"/>
      </w:pPr>
      <w:r>
        <w:rPr>
          <w:rFonts w:ascii="Times New Roman" w:hAnsi="Times New Roman" w:cs="Times New Roman" w:eastAsia="Times New Roman"/>
          <w:b/>
          <w:i/>
          <w:sz w:val="19"/>
        </w:rPr>
        <w:t>Table 4. Inference boundaries for the proposal examination.</w:t>
      </w:r>
    </w:p>
    <w:tbl>
      <w:tblPr>
        <w:tblStyle w:val="TableGrid"/>
        <w:tblW w:type="auto" w:w="0"/>
        <w:jc w:val="center"/>
        <w:tblLayout w:type="fixed"/>
        <w:tblLook w:firstColumn="1" w:firstRow="1" w:lastColumn="0" w:lastRow="0" w:noHBand="0" w:noVBand="1" w:val="04A0"/>
      </w:tblPr>
      <w:tblGrid>
        <w:gridCol w:w="4300"/>
        <w:gridCol w:w="4431"/>
      </w:tblGrid>
      <w:tr>
        <w:trPr>
          <w:tblHeader w:val="true"/>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supports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Does not by itself establish</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W = V - R and E measure the transaction-revenue boundary.</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Participant profit, taxable income, unpaid tax, tax evasion or missing GDP.</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Evidence tiers identify how directly each series maps to Indonesia.</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That direct, scope-pending and conditional observations are interchangeable or should be pooled.</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Issuer revenue components can arithmetically reconcile selected divergences.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causal treatment effect of incentives, monetization or accounting choices.</w:t>
            </w:r>
          </w:p>
        </w:tc>
      </w:tr>
      <w:tr>
        <w:trPr>
          <w:cantSplit/>
        </w:trPr>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BPS and PMK document wider activity and reporting architecture.</w:t>
            </w:r>
          </w:p>
        </w:tc>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firm-level causal effect or a completed compliance / tax-revenue effect.</w:t>
            </w:r>
          </w:p>
        </w:tc>
      </w:tr>
    </w:tbl>
    <w:p>
      <w:pPr>
        <w:keepNext/>
        <w:spacing w:line="240" w:lineRule="auto" w:after="30" w:before="60"/>
        <w:jc w:val="both"/>
      </w:pPr>
      <w:r>
        <w:rPr>
          <w:rFonts w:ascii="Times New Roman" w:hAnsi="Times New Roman" w:cs="Times New Roman" w:eastAsia="Times New Roman"/>
          <w:b/>
          <w:i/>
          <w:sz w:val="19"/>
        </w:rPr>
        <w:t>Table 4 summarizes the inferential boundaries that govern the proposal. Measurement, accounting reconciliation and institutional interpretation are kept separate so that evidence from one layer is not used for claims belonging to another.</w:t>
      </w:r>
    </w:p>
    <w:p>
      <w:pPr>
        <w:spacing w:line="247" w:lineRule="auto" w:after="8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140" w:after="80"/>
        <w:jc w:val="left"/>
      </w:pPr>
      <w:r>
        <w:rPr>
          <w:rFonts w:ascii="Times New Roman" w:hAnsi="Times New Roman" w:cs="Times New Roman" w:eastAsia="Times New Roman"/>
          <w:b/>
          <w:sz w:val="24"/>
        </w:rPr>
        <w:t>8. Next Step</w:t>
      </w:r>
    </w:p>
    <w:p>
      <w:pPr>
        <w:spacing w:line="247" w:lineRule="auto" w:after="8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 Table 5 sets out that schedule; the empirical backend is already assembled, so what remains is sample admission, requested analysis, and manuscript construction.</w:t>
      </w:r>
    </w:p>
    <w:p>
      <w:pPr>
        <w:keepNext/>
        <w:spacing w:before="60" w:after="30" w:line="240" w:lineRule="auto"/>
        <w:jc w:val="left"/>
      </w:pPr>
      <w:r>
        <w:rPr>
          <w:rFonts w:ascii="Times New Roman" w:hAnsi="Times New Roman" w:cs="Times New Roman" w:eastAsia="Times New Roman"/>
          <w:b/>
          <w:i/>
          <w:sz w:val="19"/>
        </w:rPr>
        <w:t>Table 5. Planned work to the final defence.</w:t>
      </w:r>
    </w:p>
    <w:tbl>
      <w:tblPr>
        <w:tblStyle w:val="TableGrid"/>
        <w:tblW w:type="auto" w:w="0"/>
        <w:jc w:val="center"/>
        <w:tblLayout w:type="fixed"/>
        <w:tblLook w:firstColumn="1" w:firstRow="1" w:lastColumn="0" w:lastRow="0" w:noHBand="0" w:noVBand="1" w:val="04A0"/>
      </w:tblPr>
      <w:tblGrid>
        <w:gridCol w:w="2000"/>
        <w:gridCol w:w="6731"/>
      </w:tblGrid>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Period</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Planned work</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September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Advisor review of the empirical package; proposal oral examination; freeze the sample-admission rule and the checks the committee requests.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October-November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Complete requested reconciliations and source concordance; extend sensitivity to the approved tier boundary; freeze thesis tables and figures.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Before the final defence</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Rebuild the manuscript under the approved sample; retain supporting payment, ASEAN and global modules only where they advance the final argument.</w:t>
            </w:r>
          </w:p>
        </w:tc>
      </w:tr>
    </w:tbl>
    <w:p>
      <w:pPr>
        <w:spacing w:before="0" w:after="60" w:line="254" w:lineRule="auto"/>
        <w:jc w:val="both"/>
      </w:pPr>
      <w:r>
        <w:rPr>
          <w:rFonts w:ascii="Times New Roman" w:hAnsi="Times New Roman" w:cs="Times New Roman" w:eastAsia="Times New Roman"/>
          <w:sz w:val="24"/>
        </w:rPr>
      </w:r>
    </w:p>
    <w:p>
      <w:pPr>
        <w:pStyle w:val="Heading1"/>
        <w:keepNext/>
        <w:spacing w:before="140" w:after="80"/>
        <w:jc w:val="left"/>
      </w:pPr>
      <w:r>
        <w:rPr>
          <w:rFonts w:ascii="Times New Roman" w:hAnsi="Times New Roman" w:cs="Times New Roman" w:eastAsia="Times New Roman"/>
          <w:b/>
          <w:sz w:val="24"/>
        </w:rPr>
        <w:t>Appendix A - data sources by evidence class</w:t>
      </w:r>
    </w:p>
    <w:p>
      <w:pPr>
        <w:keepNext/>
        <w:spacing w:before="60" w:after="30" w:line="240" w:lineRule="auto"/>
        <w:jc w:val="left"/>
      </w:pPr>
      <w:r>
        <w:rPr>
          <w:rFonts w:ascii="Times New Roman" w:hAnsi="Times New Roman" w:cs="Times New Roman" w:eastAsia="Times New Roman"/>
          <w:b/>
          <w:i/>
          <w:sz w:val="19"/>
        </w:rPr>
        <w:t>Table A1. Source lineage by evidence class.</w:t>
      </w:r>
    </w:p>
    <w:p>
      <w:pPr>
        <w:keepNext/>
        <w:spacing w:line="240" w:lineRule="auto" w:after="30" w:before="60"/>
        <w:jc w:val="left"/>
      </w:pPr>
      <w:r>
        <w:rPr>
          <w:rFonts w:ascii="Times New Roman" w:hAnsi="Times New Roman" w:cs="Times New Roman" w:eastAsia="Times New Roman"/>
          <w:b/>
          <w:i/>
          <w:sz w:val="19"/>
        </w:rPr>
        <w:t>Table A1. Data sources by evidence tier.</w:t>
      </w:r>
    </w:p>
    <w:tbl>
      <w:tblPr>
        <w:tblStyle w:val="TableGrid"/>
        <w:tblW w:type="auto" w:w="0"/>
        <w:jc w:val="center"/>
        <w:tblLayout w:type="fixed"/>
        <w:tblLook w:firstColumn="1" w:firstRow="1" w:lastColumn="0" w:lastRow="0" w:noHBand="0" w:noVBand="1" w:val="04A0"/>
      </w:tblPr>
      <w:tblGrid>
        <w:gridCol w:w="2050"/>
        <w:gridCol w:w="1900"/>
        <w:gridCol w:w="2400"/>
        <w:gridCol w:w="2381"/>
      </w:tblGrid>
      <w:tr>
        <w:trPr>
          <w:tblHeader w:val="true"/>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Tier</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V</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R</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Indonesia-aligned</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e-commerce segment metrics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segment note</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Blibli 3P Retail</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Global Digital Niaga prospectus and results releases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Group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annual and sustainability reports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disclosed Indonesia revenue and Group monetization rate (Form 20-F)</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Momentum Works Southeast Asia e-commerce estimate (third-party)</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Sea Limited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National statistics</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BPS-Statistics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E-Commerce Statistics 2023, 2024; BPS directorate presentation</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Regulatory</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PMK 37/2025; DJP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Ministry of Finance of the Republic of Indonesia</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bl>
    <w:p>
      <w:pPr>
        <w:keepLines/>
        <w:spacing w:line="247" w:lineRule="auto" w:after="80" w:before="10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spacing w:before="120" w:after="8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