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Invisible</w:t>
      </w:r>
      <w:r>
        <w:t xml:space="preserve"> </w:t>
      </w:r>
      <w:r>
        <w:t xml:space="preserve">Ledger:</w:t>
      </w:r>
      <w:r>
        <w:t xml:space="preserve"> </w:t>
      </w:r>
      <w:r>
        <w:t xml:space="preserve">Quantifying</w:t>
      </w:r>
      <w:r>
        <w:t xml:space="preserve"> </w:t>
      </w:r>
      <w:r>
        <w:t xml:space="preserve">the</w:t>
      </w:r>
      <w:r>
        <w:t xml:space="preserve"> </w:t>
      </w:r>
      <w:r>
        <w:t xml:space="preserve">Invisible</w:t>
      </w:r>
      <w:r>
        <w:t xml:space="preserve"> </w:t>
      </w:r>
      <w:r>
        <w:t xml:space="preserve">Wedge</w:t>
      </w:r>
      <w:r>
        <w:t xml:space="preserve"> </w:t>
      </w:r>
      <w:r>
        <w:t xml:space="preserve">in</w:t>
      </w:r>
      <w:r>
        <w:t xml:space="preserve"> </w:t>
      </w:r>
      <w:r>
        <w:t xml:space="preserve">Indonesia’s</w:t>
      </w:r>
      <w:r>
        <w:t xml:space="preserve"> </w:t>
      </w:r>
      <w:r>
        <w:t xml:space="preserve">Platform</w:t>
      </w:r>
      <w:r>
        <w:t xml:space="preserve"> </w:t>
      </w:r>
      <w:r>
        <w:t xml:space="preserve">Economy</w:t>
      </w:r>
    </w:p>
    <w:p>
      <w:pPr>
        <w:pStyle w:val="Subtitle"/>
      </w:pPr>
      <w:r>
        <w:t xml:space="preserve">Master’s</w:t>
      </w:r>
      <w:r>
        <w:t xml:space="preserve"> </w:t>
      </w:r>
      <w:r>
        <w:t xml:space="preserve">thesis,</w:t>
      </w:r>
      <w:r>
        <w:t xml:space="preserve"> </w:t>
      </w:r>
      <w:r>
        <w:t xml:space="preserve">condensed</w:t>
      </w:r>
      <w:r>
        <w:t xml:space="preserve"> </w:t>
      </w:r>
      <w:r>
        <w:t xml:space="preserve">version</w:t>
      </w:r>
    </w:p>
    <w:bookmarkStart w:id="20" w:name="abstract"/>
    <w:p>
      <w:pPr>
        <w:pStyle w:val="Heading1"/>
      </w:pPr>
      <w:r>
        <w:t xml:space="preserve">Abstract</w:t>
      </w:r>
    </w:p>
    <w:p>
      <w:pPr>
        <w:pStyle w:val="FirstParagraph"/>
      </w:pPr>
      <w:r>
        <w:t xml:space="preserve">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a national survey of online sellers and national figures.</w:t>
      </w:r>
    </w:p>
    <w:p>
      <w:pPr>
        <w:pStyle w:val="BodyText"/>
      </w:pPr>
      <w:r>
        <w:t xml:space="preserve">In 2023, three major platforms kept about US$3 billion of the US$43 billion that passed through them. Indonesian and regional platforms changed the share of each sale they kept about three times as much as 27 platforms abroad, mostly between 2022 and 2024. So the hypothesis that revenue grows in proportion to the commerce is rejected.</w:t>
      </w:r>
    </w:p>
    <w:p>
      <w:pPr>
        <w:pStyle w:val="BodyText"/>
      </w:pPr>
      <w:r>
        <w:t xml:space="preserve">The count of online sellers rose by 27 percent in 2023. A test registered in advance finds too few new sellers to produce that rise, and a later, exploratory count shows that first-time entry explains only about half of it. If the rest is read as wider survey coverage, the finding that more businesses drive growth sits on its threshold.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bookmarkEnd w:id="20"/>
    <w:bookmarkStart w:id="24" w:name="chapter-1.-introduction"/>
    <w:p>
      <w:pPr>
        <w:pStyle w:val="Heading1"/>
      </w:pPr>
      <w:r>
        <w:t xml:space="preserve">Chapter 1. Introduction</w:t>
      </w:r>
    </w:p>
    <w:p>
      <w:pPr>
        <w:pStyle w:val="FirstParagraph"/>
      </w:pPr>
      <w:r>
        <w:t xml:space="preserve">Digital commerce has changed how goods and services are bought and sold. A growing part of it passes through platforms, such as online marketplaces and ride and delivery apps. Investors value platforms largely on their reported growth, and governments use the same figures to size their digital economies and to tax online sellers. The trade is large: businesses in 43 economies sold almost US$27 trillion online in 2022, by the United Nations’ estimate (UNCTAD 2024).</w:t>
      </w:r>
    </w:p>
    <w:p>
      <w:pPr>
        <w:pStyle w:val="BodyText"/>
      </w:pPr>
      <w:r>
        <w:t xml:space="preserve">Investors and governments each treat a figure as a stand-in for the commerce behind it, and a stand-in follows the commerce only while the link between them holds. A platform keeps just part of each sale, as commissions and fees, and the rest is the seller’s receipts, the driver’s fare or another amount that passes through. The share a platform keeps is not fixed, so revenue can grow even when the commerce it carries falls. National figures face a similar problem, because a survey can reach more, or different, businesses from one year to the next.</w:t>
      </w:r>
    </w:p>
    <w:p>
      <w:pPr>
        <w:pStyle w:val="BodyText"/>
      </w:pPr>
      <w:r>
        <w:rPr>
          <w:bCs/>
          <w:b/>
        </w:rPr>
        <w:t xml:space="preserve">In 2023, Indonesia’s figures moved away from the commerce they stand for.</w:t>
      </w:r>
      <w:r>
        <w:t xml:space="preserve"> </w:t>
      </w:r>
      <w:r>
        <w:t xml:space="preserve">Tokopedia, an Indonesian online marketplace, saw its net revenue rise by 53 percent. Its transaction value, the value of what was bought through the platform, fell by 9 percent (GoTo Gojek Tokopedia 2024a, 2024b). Nationally, the statistics office, BPS, reported that online sales rose by about 41 percent (BPS 2025a), while the central bank’s measure of online shopping fell by about 5 percent (Bank Indonesia 2023; KabarBursa 2024).</w:t>
      </w:r>
    </w:p>
    <w:p>
      <w:pPr>
        <w:pStyle w:val="BodyText"/>
      </w:pPr>
      <w:r>
        <w:t xml:space="preserve">At Tokopedia, about 60 percent of the extra revenue came from smaller discounts and incentives, which a platform pays out of its own earnings (GoTo Gojek Tokopedia 2024b). So the share the platform kept had changed, not only the commerce.</w:t>
      </w:r>
      <w:r>
        <w:t xml:space="preserve"> </w:t>
      </w:r>
      <w:r>
        <w:rPr>
          <w:bCs/>
          <w:b/>
        </w:rPr>
        <w:t xml:space="preserve">This thesis calls what a revenue-only measure leaves out the invisible wedge.</w:t>
      </w:r>
      <w:r>
        <w:t xml:space="preserve"> </w:t>
      </w:r>
      <w:r>
        <w:t xml:space="preserve">It does not mean activity that goes unrecorded.</w:t>
      </w:r>
    </w:p>
    <w:p>
      <w:pPr>
        <w:pStyle w:val="BodyText"/>
      </w:pPr>
      <w:r>
        <w:t xml:space="preserve">Research explains why platform revenue and national sales figures can differ.</w:t>
      </w:r>
      <w:r>
        <w:t xml:space="preserve"> </w:t>
      </w:r>
      <w:r>
        <w:rPr>
          <w:bCs/>
          <w:b/>
        </w:rPr>
        <w:t xml:space="preserve">It does not say when a figure stops moving with the activity it represents, or by how much.</w:t>
      </w:r>
      <w:r>
        <w:t xml:space="preserve"> </w:t>
      </w:r>
      <w:r>
        <w:t xml:space="preserve">Answering that takes a platform’s revenue and transaction value over several years, and a national count of online sellers whose underlying answers can be examined.</w:t>
      </w:r>
    </w:p>
    <w:p>
      <w:pPr>
        <w:pStyle w:val="BodyText"/>
      </w:pPr>
      <w:r>
        <w:t xml:space="preserve">Indonesia allows the question to be tested. Several platforms report revenue and transaction value each year, and BPS asks online sellers when they began and how their sales changed. The two sources already differ on scale: for 2024, BPS gives about US$81 billion for online sales and the central bank about US$31 billion (BPS 2025b; Bank Indonesia 2025). New rules on platform commissions, discounts and tax act on these figures.</w:t>
      </w:r>
    </w:p>
    <w:p>
      <w:pPr>
        <w:pStyle w:val="BodyText"/>
      </w:pPr>
      <w:r>
        <w:t xml:space="preserve">Most online sellers work through messaging and social media, outside the marketplaces, so platform and survey figures are likely to disagree. In 2023, traders at Tanah Abang, a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The events of 2023 suggest that they did.</w:t>
      </w:r>
    </w:p>
    <w:bookmarkStart w:id="21" w:name="research-question-and-objectives"/>
    <w:p>
      <w:pPr>
        <w:pStyle w:val="Heading2"/>
      </w:pPr>
      <w:r>
        <w:t xml:space="preserve">1.1 Research question and objectives</w:t>
      </w:r>
    </w:p>
    <w:p>
      <w:pPr>
        <w:pStyle w:val="FirstParagraph"/>
      </w:pPr>
      <w:r>
        <w:t xml:space="preserve">This thesis sets out to change how the digital economy is measured. Most online commerce is missing from the platform figures on which companies are valued and sellers are taxed, and millions of the people who sell online are outside those figures altogether. Decisions worth trillions of dollars rest on numbers that show a fraction of the activity they are taken to describe. The ambition of this thesis is to bring the rest into view: to show how much of the online economy the current figures miss, where it is, and who is in it.</w:t>
      </w:r>
    </w:p>
    <w:p>
      <w:pPr>
        <w:pStyle w:val="BodyText"/>
      </w:pPr>
      <w:r>
        <w:rPr>
          <w:bCs/>
          <w:b/>
        </w:rPr>
        <w:t xml:space="preserve">Measuring what the current figures miss begins with one question: how much economic activity remains invisible when digital platforms are measured through their reported revenue, and when does that choice change the conclusion about growth?</w:t>
      </w:r>
      <w:r>
        <w:t xml:space="preserve"> </w:t>
      </w:r>
      <w:r>
        <w:t xml:space="preserve">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w:t>
      </w:r>
      <w:r>
        <w:t xml:space="preserve"> </w:t>
      </w:r>
      <w:r>
        <w:rPr>
          <w:bCs/>
          <w:b/>
        </w:rPr>
        <w:t xml:space="preserve">H1 says that a platform’s revenue grows in proportion to its transaction value.</w:t>
      </w:r>
      <w:r>
        <w:t xml:space="preserve"> </w:t>
      </w:r>
      <w:r>
        <w:rPr>
          <w:bCs/>
          <w:b/>
        </w:rPr>
        <w:t xml:space="preserve">H2 says that national e-commerce growth comes mainly from more businesses selling online, and less from higher sales per business.</w:t>
      </w:r>
      <w:r>
        <w:t xml:space="preserve"> </w:t>
      </w:r>
      <w:r>
        <w:t xml:space="preserve">An entry test then asks whether a rise in the count of online sellers comes from sellers entering for the first time. A further analysis estimates how many sellers a rule built on platform records can reach.</w:t>
      </w:r>
    </w:p>
    <w:p>
      <w:pPr>
        <w:pStyle w:val="BodyText"/>
      </w:pPr>
      <w:r>
        <w:rPr>
          <w:bCs/>
          <w:b/>
        </w:rPr>
        <w:t xml:space="preserve">In brief: revenue shows only a small part of the commerce platforms carry, and marketplaces carry only about a fifth of online sales value in BPS’s survey.</w:t>
      </w:r>
      <w:r>
        <w:t xml:space="preserve"> </w:t>
      </w:r>
      <w:r>
        <w:t xml:space="preserve">In Indonesia, platform revenue grew faster than the commerce behind it, mainly because platforms kept a larger share of each sale, not because buyers bought more. National growth came mainly from more sellers, as H2 states.</w:t>
      </w:r>
      <w:r>
        <w:t xml:space="preserve"> </w:t>
      </w:r>
      <w:r>
        <w:rPr>
          <w:bCs/>
          <w:b/>
        </w:rPr>
        <w:t xml:space="preserve">But about half of the 2023 rise in the count of sellers is not explained by first-time entry.</w:t>
      </w:r>
    </w:p>
    <w:bookmarkEnd w:id="21"/>
    <w:bookmarkStart w:id="22" w:name="contributions"/>
    <w:p>
      <w:pPr>
        <w:pStyle w:val="Heading2"/>
      </w:pPr>
      <w:r>
        <w:t xml:space="preserve">1.2 Contributions</w:t>
      </w:r>
    </w:p>
    <w:p>
      <w:pPr>
        <w:pStyle w:val="FirstParagraph"/>
      </w:pPr>
      <w:r>
        <w:t xml:space="preserve">The thesis makes three contributions, one for each group that relies on these figures. They are investors, statistics offices, and the authorities that tax and regulate online selling.</w:t>
      </w:r>
    </w:p>
    <w:p>
      <w:pPr>
        <w:pStyle w:val="BodyText"/>
      </w:pPr>
      <w:r>
        <w:t xml:space="preserve">For investors, the thesis shows how small a part of the commerce a platform’s revenue records. That matters for value, because the market values of internet firms track revenue (Bowen, Davis and Rajgopal 2002). It matters for growth too: the larger the wedge is next to revenue, the more a small change in fees or discounts moves revenue growth. The thesis traces why revenue moved, which lets an investor check whether reported growth came from more commerce or from a larger share of each sale. A prediction registered in advance then tests how market value moves with revenue and with commerce.</w:t>
      </w:r>
    </w:p>
    <w:p>
      <w:pPr>
        <w:pStyle w:val="BodyText"/>
      </w:pPr>
      <w:r>
        <w:t xml:space="preserve">For statistics offices, the thesis shows where the commerce outside the platforms sits and tests what a rise in the count of online sellers represents. Most online sellers are small businesses that keep no financial statements. Each reports the year it began selling online, so the survey shows how much of a rise is first-time entry. The test was specified before the survey files were opened.</w:t>
      </w:r>
    </w:p>
    <w:p>
      <w:pPr>
        <w:pStyle w:val="BodyText"/>
      </w:pPr>
      <w:r>
        <w:t xml:space="preserve">For tax authorities and regulators, the thesis measures how far rules based on platform records reach. Such a rule reaches only the sellers who use platforms, so where most sellers work outside them, it covers a minority. The thesis also sets each recent rule, from the cap on ride-hailing commissions to the limit on discounts, against the figure it acts on. Several other countries have adopted similar rules, so the same question applies there.</w:t>
      </w:r>
    </w:p>
    <w:p>
      <w:pPr>
        <w:pStyle w:val="BodyText"/>
      </w:pPr>
      <w:r>
        <w:t xml:space="preserve">Earlier work has already compared platform transaction values with national e-commerce statistics. This thesis adds connected evidence for one country. It draws on the platforms’ accounts, the sellers’ own survey responses and the rules that act on both.</w:t>
      </w:r>
    </w:p>
    <w:bookmarkEnd w:id="22"/>
    <w:bookmarkStart w:id="23"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3"/>
    <w:bookmarkEnd w:id="24"/>
    <w:bookmarkStart w:id="29"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w:t>
      </w:r>
      <w:r>
        <w:t xml:space="preserve"> </w:t>
      </w:r>
      <w:r>
        <w:rPr>
          <w:bCs/>
          <w:b/>
        </w:rPr>
        <w:t xml:space="preserve">Each body of research explains why the figures differ, but none measures how far they differ in practice.</w:t>
      </w:r>
      <w:r>
        <w:t xml:space="preserve"> </w:t>
      </w:r>
      <w:r>
        <w:t xml:space="preserve">Section 2.4 sets out this research gap.</w:t>
      </w:r>
    </w:p>
    <w:bookmarkStart w:id="25"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w:t>
      </w:r>
      <w:r>
        <w:t xml:space="preserve"> </w:t>
      </w:r>
      <w:r>
        <w:rPr>
          <w:bCs/>
          <w:b/>
        </w:rPr>
        <w:t xml:space="preserve">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w:t>
      </w:r>
      <w:r>
        <w:t xml:space="preserve"> </w:t>
      </w:r>
      <w:r>
        <w:rPr>
          <w:bCs/>
          <w:b/>
        </w:rPr>
        <w:t xml:space="preserve">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w:t>
      </w:r>
    </w:p>
    <w:p>
      <w:pPr>
        <w:pStyle w:val="BodyText"/>
      </w:pPr>
      <w:r>
        <w:t xml:space="preserve">Transaction value also needs care, because each company defines it for itself. A figure of this kind loses information when its definition changes (Givoly, Li, Lourie and Nekrasov 2019).</w:t>
      </w:r>
      <w:r>
        <w:t xml:space="preserve"> </w:t>
      </w:r>
      <w:r>
        <w:rPr>
          <w:bCs/>
          <w:b/>
        </w:rPr>
        <w:t xml:space="preserve">Testing whether revenue stays a fair guide needs the reported revenue and transaction value of the same platforms, over several years and on one definition.</w:t>
      </w:r>
      <w:r>
        <w:t xml:space="preserve"> </w:t>
      </w:r>
      <w:r>
        <w:t xml:space="preserve">The studies reviewed here do not make that comparison, and none covers Indonesian platforms.</w:t>
      </w:r>
    </w:p>
    <w:bookmarkEnd w:id="25"/>
    <w:bookmarkStart w:id="26"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w:t>
      </w:r>
    </w:p>
    <w:p>
      <w:pPr>
        <w:pStyle w:val="BodyText"/>
      </w:pPr>
      <w:r>
        <w:t xml:space="preserve">Research on measurement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The test of one figure against another has been applied to national income and night-time lights.</w:t>
      </w:r>
      <w:r>
        <w:t xml:space="preserve"> </w:t>
      </w:r>
      <w:r>
        <w:rPr>
          <w:bCs/>
          <w:b/>
        </w:rPr>
        <w:t xml:space="preserve">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w:t>
      </w:r>
      <w:r>
        <w:t xml:space="preserve"> </w:t>
      </w:r>
      <w:r>
        <w:rPr>
          <w:bCs/>
          <w:b/>
        </w:rPr>
        <w:t xml:space="preserve">Published totals cannot show whether a rise in the count reflects new sellers or a wider survey, because they do not record when each seller began.</w:t>
      </w:r>
      <w:r>
        <w:t xml:space="preserve"> </w:t>
      </w:r>
      <w:r>
        <w:t xml:space="preserve">That question needs the answers of the sellers themselves.</w:t>
      </w:r>
    </w:p>
    <w:bookmarkEnd w:id="26"/>
    <w:bookmarkStart w:id="27"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w:t>
      </w:r>
      <w:r>
        <w:t xml:space="preserve"> </w:t>
      </w:r>
      <w:r>
        <w:rPr>
          <w:bCs/>
          <w:b/>
        </w:rPr>
        <w:t xml:space="preserve">How far a rule built on platform records can reach depends on how much selling happens on platforms.</w:t>
      </w:r>
      <w:r>
        <w:t xml:space="preserve"> </w:t>
      </w:r>
      <w:r>
        <w:t xml:space="preserve">The studies reviewed here do not estimate that share for Indonesia.</w:t>
      </w:r>
    </w:p>
    <w:bookmarkEnd w:id="27"/>
    <w:bookmarkStart w:id="28" w:name="research-gap"/>
    <w:p>
      <w:pPr>
        <w:pStyle w:val="Heading2"/>
      </w:pPr>
      <w:r>
        <w:t xml:space="preserve">2.4 Research gap</w:t>
      </w:r>
    </w:p>
    <w:p>
      <w:pPr>
        <w:pStyle w:val="FirstParagraph"/>
      </w:pPr>
      <w:r>
        <w:t xml:space="preserve">The shortfalls identified in Sections 2.1 to 2.3 define the research gap. Table 2.1 sets them side by side.</w:t>
      </w:r>
    </w:p>
    <w:p>
      <w:pPr>
        <w:pStyle w:val="BodyText"/>
        <w:keepNext/>
        <w:spacing w:before="140" w:after="56" w:lineRule="exact" w:line="246"/>
        <w:jc w:val="left"/>
      </w:pPr>
      <w:r>
        <w:rPr>
          <w:b/>
          <w:sz w:val="17"/>
        </w:rPr>
        <w:t>Table 2.1.</w:t>
      </w:r>
      <w:r>
        <w:rPr>
          <w:b w:val="0"/>
          <w:sz w:val="17"/>
        </w:rPr>
        <w:t xml:space="preserve"> What the literature establishes and where it stops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1618"/>
        <w:gridCol w:w="2860"/>
        <w:gridCol w:w="2860"/>
        <w:gridCol w:w="2860"/>
      </w:tblGrid>
      <w:tr>
        <w:trPr>
          <w:tblHeader w:val="true"/>
          <w:cantSplit/>
          <w:tblHeader/>
        </w:trPr>
        <w:tc>
          <w:tcPr>
            <w:tcW w:w="1618" w:type="dxa"/>
            <w:tcBorders>
              <w:bottom w:val="single" w:sz="4" w:space="0" w:color="111111"/>
            </w:tcBorders>
          </w:tcPr>
          <w:p>
            <w:pPr>
              <w:pStyle w:val="Compact"/>
              <w:spacing w:before="0" w:after="0" w:lineRule="exact" w:line="200"/>
              <w:jc w:val="left"/>
            </w:pPr>
            <w:r>
              <w:rPr>
                <w:b/>
                <w:sz w:val="16"/>
              </w:rPr>
              <w:t xml:space="preserve">Section</w:t>
            </w:r>
          </w:p>
        </w:tc>
        <w:tc>
          <w:tcPr>
            <w:tcW w:w="2860" w:type="dxa"/>
            <w:tcBorders>
              <w:bottom w:val="single" w:sz="4" w:space="0" w:color="111111"/>
            </w:tcBorders>
          </w:tcPr>
          <w:p>
            <w:pPr>
              <w:pStyle w:val="Compact"/>
              <w:spacing w:before="0" w:after="0" w:lineRule="exact" w:line="200"/>
              <w:jc w:val="left"/>
            </w:pPr>
            <w:r>
              <w:rPr>
                <w:b/>
                <w:sz w:val="16"/>
              </w:rPr>
              <w:t xml:space="preserve">What it establishes</w:t>
            </w:r>
          </w:p>
        </w:tc>
        <w:tc>
          <w:tcPr>
            <w:tcW w:w="2860" w:type="dxa"/>
            <w:tcBorders>
              <w:bottom w:val="single" w:sz="4" w:space="0" w:color="111111"/>
            </w:tcBorders>
          </w:tcPr>
          <w:p>
            <w:pPr>
              <w:pStyle w:val="Compact"/>
              <w:spacing w:before="0" w:after="0" w:lineRule="exact" w:line="200"/>
              <w:jc w:val="left"/>
            </w:pPr>
            <w:r>
              <w:rPr>
                <w:b/>
                <w:sz w:val="16"/>
              </w:rPr>
              <w:t xml:space="preserve">Main sources</w:t>
            </w:r>
          </w:p>
        </w:tc>
        <w:tc>
          <w:tcPr>
            <w:tcW w:w="2860" w:type="dxa"/>
            <w:tcBorders>
              <w:bottom w:val="single" w:sz="4" w:space="0" w:color="111111"/>
            </w:tcBorders>
          </w:tcPr>
          <w:p>
            <w:pPr>
              <w:pStyle w:val="Compact"/>
              <w:spacing w:before="0" w:after="0" w:lineRule="exact" w:line="200"/>
              <w:jc w:val="left"/>
            </w:pPr>
            <w:r>
              <w:rPr>
                <w:b/>
                <w:sz w:val="16"/>
              </w:rPr>
              <w:t xml:space="preserve">Where it stops</w:t>
            </w:r>
          </w:p>
        </w:tc>
      </w:tr>
      <w:tr>
        <w:trPr>
          <w:cantSplit/>
        </w:trPr>
        <w:tc>
          <w:tcPr>
            <w:tcW w:w="1618" w:type="dxa"/>
          </w:tcPr>
          <w:p>
            <w:pPr>
              <w:pStyle w:val="Compact"/>
              <w:spacing w:before="0" w:after="0" w:lineRule="exact" w:line="200"/>
              <w:jc w:val="left"/>
            </w:pPr>
            <w:r>
              <w:rPr>
                <w:sz w:val="16"/>
              </w:rPr>
              <w:t xml:space="preserve">2.1 Platform economics and accounting</w:t>
            </w:r>
          </w:p>
        </w:tc>
        <w:tc>
          <w:tcPr>
            <w:tcW w:w="2860" w:type="dxa"/>
          </w:tcPr>
          <w:p>
            <w:pPr>
              <w:pStyle w:val="Compact"/>
              <w:spacing w:before="0" w:after="0" w:lineRule="exact" w:line="200"/>
              <w:jc w:val="left"/>
            </w:pPr>
            <w:r>
              <w:rPr>
                <w:sz w:val="16"/>
              </w:rPr>
              <w:t xml:space="preserve">Revenue is a fee that is a small share of the commerce, and the share can move with pricing, discounts and accounting</w:t>
            </w:r>
          </w:p>
        </w:tc>
        <w:tc>
          <w:tcPr>
            <w:tcW w:w="2860" w:type="dxa"/>
          </w:tcPr>
          <w:p>
            <w:pPr>
              <w:pStyle w:val="Compact"/>
              <w:spacing w:before="0" w:after="0" w:lineRule="exact" w:line="200"/>
              <w:jc w:val="left"/>
            </w:pPr>
            <w:r>
              <w:rPr>
                <w:sz w:val="16"/>
              </w:rPr>
              <w:t xml:space="preserve">Rochet and Tirole 2003; Armstrong 2006; IASB 2014</w:t>
            </w:r>
          </w:p>
        </w:tc>
        <w:tc>
          <w:tcPr>
            <w:tcW w:w="2860" w:type="dxa"/>
          </w:tcPr>
          <w:p>
            <w:pPr>
              <w:pStyle w:val="Compact"/>
              <w:spacing w:before="0" w:after="0" w:lineRule="exact" w:line="200"/>
              <w:jc w:val="left"/>
            </w:pPr>
            <w:r>
              <w:rPr>
                <w:sz w:val="16"/>
              </w:rPr>
              <w:t xml:space="preserve">Whether reported revenue stays a fair guide to reported transaction value has not been tested, and not for Indonesian platforms</w:t>
            </w:r>
          </w:p>
        </w:tc>
      </w:tr>
      <w:tr>
        <w:trPr>
          <w:cantSplit/>
        </w:trPr>
        <w:tc>
          <w:tcPr>
            <w:tcW w:w="1618" w:type="dxa"/>
          </w:tcPr>
          <w:p>
            <w:pPr>
              <w:pStyle w:val="Compact"/>
              <w:spacing w:before="0" w:after="0" w:lineRule="exact" w:line="200"/>
              <w:jc w:val="left"/>
            </w:pPr>
            <w:r>
              <w:rPr>
                <w:sz w:val="16"/>
              </w:rPr>
              <w:t xml:space="preserve">2.2 Official statistics and surveys</w:t>
            </w:r>
          </w:p>
        </w:tc>
        <w:tc>
          <w:tcPr>
            <w:tcW w:w="2860" w:type="dxa"/>
          </w:tcPr>
          <w:p>
            <w:pPr>
              <w:pStyle w:val="Compact"/>
              <w:spacing w:before="0" w:after="0" w:lineRule="exact" w:line="200"/>
              <w:jc w:val="left"/>
            </w:pPr>
            <w:r>
              <w:rPr>
                <w:sz w:val="16"/>
              </w:rPr>
              <w:t xml:space="preserve">Platform commerce and platform revenue differ; sources differ; a count of sellers can break</w:t>
            </w:r>
          </w:p>
        </w:tc>
        <w:tc>
          <w:tcPr>
            <w:tcW w:w="2860" w:type="dxa"/>
          </w:tcPr>
          <w:p>
            <w:pPr>
              <w:pStyle w:val="Compact"/>
              <w:spacing w:before="0" w:after="0" w:lineRule="exact" w:line="200"/>
              <w:jc w:val="left"/>
            </w:pPr>
            <w:r>
              <w:rPr>
                <w:sz w:val="16"/>
              </w:rPr>
              <w:t xml:space="preserve">Ahmad and Schreyer 2016; Henderson et al. 2012; van den Brakel et al. 2008</w:t>
            </w:r>
          </w:p>
        </w:tc>
        <w:tc>
          <w:tcPr>
            <w:tcW w:w="2860" w:type="dxa"/>
          </w:tcPr>
          <w:p>
            <w:pPr>
              <w:pStyle w:val="Compact"/>
              <w:spacing w:before="0" w:after="0" w:lineRule="exact" w:line="200"/>
              <w:jc w:val="left"/>
            </w:pPr>
            <w:r>
              <w:rPr>
                <w:sz w:val="16"/>
              </w:rPr>
              <w:t xml:space="preserve">Platform and national figures have not been followed through time in one country, and published totals cannot show what a rise in the count of sellers contains</w:t>
            </w:r>
          </w:p>
        </w:tc>
      </w:tr>
      <w:tr>
        <w:trPr>
          <w:cantSplit/>
        </w:trPr>
        <w:tc>
          <w:tcPr>
            <w:tcW w:w="1618" w:type="dxa"/>
          </w:tcPr>
          <w:p>
            <w:pPr>
              <w:pStyle w:val="Compact"/>
              <w:spacing w:before="0" w:after="0" w:lineRule="exact" w:line="200"/>
              <w:jc w:val="left"/>
            </w:pPr>
            <w:r>
              <w:rPr>
                <w:sz w:val="16"/>
              </w:rPr>
              <w:t xml:space="preserve">2.3 Third-party information</w:t>
            </w:r>
          </w:p>
        </w:tc>
        <w:tc>
          <w:tcPr>
            <w:tcW w:w="2860" w:type="dxa"/>
          </w:tcPr>
          <w:p>
            <w:pPr>
              <w:pStyle w:val="Compact"/>
              <w:spacing w:before="0" w:after="0" w:lineRule="exact" w:line="200"/>
              <w:jc w:val="left"/>
            </w:pPr>
            <w:r>
              <w:rPr>
                <w:sz w:val="16"/>
              </w:rPr>
              <w:t xml:space="preserve">Platform records show sales, and third-party reports improve compliance</w:t>
            </w:r>
          </w:p>
        </w:tc>
        <w:tc>
          <w:tcPr>
            <w:tcW w:w="2860" w:type="dxa"/>
          </w:tcPr>
          <w:p>
            <w:pPr>
              <w:pStyle w:val="Compact"/>
              <w:spacing w:before="0" w:after="0" w:lineRule="exact" w:line="200"/>
              <w:jc w:val="left"/>
            </w:pPr>
            <w:r>
              <w:rPr>
                <w:sz w:val="16"/>
              </w:rPr>
              <w:t xml:space="preserve">Kleven et al. 2011; OECD 2020</w:t>
            </w:r>
          </w:p>
        </w:tc>
        <w:tc>
          <w:tcPr>
            <w:tcW w:w="2860" w:type="dxa"/>
          </w:tcPr>
          <w:p>
            <w:pPr>
              <w:pStyle w:val="Compact"/>
              <w:spacing w:before="0" w:after="0" w:lineRule="exact" w:line="200"/>
              <w:jc w:val="left"/>
            </w:pPr>
            <w:r>
              <w:rPr>
                <w:sz w:val="16"/>
              </w:rPr>
              <w:t xml:space="preserve">How much of online selling platform records cover has not been estimated for Indonesia</w:t>
            </w:r>
          </w:p>
        </w:tc>
      </w:tr>
    </w:tbl>
    <w:p>
      <w:pPr>
        <w:pStyle w:val="BodyText"/>
        <w:spacing w:before="114"/>
      </w:pPr>
      <w:r>
        <w:t xml:space="preserve">Each shortfall becomes one question for the thesis, and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it does not test whether revenue stays a fair guide to the commerce.</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it does not test whether they grow for the same reasons, or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not how much of online selling they cover.</w:t>
      </w:r>
    </w:p>
    <w:bookmarkEnd w:id="28"/>
    <w:bookmarkEnd w:id="29"/>
    <w:bookmarkStart w:id="39"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w:t>
      </w:r>
      <w:r>
        <w:t xml:space="preserve"> </w:t>
      </w:r>
      <w:r>
        <w:rPr>
          <w:bCs/>
          <w:b/>
        </w:rPr>
        <w:t xml:space="preserve">Revenue sits inside platform commerce, because a platform keeps only part of each sale.</w:t>
      </w:r>
      <w:r>
        <w:t xml:space="preserve"> </w:t>
      </w:r>
      <w:r>
        <w:rPr>
          <w:bCs/>
          <w:b/>
        </w:rPr>
        <w:t xml:space="preserve">Platform commerce sits inside all online commerce, because many sellers trade outside platforms.</w:t>
      </w:r>
      <w:r>
        <w:t xml:space="preserve"> </w:t>
      </w:r>
      <w:r>
        <w:t xml:space="preserve">The first hypothesis, H1, tests the inner link between revenue and platform commerce. The second, H2, tests the outer link between platform commerce and national online commerce.</w:t>
      </w:r>
    </w:p>
    <w:p>
      <w:pPr>
        <w:pStyle w:val="BodyText"/>
        <w:keepNext/>
        <w:spacing w:before="114" w:after="0" w:line="240" w:lineRule="auto"/>
        <w:jc w:val="center"/>
      </w:pPr>
      <w:r>
        <w:drawing>
          <wp:inline>
            <wp:extent cx="5537082" cy="3024000"/>
            <wp:effectExtent b="0" l="0" r="0" t="0"/>
            <wp:docPr descr="" title="" id="31" name="Picture"/>
            <a:graphic>
              <a:graphicData uri="http://schemas.openxmlformats.org/drawingml/2006/picture">
                <pic:pic>
                  <pic:nvPicPr>
                    <pic:cNvPr descr="figures/fig3_1_two_links.png" id="32" name="Picture"/>
                    <pic:cNvPicPr>
                      <a:picLocks noChangeArrowheads="1" noChangeAspect="1"/>
                    </pic:cNvPicPr>
                  </pic:nvPicPr>
                  <pic:blipFill>
                    <a:blip r:embed="rId30"/>
                    <a:stretch>
                      <a:fillRect/>
                    </a:stretch>
                  </pic:blipFill>
                  <pic:spPr bwMode="auto">
                    <a:xfrm>
                      <a:off x="0" y="0"/>
                      <a:ext cx="5537082" cy="3024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3.1. Three nested quantities and the two links.</w:t>
      </w:r>
      <w:r>
        <w:rPr>
          <w:sz w:val="16"/>
        </w:rPr>
        <w:t xml:space="preserve"> </w:t>
      </w:r>
      <w:r>
        <w:rPr>
          <w:sz w:val="16"/>
        </w:rPr>
        <w:t xml:space="preserve">Revenue sits inside platform commerce, which sits inside all online commerce. H1 tests the inner link and H2 the outer link.</w:t>
      </w:r>
    </w:p>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a split of revenue growth,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3" w:name="terms-and-rules-for-comparison"/>
    <w:p>
      <w:pPr>
        <w:pStyle w:val="Heading2"/>
      </w:pPr>
      <w:r>
        <w:t xml:space="preserve">3.1 Terms and rules for comparison</w:t>
      </w:r>
    </w:p>
    <w:p>
      <w:pPr>
        <w:pStyle w:val="FirstParagraph"/>
      </w:pPr>
      <w:r>
        <w:t xml:space="preserve">Table 3.1 defines the terms used throughout the thesis, each once, with the symbol used in the formulas.</w:t>
      </w:r>
    </w:p>
    <w:p>
      <w:pPr>
        <w:pStyle w:val="BodyText"/>
        <w:keepNext/>
        <w:spacing w:before="140" w:after="56" w:lineRule="exact" w:line="246"/>
        <w:jc w:val="left"/>
      </w:pPr>
      <w:r>
        <w:rPr>
          <w:b/>
          <w:sz w:val="17"/>
        </w:rPr>
        <w:t>Table 3.1.</w:t>
      </w:r>
      <w:r>
        <w:rPr>
          <w:b w:val="0"/>
          <w:sz w:val="17"/>
        </w:rPr>
        <w:t xml:space="preserve"> Terms and symbols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2179"/>
        <w:gridCol w:w="1394"/>
        <w:gridCol w:w="6625"/>
      </w:tblGrid>
      <w:tr>
        <w:trPr>
          <w:tblHeader w:val="true"/>
          <w:cantSplit/>
          <w:tblHeader/>
        </w:trPr>
        <w:tc>
          <w:tcPr>
            <w:tcW w:w="2179" w:type="dxa"/>
            <w:tcBorders>
              <w:bottom w:val="single" w:sz="4" w:space="0" w:color="111111"/>
            </w:tcBorders>
          </w:tcPr>
          <w:p>
            <w:pPr>
              <w:pStyle w:val="Compact"/>
              <w:spacing w:before="0" w:after="0" w:lineRule="exact" w:line="200"/>
              <w:jc w:val="left"/>
            </w:pPr>
            <w:r>
              <w:rPr>
                <w:b/>
                <w:sz w:val="16"/>
              </w:rPr>
              <w:t xml:space="preserve">Term</w:t>
            </w:r>
          </w:p>
        </w:tc>
        <w:tc>
          <w:tcPr>
            <w:tcW w:w="1394" w:type="dxa"/>
            <w:tcBorders>
              <w:bottom w:val="single" w:sz="4" w:space="0" w:color="111111"/>
            </w:tcBorders>
          </w:tcPr>
          <w:p>
            <w:pPr>
              <w:pStyle w:val="Compact"/>
              <w:spacing w:before="0" w:after="0" w:lineRule="exact" w:line="200"/>
              <w:jc w:val="left"/>
            </w:pPr>
            <w:r>
              <w:rPr>
                <w:b/>
                <w:sz w:val="16"/>
              </w:rPr>
              <w:t xml:space="preserve">Symbol</w:t>
            </w:r>
          </w:p>
        </w:tc>
        <w:tc>
          <w:tcPr>
            <w:tcW w:w="6625" w:type="dxa"/>
            <w:tcBorders>
              <w:bottom w:val="single" w:sz="4" w:space="0" w:color="111111"/>
            </w:tcBorders>
          </w:tcPr>
          <w:p>
            <w:pPr>
              <w:pStyle w:val="Compact"/>
              <w:spacing w:before="0" w:after="0" w:lineRule="exact" w:line="200"/>
              <w:jc w:val="left"/>
            </w:pPr>
            <w:r>
              <w:rPr>
                <w:b/>
                <w:sz w:val="16"/>
              </w:rPr>
              <w:t xml:space="preserve">Meaning</w:t>
            </w:r>
          </w:p>
        </w:tc>
      </w:tr>
      <w:tr>
        <w:trPr>
          <w:cantSplit/>
        </w:trPr>
        <w:tc>
          <w:tcPr>
            <w:tcW w:w="2179" w:type="dxa"/>
          </w:tcPr>
          <w:p>
            <w:pPr>
              <w:pStyle w:val="Compact"/>
              <w:spacing w:before="0" w:after="0" w:lineRule="exact" w:line="200"/>
              <w:jc w:val="left"/>
            </w:pPr>
            <w:r>
              <w:rPr>
                <w:sz w:val="16"/>
              </w:rPr>
              <w:t xml:space="preserve">Transaction value</w:t>
            </w:r>
          </w:p>
        </w:tc>
        <w:tc>
          <w:tcPr>
            <w:tcW w:w="1394" w:type="dxa"/>
          </w:tcPr>
          <w:p>
            <w:pPr>
              <w:pStyle w:val="Compact"/>
              <w:spacing w:before="0" w:after="0" w:lineRule="exact" w:line="200"/>
              <w:jc w:val="left"/>
            </w:pPr>
            <w:r>
              <w:rPr>
                <w:sz w:val="16"/>
              </w:rPr>
              <w:t xml:space="preserve">V</w:t>
            </w:r>
          </w:p>
        </w:tc>
        <w:tc>
          <w:tcPr>
            <w:tcW w:w="6625" w:type="dxa"/>
          </w:tcPr>
          <w:p>
            <w:pPr>
              <w:pStyle w:val="Compact"/>
              <w:spacing w:before="0" w:after="0" w:lineRule="exact" w:line="200"/>
              <w:jc w:val="left"/>
            </w:pPr>
            <w:r>
              <w:rPr>
                <w:sz w:val="16"/>
              </w:rPr>
              <w:t xml:space="preserve">Everything bought through a platform in a period, also called the commerce the platform carries. Companies call it gross merchandise value (GMV), gross transaction value (GTV) or total payment volume (TPV); the thesis treats these as one measure and notes where a company’s scope differs.</w:t>
            </w:r>
          </w:p>
        </w:tc>
      </w:tr>
      <w:tr>
        <w:trPr>
          <w:cantSplit/>
        </w:trPr>
        <w:tc>
          <w:tcPr>
            <w:tcW w:w="2179" w:type="dxa"/>
          </w:tcPr>
          <w:p>
            <w:pPr>
              <w:pStyle w:val="Compact"/>
              <w:spacing w:before="0" w:after="0" w:lineRule="exact" w:line="200"/>
              <w:jc w:val="left"/>
            </w:pPr>
            <w:r>
              <w:rPr>
                <w:sz w:val="16"/>
              </w:rPr>
              <w:t xml:space="preserve">Revenue</w:t>
            </w:r>
          </w:p>
        </w:tc>
        <w:tc>
          <w:tcPr>
            <w:tcW w:w="1394" w:type="dxa"/>
          </w:tcPr>
          <w:p>
            <w:pPr>
              <w:pStyle w:val="Compact"/>
              <w:spacing w:before="0" w:after="0" w:lineRule="exact" w:line="200"/>
              <w:jc w:val="left"/>
            </w:pPr>
            <w:r>
              <w:rPr>
                <w:sz w:val="16"/>
              </w:rPr>
              <w:t xml:space="preserve">R</w:t>
            </w:r>
          </w:p>
        </w:tc>
        <w:tc>
          <w:tcPr>
            <w:tcW w:w="6625" w:type="dxa"/>
          </w:tcPr>
          <w:p>
            <w:pPr>
              <w:pStyle w:val="Compact"/>
              <w:spacing w:before="0" w:after="0" w:lineRule="exact" w:line="200"/>
              <w:jc w:val="left"/>
            </w:pPr>
            <w:r>
              <w:rPr>
                <w:sz w:val="16"/>
              </w:rPr>
              <w:t xml:space="preserve">What the platform recognizes as its own income in its accounts.</w:t>
            </w:r>
          </w:p>
        </w:tc>
      </w:tr>
      <w:tr>
        <w:trPr>
          <w:cantSplit/>
        </w:trPr>
        <w:tc>
          <w:tcPr>
            <w:tcW w:w="2179" w:type="dxa"/>
          </w:tcPr>
          <w:p>
            <w:pPr>
              <w:pStyle w:val="Compact"/>
              <w:spacing w:before="0" w:after="0" w:lineRule="exact" w:line="200"/>
              <w:jc w:val="left"/>
            </w:pPr>
            <w:r>
              <w:rPr>
                <w:sz w:val="16"/>
              </w:rPr>
              <w:t xml:space="preserve">Take rate</w:t>
            </w:r>
          </w:p>
        </w:tc>
        <w:tc>
          <w:tcPr>
            <w:tcW w:w="1394" w:type="dxa"/>
          </w:tcPr>
          <w:p>
            <w:pPr>
              <w:pStyle w:val="Compact"/>
              <w:spacing w:before="0" w:after="0" w:lineRule="exact" w:line="200"/>
              <w:jc w:val="left"/>
            </w:pPr>
            <w:r>
              <w:rPr>
                <w:sz w:val="16"/>
              </w:rPr>
              <w:t xml:space="preserve">m</w:t>
            </w:r>
          </w:p>
        </w:tc>
        <w:tc>
          <w:tcPr>
            <w:tcW w:w="6625" w:type="dxa"/>
          </w:tcPr>
          <w:p>
            <w:pPr>
              <w:pStyle w:val="Compact"/>
              <w:spacing w:before="0" w:after="0" w:lineRule="exact" w:line="200"/>
              <w:jc w:val="left"/>
            </w:pPr>
            <w:r>
              <w:rPr>
                <w:sz w:val="16"/>
              </w:rPr>
              <w:t xml:space="preserve">Revenue divided by transaction value: the share of each sale that the platform keeps.</w:t>
            </w:r>
          </w:p>
        </w:tc>
      </w:tr>
      <w:tr>
        <w:trPr>
          <w:cantSplit/>
        </w:trPr>
        <w:tc>
          <w:tcPr>
            <w:tcW w:w="2179" w:type="dxa"/>
          </w:tcPr>
          <w:p>
            <w:pPr>
              <w:pStyle w:val="Compact"/>
              <w:spacing w:before="0" w:after="0" w:lineRule="exact" w:line="200"/>
              <w:jc w:val="left"/>
            </w:pPr>
            <w:r>
              <w:rPr>
                <w:sz w:val="16"/>
              </w:rPr>
              <w:t xml:space="preserve">Customer incentives</w:t>
            </w:r>
          </w:p>
        </w:tc>
        <w:tc>
          <w:tcPr>
            <w:tcW w:w="1394" w:type="dxa"/>
          </w:tcPr>
          <w:p>
            <w:pPr>
              <w:pStyle w:val="Compact"/>
              <w:spacing w:before="0" w:after="0" w:lineRule="exact" w:line="200"/>
              <w:jc w:val="left"/>
            </w:pPr>
          </w:p>
        </w:tc>
        <w:tc>
          <w:tcPr>
            <w:tcW w:w="6625" w:type="dxa"/>
          </w:tcPr>
          <w:p>
            <w:pPr>
              <w:pStyle w:val="Compact"/>
              <w:spacing w:before="0" w:after="0" w:lineRule="exact" w:line="200"/>
              <w:jc w:val="left"/>
            </w:pPr>
            <w:r>
              <w:rPr>
                <w:sz w:val="16"/>
              </w:rPr>
              <w:t xml:space="preserve">Discounts, vouchers and other promotions that a platform pays for. Accounting rules normally deduct them from revenue, and Tokopedia reports the deduction as a separate line.</w:t>
            </w:r>
          </w:p>
        </w:tc>
      </w:tr>
      <w:tr>
        <w:trPr>
          <w:cantSplit/>
        </w:trPr>
        <w:tc>
          <w:tcPr>
            <w:tcW w:w="2179" w:type="dxa"/>
          </w:tcPr>
          <w:p>
            <w:pPr>
              <w:pStyle w:val="Compact"/>
              <w:spacing w:before="0" w:after="0" w:lineRule="exact" w:line="200"/>
              <w:jc w:val="left"/>
            </w:pPr>
            <w:r>
              <w:rPr>
                <w:sz w:val="16"/>
              </w:rPr>
              <w:t xml:space="preserve">Fee rate</w:t>
            </w:r>
          </w:p>
        </w:tc>
        <w:tc>
          <w:tcPr>
            <w:tcW w:w="1394" w:type="dxa"/>
          </w:tcPr>
          <w:p>
            <w:pPr>
              <w:pStyle w:val="Compact"/>
              <w:spacing w:before="0" w:after="0" w:lineRule="exact" w:line="200"/>
              <w:jc w:val="left"/>
            </w:pPr>
            <w:r>
              <w:rPr>
                <w:sz w:val="16"/>
              </w:rPr>
              <w:t xml:space="preserve">f</w:t>
            </w:r>
          </w:p>
        </w:tc>
        <w:tc>
          <w:tcPr>
            <w:tcW w:w="6625" w:type="dxa"/>
          </w:tcPr>
          <w:p>
            <w:pPr>
              <w:pStyle w:val="Compact"/>
              <w:spacing w:before="0" w:after="0" w:lineRule="exact" w:line="200"/>
              <w:jc w:val="left"/>
            </w:pPr>
            <w:r>
              <w:rPr>
                <w:sz w:val="16"/>
              </w:rPr>
              <w:t xml:space="preserve">The platform’s revenue before customer incentives, divided by transaction value.</w:t>
            </w:r>
          </w:p>
        </w:tc>
      </w:tr>
      <w:tr>
        <w:trPr>
          <w:cantSplit/>
        </w:trPr>
        <w:tc>
          <w:tcPr>
            <w:tcW w:w="2179" w:type="dxa"/>
          </w:tcPr>
          <w:p>
            <w:pPr>
              <w:pStyle w:val="Compact"/>
              <w:spacing w:before="0" w:after="0" w:lineRule="exact" w:line="200"/>
              <w:jc w:val="left"/>
            </w:pPr>
            <w:r>
              <w:rPr>
                <w:sz w:val="16"/>
              </w:rPr>
              <w:t xml:space="preserve">Incentive rate</w:t>
            </w:r>
          </w:p>
        </w:tc>
        <w:tc>
          <w:tcPr>
            <w:tcW w:w="1394" w:type="dxa"/>
          </w:tcPr>
          <w:p>
            <w:pPr>
              <w:pStyle w:val="Compact"/>
              <w:spacing w:before="0" w:after="0" w:lineRule="exact" w:line="200"/>
              <w:jc w:val="left"/>
            </w:pPr>
            <w:r>
              <w:rPr>
                <w:sz w:val="16"/>
              </w:rPr>
              <w:t xml:space="preserve">s</w:t>
            </w:r>
          </w:p>
        </w:tc>
        <w:tc>
          <w:tcPr>
            <w:tcW w:w="6625" w:type="dxa"/>
          </w:tcPr>
          <w:p>
            <w:pPr>
              <w:pStyle w:val="Compact"/>
              <w:spacing w:before="0" w:after="0" w:lineRule="exact" w:line="200"/>
              <w:jc w:val="left"/>
            </w:pPr>
            <w:r>
              <w:rPr>
                <w:sz w:val="16"/>
              </w:rPr>
              <w:t xml:space="preserve">Customer incentives divided by transaction value.</w:t>
            </w:r>
          </w:p>
        </w:tc>
      </w:tr>
      <w:tr>
        <w:trPr>
          <w:cantSplit/>
        </w:trPr>
        <w:tc>
          <w:tcPr>
            <w:tcW w:w="2179" w:type="dxa"/>
          </w:tcPr>
          <w:p>
            <w:pPr>
              <w:pStyle w:val="Compact"/>
              <w:spacing w:before="0" w:after="0" w:lineRule="exact" w:line="200"/>
              <w:jc w:val="left"/>
            </w:pPr>
            <w:r>
              <w:rPr>
                <w:sz w:val="16"/>
              </w:rPr>
              <w:t xml:space="preserve">Invisible wedge</w:t>
            </w:r>
          </w:p>
        </w:tc>
        <w:tc>
          <w:tcPr>
            <w:tcW w:w="1394" w:type="dxa"/>
          </w:tcPr>
          <w:p>
            <w:pPr>
              <w:pStyle w:val="Compact"/>
              <w:spacing w:before="0" w:after="0" w:lineRule="exact" w:line="200"/>
              <w:jc w:val="left"/>
            </w:pPr>
            <w:r>
              <w:rPr>
                <w:sz w:val="16"/>
              </w:rPr>
              <w:t xml:space="preserve">W</w:t>
            </w:r>
          </w:p>
        </w:tc>
        <w:tc>
          <w:tcPr>
            <w:tcW w:w="6625" w:type="dxa"/>
          </w:tcPr>
          <w:p>
            <w:pPr>
              <w:pStyle w:val="Compact"/>
              <w:spacing w:before="0" w:after="0" w:lineRule="exact" w:line="200"/>
              <w:jc w:val="left"/>
            </w:pPr>
            <w:r>
              <w:rPr>
                <w:sz w:val="16"/>
              </w:rPr>
              <w:t xml:space="preserve">Transaction value minus revenue: what a revenue figure leaves out. It is defined for one platform. The thesis sums it over three platforms in Indonesia for 2023 and computes no national total.</w:t>
            </w:r>
          </w:p>
        </w:tc>
      </w:tr>
      <w:tr>
        <w:trPr>
          <w:cantSplit/>
        </w:trPr>
        <w:tc>
          <w:tcPr>
            <w:tcW w:w="2179" w:type="dxa"/>
          </w:tcPr>
          <w:p>
            <w:pPr>
              <w:pStyle w:val="Compact"/>
              <w:spacing w:before="0" w:after="0" w:lineRule="exact" w:line="200"/>
              <w:jc w:val="left"/>
            </w:pPr>
            <w:r>
              <w:rPr>
                <w:sz w:val="16"/>
              </w:rPr>
              <w:t xml:space="preserve">Ecosystem ratio</w:t>
            </w:r>
          </w:p>
        </w:tc>
        <w:tc>
          <w:tcPr>
            <w:tcW w:w="1394" w:type="dxa"/>
          </w:tcPr>
          <w:p>
            <w:pPr>
              <w:pStyle w:val="Compact"/>
              <w:spacing w:before="0" w:after="0" w:lineRule="exact" w:line="200"/>
              <w:jc w:val="left"/>
            </w:pPr>
            <w:r>
              <w:rPr>
                <w:sz w:val="16"/>
              </w:rPr>
              <w:t xml:space="preserve">E</w:t>
            </w:r>
          </w:p>
        </w:tc>
        <w:tc>
          <w:tcPr>
            <w:tcW w:w="6625" w:type="dxa"/>
          </w:tcPr>
          <w:p>
            <w:pPr>
              <w:pStyle w:val="Compact"/>
              <w:spacing w:before="0" w:after="0" w:lineRule="exact" w:line="200"/>
              <w:jc w:val="left"/>
            </w:pPr>
            <w:r>
              <w:rPr>
                <w:sz w:val="16"/>
              </w:rPr>
              <w:t xml:space="preserve">The wedge divided by revenue. It equals one divided by the take rate, minus one. This is the author’s own measure, built for this thesis.</w:t>
            </w:r>
          </w:p>
        </w:tc>
      </w:tr>
      <w:tr>
        <w:trPr>
          <w:cantSplit/>
        </w:trPr>
        <w:tc>
          <w:tcPr>
            <w:tcW w:w="2179" w:type="dxa"/>
          </w:tcPr>
          <w:p>
            <w:pPr>
              <w:pStyle w:val="Compact"/>
              <w:spacing w:before="0" w:after="0" w:lineRule="exact" w:line="200"/>
              <w:jc w:val="left"/>
            </w:pPr>
            <w:r>
              <w:rPr>
                <w:sz w:val="16"/>
              </w:rPr>
              <w:t xml:space="preserve">Growth</w:t>
            </w:r>
          </w:p>
        </w:tc>
        <w:tc>
          <w:tcPr>
            <w:tcW w:w="1394" w:type="dxa"/>
          </w:tcPr>
          <w:p>
            <w:pPr>
              <w:pStyle w:val="Compact"/>
              <w:spacing w:before="0" w:after="0" w:lineRule="exact" w:line="200"/>
              <w:jc w:val="left"/>
            </w:pPr>
            <w:r>
              <w:rPr>
                <w:sz w:val="16"/>
              </w:rPr>
              <w:t xml:space="preserve">g</w:t>
            </w:r>
          </w:p>
        </w:tc>
        <w:tc>
          <w:tcPr>
            <w:tcW w:w="6625" w:type="dxa"/>
          </w:tcPr>
          <w:p>
            <w:pPr>
              <w:pStyle w:val="Compact"/>
              <w:spacing w:before="0" w:after="0" w:lineRule="exact" w:line="200"/>
              <w:jc w:val="left"/>
            </w:pPr>
            <w:r>
              <w:rPr>
                <w:sz w:val="16"/>
              </w:rPr>
              <w:t xml:space="preserve">The change from one year to the next as a share of the first year: 0.09 means 9 percent.</w:t>
            </w:r>
          </w:p>
        </w:tc>
      </w:tr>
      <w:tr>
        <w:trPr>
          <w:cantSplit/>
        </w:trPr>
        <w:tc>
          <w:tcPr>
            <w:tcW w:w="2179" w:type="dxa"/>
          </w:tcPr>
          <w:p>
            <w:pPr>
              <w:pStyle w:val="Compact"/>
              <w:spacing w:before="0" w:after="0" w:lineRule="exact" w:line="200"/>
              <w:jc w:val="left"/>
            </w:pPr>
            <w:r>
              <w:rPr>
                <w:sz w:val="16"/>
              </w:rPr>
              <w:t xml:space="preserve">Growth divergence</w:t>
            </w:r>
          </w:p>
        </w:tc>
        <w:tc>
          <w:tcPr>
            <w:tcW w:w="1394" w:type="dxa"/>
          </w:tcPr>
          <w:p>
            <w:pPr>
              <w:pStyle w:val="Compact"/>
              <w:spacing w:before="0" w:after="0" w:lineRule="exact" w:line="200"/>
              <w:jc w:val="left"/>
            </w:pPr>
            <w:r>
              <w:rPr>
                <w:sz w:val="16"/>
              </w:rPr>
              <w:t xml:space="preserve">D</w:t>
            </w:r>
          </w:p>
        </w:tc>
        <w:tc>
          <w:tcPr>
            <w:tcW w:w="6625" w:type="dxa"/>
          </w:tcPr>
          <w:p>
            <w:pPr>
              <w:pStyle w:val="Compact"/>
              <w:spacing w:before="0" w:after="0" w:lineRule="exact" w:line="200"/>
              <w:jc w:val="left"/>
            </w:pPr>
            <w:r>
              <w:rPr>
                <w:sz w:val="16"/>
              </w:rPr>
              <w:t xml:space="preserve">Growth of revenue minus growth of transaction value in the same year: 0.62 means 62 percentage points.</w:t>
            </w:r>
          </w:p>
        </w:tc>
      </w:tr>
      <w:tr>
        <w:trPr>
          <w:cantSplit/>
        </w:trPr>
        <w:tc>
          <w:tcPr>
            <w:tcW w:w="2179" w:type="dxa"/>
          </w:tcPr>
          <w:p>
            <w:pPr>
              <w:pStyle w:val="Compact"/>
              <w:spacing w:before="0" w:after="0" w:lineRule="exact" w:line="200"/>
              <w:jc w:val="left"/>
            </w:pPr>
            <w:r>
              <w:rPr>
                <w:sz w:val="16"/>
              </w:rPr>
              <w:t xml:space="preserve">Online seller</w:t>
            </w:r>
          </w:p>
        </w:tc>
        <w:tc>
          <w:tcPr>
            <w:tcW w:w="1394" w:type="dxa"/>
          </w:tcPr>
          <w:p>
            <w:pPr>
              <w:pStyle w:val="Compact"/>
              <w:spacing w:before="0" w:after="0" w:lineRule="exact" w:line="200"/>
              <w:jc w:val="left"/>
            </w:pPr>
          </w:p>
        </w:tc>
        <w:tc>
          <w:tcPr>
            <w:tcW w:w="6625" w:type="dxa"/>
          </w:tcPr>
          <w:p>
            <w:pPr>
              <w:pStyle w:val="Compact"/>
              <w:spacing w:before="0" w:after="0" w:lineRule="exact" w:line="200"/>
              <w:jc w:val="left"/>
            </w:pPr>
            <w:r>
              <w:rPr>
                <w:sz w:val="16"/>
              </w:rPr>
              <w:t xml:space="preserve">A business that the national statistics office, BPS, counts as selling online; the text also calls it a seller or a business. The count of online sellers is BPS’s estimate of how many there are in a year.</w:t>
            </w:r>
          </w:p>
        </w:tc>
      </w:tr>
      <w:tr>
        <w:trPr>
          <w:cantSplit/>
        </w:trPr>
        <w:tc>
          <w:tcPr>
            <w:tcW w:w="2179" w:type="dxa"/>
          </w:tcPr>
          <w:p>
            <w:pPr>
              <w:pStyle w:val="Compact"/>
              <w:spacing w:before="0" w:after="0" w:lineRule="exact" w:line="200"/>
              <w:jc w:val="left"/>
            </w:pPr>
            <w:r>
              <w:rPr>
                <w:sz w:val="16"/>
              </w:rPr>
              <w:t xml:space="preserve">First-time entry</w:t>
            </w:r>
          </w:p>
        </w:tc>
        <w:tc>
          <w:tcPr>
            <w:tcW w:w="1394" w:type="dxa"/>
          </w:tcPr>
          <w:p>
            <w:pPr>
              <w:pStyle w:val="Compact"/>
              <w:spacing w:before="0" w:after="0" w:lineRule="exact" w:line="200"/>
              <w:jc w:val="left"/>
            </w:pPr>
          </w:p>
        </w:tc>
        <w:tc>
          <w:tcPr>
            <w:tcW w:w="6625" w:type="dxa"/>
          </w:tcPr>
          <w:p>
            <w:pPr>
              <w:pStyle w:val="Compact"/>
              <w:spacing w:before="0" w:after="0" w:lineRule="exact" w:line="200"/>
              <w:jc w:val="left"/>
            </w:pPr>
            <w:r>
              <w:rPr>
                <w:sz w:val="16"/>
              </w:rPr>
              <w:t xml:space="preserve">A seller that began selling online in the year being measured.</w:t>
            </w:r>
          </w:p>
        </w:tc>
      </w:tr>
    </w:tbl>
    <w:p>
      <w:pPr>
        <w:pStyle w:val="BodyText"/>
        <w:spacing w:before="114"/>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3"/>
    <w:bookmarkStart w:id="34"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Equation"/>
      </w:pPr>
      <w:r>
        <w:tab/>
        <w:t>W</w:t>
      </w:r>
      <w:r>
        <w:rPr>
          <w:vertAlign w:val="subscript"/>
        </w:rPr>
        <w:t xml:space="preserve">it</w:t>
      </w:r>
      <w:r>
        <w:t xml:space="preserve"> </w:t>
      </w:r>
      <w:r>
        <w:t xml:space="preserve">= V</w:t>
      </w:r>
      <w:r>
        <w:rPr>
          <w:vertAlign w:val="subscript"/>
        </w:rPr>
        <w:t xml:space="preserve">it</w:t>
      </w:r>
      <w:r>
        <w:t xml:space="preserve"> </w:t>
      </w:r>
      <w:r>
        <w:t xml:space="preserve">− R</w:t>
      </w:r>
      <w:r>
        <w:rPr>
          <w:vertAlign w:val="subscript"/>
        </w:rPr>
        <w:t xml:space="preserve">it</w:t>
      </w:r>
      <w:r>
        <w:tab/>
        <w:t>(1)</w:t>
      </w:r>
    </w:p>
    <w:p>
      <w:pPr>
        <w:pStyle w:val="BodyText"/>
      </w:pPr>
      <w:r>
        <w:t xml:space="preserve">where V</w:t>
      </w:r>
      <w:r>
        <w:rPr>
          <w:vertAlign w:val="subscript"/>
        </w:rPr>
        <w:t xml:space="preserve">it</w:t>
      </w:r>
      <w:r>
        <w:t xml:space="preserve"> </w:t>
      </w:r>
      <w:r>
        <w:t xml:space="preserve">is the transaction value of platform i in year t and R</w:t>
      </w:r>
      <w:r>
        <w:rPr>
          <w:vertAlign w:val="subscript"/>
        </w:rPr>
        <w:t xml:space="preserve">it</w:t>
      </w:r>
      <w:r>
        <w:t xml:space="preserve"> </w:t>
      </w:r>
      <w:r>
        <w:t xml:space="preserve">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Equation"/>
      </w:pPr>
      <w:r>
        <w:tab/>
        <w:t>E</w:t>
      </w:r>
      <w:r>
        <w:rPr>
          <w:vertAlign w:val="subscript"/>
        </w:rPr>
        <w:t xml:space="preserve">it</w:t>
      </w:r>
      <w:r>
        <w:t xml:space="preserve"> </w:t>
      </w:r>
      <w:r>
        <w:t xml:space="preserve">= W</w:t>
      </w:r>
      <w:r>
        <w:rPr>
          <w:vertAlign w:val="subscript"/>
        </w:rPr>
        <w:t xml:space="preserve">it</w:t>
      </w:r>
      <w:r>
        <w:t xml:space="preserve"> </w:t>
      </w:r>
      <w:r>
        <w:t xml:space="preserve">/ R</w:t>
      </w:r>
      <w:r>
        <w:rPr>
          <w:vertAlign w:val="subscript"/>
        </w:rPr>
        <w:t xml:space="preserve">it</w:t>
      </w:r>
      <w:r>
        <w:t xml:space="preserve"> </w:t>
      </w:r>
      <w:r>
        <w:t xml:space="preserve">= 1 / m</w:t>
      </w:r>
      <w:r>
        <w:rPr>
          <w:vertAlign w:val="subscript"/>
        </w:rPr>
        <w:t xml:space="preserve">it</w:t>
      </w:r>
      <w:r>
        <w:t xml:space="preserve"> </w:t>
      </w:r>
      <w:r>
        <w:t>− 1</w:t>
        <w:tab/>
        <w:t>(2)</w:t>
      </w:r>
    </w:p>
    <w:p>
      <w:pPr>
        <w:pStyle w:val="BodyText"/>
      </w:pPr>
      <w:r>
        <w:t xml:space="preserve">where m</w:t>
      </w:r>
      <w:r>
        <w:rPr>
          <w:vertAlign w:val="subscript"/>
        </w:rPr>
        <w:t xml:space="preserve">it</w:t>
      </w:r>
      <w:r>
        <w:t xml:space="preserve"> </w:t>
      </w:r>
      <w:r>
        <w:t xml:space="preserve">= R</w:t>
      </w:r>
      <w:r>
        <w:rPr>
          <w:vertAlign w:val="subscript"/>
        </w:rPr>
        <w:t xml:space="preserve">it</w:t>
      </w:r>
      <w:r>
        <w:t xml:space="preserve"> </w:t>
      </w:r>
      <w:r>
        <w:t xml:space="preserve">/ V</w:t>
      </w:r>
      <w:r>
        <w:rPr>
          <w:vertAlign w:val="subscript"/>
        </w:rPr>
        <w:t xml:space="preserve">it</w:t>
      </w:r>
      <w:r>
        <w:t xml:space="preserve"> </w:t>
      </w:r>
      <w:r>
        <w:t xml:space="preserve">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p>
    <w:p>
      <w:pPr>
        <w:pStyle w:val="BodyText"/>
      </w:pPr>
      <w:r>
        <w:t xml:space="preserve">A single ratio does not show whether the relationship holds over time, so the thesis defines growth divergence:</w:t>
      </w:r>
    </w:p>
    <w:p>
      <w:pPr>
        <w:pStyle w:val="Equation"/>
      </w:pPr>
      <w:r>
        <w:tab/>
        <w:t>D</w:t>
      </w:r>
      <w:r>
        <w:rPr>
          <w:vertAlign w:val="subscript"/>
        </w:rPr>
        <w:t xml:space="preserve">it</w:t>
      </w:r>
      <w:r>
        <w:t xml:space="preserve"> </w:t>
      </w:r>
      <w:r>
        <w:t xml:space="preserve">= g(R</w:t>
      </w:r>
      <w:r>
        <w:rPr>
          <w:vertAlign w:val="subscript"/>
        </w:rPr>
        <w:t xml:space="preserve">it</w:t>
      </w:r>
      <w:r>
        <w:t xml:space="preserve">) − g(V</w:t>
      </w:r>
      <w:r>
        <w:rPr>
          <w:vertAlign w:val="subscript"/>
        </w:rPr>
        <w:t xml:space="preserve">it</w:t>
      </w:r>
      <w:r>
        <w:t>)</w:t>
        <w:tab/>
        <w:t>(3)</w:t>
      </w:r>
    </w:p>
    <w:p>
      <w:pPr>
        <w:pStyle w:val="BodyText"/>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Equation"/>
      </w:pPr>
      <w:r>
        <w:tab/>
        <w:t>D</w:t>
      </w:r>
      <w:r>
        <w:rPr>
          <w:vertAlign w:val="subscript"/>
        </w:rPr>
        <w:t xml:space="preserve">it</w:t>
      </w:r>
      <w:r>
        <w:t xml:space="preserve"> </w:t>
      </w:r>
      <w:r>
        <w:t xml:space="preserve">= (1 + g(V</w:t>
      </w:r>
      <w:r>
        <w:rPr>
          <w:vertAlign w:val="subscript"/>
        </w:rPr>
        <w:t xml:space="preserve">it</w:t>
      </w:r>
      <w:r>
        <w:t xml:space="preserve">)) × (m</w:t>
      </w:r>
      <w:r>
        <w:rPr>
          <w:vertAlign w:val="subscript"/>
        </w:rPr>
        <w:t xml:space="preserve">it</w:t>
      </w:r>
      <w:r>
        <w:t xml:space="preserve"> </w:t>
      </w:r>
      <w:r>
        <w:t xml:space="preserve">− m</w:t>
      </w:r>
      <w:r>
        <w:rPr>
          <w:vertAlign w:val="subscript"/>
        </w:rPr>
        <w:t xml:space="preserve">i,t−1</w:t>
      </w:r>
      <w:r>
        <w:t xml:space="preserve">) / m</w:t>
      </w:r>
      <w:r>
        <w:rPr>
          <w:vertAlign w:val="subscript"/>
        </w:rPr>
        <w:t xml:space="preserve">i,t−1</w:t>
      </w:r>
      <w:r>
        <w:tab/>
        <w:t>(4)</w:t>
      </w:r>
    </w:p>
    <w:p>
      <w:pPr>
        <w:pStyle w:val="BodyText"/>
      </w:pPr>
      <w:r>
        <w:t xml:space="preserve">where m</w:t>
      </w:r>
      <w:r>
        <w:rPr>
          <w:vertAlign w:val="subscript"/>
        </w:rPr>
        <w:t xml:space="preserve">i,t−1</w:t>
      </w:r>
      <w:r>
        <w:t xml:space="preserve"> </w:t>
      </w:r>
      <w:r>
        <w:t xml:space="preserve">is the take rate in the earlier year and m</w:t>
      </w:r>
      <w:r>
        <w:rPr>
          <w:vertAlign w:val="subscript"/>
        </w:rPr>
        <w:t xml:space="preserve">it</w:t>
      </w:r>
      <w:r>
        <w:t xml:space="preserve"> </w:t>
      </w:r>
      <w:r>
        <w:t xml:space="preserve">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w:t>
      </w:r>
      <w:r>
        <w:t xml:space="preserve"> </w:t>
      </w:r>
      <w:r>
        <w:rPr>
          <w:bCs/>
          <w:b/>
        </w:rPr>
        <w:t xml:space="preserve">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w:t>
      </w:r>
      <w:r>
        <w:t xml:space="preserve"> </w:t>
      </w:r>
      <w:r>
        <w:rPr>
          <w:bCs/>
          <w:b/>
        </w:rPr>
        <w:t xml:space="preserve">So a large ecosystem ratio means that ordinary changes in fees or discounts can produce large swings in reported revenue growth.</w:t>
      </w:r>
    </w:p>
    <w:bookmarkEnd w:id="34"/>
    <w:bookmarkStart w:id="35" w:name="tracing-a-movement"/>
    <w:p>
      <w:pPr>
        <w:pStyle w:val="Heading2"/>
      </w:pPr>
      <w:r>
        <w:t xml:space="preserve">3.3 Tracing a movement</w:t>
      </w:r>
    </w:p>
    <w:p>
      <w:pPr>
        <w:pStyle w:val="FirstParagraph"/>
      </w:pPr>
      <w:r>
        <w:t xml:space="preserve">A large divergence calls for an explanation, and the same definitions supply it. Measured in logarithms, the growth of revenue splits exactly into the growth of transaction value and the change in the take rate:</w:t>
      </w:r>
    </w:p>
    <w:p>
      <w:pPr>
        <w:pStyle w:val="Equation"/>
      </w:pPr>
      <w:r>
        <w:tab/>
      </w:r>
      <w:r>
        <w:rPr>
          <w:rFonts w:ascii="Cambria" w:hAnsi="Cambria" w:cs="Cambria" w:eastAsia="Cambria"/>
        </w:rPr>
        <w:t xml:space="preserve">Δ</w:t>
      </w:r>
      <w:r>
        <w:t xml:space="preserve">ln R</w:t>
      </w:r>
      <w:r>
        <w:rPr>
          <w:vertAlign w:val="subscript"/>
        </w:rPr>
        <w:t xml:space="preserve">it</w:t>
      </w:r>
      <w:r>
        <w:t xml:space="preserve"> </w:t>
      </w:r>
      <w:r>
        <w:t xml:space="preserve">= </w:t>
      </w:r>
      <w:r>
        <w:rPr>
          <w:rFonts w:ascii="Cambria" w:hAnsi="Cambria" w:cs="Cambria" w:eastAsia="Cambria"/>
        </w:rPr>
        <w:t xml:space="preserve">Δ</w:t>
      </w:r>
      <w:r>
        <w:t xml:space="preserve">ln V</w:t>
      </w:r>
      <w:r>
        <w:rPr>
          <w:vertAlign w:val="subscript"/>
        </w:rPr>
        <w:t xml:space="preserve">it</w:t>
      </w:r>
      <w:r>
        <w:t xml:space="preserve"> </w:t>
      </w:r>
      <w:r>
        <w:t xml:space="preserve">+ </w:t>
      </w:r>
      <w:r>
        <w:rPr>
          <w:rFonts w:ascii="Cambria" w:hAnsi="Cambria" w:cs="Cambria" w:eastAsia="Cambria"/>
        </w:rPr>
        <w:t xml:space="preserve">Δ</w:t>
      </w:r>
      <w:r>
        <w:t xml:space="preserve">ln m</w:t>
      </w:r>
      <w:r>
        <w:rPr>
          <w:vertAlign w:val="subscript"/>
        </w:rPr>
        <w:t xml:space="preserve">it</w:t>
      </w:r>
      <w:r>
        <w:tab/>
        <w:t>(5)</w:t>
      </w:r>
    </w:p>
    <w:p>
      <w:pPr>
        <w:pStyle w:val="BodyText"/>
      </w:pPr>
      <w:r>
        <w:t xml:space="preserve">where </w:t>
      </w:r>
      <w:r>
        <w:rPr>
          <w:rFonts w:ascii="Cambria" w:hAnsi="Cambria" w:cs="Cambria" w:eastAsia="Cambria"/>
        </w:rPr>
        <w:t xml:space="preserve">Δ</w:t>
      </w:r>
      <w:r>
        <w:t xml:space="preserve">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t>
      </w:r>
    </w:p>
    <w:p>
      <w:pPr>
        <w:pStyle w:val="Equation"/>
      </w:pPr>
      <w:r>
        <w:tab/>
        <w:t>m</w:t>
      </w:r>
      <w:r>
        <w:rPr>
          <w:vertAlign w:val="subscript"/>
        </w:rPr>
        <w:t xml:space="preserve">it</w:t>
      </w:r>
      <w:r>
        <w:t xml:space="preserve"> </w:t>
      </w:r>
      <w:r>
        <w:t xml:space="preserve">= f</w:t>
      </w:r>
      <w:r>
        <w:rPr>
          <w:vertAlign w:val="subscript"/>
        </w:rPr>
        <w:t xml:space="preserve">it</w:t>
      </w:r>
      <w:r>
        <w:t xml:space="preserve"> </w:t>
      </w:r>
      <w:r>
        <w:t xml:space="preserve">− s</w:t>
      </w:r>
      <w:r>
        <w:rPr>
          <w:vertAlign w:val="subscript"/>
        </w:rPr>
        <w:t xml:space="preserve">it</w:t>
      </w:r>
      <w:r>
        <w:tab/>
        <w:t>(6)</w:t>
      </w:r>
    </w:p>
    <w:p>
      <w:pPr>
        <w:pStyle w:val="BodyText"/>
      </w:pPr>
      <w:r>
        <w:t xml:space="preserve">where f</w:t>
      </w:r>
      <w:r>
        <w:rPr>
          <w:vertAlign w:val="subscript"/>
        </w:rPr>
        <w:t xml:space="preserve">it</w:t>
      </w:r>
      <w:r>
        <w:t xml:space="preserve"> </w:t>
      </w:r>
      <w:r>
        <w:t xml:space="preserve">is the fee rate and s</w:t>
      </w:r>
      <w:r>
        <w:rPr>
          <w:vertAlign w:val="subscript"/>
        </w:rPr>
        <w:t xml:space="preserve">it</w:t>
      </w:r>
      <w:r>
        <w:t xml:space="preserve"> </w:t>
      </w:r>
      <w:r>
        <w:t xml:space="preserve">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t>
      </w:r>
    </w:p>
    <w:p>
      <w:pPr>
        <w:pStyle w:val="BodyText"/>
      </w:pPr>
      <w:r>
        <w:t xml:space="preserve">Equation (6) also shows where a rule acts. A cap on commissions acts on the fee rate, and a limit on discounts acts on the incentive rate. Chapter 6 sets Indonesia’s recent rules against these parts of the take rate.</w:t>
      </w:r>
    </w:p>
    <w:bookmarkEnd w:id="35"/>
    <w:bookmarkStart w:id="36"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Table 3.2 pairs each hypothesis, and the entry test of Section 3.5, with its main test and with the result that would count against it.</w:t>
      </w:r>
    </w:p>
    <w:p>
      <w:pPr>
        <w:pStyle w:val="BodyText"/>
        <w:keepNext/>
        <w:spacing w:before="140" w:after="56" w:lineRule="exact" w:line="246"/>
        <w:jc w:val="left"/>
      </w:pPr>
      <w:r>
        <w:rPr>
          <w:b/>
          <w:sz w:val="17"/>
        </w:rPr>
        <w:t>Table 3.2.</w:t>
      </w:r>
      <w:r>
        <w:rPr>
          <w:b w:val="0"/>
          <w:sz w:val="17"/>
        </w:rPr>
        <w:t xml:space="preserve"> Hypotheses, tests and what would count against them</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700"/>
        <w:gridCol w:w="3327"/>
        <w:gridCol w:w="3327"/>
        <w:gridCol w:w="2845"/>
      </w:tblGrid>
      <w:tr>
        <w:trPr>
          <w:tblHeader w:val="true"/>
          <w:cantSplit/>
          <w:tblHeader/>
        </w:trPr>
        <w:tc>
          <w:tcPr>
            <w:tcW w:w="700" w:type="dxa"/>
            <w:tcBorders>
              <w:bottom w:val="single" w:sz="4" w:space="0" w:color="111111"/>
            </w:tcBorders>
          </w:tcPr>
          <w:p>
            <w:pPr>
              <w:pStyle w:val="Compact"/>
              <w:spacing w:before="0" w:after="0" w:lineRule="exact" w:line="200"/>
              <w:jc w:val="left"/>
            </w:pPr>
            <w:r>
              <w:rPr>
                <w:b/>
                <w:sz w:val="16"/>
              </w:rPr>
              <w:t xml:space="preserve">Test</w:t>
            </w:r>
          </w:p>
        </w:tc>
        <w:tc>
          <w:tcPr>
            <w:tcW w:w="3327" w:type="dxa"/>
            <w:tcBorders>
              <w:bottom w:val="single" w:sz="4" w:space="0" w:color="111111"/>
            </w:tcBorders>
          </w:tcPr>
          <w:p>
            <w:pPr>
              <w:pStyle w:val="Compact"/>
              <w:spacing w:before="0" w:after="0" w:lineRule="exact" w:line="200"/>
              <w:jc w:val="left"/>
            </w:pPr>
            <w:r>
              <w:rPr>
                <w:b/>
                <w:sz w:val="16"/>
              </w:rPr>
              <w:t xml:space="preserve">What it asks</w:t>
            </w:r>
          </w:p>
        </w:tc>
        <w:tc>
          <w:tcPr>
            <w:tcW w:w="3327" w:type="dxa"/>
            <w:tcBorders>
              <w:bottom w:val="single" w:sz="4" w:space="0" w:color="111111"/>
            </w:tcBorders>
          </w:tcPr>
          <w:p>
            <w:pPr>
              <w:pStyle w:val="Compact"/>
              <w:spacing w:before="0" w:after="0" w:lineRule="exact" w:line="200"/>
              <w:jc w:val="left"/>
            </w:pPr>
            <w:r>
              <w:rPr>
                <w:b/>
                <w:sz w:val="16"/>
              </w:rPr>
              <w:t xml:space="preserve">Main test</w:t>
            </w:r>
          </w:p>
        </w:tc>
        <w:tc>
          <w:tcPr>
            <w:tcW w:w="2845" w:type="dxa"/>
            <w:tcBorders>
              <w:bottom w:val="single" w:sz="4" w:space="0" w:color="111111"/>
            </w:tcBorders>
          </w:tcPr>
          <w:p>
            <w:pPr>
              <w:pStyle w:val="Compact"/>
              <w:spacing w:before="0" w:after="0" w:lineRule="exact" w:line="200"/>
              <w:jc w:val="left"/>
            </w:pPr>
            <w:r>
              <w:rPr>
                <w:b/>
                <w:sz w:val="16"/>
              </w:rPr>
              <w:t xml:space="preserve">What would count against it</w:t>
            </w:r>
          </w:p>
        </w:tc>
      </w:tr>
      <w:tr>
        <w:trPr>
          <w:cantSplit/>
        </w:trPr>
        <w:tc>
          <w:tcPr>
            <w:tcW w:w="700" w:type="dxa"/>
          </w:tcPr>
          <w:p>
            <w:pPr>
              <w:pStyle w:val="Compact"/>
              <w:spacing w:before="0" w:after="0" w:lineRule="exact" w:line="200"/>
              <w:jc w:val="left"/>
            </w:pPr>
            <w:r>
              <w:rPr>
                <w:sz w:val="16"/>
              </w:rPr>
              <w:t xml:space="preserve">H1</w:t>
            </w:r>
          </w:p>
        </w:tc>
        <w:tc>
          <w:tcPr>
            <w:tcW w:w="3327" w:type="dxa"/>
          </w:tcPr>
          <w:p>
            <w:pPr>
              <w:pStyle w:val="Compact"/>
              <w:spacing w:before="0" w:after="0" w:lineRule="exact" w:line="200"/>
              <w:jc w:val="left"/>
            </w:pPr>
            <w:r>
              <w:rPr>
                <w:sz w:val="16"/>
              </w:rPr>
              <w:t xml:space="preserve">Do revenue and transaction value grow together within a platform?</w:t>
            </w:r>
          </w:p>
        </w:tc>
        <w:tc>
          <w:tcPr>
            <w:tcW w:w="3327" w:type="dxa"/>
          </w:tcPr>
          <w:p>
            <w:pPr>
              <w:pStyle w:val="Compact"/>
              <w:spacing w:before="0" w:after="0" w:lineRule="exact" w:line="200"/>
              <w:jc w:val="left"/>
            </w:pPr>
            <w:r>
              <w:rPr>
                <w:sz w:val="16"/>
              </w:rPr>
              <w:t xml:space="preserve">Size of yearly changes in the take rate, Indonesian and regional platforms against listed platforms abroad</w:t>
            </w:r>
          </w:p>
        </w:tc>
        <w:tc>
          <w:tcPr>
            <w:tcW w:w="2845" w:type="dxa"/>
          </w:tcPr>
          <w:p>
            <w:pPr>
              <w:pStyle w:val="Compact"/>
              <w:spacing w:before="0" w:after="0" w:lineRule="exact" w:line="200"/>
              <w:jc w:val="left"/>
            </w:pPr>
            <w:r>
              <w:rPr>
                <w:sz w:val="16"/>
              </w:rPr>
              <w:t xml:space="preserve">Changes in Indonesia far larger than abroad</w:t>
            </w:r>
          </w:p>
        </w:tc>
      </w:tr>
      <w:tr>
        <w:trPr>
          <w:cantSplit/>
        </w:trPr>
        <w:tc>
          <w:tcPr>
            <w:tcW w:w="700" w:type="dxa"/>
          </w:tcPr>
          <w:p>
            <w:pPr>
              <w:pStyle w:val="Compact"/>
              <w:spacing w:before="0" w:after="0" w:lineRule="exact" w:line="200"/>
              <w:jc w:val="left"/>
            </w:pPr>
            <w:r>
              <w:rPr>
                <w:sz w:val="16"/>
              </w:rPr>
              <w:t xml:space="preserve">H2</w:t>
            </w:r>
          </w:p>
        </w:tc>
        <w:tc>
          <w:tcPr>
            <w:tcW w:w="3327" w:type="dxa"/>
          </w:tcPr>
          <w:p>
            <w:pPr>
              <w:pStyle w:val="Compact"/>
              <w:spacing w:before="0" w:after="0" w:lineRule="exact" w:line="200"/>
              <w:jc w:val="left"/>
            </w:pPr>
            <w:r>
              <w:rPr>
                <w:sz w:val="16"/>
              </w:rPr>
              <w:t xml:space="preserve">Does national e-commerce value grow because of more businesses or because of higher sales per business?</w:t>
            </w:r>
          </w:p>
        </w:tc>
        <w:tc>
          <w:tcPr>
            <w:tcW w:w="3327" w:type="dxa"/>
          </w:tcPr>
          <w:p>
            <w:pPr>
              <w:pStyle w:val="Compact"/>
              <w:spacing w:before="0" w:after="0" w:lineRule="exact" w:line="200"/>
              <w:jc w:val="left"/>
            </w:pPr>
            <w:r>
              <w:rPr>
                <w:sz w:val="16"/>
              </w:rPr>
              <w:t xml:space="preserve">BPS’s national e-commerce value split into the number of businesses and sales per business</w:t>
            </w:r>
          </w:p>
        </w:tc>
        <w:tc>
          <w:tcPr>
            <w:tcW w:w="2845" w:type="dxa"/>
          </w:tcPr>
          <w:p>
            <w:pPr>
              <w:pStyle w:val="Compact"/>
              <w:spacing w:before="0" w:after="0" w:lineRule="exact" w:line="200"/>
              <w:jc w:val="left"/>
            </w:pPr>
            <w:r>
              <w:rPr>
                <w:sz w:val="16"/>
              </w:rPr>
              <w:t xml:space="preserve">Higher sales per business accounting for most of the growth</w:t>
            </w:r>
          </w:p>
        </w:tc>
      </w:tr>
      <w:tr>
        <w:trPr>
          <w:cantSplit/>
        </w:trPr>
        <w:tc>
          <w:tcPr>
            <w:tcW w:w="700" w:type="dxa"/>
          </w:tcPr>
          <w:p>
            <w:pPr>
              <w:pStyle w:val="Compact"/>
              <w:spacing w:before="0" w:after="0" w:lineRule="exact" w:line="200"/>
              <w:jc w:val="left"/>
            </w:pPr>
            <w:r>
              <w:rPr>
                <w:sz w:val="16"/>
              </w:rPr>
              <w:t xml:space="preserve">Entry test</w:t>
            </w:r>
          </w:p>
        </w:tc>
        <w:tc>
          <w:tcPr>
            <w:tcW w:w="3327" w:type="dxa"/>
          </w:tcPr>
          <w:p>
            <w:pPr>
              <w:pStyle w:val="Compact"/>
              <w:spacing w:before="0" w:after="0" w:lineRule="exact" w:line="200"/>
              <w:jc w:val="left"/>
            </w:pPr>
            <w:r>
              <w:rPr>
                <w:sz w:val="16"/>
              </w:rPr>
              <w:t xml:space="preserve">Does a rise in the count of online sellers come from first-time entry?</w:t>
            </w:r>
          </w:p>
        </w:tc>
        <w:tc>
          <w:tcPr>
            <w:tcW w:w="3327" w:type="dxa"/>
          </w:tcPr>
          <w:p>
            <w:pPr>
              <w:pStyle w:val="Compact"/>
              <w:spacing w:before="0" w:after="0" w:lineRule="exact" w:line="200"/>
              <w:jc w:val="left"/>
            </w:pPr>
            <w:r>
              <w:rPr>
                <w:sz w:val="16"/>
              </w:rPr>
              <w:t xml:space="preserve">Share of 2023 sellers in BPS’s survey files who began selling online in 2023</w:t>
            </w:r>
          </w:p>
        </w:tc>
        <w:tc>
          <w:tcPr>
            <w:tcW w:w="2845" w:type="dxa"/>
          </w:tcPr>
          <w:p>
            <w:pPr>
              <w:pStyle w:val="Compact"/>
              <w:spacing w:before="0" w:after="0" w:lineRule="exact" w:line="200"/>
              <w:jc w:val="left"/>
            </w:pPr>
            <w:r>
              <w:rPr>
                <w:sz w:val="16"/>
              </w:rPr>
              <w:t xml:space="preserve">Fewer new sellers than the rise requires</w:t>
            </w:r>
          </w:p>
        </w:tc>
      </w:tr>
    </w:tbl>
    <w:p>
      <w:pPr>
        <w:pStyle w:val="BodyText"/>
        <w:spacing w:before="114"/>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Growth rates never match exactly, so H1 is tested by comparison. The test compares the size of yearly changes in the take rate, measured in logs as in equation (5), between two groups. One group is the Indonesian and regional platforms. The other is listed platforms abroad, where revenue and transaction value broadly move together. Changes far larger in Indonesia would count against H1. Chapter 4 describes the two groups and the test.</w:t>
      </w:r>
    </w:p>
    <w:p>
      <w:pPr>
        <w:pStyle w:val="BodyText"/>
      </w:pPr>
      <w:r>
        <w:t xml:space="preserve">National e-commerce value can grow in two ways. Existing businesses can sell more, which is the intensive margin. More businesses can sell online, which is the extensive margin.</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in logarithms splits exactly in two:</w:t>
      </w:r>
    </w:p>
    <w:p>
      <w:pPr>
        <w:pStyle w:val="Equation"/>
      </w:pPr>
      <w:r>
        <w:tab/>
      </w:r>
      <w:r>
        <w:rPr>
          <w:rFonts w:ascii="Cambria" w:hAnsi="Cambria" w:cs="Cambria" w:eastAsia="Cambria"/>
        </w:rPr>
        <w:t xml:space="preserve">Δ</w:t>
      </w:r>
      <w:r>
        <w:t xml:space="preserve">ln Y</w:t>
      </w:r>
      <w:r>
        <w:rPr>
          <w:vertAlign w:val="subscript"/>
        </w:rPr>
        <w:t xml:space="preserve">t</w:t>
      </w:r>
      <w:r>
        <w:t xml:space="preserve"> </w:t>
      </w:r>
      <w:r>
        <w:t xml:space="preserve">= </w:t>
      </w:r>
      <w:r>
        <w:rPr>
          <w:rFonts w:ascii="Cambria" w:hAnsi="Cambria" w:cs="Cambria" w:eastAsia="Cambria"/>
        </w:rPr>
        <w:t xml:space="preserve">Δ</w:t>
      </w:r>
      <w:r>
        <w:t xml:space="preserve">ln N</w:t>
      </w:r>
      <w:r>
        <w:rPr>
          <w:vertAlign w:val="subscript"/>
        </w:rPr>
        <w:t xml:space="preserve">t</w:t>
      </w:r>
      <w:r>
        <w:t xml:space="preserve"> </w:t>
      </w:r>
      <w:r>
        <w:t xml:space="preserve">+ </w:t>
      </w:r>
      <w:r>
        <w:rPr>
          <w:rFonts w:ascii="Cambria" w:hAnsi="Cambria" w:cs="Cambria" w:eastAsia="Cambria"/>
        </w:rPr>
        <w:t xml:space="preserve">Δ</w:t>
      </w:r>
      <w:r>
        <w:t xml:space="preserve">ln (Y</w:t>
      </w:r>
      <w:r>
        <w:rPr>
          <w:vertAlign w:val="subscript"/>
        </w:rPr>
        <w:t xml:space="preserve">t</w:t>
      </w:r>
      <w:r>
        <w:t xml:space="preserve"> </w:t>
      </w:r>
      <w:r>
        <w:t xml:space="preserve">/ N</w:t>
      </w:r>
      <w:r>
        <w:rPr>
          <w:vertAlign w:val="subscript"/>
        </w:rPr>
        <w:t xml:space="preserve">t</w:t>
      </w:r>
      <w:r>
        <w:t>)</w:t>
        <w:tab/>
        <w:t>(7)</w:t>
      </w:r>
    </w:p>
    <w:p>
      <w:pPr>
        <w:pStyle w:val="BodyText"/>
      </w:pPr>
      <w:r>
        <w:t xml:space="preserve">where the first term is the extensive margin and the second the intensive margin. H2 holds if the first term is more than half of the total.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6"/>
    <w:bookmarkStart w:id="37"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w:t>
      </w:r>
      <w:r>
        <w:t xml:space="preserve"> </w:t>
      </w:r>
      <w:r>
        <w:rPr>
          <w:bCs/>
          <w:b/>
        </w:rPr>
        <w:t xml:space="preserve">The survey can, because it asks every seller in which year it began selling online.</w:t>
      </w:r>
      <w:r>
        <w:t xml:space="preserve"> </w:t>
      </w:r>
      <w:r>
        <w:t xml:space="preserve">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w:t>
      </w:r>
      <w:r>
        <w:t xml:space="preserve"> </w:t>
      </w:r>
      <w:r>
        <w:rPr>
          <w:bCs/>
          <w:b/>
        </w:rPr>
        <w:t xml:space="preserve">The threshold is the smallest share of new sellers that can produce the rise.</w:t>
      </w:r>
      <w:r>
        <w:t xml:space="preserve"> </w:t>
      </w:r>
      <w:r>
        <w:t xml:space="preserve">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as Section 2.2 noted: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The age of the sellers behind the rise bears on the second reading, because small firms that stop are more often young (Section 2.2). Chapter 5 weighs the two readings with that evidence.</w:t>
      </w:r>
    </w:p>
    <w:bookmarkEnd w:id="37"/>
    <w:bookmarkStart w:id="38"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Table 3.3 lists them.</w:t>
      </w:r>
    </w:p>
    <w:p>
      <w:pPr>
        <w:pStyle w:val="BodyText"/>
        <w:keepNext/>
        <w:spacing w:before="140" w:after="56" w:lineRule="exact" w:line="246"/>
        <w:jc w:val="left"/>
      </w:pPr>
      <w:r>
        <w:rPr>
          <w:b/>
          <w:sz w:val="17"/>
        </w:rPr>
        <w:t>Table 3.3.</w:t>
      </w:r>
      <w:r>
        <w:rPr>
          <w:b w:val="0"/>
          <w:sz w:val="17"/>
        </w:rPr>
        <w:t xml:space="preserve"> Further analyses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1854"/>
        <w:gridCol w:w="4404"/>
        <w:gridCol w:w="3940"/>
      </w:tblGrid>
      <w:tr>
        <w:trPr>
          <w:tblHeader w:val="true"/>
          <w:cantSplit/>
          <w:tblHeader/>
        </w:trPr>
        <w:tc>
          <w:tcPr>
            <w:tcW w:w="1854" w:type="dxa"/>
            <w:tcBorders>
              <w:bottom w:val="single" w:sz="4" w:space="0" w:color="111111"/>
            </w:tcBorders>
          </w:tcPr>
          <w:p>
            <w:pPr>
              <w:pStyle w:val="Compact"/>
              <w:spacing w:before="0" w:after="0" w:lineRule="exact" w:line="200"/>
              <w:jc w:val="left"/>
            </w:pPr>
            <w:r>
              <w:rPr>
                <w:b/>
                <w:sz w:val="16"/>
              </w:rPr>
              <w:t xml:space="preserve">Analysis</w:t>
            </w:r>
          </w:p>
        </w:tc>
        <w:tc>
          <w:tcPr>
            <w:tcW w:w="4404" w:type="dxa"/>
            <w:tcBorders>
              <w:bottom w:val="single" w:sz="4" w:space="0" w:color="111111"/>
            </w:tcBorders>
          </w:tcPr>
          <w:p>
            <w:pPr>
              <w:pStyle w:val="Compact"/>
              <w:spacing w:before="0" w:after="0" w:lineRule="exact" w:line="200"/>
              <w:jc w:val="left"/>
            </w:pPr>
            <w:r>
              <w:rPr>
                <w:b/>
                <w:sz w:val="16"/>
              </w:rPr>
              <w:t xml:space="preserve">What it asks</w:t>
            </w:r>
          </w:p>
        </w:tc>
        <w:tc>
          <w:tcPr>
            <w:tcW w:w="3940" w:type="dxa"/>
            <w:tcBorders>
              <w:bottom w:val="single" w:sz="4" w:space="0" w:color="111111"/>
            </w:tcBorders>
          </w:tcPr>
          <w:p>
            <w:pPr>
              <w:pStyle w:val="Compact"/>
              <w:spacing w:before="0" w:after="0" w:lineRule="exact" w:line="200"/>
              <w:jc w:val="left"/>
            </w:pPr>
            <w:r>
              <w:rPr>
                <w:b/>
                <w:sz w:val="16"/>
              </w:rPr>
              <w:t xml:space="preserve">Main evidence</w:t>
            </w:r>
          </w:p>
        </w:tc>
      </w:tr>
      <w:tr>
        <w:trPr>
          <w:cantSplit/>
        </w:trPr>
        <w:tc>
          <w:tcPr>
            <w:tcW w:w="1854" w:type="dxa"/>
          </w:tcPr>
          <w:p>
            <w:pPr>
              <w:pStyle w:val="Compact"/>
              <w:spacing w:before="0" w:after="0" w:lineRule="exact" w:line="200"/>
              <w:jc w:val="left"/>
            </w:pPr>
            <w:r>
              <w:rPr>
                <w:sz w:val="16"/>
              </w:rPr>
              <w:t xml:space="preserve">Tracing large movements</w:t>
            </w:r>
          </w:p>
        </w:tc>
        <w:tc>
          <w:tcPr>
            <w:tcW w:w="4404" w:type="dxa"/>
          </w:tcPr>
          <w:p>
            <w:pPr>
              <w:pStyle w:val="Compact"/>
              <w:spacing w:before="0" w:after="0" w:lineRule="exact" w:line="200"/>
              <w:jc w:val="left"/>
            </w:pPr>
            <w:r>
              <w:rPr>
                <w:sz w:val="16"/>
              </w:rPr>
              <w:t xml:space="preserve">What moved revenue when it parted from transaction value?</w:t>
            </w:r>
          </w:p>
        </w:tc>
        <w:tc>
          <w:tcPr>
            <w:tcW w:w="3940" w:type="dxa"/>
          </w:tcPr>
          <w:p>
            <w:pPr>
              <w:pStyle w:val="Compact"/>
              <w:spacing w:before="0" w:after="0" w:lineRule="exact" w:line="200"/>
              <w:jc w:val="left"/>
            </w:pPr>
            <w:r>
              <w:rPr>
                <w:sz w:val="16"/>
              </w:rPr>
              <w:t xml:space="preserve">Equations (5) and (6), applied to company reports</w:t>
            </w:r>
          </w:p>
        </w:tc>
      </w:tr>
      <w:tr>
        <w:trPr>
          <w:cantSplit/>
        </w:trPr>
        <w:tc>
          <w:tcPr>
            <w:tcW w:w="1854" w:type="dxa"/>
          </w:tcPr>
          <w:p>
            <w:pPr>
              <w:pStyle w:val="Compact"/>
              <w:spacing w:before="0" w:after="0" w:lineRule="exact" w:line="200"/>
              <w:jc w:val="left"/>
            </w:pPr>
            <w:r>
              <w:rPr>
                <w:sz w:val="16"/>
              </w:rPr>
              <w:t xml:space="preserve">Market values</w:t>
            </w:r>
          </w:p>
        </w:tc>
        <w:tc>
          <w:tcPr>
            <w:tcW w:w="4404" w:type="dxa"/>
          </w:tcPr>
          <w:p>
            <w:pPr>
              <w:pStyle w:val="Compact"/>
              <w:spacing w:before="0" w:after="0" w:lineRule="exact" w:line="200"/>
              <w:jc w:val="left"/>
            </w:pPr>
            <w:r>
              <w:rPr>
                <w:sz w:val="16"/>
              </w:rPr>
              <w:t xml:space="preserve">Do markets value growth from more commerce differently from growth in the take rate?</w:t>
            </w:r>
          </w:p>
        </w:tc>
        <w:tc>
          <w:tcPr>
            <w:tcW w:w="3940" w:type="dxa"/>
          </w:tcPr>
          <w:p>
            <w:pPr>
              <w:pStyle w:val="Compact"/>
              <w:spacing w:before="0" w:after="0" w:lineRule="exact" w:line="200"/>
              <w:jc w:val="left"/>
            </w:pPr>
            <w:r>
              <w:rPr>
                <w:sz w:val="16"/>
              </w:rPr>
              <w:t xml:space="preserve">Year-end market values of listed platforms</w:t>
            </w:r>
          </w:p>
        </w:tc>
      </w:tr>
      <w:tr>
        <w:trPr>
          <w:cantSplit/>
        </w:trPr>
        <w:tc>
          <w:tcPr>
            <w:tcW w:w="1854" w:type="dxa"/>
          </w:tcPr>
          <w:p>
            <w:pPr>
              <w:pStyle w:val="Compact"/>
              <w:spacing w:before="0" w:after="0" w:lineRule="exact" w:line="200"/>
              <w:jc w:val="left"/>
            </w:pPr>
            <w:r>
              <w:rPr>
                <w:sz w:val="16"/>
              </w:rPr>
              <w:t xml:space="preserve">Channels and reach</w:t>
            </w:r>
          </w:p>
        </w:tc>
        <w:tc>
          <w:tcPr>
            <w:tcW w:w="4404" w:type="dxa"/>
          </w:tcPr>
          <w:p>
            <w:pPr>
              <w:pStyle w:val="Compact"/>
              <w:spacing w:before="0" w:after="0" w:lineRule="exact" w:line="200"/>
              <w:jc w:val="left"/>
            </w:pPr>
            <w:r>
              <w:rPr>
                <w:sz w:val="16"/>
              </w:rPr>
              <w:t xml:space="preserve">How much online selling passes through marketplaces, and how far can rules built on platform records reach?</w:t>
            </w:r>
          </w:p>
        </w:tc>
        <w:tc>
          <w:tcPr>
            <w:tcW w:w="3940" w:type="dxa"/>
          </w:tcPr>
          <w:p>
            <w:pPr>
              <w:pStyle w:val="Compact"/>
              <w:spacing w:before="0" w:after="0" w:lineRule="exact" w:line="200"/>
              <w:jc w:val="left"/>
            </w:pPr>
            <w:r>
              <w:rPr>
                <w:sz w:val="16"/>
              </w:rPr>
              <w:t xml:space="preserve">BPS’s channel shares and survey files</w:t>
            </w:r>
          </w:p>
        </w:tc>
      </w:tr>
      <w:tr>
        <w:trPr>
          <w:cantSplit/>
        </w:trPr>
        <w:tc>
          <w:tcPr>
            <w:tcW w:w="1854" w:type="dxa"/>
          </w:tcPr>
          <w:p>
            <w:pPr>
              <w:pStyle w:val="Compact"/>
              <w:spacing w:before="0" w:after="0" w:lineRule="exact" w:line="200"/>
              <w:jc w:val="left"/>
            </w:pPr>
            <w:r>
              <w:rPr>
                <w:sz w:val="16"/>
              </w:rPr>
              <w:t xml:space="preserve">Comparing national figures</w:t>
            </w:r>
          </w:p>
        </w:tc>
        <w:tc>
          <w:tcPr>
            <w:tcW w:w="4404" w:type="dxa"/>
          </w:tcPr>
          <w:p>
            <w:pPr>
              <w:pStyle w:val="Compact"/>
              <w:spacing w:before="0" w:after="0" w:lineRule="exact" w:line="200"/>
              <w:jc w:val="left"/>
            </w:pPr>
            <w:r>
              <w:rPr>
                <w:sz w:val="16"/>
              </w:rPr>
              <w:t xml:space="preserve">Do national figures tell the same story of growth?</w:t>
            </w:r>
          </w:p>
        </w:tc>
        <w:tc>
          <w:tcPr>
            <w:tcW w:w="3940" w:type="dxa"/>
          </w:tcPr>
          <w:p>
            <w:pPr>
              <w:pStyle w:val="Compact"/>
              <w:spacing w:before="0" w:after="0" w:lineRule="exact" w:line="200"/>
              <w:jc w:val="left"/>
            </w:pPr>
            <w:r>
              <w:rPr>
                <w:sz w:val="16"/>
              </w:rPr>
              <w:t xml:space="preserve">BPS, Bank Indonesia, industry estimates and household spending</w:t>
            </w:r>
          </w:p>
        </w:tc>
      </w:tr>
    </w:tbl>
    <w:p>
      <w:pPr>
        <w:pStyle w:val="BodyText"/>
        <w:spacing w:before="114"/>
      </w:pPr>
      <w:r>
        <w:t xml:space="preserve">Tracing large movements applies the split of Section 3.3. Wherever H1 finds a large change in the take rate, the thesis divides the change in revenue into its parts. It also reads the company’s reports for changes in the mix of businesses and in reporting scope.</w:t>
      </w:r>
    </w:p>
    <w:p>
      <w:pPr>
        <w:pStyle w:val="BodyText"/>
      </w:pPr>
      <w:r>
        <w:t xml:space="preserve">The market-value analysis asks whether investors, who price revenue (Section 2.1), treat its two sources alike. Equation (5) shows that revenue can grow in two ways, through more commerce or through a larger take rate.</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Equation"/>
      </w:pPr>
      <w:r>
        <w:tab/>
      </w:r>
      <w:r>
        <w:rPr>
          <w:rFonts w:ascii="Cambria" w:hAnsi="Cambria" w:cs="Cambria" w:eastAsia="Cambria"/>
        </w:rPr>
        <w:t xml:space="preserve">Δ</w:t>
      </w:r>
      <w:r>
        <w:t xml:space="preserve">ln MV</w:t>
      </w:r>
      <w:r>
        <w:rPr>
          <w:vertAlign w:val="subscript"/>
        </w:rPr>
        <w:t xml:space="preserve">it</w:t>
      </w:r>
      <w:r>
        <w:t xml:space="preserve"> </w:t>
      </w:r>
      <w:r>
        <w:t xml:space="preserve">= </w:t>
      </w:r>
      <w:r>
        <w:rPr>
          <w:rFonts w:ascii="Cambria" w:hAnsi="Cambria" w:cs="Cambria" w:eastAsia="Cambria"/>
        </w:rPr>
        <w:t xml:space="preserve">β</w:t>
      </w:r>
      <w:r>
        <w:rPr>
          <w:vertAlign w:val="subscript"/>
        </w:rPr>
        <w:t xml:space="preserve">V</w:t>
      </w:r>
      <w:r>
        <w:t xml:space="preserve"> </w:t>
      </w:r>
      <w:r>
        <w:rPr>
          <w:rFonts w:ascii="Cambria" w:hAnsi="Cambria" w:cs="Cambria" w:eastAsia="Cambria"/>
        </w:rPr>
        <w:t xml:space="preserve">Δ</w:t>
      </w:r>
      <w:r>
        <w:t xml:space="preserve">ln V</w:t>
      </w:r>
      <w:r>
        <w:rPr>
          <w:vertAlign w:val="subscript"/>
        </w:rPr>
        <w:t xml:space="preserve">it</w:t>
      </w:r>
      <w:r>
        <w:t xml:space="preserve"> </w:t>
      </w:r>
      <w:r>
        <w:t xml:space="preserve">+ </w:t>
      </w:r>
      <w:r>
        <w:rPr>
          <w:rFonts w:ascii="Cambria" w:hAnsi="Cambria" w:cs="Cambria" w:eastAsia="Cambria"/>
        </w:rPr>
        <w:t xml:space="preserve">β</w:t>
      </w:r>
      <w:r>
        <w:rPr>
          <w:vertAlign w:val="subscript"/>
        </w:rPr>
        <w:t xml:space="preserve">m</w:t>
      </w:r>
      <w:r>
        <w:t xml:space="preserve"> </w:t>
      </w:r>
      <w:r>
        <w:rPr>
          <w:rFonts w:ascii="Cambria" w:hAnsi="Cambria" w:cs="Cambria" w:eastAsia="Cambria"/>
        </w:rPr>
        <w:t xml:space="preserve">Δ</w:t>
      </w:r>
      <w:r>
        <w:t xml:space="preserve">ln m</w:t>
      </w:r>
      <w:r>
        <w:rPr>
          <w:vertAlign w:val="subscript"/>
        </w:rPr>
        <w:t xml:space="preserve">it</w:t>
      </w:r>
      <w:r>
        <w:t xml:space="preserve"> </w:t>
      </w:r>
      <w:r>
        <w:t>+ year effect + error</w:t>
        <w:tab/>
        <w:t>(8)</w:t>
      </w:r>
    </w:p>
    <w:p>
      <w:pPr>
        <w:pStyle w:val="BodyText"/>
      </w:pPr>
      <w:r>
        <w:t xml:space="preserve">where </w:t>
      </w:r>
      <w:r>
        <w:rPr>
          <w:rFonts w:ascii="Cambria" w:hAnsi="Cambria" w:cs="Cambria" w:eastAsia="Cambria"/>
        </w:rPr>
        <w:t xml:space="preserve">β</w:t>
      </w:r>
      <w:r>
        <w:rPr>
          <w:vertAlign w:val="subscript"/>
        </w:rPr>
        <w:t xml:space="preserve">V</w:t>
      </w:r>
      <w:r>
        <w:t xml:space="preserve"> </w:t>
      </w:r>
      <w:r>
        <w:t xml:space="preserve">shows how market value moves with transaction value, and </w:t>
      </w:r>
      <w:r>
        <w:rPr>
          <w:rFonts w:ascii="Cambria" w:hAnsi="Cambria" w:cs="Cambria" w:eastAsia="Cambria"/>
        </w:rPr>
        <w:t xml:space="preserve">β</w:t>
      </w:r>
      <w:r>
        <w:rPr>
          <w:vertAlign w:val="subscript"/>
        </w:rPr>
        <w:t xml:space="preserve">m</w:t>
      </w:r>
      <w:r>
        <w:t xml:space="preserve"> </w:t>
      </w:r>
      <w:r>
        <w:t xml:space="preserve">how it moves with the take rate. Two predictions were written down before the market values were collected. The first is that market value moves with transaction value, so </w:t>
      </w:r>
      <w:r>
        <w:rPr>
          <w:rFonts w:ascii="Cambria" w:hAnsi="Cambria" w:cs="Cambria" w:eastAsia="Cambria"/>
        </w:rPr>
        <w:t xml:space="preserve">β</w:t>
      </w:r>
      <w:r>
        <w:rPr>
          <w:vertAlign w:val="subscript"/>
        </w:rPr>
        <w:t xml:space="preserve">V</w:t>
      </w:r>
      <w:r>
        <w:t xml:space="preserve"> </w:t>
      </w:r>
      <w:r>
        <w:t xml:space="preserve">is positive. The second is that markets value growth from more commerce more than growth from a higher take rate, so </w:t>
      </w:r>
      <w:r>
        <w:rPr>
          <w:rFonts w:ascii="Cambria" w:hAnsi="Cambria" w:cs="Cambria" w:eastAsia="Cambria"/>
        </w:rPr>
        <w:t xml:space="preserve">β</w:t>
      </w:r>
      <w:r>
        <w:rPr>
          <w:vertAlign w:val="subscript"/>
        </w:rPr>
        <w:t xml:space="preserve">V</w:t>
      </w:r>
      <w:r>
        <w:t xml:space="preserve"> </w:t>
      </w:r>
      <w:r>
        <w:t xml:space="preserve">is larger than </w:t>
      </w:r>
      <w:r>
        <w:rPr>
          <w:rFonts w:ascii="Cambria" w:hAnsi="Cambria" w:cs="Cambria" w:eastAsia="Cambria"/>
        </w:rPr>
        <w:t xml:space="preserve">β</w:t>
      </w:r>
      <w:r>
        <w:rPr>
          <w:vertAlign w:val="subscript"/>
        </w:rPr>
        <w:t xml:space="preserve">m</w:t>
      </w:r>
      <w:r>
        <w:t xml:space="preserve">.</w:t>
      </w:r>
    </w:p>
    <w:p>
      <w:pPr>
        <w:pStyle w:val="BodyText"/>
      </w:pPr>
      <w:r>
        <w:t xml:space="preserve">The channel analysis answers the third question of Section 2.4. A rule built on platform records reaches only the sellers whose sales pass through a platform. Its reach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3.1. Platform reports, BPS’s survey, Bank Indonesia’s statistics and industry estimates count different things.</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8"/>
    <w:bookmarkEnd w:id="39"/>
    <w:bookmarkStart w:id="50" w:name="chapter-4.-data-and-methods"/>
    <w:p>
      <w:pPr>
        <w:pStyle w:val="Heading1"/>
      </w:pPr>
      <w:r>
        <w:t xml:space="preserve">Chapter 4. Data and Methods</w:t>
      </w:r>
    </w:p>
    <w:p>
      <w:pPr>
        <w:pStyle w:val="FirstParagraph"/>
      </w:pPr>
      <w:r>
        <w:rPr>
          <w:bCs/>
          <w:b/>
        </w:rPr>
        <w:t xml:space="preserve">The figures this thesis compares come from sources that were never designed to be read together.</w:t>
      </w:r>
      <w:r>
        <w:t xml:space="preserve"> </w:t>
      </w:r>
      <w:r>
        <w:t xml:space="preserve">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Grab, a Singapore company that runs rides and deliveries across Southeast Asia, completes the group. Sea, also based in Singapore, owns the Shopee marketplace and is read with the foreign platforms (Section 4.1).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rPr>
          <w:bCs/>
          <w:b/>
        </w:rPr>
        <w:t xml:space="preserve">Setting the two sides against each other for one country is what makes the tests possible.</w:t>
      </w:r>
      <w:r>
        <w:t xml:space="preserve"> </w:t>
      </w:r>
      <w:r>
        <w:t xml:space="preserve">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platforms first (Sections 4.1 to 4.5) and then the survey (Sections 4.6 to 4.8). It ends with the comparison of national figures and with how every number is labelled and traced (Sections 4.9 and 4.10).</w:t>
      </w:r>
    </w:p>
    <w:bookmarkStart w:id="40"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Table 4.1.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keepNext/>
        <w:spacing w:before="140" w:after="56" w:lineRule="exact" w:line="246"/>
        <w:jc w:val="left"/>
      </w:pPr>
      <w:r>
        <w:rPr>
          <w:b/>
          <w:sz w:val="17"/>
        </w:rPr>
        <w:t>Table 4.1.</w:t>
      </w:r>
      <w:r>
        <w:rPr>
          <w:b w:val="0"/>
          <w:sz w:val="17"/>
        </w:rPr>
        <w:t xml:space="preserve"> The Indonesian and regional group of platforms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1100"/>
        <w:gridCol w:w="3531"/>
        <w:gridCol w:w="1100"/>
        <w:gridCol w:w="874"/>
        <w:gridCol w:w="3594"/>
      </w:tblGrid>
      <w:tr>
        <w:trPr>
          <w:tblHeader w:val="true"/>
          <w:cantSplit/>
          <w:tblHeader/>
        </w:trPr>
        <w:tc>
          <w:tcPr>
            <w:tcW w:w="1100" w:type="dxa"/>
            <w:tcBorders>
              <w:bottom w:val="single" w:sz="4" w:space="0" w:color="111111"/>
            </w:tcBorders>
          </w:tcPr>
          <w:p>
            <w:pPr>
              <w:pStyle w:val="Compact"/>
              <w:spacing w:before="0" w:after="0" w:lineRule="exact" w:line="200"/>
              <w:jc w:val="left"/>
            </w:pPr>
            <w:r>
              <w:rPr>
                <w:b/>
                <w:sz w:val="16"/>
              </w:rPr>
              <w:t xml:space="preserve">Platform series</w:t>
            </w:r>
          </w:p>
        </w:tc>
        <w:tc>
          <w:tcPr>
            <w:tcW w:w="3531" w:type="dxa"/>
            <w:tcBorders>
              <w:bottom w:val="single" w:sz="4" w:space="0" w:color="111111"/>
            </w:tcBorders>
          </w:tcPr>
          <w:p>
            <w:pPr>
              <w:pStyle w:val="Compact"/>
              <w:spacing w:before="0" w:after="0" w:lineRule="exact" w:line="200"/>
              <w:jc w:val="left"/>
            </w:pPr>
            <w:r>
              <w:rPr>
                <w:b/>
                <w:sz w:val="16"/>
              </w:rPr>
              <w:t xml:space="preserve">What it covers</w:t>
            </w:r>
          </w:p>
        </w:tc>
        <w:tc>
          <w:tcPr>
            <w:tcW w:w="1100" w:type="dxa"/>
            <w:tcBorders>
              <w:bottom w:val="single" w:sz="4" w:space="0" w:color="111111"/>
            </w:tcBorders>
          </w:tcPr>
          <w:p>
            <w:pPr>
              <w:pStyle w:val="Compact"/>
              <w:spacing w:before="0" w:after="0" w:lineRule="exact" w:line="200"/>
              <w:jc w:val="left"/>
            </w:pPr>
            <w:r>
              <w:rPr>
                <w:b/>
                <w:sz w:val="16"/>
              </w:rPr>
              <w:t xml:space="preserve">Years</w:t>
            </w:r>
          </w:p>
        </w:tc>
        <w:tc>
          <w:tcPr>
            <w:tcW w:w="874" w:type="dxa"/>
            <w:tcBorders>
              <w:bottom w:val="single" w:sz="4" w:space="0" w:color="111111"/>
            </w:tcBorders>
          </w:tcPr>
          <w:p>
            <w:pPr>
              <w:pStyle w:val="Compact"/>
              <w:spacing w:before="0" w:after="0" w:lineRule="exact" w:line="200"/>
              <w:jc w:val="left"/>
            </w:pPr>
            <w:r>
              <w:rPr>
                <w:b/>
                <w:sz w:val="16"/>
              </w:rPr>
              <w:t xml:space="preserve">Yearly pairs</w:t>
            </w:r>
          </w:p>
        </w:tc>
        <w:tc>
          <w:tcPr>
            <w:tcW w:w="3594" w:type="dxa"/>
            <w:tcBorders>
              <w:bottom w:val="single" w:sz="4" w:space="0" w:color="111111"/>
            </w:tcBorders>
          </w:tcPr>
          <w:p>
            <w:pPr>
              <w:pStyle w:val="Compact"/>
              <w:spacing w:before="0" w:after="0" w:lineRule="exact" w:line="200"/>
              <w:jc w:val="left"/>
            </w:pPr>
            <w:r>
              <w:rPr>
                <w:b/>
                <w:sz w:val="16"/>
              </w:rPr>
              <w:t xml:space="preserve">How it is labelled</w:t>
            </w:r>
          </w:p>
        </w:tc>
      </w:tr>
      <w:tr>
        <w:trPr>
          <w:cantSplit/>
        </w:trPr>
        <w:tc>
          <w:tcPr>
            <w:tcW w:w="1100" w:type="dxa"/>
          </w:tcPr>
          <w:p>
            <w:pPr>
              <w:pStyle w:val="Compact"/>
              <w:spacing w:before="0" w:after="0" w:lineRule="exact" w:line="200"/>
              <w:jc w:val="left"/>
            </w:pPr>
            <w:r>
              <w:rPr>
                <w:sz w:val="16"/>
              </w:rPr>
              <w:t xml:space="preserve">Tokopedia</w:t>
            </w:r>
          </w:p>
        </w:tc>
        <w:tc>
          <w:tcPr>
            <w:tcW w:w="3531" w:type="dxa"/>
          </w:tcPr>
          <w:p>
            <w:pPr>
              <w:pStyle w:val="Compact"/>
              <w:spacing w:before="0" w:after="0" w:lineRule="exact" w:line="200"/>
              <w:jc w:val="left"/>
            </w:pPr>
            <w:r>
              <w:rPr>
                <w:sz w:val="16"/>
              </w:rPr>
              <w:t xml:space="preserve">The e-commerce segment of GoTo, an Indonesian marketplace</w:t>
            </w:r>
          </w:p>
        </w:tc>
        <w:tc>
          <w:tcPr>
            <w:tcW w:w="1100" w:type="dxa"/>
          </w:tcPr>
          <w:p>
            <w:pPr>
              <w:pStyle w:val="Compact"/>
              <w:spacing w:before="0" w:after="0" w:lineRule="exact" w:line="200"/>
              <w:jc w:val="left"/>
            </w:pPr>
            <w:r>
              <w:rPr>
                <w:sz w:val="16"/>
              </w:rPr>
              <w:t xml:space="preserve">2022–2023</w:t>
            </w:r>
          </w:p>
        </w:tc>
        <w:tc>
          <w:tcPr>
            <w:tcW w:w="874" w:type="dxa"/>
          </w:tcPr>
          <w:p>
            <w:pPr>
              <w:pStyle w:val="Compact"/>
              <w:spacing w:before="0" w:after="0" w:lineRule="exact" w:line="200"/>
              <w:jc w:val="left"/>
            </w:pPr>
            <w:r>
              <w:rPr>
                <w:sz w:val="16"/>
              </w:rPr>
              <w:t xml:space="preserve">1</w:t>
            </w:r>
          </w:p>
        </w:tc>
        <w:tc>
          <w:tcPr>
            <w:tcW w:w="3594" w:type="dxa"/>
          </w:tcPr>
          <w:p>
            <w:pPr>
              <w:pStyle w:val="Compact"/>
              <w:spacing w:before="0" w:after="0" w:lineRule="exact" w:line="200"/>
              <w:jc w:val="left"/>
            </w:pPr>
            <w:r>
              <w:rPr>
                <w:sz w:val="16"/>
              </w:rPr>
              <w:t xml:space="preserve">Direct segment disclosure</w:t>
            </w:r>
          </w:p>
        </w:tc>
      </w:tr>
      <w:tr>
        <w:trPr>
          <w:cantSplit/>
        </w:trPr>
        <w:tc>
          <w:tcPr>
            <w:tcW w:w="1100" w:type="dxa"/>
          </w:tcPr>
          <w:p>
            <w:pPr>
              <w:pStyle w:val="Compact"/>
              <w:spacing w:before="0" w:after="0" w:lineRule="exact" w:line="200"/>
              <w:jc w:val="left"/>
            </w:pPr>
            <w:r>
              <w:rPr>
                <w:sz w:val="16"/>
              </w:rPr>
              <w:t xml:space="preserve">Blibli</w:t>
            </w:r>
          </w:p>
        </w:tc>
        <w:tc>
          <w:tcPr>
            <w:tcW w:w="3531" w:type="dxa"/>
          </w:tcPr>
          <w:p>
            <w:pPr>
              <w:pStyle w:val="Compact"/>
              <w:spacing w:before="0" w:after="0" w:lineRule="exact" w:line="200"/>
              <w:jc w:val="left"/>
            </w:pPr>
            <w:r>
              <w:rPr>
                <w:sz w:val="16"/>
              </w:rPr>
              <w:t xml:space="preserve">Blibli’s third-party retail segment, which includes online travel</w:t>
            </w:r>
          </w:p>
        </w:tc>
        <w:tc>
          <w:tcPr>
            <w:tcW w:w="1100" w:type="dxa"/>
          </w:tcPr>
          <w:p>
            <w:pPr>
              <w:pStyle w:val="Compact"/>
              <w:spacing w:before="0" w:after="0" w:lineRule="exact" w:line="200"/>
              <w:jc w:val="left"/>
            </w:pPr>
            <w:r>
              <w:rPr>
                <w:sz w:val="16"/>
              </w:rPr>
              <w:t xml:space="preserve">2021–2025</w:t>
            </w:r>
          </w:p>
        </w:tc>
        <w:tc>
          <w:tcPr>
            <w:tcW w:w="874" w:type="dxa"/>
          </w:tcPr>
          <w:p>
            <w:pPr>
              <w:pStyle w:val="Compact"/>
              <w:spacing w:before="0" w:after="0" w:lineRule="exact" w:line="200"/>
              <w:jc w:val="left"/>
            </w:pPr>
            <w:r>
              <w:rPr>
                <w:sz w:val="16"/>
              </w:rPr>
              <w:t xml:space="preserve">4</w:t>
            </w:r>
          </w:p>
        </w:tc>
        <w:tc>
          <w:tcPr>
            <w:tcW w:w="3594" w:type="dxa"/>
          </w:tcPr>
          <w:p>
            <w:pPr>
              <w:pStyle w:val="Compact"/>
              <w:spacing w:before="0" w:after="0" w:lineRule="exact" w:line="200"/>
              <w:jc w:val="left"/>
            </w:pPr>
            <w:r>
              <w:rPr>
                <w:sz w:val="16"/>
              </w:rPr>
              <w:t xml:space="preserve">Direct segment disclosure</w:t>
            </w:r>
          </w:p>
        </w:tc>
      </w:tr>
      <w:tr>
        <w:trPr>
          <w:cantSplit/>
        </w:trPr>
        <w:tc>
          <w:tcPr>
            <w:tcW w:w="1100" w:type="dxa"/>
          </w:tcPr>
          <w:p>
            <w:pPr>
              <w:pStyle w:val="Compact"/>
              <w:spacing w:before="0" w:after="0" w:lineRule="exact" w:line="200"/>
              <w:jc w:val="left"/>
            </w:pPr>
            <w:r>
              <w:rPr>
                <w:sz w:val="16"/>
              </w:rPr>
              <w:t xml:space="preserve">Bukalapak</w:t>
            </w:r>
          </w:p>
        </w:tc>
        <w:tc>
          <w:tcPr>
            <w:tcW w:w="3531" w:type="dxa"/>
          </w:tcPr>
          <w:p>
            <w:pPr>
              <w:pStyle w:val="Compact"/>
              <w:spacing w:before="0" w:after="0" w:lineRule="exact" w:line="200"/>
              <w:jc w:val="left"/>
            </w:pPr>
            <w:r>
              <w:rPr>
                <w:sz w:val="16"/>
              </w:rPr>
              <w:t xml:space="preserve">The whole Bukalapak group, mainly in Indonesia, including Mitra, its online-to-offline business</w:t>
            </w:r>
          </w:p>
        </w:tc>
        <w:tc>
          <w:tcPr>
            <w:tcW w:w="1100" w:type="dxa"/>
          </w:tcPr>
          <w:p>
            <w:pPr>
              <w:pStyle w:val="Compact"/>
              <w:spacing w:before="0" w:after="0" w:lineRule="exact" w:line="200"/>
              <w:jc w:val="left"/>
            </w:pPr>
            <w:r>
              <w:rPr>
                <w:sz w:val="16"/>
              </w:rPr>
              <w:t xml:space="preserve">2020–2023</w:t>
            </w:r>
          </w:p>
        </w:tc>
        <w:tc>
          <w:tcPr>
            <w:tcW w:w="874" w:type="dxa"/>
          </w:tcPr>
          <w:p>
            <w:pPr>
              <w:pStyle w:val="Compact"/>
              <w:spacing w:before="0" w:after="0" w:lineRule="exact" w:line="200"/>
              <w:jc w:val="left"/>
            </w:pPr>
            <w:r>
              <w:rPr>
                <w:sz w:val="16"/>
              </w:rPr>
              <w:t xml:space="preserve">3</w:t>
            </w:r>
          </w:p>
        </w:tc>
        <w:tc>
          <w:tcPr>
            <w:tcW w:w="3594" w:type="dxa"/>
          </w:tcPr>
          <w:p>
            <w:pPr>
              <w:pStyle w:val="Compact"/>
              <w:spacing w:before="0" w:after="0" w:lineRule="exact" w:line="200"/>
              <w:jc w:val="left"/>
            </w:pPr>
            <w:r>
              <w:rPr>
                <w:sz w:val="16"/>
              </w:rPr>
              <w:t xml:space="preserve">Direct company disclosure</w:t>
            </w:r>
          </w:p>
        </w:tc>
      </w:tr>
      <w:tr>
        <w:trPr>
          <w:cantSplit/>
        </w:trPr>
        <w:tc>
          <w:tcPr>
            <w:tcW w:w="1100" w:type="dxa"/>
          </w:tcPr>
          <w:p>
            <w:pPr>
              <w:pStyle w:val="Compact"/>
              <w:spacing w:before="0" w:after="0" w:lineRule="exact" w:line="200"/>
              <w:jc w:val="left"/>
            </w:pPr>
            <w:r>
              <w:rPr>
                <w:sz w:val="16"/>
              </w:rPr>
              <w:t xml:space="preserve">Grab on-demand</w:t>
            </w:r>
          </w:p>
        </w:tc>
        <w:tc>
          <w:tcPr>
            <w:tcW w:w="3531" w:type="dxa"/>
          </w:tcPr>
          <w:p>
            <w:pPr>
              <w:pStyle w:val="Compact"/>
              <w:spacing w:before="0" w:after="0" w:lineRule="exact" w:line="200"/>
              <w:jc w:val="left"/>
            </w:pPr>
            <w:r>
              <w:rPr>
                <w:sz w:val="16"/>
              </w:rPr>
              <w:t xml:space="preserve">Grab’s rides and deliveries across Southeast Asia, not Indonesia alone</w:t>
            </w:r>
          </w:p>
        </w:tc>
        <w:tc>
          <w:tcPr>
            <w:tcW w:w="1100" w:type="dxa"/>
          </w:tcPr>
          <w:p>
            <w:pPr>
              <w:pStyle w:val="Compact"/>
              <w:spacing w:before="0" w:after="0" w:lineRule="exact" w:line="200"/>
              <w:jc w:val="left"/>
            </w:pPr>
            <w:r>
              <w:rPr>
                <w:sz w:val="16"/>
              </w:rPr>
              <w:t xml:space="preserve">2020–2024</w:t>
            </w:r>
          </w:p>
        </w:tc>
        <w:tc>
          <w:tcPr>
            <w:tcW w:w="874" w:type="dxa"/>
          </w:tcPr>
          <w:p>
            <w:pPr>
              <w:pStyle w:val="Compact"/>
              <w:spacing w:before="0" w:after="0" w:lineRule="exact" w:line="200"/>
              <w:jc w:val="left"/>
            </w:pPr>
            <w:r>
              <w:rPr>
                <w:sz w:val="16"/>
              </w:rPr>
              <w:t xml:space="preserve">4</w:t>
            </w:r>
          </w:p>
        </w:tc>
        <w:tc>
          <w:tcPr>
            <w:tcW w:w="3594" w:type="dxa"/>
          </w:tcPr>
          <w:p>
            <w:pPr>
              <w:pStyle w:val="Compact"/>
              <w:spacing w:before="0" w:after="0" w:lineRule="exact" w:line="200"/>
              <w:jc w:val="left"/>
            </w:pPr>
            <w:r>
              <w:rPr>
                <w:sz w:val="16"/>
              </w:rPr>
              <w:t xml:space="preserve">Direct segment disclosure</w:t>
            </w:r>
          </w:p>
        </w:tc>
      </w:tr>
      <w:tr>
        <w:trPr>
          <w:cantSplit/>
        </w:trPr>
        <w:tc>
          <w:tcPr>
            <w:tcW w:w="1100" w:type="dxa"/>
          </w:tcPr>
          <w:p>
            <w:pPr>
              <w:pStyle w:val="Compact"/>
              <w:spacing w:before="0" w:after="0" w:lineRule="exact" w:line="200"/>
              <w:jc w:val="left"/>
            </w:pPr>
            <w:r>
              <w:rPr>
                <w:sz w:val="16"/>
              </w:rPr>
              <w:t xml:space="preserve">GoTo on-demand</w:t>
            </w:r>
          </w:p>
        </w:tc>
        <w:tc>
          <w:tcPr>
            <w:tcW w:w="3531" w:type="dxa"/>
          </w:tcPr>
          <w:p>
            <w:pPr>
              <w:pStyle w:val="Compact"/>
              <w:spacing w:before="0" w:after="0" w:lineRule="exact" w:line="200"/>
              <w:jc w:val="left"/>
            </w:pPr>
            <w:r>
              <w:rPr>
                <w:sz w:val="16"/>
              </w:rPr>
              <w:t xml:space="preserve">GoTo’s rides and deliveries segment, in Indonesia and Vietnam to 2024</w:t>
            </w:r>
          </w:p>
        </w:tc>
        <w:tc>
          <w:tcPr>
            <w:tcW w:w="1100" w:type="dxa"/>
          </w:tcPr>
          <w:p>
            <w:pPr>
              <w:pStyle w:val="Compact"/>
              <w:spacing w:before="0" w:after="0" w:lineRule="exact" w:line="200"/>
              <w:jc w:val="left"/>
            </w:pPr>
            <w:r>
              <w:rPr>
                <w:sz w:val="16"/>
              </w:rPr>
              <w:t xml:space="preserve">2022–2025</w:t>
            </w:r>
          </w:p>
        </w:tc>
        <w:tc>
          <w:tcPr>
            <w:tcW w:w="874" w:type="dxa"/>
          </w:tcPr>
          <w:p>
            <w:pPr>
              <w:pStyle w:val="Compact"/>
              <w:spacing w:before="0" w:after="0" w:lineRule="exact" w:line="200"/>
              <w:jc w:val="left"/>
            </w:pPr>
            <w:r>
              <w:rPr>
                <w:sz w:val="16"/>
              </w:rPr>
              <w:t xml:space="preserve">3</w:t>
            </w:r>
          </w:p>
        </w:tc>
        <w:tc>
          <w:tcPr>
            <w:tcW w:w="3594" w:type="dxa"/>
          </w:tcPr>
          <w:p>
            <w:pPr>
              <w:pStyle w:val="Compact"/>
              <w:spacing w:before="0" w:after="0" w:lineRule="exact" w:line="200"/>
              <w:jc w:val="left"/>
            </w:pPr>
            <w:r>
              <w:rPr>
                <w:sz w:val="16"/>
              </w:rPr>
              <w:t xml:space="preserve">Direct segment disclosure; the 2022 transaction value is an estimate</w:t>
            </w:r>
          </w:p>
        </w:tc>
      </w:tr>
    </w:tbl>
    <w:p>
      <w:pPr>
        <w:pStyle w:val="BodyText"/>
        <w:spacing w:before="114"/>
      </w:pPr>
      <w:r>
        <w:t xml:space="preserve">Table 4.1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B repeats the test without it. One added pair, Ozon from 2021 to 2022, ends in a kept year but starts in a dropped one. Appendix B repeats the test without Ozon as well. The result is 15 pairs for the Indonesian and regional group and 158 for the foreign group.</w:t>
      </w:r>
    </w:p>
    <w:bookmarkEnd w:id="40"/>
    <w:bookmarkStart w:id="41"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1"/>
    <w:bookmarkStart w:id="42" w:name="testing-h1"/>
    <w:p>
      <w:pPr>
        <w:pStyle w:val="Heading2"/>
      </w:pPr>
      <w:r>
        <w:t xml:space="preserve">4.3 Testing H1</w:t>
      </w:r>
    </w:p>
    <w:p>
      <w:pPr>
        <w:pStyle w:val="FirstParagraph"/>
      </w:pPr>
      <w:r>
        <w:t xml:space="preserve">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t>
      </w:r>
    </w:p>
    <w:p>
      <w:pPr>
        <w:pStyle w:val="BodyText"/>
      </w:pPr>
      <w:r>
        <w:t xml:space="preserve">A move in either direction counts against H1, so the test uses the size of each yearly change in the take rate.</w:t>
      </w:r>
      <w:r>
        <w:t xml:space="preserve"> </w:t>
      </w:r>
      <w:r>
        <w:rPr>
          <w:bCs/>
          <w:b/>
        </w:rPr>
        <w:t xml:space="preserve">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B lists the checks on this test. Some change the sample. They drop each platform in turn, drop two at a time, treat Tokopedia and GoTo as one company, move Sea to the regional group, keep only the first five years after listing, or narrow the test to the three marketplaces. Others change the measure: growth divergence in points as Chapter 3 defines it, exact tests, the change in the take rate in percentage points (to see whether a thin take rate explains the result), and the correlation of revenue growth with transaction value growth. One repeats the test with quarterly pairs.</w:t>
      </w:r>
    </w:p>
    <w:bookmarkEnd w:id="42"/>
    <w:bookmarkStart w:id="43" w:name="tracing-the-moves"/>
    <w:p>
      <w:pPr>
        <w:pStyle w:val="Heading2"/>
      </w:pPr>
      <w:r>
        <w:t xml:space="preserve">4.4 Tracing the moves</w:t>
      </w:r>
    </w:p>
    <w:p>
      <w:pPr>
        <w:pStyle w:val="FirstParagraph"/>
      </w:pPr>
      <w:r>
        <w:t xml:space="preserve">The second objective, to reconcile large movements in revenue with disclosed changes in fees, discounts and scope, is answered in two steps. The first divides each movement into volume and take rate with equation (5). The take-rate share is the size of the take-rate change divided by the sum of the sizes of both changes. The same split is made for the wedge.</w:t>
      </w:r>
    </w:p>
    <w:p>
      <w:pPr>
        <w:pStyle w:val="BodyText"/>
      </w:pPr>
      <w:r>
        <w:t xml:space="preserve">The second step splits the take-rate change with equation (6). Some companies disclose both their gross fees and their incentives. For them, the thesis splits the growth of revenue over a window into three parts: more commerce, a change in the fee rate and a change in the incentive rate.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t>
      </w:r>
    </w:p>
    <w:p>
      <w:pPr>
        <w:pStyle w:val="BodyText"/>
      </w:pPr>
      <w:r>
        <w:t xml:space="preserve">Grab is read from its annual filings and GoTo from its audited statements. Blibli does not report incentives, so its split rests on a proxy built from its releases. Seven windows are traced, and Appendix A lists them. The thesis also records where accounting treatment or reporting scope matters, such as the deduction of incentives from revenue and the travel business inside Blibli’s retail segment. Company explanations are read as reports and are not tested.</w:t>
      </w:r>
    </w:p>
    <w:bookmarkEnd w:id="43"/>
    <w:bookmarkStart w:id="44" w:name="market-values"/>
    <w:p>
      <w:pPr>
        <w:pStyle w:val="Heading2"/>
      </w:pPr>
      <w:r>
        <w:t xml:space="preserve">4.5 Market values</w:t>
      </w:r>
    </w:p>
    <w:p>
      <w:pPr>
        <w:pStyle w:val="FirstParagraph"/>
      </w:pPr>
      <w:r>
        <w:t xml:space="preserve">The market-value analysis of Section 3.6 uses year-end market values from the financial data service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(8)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4"/>
    <w:bookmarkStart w:id="45"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(7).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Table 4.2 lists them. 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p>
      <w:pPr>
        <w:pStyle w:val="BodyText"/>
        <w:keepNext/>
        <w:spacing w:before="140" w:after="56" w:lineRule="exact" w:line="246"/>
        <w:jc w:val="left"/>
      </w:pPr>
      <w:r>
        <w:rPr>
          <w:b/>
          <w:sz w:val="17"/>
        </w:rPr>
        <w:t>Table 4.2.</w:t>
      </w:r>
      <w:r>
        <w:rPr>
          <w:b w:val="0"/>
          <w:sz w:val="17"/>
        </w:rPr>
        <w:t xml:space="preserve"> The three BPS survey files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2300"/>
        <w:gridCol w:w="1900"/>
        <w:gridCol w:w="1600"/>
        <w:gridCol w:w="2100"/>
        <w:gridCol w:w="2300"/>
      </w:tblGrid>
      <w:tr>
        <w:trPr>
          <w:tblHeader w:val="true"/>
          <w:cantSplit/>
          <w:tblHeader/>
        </w:trPr>
        <w:tc>
          <w:tcPr>
            <w:tcW w:w="2300" w:type="dxa"/>
            <w:tcBorders>
              <w:bottom w:val="single" w:sz="4" w:space="0" w:color="111111"/>
            </w:tcBorders>
          </w:tcPr>
          <w:p>
            <w:pPr>
              <w:pStyle w:val="Compact"/>
              <w:spacing w:before="0" w:after="0" w:lineRule="exact" w:line="200"/>
              <w:jc w:val="left"/>
            </w:pPr>
            <w:r>
              <w:rPr>
                <w:b/>
                <w:sz w:val="16"/>
              </w:rPr>
              <w:t xml:space="preserve">Survey round</w:t>
            </w:r>
          </w:p>
        </w:tc>
        <w:tc>
          <w:tcPr>
            <w:tcW w:w="1900" w:type="dxa"/>
            <w:tcBorders>
              <w:bottom w:val="single" w:sz="4" w:space="0" w:color="111111"/>
            </w:tcBorders>
          </w:tcPr>
          <w:p>
            <w:pPr>
              <w:pStyle w:val="Compact"/>
              <w:spacing w:before="0" w:after="0" w:lineRule="exact" w:line="200"/>
              <w:jc w:val="left"/>
            </w:pPr>
            <w:r>
              <w:rPr>
                <w:b/>
                <w:sz w:val="16"/>
              </w:rPr>
              <w:t xml:space="preserve">Activity year</w:t>
            </w:r>
          </w:p>
        </w:tc>
        <w:tc>
          <w:tcPr>
            <w:tcW w:w="1600" w:type="dxa"/>
            <w:tcBorders>
              <w:bottom w:val="single" w:sz="4" w:space="0" w:color="111111"/>
            </w:tcBorders>
          </w:tcPr>
          <w:p>
            <w:pPr>
              <w:pStyle w:val="Compact"/>
              <w:spacing w:before="0" w:after="0" w:lineRule="exact" w:line="200"/>
              <w:jc w:val="left"/>
            </w:pPr>
            <w:r>
              <w:rPr>
                <w:b/>
                <w:sz w:val="16"/>
              </w:rPr>
              <w:t xml:space="preserve">Rows</w:t>
            </w:r>
          </w:p>
        </w:tc>
        <w:tc>
          <w:tcPr>
            <w:tcW w:w="2100" w:type="dxa"/>
            <w:tcBorders>
              <w:bottom w:val="single" w:sz="4" w:space="0" w:color="111111"/>
            </w:tcBorders>
          </w:tcPr>
          <w:p>
            <w:pPr>
              <w:pStyle w:val="Compact"/>
              <w:spacing w:before="0" w:after="0" w:lineRule="exact" w:line="200"/>
              <w:jc w:val="left"/>
            </w:pPr>
            <w:r>
              <w:rPr>
                <w:b/>
                <w:sz w:val="16"/>
              </w:rPr>
              <w:t xml:space="preserve">Weighted total</w:t>
            </w:r>
          </w:p>
        </w:tc>
        <w:tc>
          <w:tcPr>
            <w:tcW w:w="2300" w:type="dxa"/>
            <w:tcBorders>
              <w:bottom w:val="single" w:sz="4" w:space="0" w:color="111111"/>
            </w:tcBorders>
          </w:tcPr>
          <w:p>
            <w:pPr>
              <w:pStyle w:val="Compact"/>
              <w:spacing w:before="0" w:after="0" w:lineRule="exact" w:line="200"/>
              <w:jc w:val="left"/>
            </w:pPr>
            <w:r>
              <w:rPr>
                <w:b/>
                <w:sz w:val="16"/>
              </w:rPr>
              <w:t xml:space="preserve">BPS count</w:t>
            </w:r>
          </w:p>
        </w:tc>
      </w:tr>
      <w:tr>
        <w:trPr>
          <w:cantSplit/>
        </w:trPr>
        <w:tc>
          <w:tcPr>
            <w:tcW w:w="2300" w:type="dxa"/>
          </w:tcPr>
          <w:p>
            <w:pPr>
              <w:pStyle w:val="Compact"/>
              <w:spacing w:before="0" w:after="0" w:lineRule="exact" w:line="200"/>
              <w:jc w:val="left"/>
            </w:pPr>
            <w:r>
              <w:rPr>
                <w:sz w:val="16"/>
              </w:rPr>
              <w:t xml:space="preserve">E-Commerce 2021</w:t>
            </w:r>
          </w:p>
        </w:tc>
        <w:tc>
          <w:tcPr>
            <w:tcW w:w="1900" w:type="dxa"/>
          </w:tcPr>
          <w:p>
            <w:pPr>
              <w:pStyle w:val="Compact"/>
              <w:spacing w:before="0" w:after="0" w:lineRule="exact" w:line="200"/>
              <w:jc w:val="left"/>
            </w:pPr>
            <w:r>
              <w:rPr>
                <w:sz w:val="16"/>
              </w:rPr>
              <w:t xml:space="preserve">2020</w:t>
            </w:r>
          </w:p>
        </w:tc>
        <w:tc>
          <w:tcPr>
            <w:tcW w:w="1600" w:type="dxa"/>
          </w:tcPr>
          <w:p>
            <w:pPr>
              <w:pStyle w:val="Compact"/>
              <w:spacing w:before="0" w:after="0" w:lineRule="exact" w:line="200"/>
              <w:jc w:val="left"/>
            </w:pPr>
            <w:r>
              <w:rPr>
                <w:sz w:val="16"/>
              </w:rPr>
              <w:t xml:space="preserve">11,848</w:t>
            </w:r>
          </w:p>
        </w:tc>
        <w:tc>
          <w:tcPr>
            <w:tcW w:w="2100" w:type="dxa"/>
          </w:tcPr>
          <w:p>
            <w:pPr>
              <w:pStyle w:val="Compact"/>
              <w:spacing w:before="0" w:after="0" w:lineRule="exact" w:line="200"/>
              <w:jc w:val="left"/>
            </w:pPr>
            <w:r>
              <w:rPr>
                <w:sz w:val="16"/>
              </w:rPr>
              <w:t xml:space="preserve">2,361,423</w:t>
            </w:r>
          </w:p>
        </w:tc>
        <w:tc>
          <w:tcPr>
            <w:tcW w:w="2300" w:type="dxa"/>
          </w:tcPr>
          <w:p>
            <w:pPr>
              <w:pStyle w:val="Compact"/>
              <w:spacing w:before="0" w:after="0" w:lineRule="exact" w:line="200"/>
              <w:jc w:val="left"/>
            </w:pPr>
            <w:r>
              <w:rPr>
                <w:sz w:val="16"/>
              </w:rPr>
              <w:t xml:space="preserve">2,361,423</w:t>
            </w:r>
          </w:p>
        </w:tc>
      </w:tr>
      <w:tr>
        <w:trPr>
          <w:cantSplit/>
        </w:trPr>
        <w:tc>
          <w:tcPr>
            <w:tcW w:w="2300" w:type="dxa"/>
          </w:tcPr>
          <w:p>
            <w:pPr>
              <w:pStyle w:val="Compact"/>
              <w:spacing w:before="0" w:after="0" w:lineRule="exact" w:line="200"/>
              <w:jc w:val="left"/>
            </w:pPr>
            <w:r>
              <w:rPr>
                <w:sz w:val="16"/>
              </w:rPr>
              <w:t xml:space="preserve">E-Commerce 2023</w:t>
            </w:r>
          </w:p>
        </w:tc>
        <w:tc>
          <w:tcPr>
            <w:tcW w:w="1900" w:type="dxa"/>
          </w:tcPr>
          <w:p>
            <w:pPr>
              <w:pStyle w:val="Compact"/>
              <w:spacing w:before="0" w:after="0" w:lineRule="exact" w:line="200"/>
              <w:jc w:val="left"/>
            </w:pPr>
            <w:r>
              <w:rPr>
                <w:sz w:val="16"/>
              </w:rPr>
              <w:t xml:space="preserve">2022</w:t>
            </w:r>
          </w:p>
        </w:tc>
        <w:tc>
          <w:tcPr>
            <w:tcW w:w="1600" w:type="dxa"/>
          </w:tcPr>
          <w:p>
            <w:pPr>
              <w:pStyle w:val="Compact"/>
              <w:spacing w:before="0" w:after="0" w:lineRule="exact" w:line="200"/>
              <w:jc w:val="left"/>
            </w:pPr>
            <w:r>
              <w:rPr>
                <w:sz w:val="16"/>
              </w:rPr>
              <w:t xml:space="preserve">31,724</w:t>
            </w:r>
          </w:p>
        </w:tc>
        <w:tc>
          <w:tcPr>
            <w:tcW w:w="2100" w:type="dxa"/>
          </w:tcPr>
          <w:p>
            <w:pPr>
              <w:pStyle w:val="Compact"/>
              <w:spacing w:before="0" w:after="0" w:lineRule="exact" w:line="200"/>
              <w:jc w:val="left"/>
            </w:pPr>
            <w:r>
              <w:rPr>
                <w:sz w:val="16"/>
              </w:rPr>
              <w:t xml:space="preserve">2,995,986</w:t>
            </w:r>
          </w:p>
        </w:tc>
        <w:tc>
          <w:tcPr>
            <w:tcW w:w="2300" w:type="dxa"/>
          </w:tcPr>
          <w:p>
            <w:pPr>
              <w:pStyle w:val="Compact"/>
              <w:spacing w:before="0" w:after="0" w:lineRule="exact" w:line="200"/>
              <w:jc w:val="left"/>
            </w:pPr>
            <w:r>
              <w:rPr>
                <w:sz w:val="16"/>
              </w:rPr>
              <w:t xml:space="preserve">2,995,879*</w:t>
            </w:r>
          </w:p>
        </w:tc>
      </w:tr>
      <w:tr>
        <w:trPr>
          <w:cantSplit/>
        </w:trPr>
        <w:tc>
          <w:tcPr>
            <w:tcW w:w="2300" w:type="dxa"/>
          </w:tcPr>
          <w:p>
            <w:pPr>
              <w:pStyle w:val="Compact"/>
              <w:spacing w:before="0" w:after="0" w:lineRule="exact" w:line="200"/>
              <w:jc w:val="left"/>
            </w:pPr>
            <w:r>
              <w:rPr>
                <w:sz w:val="16"/>
              </w:rPr>
              <w:t xml:space="preserve">E-Commerce 2024</w:t>
            </w:r>
          </w:p>
        </w:tc>
        <w:tc>
          <w:tcPr>
            <w:tcW w:w="1900" w:type="dxa"/>
          </w:tcPr>
          <w:p>
            <w:pPr>
              <w:pStyle w:val="Compact"/>
              <w:spacing w:before="0" w:after="0" w:lineRule="exact" w:line="200"/>
              <w:jc w:val="left"/>
            </w:pPr>
            <w:r>
              <w:rPr>
                <w:sz w:val="16"/>
              </w:rPr>
              <w:t xml:space="preserve">2023</w:t>
            </w:r>
          </w:p>
        </w:tc>
        <w:tc>
          <w:tcPr>
            <w:tcW w:w="1600" w:type="dxa"/>
          </w:tcPr>
          <w:p>
            <w:pPr>
              <w:pStyle w:val="Compact"/>
              <w:spacing w:before="0" w:after="0" w:lineRule="exact" w:line="200"/>
              <w:jc w:val="left"/>
            </w:pPr>
            <w:r>
              <w:rPr>
                <w:sz w:val="16"/>
              </w:rPr>
              <w:t xml:space="preserve">39,736</w:t>
            </w:r>
          </w:p>
        </w:tc>
        <w:tc>
          <w:tcPr>
            <w:tcW w:w="2100" w:type="dxa"/>
          </w:tcPr>
          <w:p>
            <w:pPr>
              <w:pStyle w:val="Compact"/>
              <w:spacing w:before="0" w:after="0" w:lineRule="exact" w:line="200"/>
              <w:jc w:val="left"/>
            </w:pPr>
            <w:r>
              <w:rPr>
                <w:sz w:val="16"/>
              </w:rPr>
              <w:t xml:space="preserve">3,814,799</w:t>
            </w:r>
          </w:p>
        </w:tc>
        <w:tc>
          <w:tcPr>
            <w:tcW w:w="2300" w:type="dxa"/>
          </w:tcPr>
          <w:p>
            <w:pPr>
              <w:pStyle w:val="Compact"/>
              <w:spacing w:before="0" w:after="0" w:lineRule="exact" w:line="200"/>
              <w:jc w:val="left"/>
            </w:pPr>
            <w:r>
              <w:rPr>
                <w:sz w:val="16"/>
              </w:rPr>
              <w:t xml:space="preserve">3,816,750</w:t>
            </w:r>
          </w:p>
        </w:tc>
      </w:tr>
    </w:tbl>
    <w:p>
      <w:pPr>
        <w:pStyle w:val="BodyText"/>
        <w:spacing w:before="56" w:after="170" w:lineRule="exact" w:line="218"/>
        <w:jc w:val="left"/>
      </w:pPr>
      <w:r>
        <w:rPr>
          <w:color w:val="333333"/>
          <w:sz w:val="15"/>
        </w:rPr>
        <w:t xml:space="preserve">*Implied by the published count for 2023 and its published growth of 27.4 percent.</w:t>
      </w:r>
    </w:p>
    <w:bookmarkEnd w:id="45"/>
    <w:bookmarkStart w:id="46"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and who they are. They compare provinces and channels using rank correlations, look at sellers’ own reports of their sales, and use the sampling error that BPS publishes. They compare each group’s count in 2023 with what its own yearly change in 2020 to 2022 would give. They also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6"/>
    <w:bookmarkStart w:id="47"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needs revenue brackets, and only the 2021 and 2023 files have them. The thesis gives each bracket a low, a middle and a high amount, fixed before the file was opened. A check follows: the middle scenario’s 2022 total must fall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w:t>
      </w:r>
    </w:p>
    <w:p>
      <w:pPr>
        <w:pStyle w:val="BodyText"/>
      </w:pPr>
      <w:r>
        <w:t xml:space="preserve">Chapter 6 also sets each recent rule against the part of the figures it acts on. The thesis reads each legal text where it is published. It labels each rule by the status of its text: primary text read, announced, or reported in the news only.</w:t>
      </w:r>
    </w:p>
    <w:bookmarkEnd w:id="47"/>
    <w:bookmarkStart w:id="48"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Table 4.3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p>
      <w:pPr>
        <w:pStyle w:val="BodyText"/>
        <w:keepNext/>
        <w:spacing w:before="140" w:after="56" w:lineRule="exact" w:line="246"/>
        <w:jc w:val="left"/>
      </w:pPr>
      <w:r>
        <w:rPr>
          <w:b/>
          <w:sz w:val="17"/>
        </w:rPr>
        <w:t>Table 4.3.</w:t>
      </w:r>
      <w:r>
        <w:rPr>
          <w:b w:val="0"/>
          <w:sz w:val="17"/>
        </w:rPr>
        <w:t xml:space="preserve"> Sources compared in Objective 3</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2290"/>
        <w:gridCol w:w="4145"/>
        <w:gridCol w:w="3763"/>
      </w:tblGrid>
      <w:tr>
        <w:trPr>
          <w:tblHeader w:val="true"/>
          <w:cantSplit/>
          <w:tblHeader/>
        </w:trPr>
        <w:tc>
          <w:tcPr>
            <w:tcW w:w="2290" w:type="dxa"/>
            <w:tcBorders>
              <w:bottom w:val="single" w:sz="4" w:space="0" w:color="111111"/>
            </w:tcBorders>
          </w:tcPr>
          <w:p>
            <w:pPr>
              <w:pStyle w:val="Compact"/>
              <w:spacing w:before="0" w:after="0" w:lineRule="exact" w:line="200"/>
              <w:jc w:val="left"/>
            </w:pPr>
            <w:r>
              <w:rPr>
                <w:b/>
                <w:sz w:val="16"/>
              </w:rPr>
              <w:t xml:space="preserve">Source</w:t>
            </w:r>
          </w:p>
        </w:tc>
        <w:tc>
          <w:tcPr>
            <w:tcW w:w="4145" w:type="dxa"/>
            <w:tcBorders>
              <w:bottom w:val="single" w:sz="4" w:space="0" w:color="111111"/>
            </w:tcBorders>
          </w:tcPr>
          <w:p>
            <w:pPr>
              <w:pStyle w:val="Compact"/>
              <w:spacing w:before="0" w:after="0" w:lineRule="exact" w:line="200"/>
              <w:jc w:val="left"/>
            </w:pPr>
            <w:r>
              <w:rPr>
                <w:b/>
                <w:sz w:val="16"/>
              </w:rPr>
              <w:t xml:space="preserve">What it covers</w:t>
            </w:r>
          </w:p>
        </w:tc>
        <w:tc>
          <w:tcPr>
            <w:tcW w:w="3763" w:type="dxa"/>
            <w:tcBorders>
              <w:bottom w:val="single" w:sz="4" w:space="0" w:color="111111"/>
            </w:tcBorders>
          </w:tcPr>
          <w:p>
            <w:pPr>
              <w:pStyle w:val="Compact"/>
              <w:spacing w:before="0" w:after="0" w:lineRule="exact" w:line="200"/>
              <w:jc w:val="left"/>
            </w:pPr>
            <w:r>
              <w:rPr>
                <w:b/>
                <w:sz w:val="16"/>
              </w:rPr>
              <w:t xml:space="preserve">How it counts</w:t>
            </w:r>
          </w:p>
        </w:tc>
      </w:tr>
      <w:tr>
        <w:trPr>
          <w:cantSplit/>
        </w:trPr>
        <w:tc>
          <w:tcPr>
            <w:tcW w:w="2290" w:type="dxa"/>
          </w:tcPr>
          <w:p>
            <w:pPr>
              <w:pStyle w:val="Compact"/>
              <w:spacing w:before="0" w:after="0" w:lineRule="exact" w:line="200"/>
              <w:jc w:val="left"/>
            </w:pPr>
            <w:r>
              <w:rPr>
                <w:sz w:val="16"/>
              </w:rPr>
              <w:t xml:space="preserve">Platform reports</w:t>
            </w:r>
          </w:p>
        </w:tc>
        <w:tc>
          <w:tcPr>
            <w:tcW w:w="4145" w:type="dxa"/>
          </w:tcPr>
          <w:p>
            <w:pPr>
              <w:pStyle w:val="Compact"/>
              <w:spacing w:before="0" w:after="0" w:lineRule="exact" w:line="200"/>
              <w:jc w:val="left"/>
            </w:pPr>
            <w:r>
              <w:rPr>
                <w:sz w:val="16"/>
              </w:rPr>
              <w:t xml:space="preserve">Everything bought through one platform</w:t>
            </w:r>
          </w:p>
        </w:tc>
        <w:tc>
          <w:tcPr>
            <w:tcW w:w="3763" w:type="dxa"/>
          </w:tcPr>
          <w:p>
            <w:pPr>
              <w:pStyle w:val="Compact"/>
              <w:spacing w:before="0" w:after="0" w:lineRule="exact" w:line="200"/>
              <w:jc w:val="left"/>
            </w:pPr>
            <w:r>
              <w:rPr>
                <w:sz w:val="16"/>
              </w:rPr>
              <w:t xml:space="preserve">The platform’s own records</w:t>
            </w:r>
          </w:p>
        </w:tc>
      </w:tr>
      <w:tr>
        <w:trPr>
          <w:cantSplit/>
        </w:trPr>
        <w:tc>
          <w:tcPr>
            <w:tcW w:w="2290" w:type="dxa"/>
          </w:tcPr>
          <w:p>
            <w:pPr>
              <w:pStyle w:val="Compact"/>
              <w:spacing w:before="0" w:after="0" w:lineRule="exact" w:line="200"/>
              <w:jc w:val="left"/>
            </w:pPr>
            <w:r>
              <w:rPr>
                <w:sz w:val="16"/>
              </w:rPr>
              <w:t xml:space="preserve">BPS online-seller survey</w:t>
            </w:r>
          </w:p>
        </w:tc>
        <w:tc>
          <w:tcPr>
            <w:tcW w:w="4145" w:type="dxa"/>
          </w:tcPr>
          <w:p>
            <w:pPr>
              <w:pStyle w:val="Compact"/>
              <w:spacing w:before="0" w:after="0" w:lineRule="exact" w:line="200"/>
              <w:jc w:val="left"/>
            </w:pPr>
            <w:r>
              <w:rPr>
                <w:sz w:val="16"/>
              </w:rPr>
              <w:t xml:space="preserve">Every business that sold online, including chat and social media</w:t>
            </w:r>
          </w:p>
        </w:tc>
        <w:tc>
          <w:tcPr>
            <w:tcW w:w="3763" w:type="dxa"/>
          </w:tcPr>
          <w:p>
            <w:pPr>
              <w:pStyle w:val="Compact"/>
              <w:spacing w:before="0" w:after="0" w:lineRule="exact" w:line="200"/>
              <w:jc w:val="left"/>
            </w:pPr>
            <w:r>
              <w:rPr>
                <w:sz w:val="16"/>
              </w:rPr>
              <w:t xml:space="preserve">Listing in sampled areas, scaled up by survey weights</w:t>
            </w:r>
          </w:p>
        </w:tc>
      </w:tr>
      <w:tr>
        <w:trPr>
          <w:cantSplit/>
        </w:trPr>
        <w:tc>
          <w:tcPr>
            <w:tcW w:w="2290" w:type="dxa"/>
          </w:tcPr>
          <w:p>
            <w:pPr>
              <w:pStyle w:val="Compact"/>
              <w:spacing w:before="0" w:after="0" w:lineRule="exact" w:line="200"/>
              <w:jc w:val="left"/>
            </w:pPr>
            <w:r>
              <w:rPr>
                <w:sz w:val="16"/>
              </w:rPr>
              <w:t xml:space="preserve">Bank Indonesia e-commerce statistics</w:t>
            </w:r>
          </w:p>
        </w:tc>
        <w:tc>
          <w:tcPr>
            <w:tcW w:w="4145" w:type="dxa"/>
          </w:tcPr>
          <w:p>
            <w:pPr>
              <w:pStyle w:val="Compact"/>
              <w:spacing w:before="0" w:after="0" w:lineRule="exact" w:line="200"/>
              <w:jc w:val="left"/>
            </w:pPr>
            <w:r>
              <w:rPr>
                <w:sz w:val="16"/>
              </w:rPr>
              <w:t xml:space="preserve">Transactions of large e-commerce firms (Bank Indonesia 2025)</w:t>
            </w:r>
          </w:p>
        </w:tc>
        <w:tc>
          <w:tcPr>
            <w:tcW w:w="3763" w:type="dxa"/>
          </w:tcPr>
          <w:p>
            <w:pPr>
              <w:pStyle w:val="Compact"/>
              <w:spacing w:before="0" w:after="0" w:lineRule="exact" w:line="200"/>
              <w:jc w:val="left"/>
            </w:pPr>
            <w:r>
              <w:rPr>
                <w:sz w:val="16"/>
              </w:rPr>
              <w:t xml:space="preserve">Data sent to the central bank; the method is not public</w:t>
            </w:r>
          </w:p>
        </w:tc>
      </w:tr>
      <w:tr>
        <w:trPr>
          <w:cantSplit/>
        </w:trPr>
        <w:tc>
          <w:tcPr>
            <w:tcW w:w="2290" w:type="dxa"/>
          </w:tcPr>
          <w:p>
            <w:pPr>
              <w:pStyle w:val="Compact"/>
              <w:spacing w:before="0" w:after="0" w:lineRule="exact" w:line="200"/>
              <w:jc w:val="left"/>
            </w:pPr>
            <w:r>
              <w:rPr>
                <w:sz w:val="16"/>
              </w:rPr>
              <w:t xml:space="preserve">Industry estimates</w:t>
            </w:r>
          </w:p>
        </w:tc>
        <w:tc>
          <w:tcPr>
            <w:tcW w:w="4145" w:type="dxa"/>
          </w:tcPr>
          <w:p>
            <w:pPr>
              <w:pStyle w:val="Compact"/>
              <w:spacing w:before="0" w:after="0" w:lineRule="exact" w:line="200"/>
              <w:jc w:val="left"/>
            </w:pPr>
            <w:r>
              <w:rPr>
                <w:sz w:val="16"/>
              </w:rPr>
              <w:t xml:space="preserve">Shopping marketplaces in Indonesia or Southeast Asia, from the research firm Momentum Works (2024), as quoted by Setyowati (2024), and the e-Conomy report (Google, Temasek and Bain 2024)</w:t>
            </w:r>
          </w:p>
        </w:tc>
        <w:tc>
          <w:tcPr>
            <w:tcW w:w="3763" w:type="dxa"/>
          </w:tcPr>
          <w:p>
            <w:pPr>
              <w:pStyle w:val="Compact"/>
              <w:spacing w:before="0" w:after="0" w:lineRule="exact" w:line="200"/>
              <w:jc w:val="left"/>
            </w:pPr>
            <w:r>
              <w:rPr>
                <w:sz w:val="16"/>
              </w:rPr>
              <w:t xml:space="preserve">Outside estimates</w:t>
            </w:r>
          </w:p>
        </w:tc>
      </w:tr>
      <w:tr>
        <w:trPr>
          <w:cantSplit/>
        </w:trPr>
        <w:tc>
          <w:tcPr>
            <w:tcW w:w="2290" w:type="dxa"/>
          </w:tcPr>
          <w:p>
            <w:pPr>
              <w:pStyle w:val="Compact"/>
              <w:spacing w:before="0" w:after="0" w:lineRule="exact" w:line="200"/>
              <w:jc w:val="left"/>
            </w:pPr>
            <w:r>
              <w:rPr>
                <w:sz w:val="16"/>
              </w:rPr>
              <w:t xml:space="preserve">Household spending</w:t>
            </w:r>
          </w:p>
        </w:tc>
        <w:tc>
          <w:tcPr>
            <w:tcW w:w="4145" w:type="dxa"/>
          </w:tcPr>
          <w:p>
            <w:pPr>
              <w:pStyle w:val="Compact"/>
              <w:spacing w:before="0" w:after="0" w:lineRule="exact" w:line="200"/>
              <w:jc w:val="left"/>
            </w:pPr>
            <w:r>
              <w:rPr>
                <w:sz w:val="16"/>
              </w:rPr>
              <w:t xml:space="preserve">All household purchases</w:t>
            </w:r>
          </w:p>
        </w:tc>
        <w:tc>
          <w:tcPr>
            <w:tcW w:w="3763" w:type="dxa"/>
          </w:tcPr>
          <w:p>
            <w:pPr>
              <w:pStyle w:val="Compact"/>
              <w:spacing w:before="0" w:after="0" w:lineRule="exact" w:line="200"/>
              <w:jc w:val="left"/>
            </w:pPr>
            <w:r>
              <w:rPr>
                <w:sz w:val="16"/>
              </w:rPr>
              <w:t xml:space="preserve">BPS national accounts</w:t>
            </w:r>
          </w:p>
        </w:tc>
      </w:tr>
      <w:tr>
        <w:trPr>
          <w:cantSplit/>
        </w:trPr>
        <w:tc>
          <w:tcPr>
            <w:tcW w:w="2290" w:type="dxa"/>
          </w:tcPr>
          <w:p>
            <w:pPr>
              <w:pStyle w:val="Compact"/>
              <w:spacing w:before="0" w:after="0" w:lineRule="exact" w:line="200"/>
              <w:jc w:val="left"/>
            </w:pPr>
            <w:r>
              <w:rPr>
                <w:sz w:val="16"/>
              </w:rPr>
              <w:t xml:space="preserve">Payment figures</w:t>
            </w:r>
          </w:p>
        </w:tc>
        <w:tc>
          <w:tcPr>
            <w:tcW w:w="4145" w:type="dxa"/>
          </w:tcPr>
          <w:p>
            <w:pPr>
              <w:pStyle w:val="Compact"/>
              <w:spacing w:before="0" w:after="0" w:lineRule="exact" w:line="200"/>
              <w:jc w:val="left"/>
            </w:pPr>
            <w:r>
              <w:rPr>
                <w:sz w:val="16"/>
              </w:rPr>
              <w:t xml:space="preserve">Payments made through systems such as QRIS, the national QR-code system</w:t>
            </w:r>
          </w:p>
        </w:tc>
        <w:tc>
          <w:tcPr>
            <w:tcW w:w="3763" w:type="dxa"/>
          </w:tcPr>
          <w:p>
            <w:pPr>
              <w:pStyle w:val="Compact"/>
              <w:spacing w:before="0" w:after="0" w:lineRule="exact" w:line="200"/>
              <w:jc w:val="left"/>
            </w:pPr>
            <w:r>
              <w:rPr>
                <w:sz w:val="16"/>
              </w:rPr>
              <w:t xml:space="preserve">Payment records, in person and online</w:t>
            </w:r>
          </w:p>
        </w:tc>
      </w:tr>
      <w:tr>
        <w:trPr>
          <w:cantSplit/>
        </w:trPr>
        <w:tc>
          <w:tcPr>
            <w:tcW w:w="2290" w:type="dxa"/>
          </w:tcPr>
          <w:p>
            <w:pPr>
              <w:pStyle w:val="Compact"/>
              <w:spacing w:before="0" w:after="0" w:lineRule="exact" w:line="200"/>
              <w:jc w:val="left"/>
            </w:pPr>
            <w:r>
              <w:rPr>
                <w:sz w:val="16"/>
              </w:rPr>
              <w:t xml:space="preserve">Adjacent figures</w:t>
            </w:r>
          </w:p>
        </w:tc>
        <w:tc>
          <w:tcPr>
            <w:tcW w:w="4145" w:type="dxa"/>
          </w:tcPr>
          <w:p>
            <w:pPr>
              <w:pStyle w:val="Compact"/>
              <w:spacing w:before="0" w:after="0" w:lineRule="exact" w:line="200"/>
              <w:jc w:val="left"/>
            </w:pPr>
            <w:r>
              <w:rPr>
                <w:sz w:val="16"/>
              </w:rPr>
              <w:t xml:space="preserve">Parcels shipped in Southeast Asia, the value-added tax collected on foreign digital services (Directorate General of Taxes 2025), and the number of merchants a company reports</w:t>
            </w:r>
          </w:p>
        </w:tc>
        <w:tc>
          <w:tcPr>
            <w:tcW w:w="3763" w:type="dxa"/>
          </w:tcPr>
          <w:p>
            <w:pPr>
              <w:pStyle w:val="Compact"/>
              <w:spacing w:before="0" w:after="0" w:lineRule="exact" w:line="200"/>
              <w:jc w:val="left"/>
            </w:pPr>
            <w:r>
              <w:rPr>
                <w:sz w:val="16"/>
              </w:rPr>
              <w:t xml:space="preserve">Used as context only, since none measures Indonesian e-commerce</w:t>
            </w:r>
          </w:p>
        </w:tc>
      </w:tr>
    </w:tbl>
    <w:bookmarkEnd w:id="48"/>
    <w:bookmarkStart w:id="49"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314 automatic checks confirm that each recorded result still matches its table.</w:t>
      </w:r>
    </w:p>
    <w:p>
      <w:pPr>
        <w:pStyle w:val="BodyText"/>
      </w:pPr>
      <w:r>
        <w:t xml:space="preserve">The thesis also separates tests by when they were written.</w:t>
      </w:r>
      <w:r>
        <w:t xml:space="preserve"> </w:t>
      </w:r>
      <w:r>
        <w:rPr>
          <w:bCs/>
          <w:b/>
        </w:rPr>
        <w:t xml:space="preserve">A registered test was written down, dated and stored in the repository before the data were opened.</w:t>
      </w:r>
      <w:r>
        <w:t xml:space="preserve"> </w:t>
      </w:r>
      <w:r>
        <w:t xml:space="preserve">This applies to the entry test, the scenario rules for value, the comparison with Bank Indonesia and the market-value test, among others. Appendix C lists them with their dates.</w:t>
      </w:r>
      <w:r>
        <w:t xml:space="preserve"> </w:t>
      </w:r>
      <w:r>
        <w:rPr>
          <w:bCs/>
          <w:b/>
        </w:rPr>
        <w:t xml:space="preserve">An exploratory test was designed after some results were seen.</w:t>
      </w:r>
      <w:r>
        <w:t xml:space="preserve"> </w:t>
      </w:r>
      <w:r>
        <w:t xml:space="preserve">The test with the larger groups in Section 4.3 belongs here, because it was set up after a first test on the three marketplaces.</w:t>
      </w:r>
      <w:r>
        <w:t xml:space="preserve"> </w:t>
      </w:r>
      <w:r>
        <w:rPr>
          <w:bCs/>
          <w:b/>
        </w:rPr>
        <w:t xml:space="preserve">A descriptive result reports numbers without a test.</w:t>
      </w:r>
    </w:p>
    <w:p>
      <w:pPr>
        <w:pStyle w:val="BodyText"/>
      </w:pPr>
      <w:r>
        <w:t xml:space="preserve">Three sources are licensed and are not in the repository: the BPS survey files, the LSEG market values and the World Bank survey files. The repository records the size and checksum of each file, so anyone who obtains the same files can check them. It holds the code and the national totals it produces, and no business-level record. BPS is cited as the source of every survey figure, in line with the data-use agreement. Chapter 7 states what these data cannot show.</w:t>
      </w:r>
    </w:p>
    <w:bookmarkEnd w:id="49"/>
    <w:bookmarkEnd w:id="50"/>
    <w:bookmarkStart w:id="76"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Table 5.1 gives each main result with its label, the checks behind it and the section that reports it.</w:t>
      </w:r>
    </w:p>
    <w:p>
      <w:pPr>
        <w:pStyle w:val="BodyText"/>
        <w:keepNext/>
        <w:spacing w:before="140" w:after="56" w:lineRule="exact" w:line="246"/>
        <w:jc w:val="left"/>
      </w:pPr>
      <w:r>
        <w:rPr>
          <w:b/>
          <w:sz w:val="17"/>
        </w:rPr>
        <w:t>Table 5.1.</w:t>
      </w:r>
      <w:r>
        <w:rPr>
          <w:b w:val="0"/>
          <w:sz w:val="17"/>
        </w:rPr>
        <w:t xml:space="preserve"> Main results and the evidence behind them</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2971"/>
        <w:gridCol w:w="3164"/>
        <w:gridCol w:w="3164"/>
        <w:gridCol w:w="900"/>
      </w:tblGrid>
      <w:tr>
        <w:trPr>
          <w:tblHeader w:val="true"/>
          <w:cantSplit/>
          <w:tblHeader/>
        </w:trPr>
        <w:tc>
          <w:tcPr>
            <w:tcW w:w="2971" w:type="dxa"/>
            <w:tcBorders>
              <w:bottom w:val="single" w:sz="4" w:space="0" w:color="111111"/>
            </w:tcBorders>
          </w:tcPr>
          <w:p>
            <w:pPr>
              <w:pStyle w:val="Compact"/>
              <w:spacing w:before="0" w:after="0" w:lineRule="exact" w:line="200"/>
              <w:jc w:val="left"/>
            </w:pPr>
            <w:r>
              <w:rPr>
                <w:b/>
                <w:sz w:val="16"/>
              </w:rPr>
              <w:t xml:space="preserve">Result</w:t>
            </w:r>
          </w:p>
        </w:tc>
        <w:tc>
          <w:tcPr>
            <w:tcW w:w="3164" w:type="dxa"/>
            <w:tcBorders>
              <w:bottom w:val="single" w:sz="4" w:space="0" w:color="111111"/>
            </w:tcBorders>
          </w:tcPr>
          <w:p>
            <w:pPr>
              <w:pStyle w:val="Compact"/>
              <w:spacing w:before="0" w:after="0" w:lineRule="exact" w:line="200"/>
              <w:jc w:val="left"/>
            </w:pPr>
            <w:r>
              <w:rPr>
                <w:b/>
                <w:sz w:val="16"/>
              </w:rPr>
              <w:t xml:space="preserve">Label</w:t>
            </w:r>
          </w:p>
        </w:tc>
        <w:tc>
          <w:tcPr>
            <w:tcW w:w="3164" w:type="dxa"/>
            <w:tcBorders>
              <w:bottom w:val="single" w:sz="4" w:space="0" w:color="111111"/>
            </w:tcBorders>
          </w:tcPr>
          <w:p>
            <w:pPr>
              <w:pStyle w:val="Compact"/>
              <w:spacing w:before="0" w:after="0" w:lineRule="exact" w:line="200"/>
              <w:jc w:val="left"/>
            </w:pPr>
            <w:r>
              <w:rPr>
                <w:b/>
                <w:sz w:val="16"/>
              </w:rPr>
              <w:t xml:space="preserve">Main checks</w:t>
            </w:r>
          </w:p>
        </w:tc>
        <w:tc>
          <w:tcPr>
            <w:tcW w:w="900" w:type="dxa"/>
            <w:tcBorders>
              <w:bottom w:val="single" w:sz="4" w:space="0" w:color="111111"/>
            </w:tcBorders>
          </w:tcPr>
          <w:p>
            <w:pPr>
              <w:pStyle w:val="Compact"/>
              <w:spacing w:before="0" w:after="0" w:lineRule="exact" w:line="200"/>
              <w:jc w:val="left"/>
            </w:pPr>
            <w:r>
              <w:rPr>
                <w:b/>
                <w:sz w:val="16"/>
              </w:rPr>
              <w:t xml:space="preserve">Section</w:t>
            </w:r>
          </w:p>
        </w:tc>
      </w:tr>
      <w:tr>
        <w:trPr>
          <w:cantSplit/>
        </w:trPr>
        <w:tc>
          <w:tcPr>
            <w:tcW w:w="2971" w:type="dxa"/>
          </w:tcPr>
          <w:p>
            <w:pPr>
              <w:pStyle w:val="Compact"/>
              <w:spacing w:before="0" w:after="0" w:lineRule="exact" w:line="200"/>
              <w:jc w:val="left"/>
            </w:pPr>
            <w:r>
              <w:rPr>
                <w:iCs/>
                <w:i/>
                <w:sz w:val="16"/>
              </w:rPr>
              <w:t xml:space="preserve">Inner link: revenue and platform commerce</w:t>
            </w:r>
          </w:p>
        </w:tc>
        <w:tc>
          <w:tcPr>
            <w:tcW w:w="3164" w:type="dxa"/>
          </w:tcPr>
          <w:p>
            <w:pPr>
              <w:pStyle w:val="Compact"/>
              <w:spacing w:before="0" w:after="0" w:lineRule="exact" w:line="200"/>
              <w:jc w:val="left"/>
            </w:pPr>
          </w:p>
        </w:tc>
        <w:tc>
          <w:tcPr>
            <w:tcW w:w="3164" w:type="dxa"/>
          </w:tcPr>
          <w:p>
            <w:pPr>
              <w:pStyle w:val="Compact"/>
              <w:spacing w:before="0" w:after="0" w:lineRule="exact" w:line="200"/>
              <w:jc w:val="left"/>
            </w:pPr>
          </w:p>
        </w:tc>
        <w:tc>
          <w:tcPr>
            <w:tcW w:w="900" w:type="dxa"/>
          </w:tcPr>
          <w:p>
            <w:pPr>
              <w:pStyle w:val="Compact"/>
              <w:spacing w:before="0" w:after="0" w:lineRule="exact" w:line="200"/>
              <w:jc w:val="left"/>
            </w:pPr>
          </w:p>
        </w:tc>
      </w:tr>
      <w:tr>
        <w:trPr>
          <w:cantSplit/>
        </w:trPr>
        <w:tc>
          <w:tcPr>
            <w:tcW w:w="2971" w:type="dxa"/>
          </w:tcPr>
          <w:p>
            <w:pPr>
              <w:pStyle w:val="Compact"/>
              <w:spacing w:before="0" w:after="0" w:lineRule="exact" w:line="200"/>
              <w:jc w:val="left"/>
            </w:pPr>
            <w:r>
              <w:rPr>
                <w:sz w:val="16"/>
              </w:rPr>
              <w:t xml:space="preserve">Revenue was about 7 percent of what three major platforms carried in 2023; the wedge was about US$40 billion</w:t>
            </w:r>
          </w:p>
        </w:tc>
        <w:tc>
          <w:tcPr>
            <w:tcW w:w="3164" w:type="dxa"/>
          </w:tcPr>
          <w:p>
            <w:pPr>
              <w:pStyle w:val="Compact"/>
              <w:spacing w:before="0" w:after="0" w:lineRule="exact" w:line="200"/>
              <w:jc w:val="left"/>
            </w:pPr>
            <w:r>
              <w:rPr>
                <w:sz w:val="16"/>
              </w:rPr>
              <w:t xml:space="preserve">Descriptive</w:t>
            </w:r>
          </w:p>
        </w:tc>
        <w:tc>
          <w:tcPr>
            <w:tcW w:w="3164" w:type="dxa"/>
          </w:tcPr>
          <w:p>
            <w:pPr>
              <w:pStyle w:val="Compact"/>
              <w:spacing w:before="0" w:after="0" w:lineRule="exact" w:line="200"/>
              <w:jc w:val="left"/>
            </w:pPr>
            <w:r>
              <w:rPr>
                <w:sz w:val="16"/>
              </w:rPr>
              <w:t xml:space="preserve">Shopee’s take rate varied; each platform dropped in turn</w:t>
            </w:r>
          </w:p>
        </w:tc>
        <w:tc>
          <w:tcPr>
            <w:tcW w:w="900" w:type="dxa"/>
          </w:tcPr>
          <w:p>
            <w:pPr>
              <w:pStyle w:val="Compact"/>
              <w:spacing w:before="0" w:after="0" w:lineRule="exact" w:line="200"/>
              <w:jc w:val="left"/>
            </w:pPr>
            <w:r>
              <w:rPr>
                <w:sz w:val="16"/>
              </w:rPr>
              <w:t xml:space="preserve">5.1</w:t>
            </w:r>
          </w:p>
        </w:tc>
      </w:tr>
      <w:tr>
        <w:trPr>
          <w:cantSplit/>
        </w:trPr>
        <w:tc>
          <w:tcPr>
            <w:tcW w:w="2971" w:type="dxa"/>
          </w:tcPr>
          <w:p>
            <w:pPr>
              <w:pStyle w:val="Compact"/>
              <w:spacing w:before="0" w:after="0" w:lineRule="exact" w:line="200"/>
              <w:jc w:val="left"/>
            </w:pPr>
            <w:r>
              <w:rPr>
                <w:sz w:val="16"/>
              </w:rPr>
              <w:t xml:space="preserve">Take rates moved about three times as much in Indonesia and the region as abroad, so H1 is rejected</w:t>
            </w:r>
          </w:p>
        </w:tc>
        <w:tc>
          <w:tcPr>
            <w:tcW w:w="3164" w:type="dxa"/>
          </w:tcPr>
          <w:p>
            <w:pPr>
              <w:pStyle w:val="Compact"/>
              <w:spacing w:before="0" w:after="0" w:lineRule="exact" w:line="200"/>
              <w:jc w:val="left"/>
            </w:pPr>
            <w:r>
              <w:rPr>
                <w:sz w:val="16"/>
              </w:rPr>
              <w:t xml:space="preserve">Exploratory; the narrower test, set before the wider one, points the same way</w:t>
            </w:r>
          </w:p>
        </w:tc>
        <w:tc>
          <w:tcPr>
            <w:tcW w:w="3164" w:type="dxa"/>
          </w:tcPr>
          <w:p>
            <w:pPr>
              <w:pStyle w:val="Compact"/>
              <w:spacing w:before="0" w:after="0" w:lineRule="exact" w:line="200"/>
              <w:jc w:val="left"/>
            </w:pPr>
            <w:r>
              <w:rPr>
                <w:sz w:val="16"/>
              </w:rPr>
              <w:t xml:space="preserve">Each platform dropped in turn, and two at a time; exact tests; Ozon and Zalando dropped; change measured in points; quarterly pairs do not reject</w:t>
            </w:r>
          </w:p>
        </w:tc>
        <w:tc>
          <w:tcPr>
            <w:tcW w:w="900" w:type="dxa"/>
          </w:tcPr>
          <w:p>
            <w:pPr>
              <w:pStyle w:val="Compact"/>
              <w:spacing w:before="0" w:after="0" w:lineRule="exact" w:line="200"/>
              <w:jc w:val="left"/>
            </w:pPr>
            <w:r>
              <w:rPr>
                <w:sz w:val="16"/>
              </w:rPr>
              <w:t xml:space="preserve">5.2</w:t>
            </w:r>
          </w:p>
        </w:tc>
      </w:tr>
      <w:tr>
        <w:trPr>
          <w:cantSplit/>
        </w:trPr>
        <w:tc>
          <w:tcPr>
            <w:tcW w:w="2971" w:type="dxa"/>
          </w:tcPr>
          <w:p>
            <w:pPr>
              <w:pStyle w:val="Compact"/>
              <w:spacing w:before="0" w:after="0" w:lineRule="exact" w:line="200"/>
              <w:jc w:val="left"/>
            </w:pPr>
            <w:r>
              <w:rPr>
                <w:sz w:val="16"/>
              </w:rPr>
              <w:t xml:space="preserve">The thin take rate of Indonesian and regional platforms explains much of that difference</w:t>
            </w:r>
          </w:p>
        </w:tc>
        <w:tc>
          <w:tcPr>
            <w:tcW w:w="3164" w:type="dxa"/>
          </w:tcPr>
          <w:p>
            <w:pPr>
              <w:pStyle w:val="Compact"/>
              <w:spacing w:before="0" w:after="0" w:lineRule="exact" w:line="200"/>
              <w:jc w:val="left"/>
            </w:pPr>
            <w:r>
              <w:rPr>
                <w:sz w:val="16"/>
              </w:rPr>
              <w:t xml:space="preserve">Exploratory</w:t>
            </w:r>
          </w:p>
        </w:tc>
        <w:tc>
          <w:tcPr>
            <w:tcW w:w="3164" w:type="dxa"/>
          </w:tcPr>
          <w:p>
            <w:pPr>
              <w:pStyle w:val="Compact"/>
              <w:spacing w:before="0" w:after="0" w:lineRule="exact" w:line="200"/>
              <w:jc w:val="left"/>
            </w:pPr>
            <w:r>
              <w:rPr>
                <w:sz w:val="16"/>
              </w:rPr>
              <w:t xml:space="preserve">Changes in percentage points compared across groups</w:t>
            </w:r>
          </w:p>
        </w:tc>
        <w:tc>
          <w:tcPr>
            <w:tcW w:w="900" w:type="dxa"/>
          </w:tcPr>
          <w:p>
            <w:pPr>
              <w:pStyle w:val="Compact"/>
              <w:spacing w:before="0" w:after="0" w:lineRule="exact" w:line="200"/>
              <w:jc w:val="left"/>
            </w:pPr>
            <w:r>
              <w:rPr>
                <w:sz w:val="16"/>
              </w:rPr>
              <w:t xml:space="preserve">5.2</w:t>
            </w:r>
          </w:p>
        </w:tc>
      </w:tr>
      <w:tr>
        <w:trPr>
          <w:cantSplit/>
        </w:trPr>
        <w:tc>
          <w:tcPr>
            <w:tcW w:w="2971" w:type="dxa"/>
          </w:tcPr>
          <w:p>
            <w:pPr>
              <w:pStyle w:val="Compact"/>
              <w:spacing w:before="0" w:after="0" w:lineRule="exact" w:line="200"/>
              <w:jc w:val="left"/>
            </w:pPr>
            <w:r>
              <w:rPr>
                <w:sz w:val="16"/>
              </w:rPr>
              <w:t xml:space="preserve">Pricing, not more commerce, moved revenue</w:t>
            </w:r>
          </w:p>
        </w:tc>
        <w:tc>
          <w:tcPr>
            <w:tcW w:w="3164" w:type="dxa"/>
          </w:tcPr>
          <w:p>
            <w:pPr>
              <w:pStyle w:val="Compact"/>
              <w:spacing w:before="0" w:after="0" w:lineRule="exact" w:line="200"/>
              <w:jc w:val="left"/>
            </w:pPr>
            <w:r>
              <w:rPr>
                <w:sz w:val="16"/>
              </w:rPr>
              <w:t xml:space="preserve">Descriptive</w:t>
            </w:r>
          </w:p>
        </w:tc>
        <w:tc>
          <w:tcPr>
            <w:tcW w:w="3164" w:type="dxa"/>
          </w:tcPr>
          <w:p>
            <w:pPr>
              <w:pStyle w:val="Compact"/>
              <w:spacing w:before="0" w:after="0" w:lineRule="exact" w:line="200"/>
              <w:jc w:val="left"/>
            </w:pPr>
            <w:r>
              <w:rPr>
                <w:sz w:val="16"/>
              </w:rPr>
              <w:t xml:space="preserve">All 15 pairs against 158 abroad; seven traced windows; two views of Tokopedia</w:t>
            </w:r>
          </w:p>
        </w:tc>
        <w:tc>
          <w:tcPr>
            <w:tcW w:w="900" w:type="dxa"/>
          </w:tcPr>
          <w:p>
            <w:pPr>
              <w:pStyle w:val="Compact"/>
              <w:spacing w:before="0" w:after="0" w:lineRule="exact" w:line="200"/>
              <w:jc w:val="left"/>
            </w:pPr>
            <w:r>
              <w:rPr>
                <w:sz w:val="16"/>
              </w:rPr>
              <w:t xml:space="preserve">5.3</w:t>
            </w:r>
          </w:p>
        </w:tc>
      </w:tr>
      <w:tr>
        <w:trPr>
          <w:cantSplit/>
        </w:trPr>
        <w:tc>
          <w:tcPr>
            <w:tcW w:w="2971" w:type="dxa"/>
          </w:tcPr>
          <w:p>
            <w:pPr>
              <w:pStyle w:val="Compact"/>
              <w:spacing w:before="0" w:after="0" w:lineRule="exact" w:line="200"/>
              <w:jc w:val="left"/>
            </w:pPr>
            <w:r>
              <w:rPr>
                <w:sz w:val="16"/>
              </w:rPr>
              <w:t xml:space="preserve">Market value moves with transaction value</w:t>
            </w:r>
          </w:p>
        </w:tc>
        <w:tc>
          <w:tcPr>
            <w:tcW w:w="3164" w:type="dxa"/>
          </w:tcPr>
          <w:p>
            <w:pPr>
              <w:pStyle w:val="Compact"/>
              <w:spacing w:before="0" w:after="0" w:lineRule="exact" w:line="200"/>
              <w:jc w:val="left"/>
            </w:pPr>
            <w:r>
              <w:rPr>
                <w:sz w:val="16"/>
              </w:rPr>
              <w:t xml:space="preserve">Registered; holds</w:t>
            </w:r>
          </w:p>
        </w:tc>
        <w:tc>
          <w:tcPr>
            <w:tcW w:w="3164" w:type="dxa"/>
          </w:tcPr>
          <w:p>
            <w:pPr>
              <w:pStyle w:val="Compact"/>
              <w:spacing w:before="0" w:after="0" w:lineRule="exact" w:line="200"/>
              <w:jc w:val="left"/>
            </w:pPr>
            <w:r>
              <w:rPr>
                <w:sz w:val="16"/>
              </w:rPr>
              <w:t xml:space="preserve">Extreme values capped (winsorised); a second run</w:t>
            </w:r>
          </w:p>
        </w:tc>
        <w:tc>
          <w:tcPr>
            <w:tcW w:w="900" w:type="dxa"/>
          </w:tcPr>
          <w:p>
            <w:pPr>
              <w:pStyle w:val="Compact"/>
              <w:spacing w:before="0" w:after="0" w:lineRule="exact" w:line="200"/>
              <w:jc w:val="left"/>
            </w:pPr>
            <w:r>
              <w:rPr>
                <w:sz w:val="16"/>
              </w:rPr>
              <w:t xml:space="preserve">5.4</w:t>
            </w:r>
          </w:p>
        </w:tc>
      </w:tr>
      <w:tr>
        <w:trPr>
          <w:cantSplit/>
        </w:trPr>
        <w:tc>
          <w:tcPr>
            <w:tcW w:w="2971" w:type="dxa"/>
          </w:tcPr>
          <w:p>
            <w:pPr>
              <w:pStyle w:val="Compact"/>
              <w:spacing w:before="0" w:after="0" w:lineRule="exact" w:line="200"/>
              <w:jc w:val="left"/>
            </w:pPr>
            <w:r>
              <w:rPr>
                <w:sz w:val="16"/>
              </w:rPr>
              <w:t xml:space="preserve">Markets value growth from a higher take rate less</w:t>
            </w:r>
          </w:p>
        </w:tc>
        <w:tc>
          <w:tcPr>
            <w:tcW w:w="3164" w:type="dxa"/>
          </w:tcPr>
          <w:p>
            <w:pPr>
              <w:pStyle w:val="Compact"/>
              <w:spacing w:before="0" w:after="0" w:lineRule="exact" w:line="200"/>
              <w:jc w:val="left"/>
            </w:pPr>
            <w:r>
              <w:rPr>
                <w:sz w:val="16"/>
              </w:rPr>
              <w:t xml:space="preserve">Registered; does not hold in the main sample</w:t>
            </w:r>
          </w:p>
        </w:tc>
        <w:tc>
          <w:tcPr>
            <w:tcW w:w="3164" w:type="dxa"/>
          </w:tcPr>
          <w:p>
            <w:pPr>
              <w:pStyle w:val="Compact"/>
              <w:spacing w:before="0" w:after="0" w:lineRule="exact" w:line="200"/>
              <w:jc w:val="left"/>
            </w:pPr>
            <w:r>
              <w:rPr>
                <w:sz w:val="16"/>
              </w:rPr>
              <w:t xml:space="preserve">Holds only in a second run that mixes segment figures</w:t>
            </w:r>
          </w:p>
        </w:tc>
        <w:tc>
          <w:tcPr>
            <w:tcW w:w="900" w:type="dxa"/>
          </w:tcPr>
          <w:p>
            <w:pPr>
              <w:pStyle w:val="Compact"/>
              <w:spacing w:before="0" w:after="0" w:lineRule="exact" w:line="200"/>
              <w:jc w:val="left"/>
            </w:pPr>
            <w:r>
              <w:rPr>
                <w:sz w:val="16"/>
              </w:rPr>
              <w:t xml:space="preserve">5.4</w:t>
            </w:r>
          </w:p>
        </w:tc>
      </w:tr>
      <w:tr>
        <w:trPr>
          <w:cantSplit/>
        </w:trPr>
        <w:tc>
          <w:tcPr>
            <w:tcW w:w="2971" w:type="dxa"/>
          </w:tcPr>
          <w:p>
            <w:pPr>
              <w:pStyle w:val="Compact"/>
              <w:spacing w:before="0" w:after="0" w:lineRule="exact" w:line="200"/>
              <w:jc w:val="left"/>
            </w:pPr>
            <w:r>
              <w:rPr>
                <w:iCs/>
                <w:i/>
                <w:sz w:val="16"/>
              </w:rPr>
              <w:t xml:space="preserve">Outer link: platform commerce and all online commerce</w:t>
            </w:r>
          </w:p>
        </w:tc>
        <w:tc>
          <w:tcPr>
            <w:tcW w:w="3164" w:type="dxa"/>
          </w:tcPr>
          <w:p>
            <w:pPr>
              <w:pStyle w:val="Compact"/>
              <w:spacing w:before="0" w:after="0" w:lineRule="exact" w:line="200"/>
              <w:jc w:val="left"/>
            </w:pPr>
          </w:p>
        </w:tc>
        <w:tc>
          <w:tcPr>
            <w:tcW w:w="3164" w:type="dxa"/>
          </w:tcPr>
          <w:p>
            <w:pPr>
              <w:pStyle w:val="Compact"/>
              <w:spacing w:before="0" w:after="0" w:lineRule="exact" w:line="200"/>
              <w:jc w:val="left"/>
            </w:pPr>
          </w:p>
        </w:tc>
        <w:tc>
          <w:tcPr>
            <w:tcW w:w="900" w:type="dxa"/>
          </w:tcPr>
          <w:p>
            <w:pPr>
              <w:pStyle w:val="Compact"/>
              <w:spacing w:before="0" w:after="0" w:lineRule="exact" w:line="200"/>
              <w:jc w:val="left"/>
            </w:pPr>
          </w:p>
        </w:tc>
      </w:tr>
      <w:tr>
        <w:trPr>
          <w:cantSplit/>
        </w:trPr>
        <w:tc>
          <w:tcPr>
            <w:tcW w:w="2971" w:type="dxa"/>
          </w:tcPr>
          <w:p>
            <w:pPr>
              <w:pStyle w:val="Compact"/>
              <w:spacing w:before="0" w:after="0" w:lineRule="exact" w:line="200"/>
              <w:jc w:val="left"/>
            </w:pPr>
            <w:r>
              <w:rPr>
                <w:sz w:val="16"/>
              </w:rPr>
              <w:t xml:space="preserve">Buying through platforms, and sellers’ own sales, did not boom in 2023</w:t>
            </w:r>
          </w:p>
        </w:tc>
        <w:tc>
          <w:tcPr>
            <w:tcW w:w="3164" w:type="dxa"/>
          </w:tcPr>
          <w:p>
            <w:pPr>
              <w:pStyle w:val="Compact"/>
              <w:spacing w:before="0" w:after="0" w:lineRule="exact" w:line="200"/>
              <w:jc w:val="left"/>
            </w:pPr>
            <w:r>
              <w:rPr>
                <w:sz w:val="16"/>
              </w:rPr>
              <w:t xml:space="preserve">Descriptive; registered for sellers’ sales, holds</w:t>
            </w:r>
          </w:p>
        </w:tc>
        <w:tc>
          <w:tcPr>
            <w:tcW w:w="3164" w:type="dxa"/>
          </w:tcPr>
          <w:p>
            <w:pPr>
              <w:pStyle w:val="Compact"/>
              <w:spacing w:before="0" w:after="0" w:lineRule="exact" w:line="200"/>
              <w:jc w:val="left"/>
            </w:pPr>
            <w:r>
              <w:rPr>
                <w:sz w:val="16"/>
              </w:rPr>
              <w:t xml:space="preserve">Six platform measures against household spending</w:t>
            </w:r>
          </w:p>
        </w:tc>
        <w:tc>
          <w:tcPr>
            <w:tcW w:w="900" w:type="dxa"/>
          </w:tcPr>
          <w:p>
            <w:pPr>
              <w:pStyle w:val="Compact"/>
              <w:spacing w:before="0" w:after="0" w:lineRule="exact" w:line="200"/>
              <w:jc w:val="left"/>
            </w:pPr>
            <w:r>
              <w:rPr>
                <w:sz w:val="16"/>
              </w:rPr>
              <w:t xml:space="preserve">5.5</w:t>
            </w:r>
          </w:p>
        </w:tc>
      </w:tr>
      <w:tr>
        <w:trPr>
          <w:cantSplit/>
        </w:trPr>
        <w:tc>
          <w:tcPr>
            <w:tcW w:w="2971" w:type="dxa"/>
          </w:tcPr>
          <w:p>
            <w:pPr>
              <w:pStyle w:val="Compact"/>
              <w:spacing w:before="0" w:after="0" w:lineRule="exact" w:line="200"/>
              <w:jc w:val="left"/>
            </w:pPr>
            <w:r>
              <w:rPr>
                <w:sz w:val="16"/>
              </w:rPr>
              <w:t xml:space="preserve">More businesses account for most national growth, so H2 holds</w:t>
            </w:r>
          </w:p>
        </w:tc>
        <w:tc>
          <w:tcPr>
            <w:tcW w:w="3164" w:type="dxa"/>
          </w:tcPr>
          <w:p>
            <w:pPr>
              <w:pStyle w:val="Compact"/>
              <w:spacing w:before="0" w:after="0" w:lineRule="exact" w:line="200"/>
              <w:jc w:val="left"/>
            </w:pPr>
            <w:r>
              <w:rPr>
                <w:sz w:val="16"/>
              </w:rPr>
              <w:t xml:space="preserve">Descriptive</w:t>
            </w:r>
          </w:p>
        </w:tc>
        <w:tc>
          <w:tcPr>
            <w:tcW w:w="3164" w:type="dxa"/>
          </w:tcPr>
          <w:p>
            <w:pPr>
              <w:pStyle w:val="Compact"/>
              <w:spacing w:before="0" w:after="0" w:lineRule="exact" w:line="200"/>
              <w:jc w:val="left"/>
            </w:pPr>
            <w:r>
              <w:rPr>
                <w:sz w:val="16"/>
              </w:rPr>
              <w:t xml:space="preserve">Both BPS counts for 2023; two periods</w:t>
            </w:r>
          </w:p>
        </w:tc>
        <w:tc>
          <w:tcPr>
            <w:tcW w:w="900" w:type="dxa"/>
          </w:tcPr>
          <w:p>
            <w:pPr>
              <w:pStyle w:val="Compact"/>
              <w:spacing w:before="0" w:after="0" w:lineRule="exact" w:line="200"/>
              <w:jc w:val="left"/>
            </w:pPr>
            <w:r>
              <w:rPr>
                <w:sz w:val="16"/>
              </w:rPr>
              <w:t xml:space="preserve">5.6</w:t>
            </w:r>
          </w:p>
        </w:tc>
      </w:tr>
      <w:tr>
        <w:trPr>
          <w:cantSplit/>
        </w:trPr>
        <w:tc>
          <w:tcPr>
            <w:tcW w:w="2971" w:type="dxa"/>
          </w:tcPr>
          <w:p>
            <w:pPr>
              <w:pStyle w:val="Compact"/>
              <w:spacing w:before="0" w:after="0" w:lineRule="exact" w:line="200"/>
              <w:jc w:val="left"/>
            </w:pPr>
            <w:r>
              <w:rPr>
                <w:sz w:val="16"/>
              </w:rPr>
              <w:t xml:space="preserve">Too few 2023 sellers were new to produce the rise in the count (13.45 against 21.5 percent)</w:t>
            </w:r>
          </w:p>
        </w:tc>
        <w:tc>
          <w:tcPr>
            <w:tcW w:w="3164" w:type="dxa"/>
          </w:tcPr>
          <w:p>
            <w:pPr>
              <w:pStyle w:val="Compact"/>
              <w:spacing w:before="0" w:after="0" w:lineRule="exact" w:line="200"/>
              <w:jc w:val="left"/>
            </w:pPr>
            <w:r>
              <w:rPr>
                <w:sz w:val="16"/>
              </w:rPr>
              <w:t xml:space="preserve">Registered; the entry test fails</w:t>
            </w:r>
          </w:p>
        </w:tc>
        <w:tc>
          <w:tcPr>
            <w:tcW w:w="3164" w:type="dxa"/>
          </w:tcPr>
          <w:p>
            <w:pPr>
              <w:pStyle w:val="Compact"/>
              <w:spacing w:before="0" w:after="0" w:lineRule="exact" w:line="200"/>
              <w:jc w:val="left"/>
            </w:pPr>
            <w:r>
              <w:rPr>
                <w:sz w:val="16"/>
              </w:rPr>
              <w:t xml:space="preserve">Recall error would favour passing</w:t>
            </w:r>
          </w:p>
        </w:tc>
        <w:tc>
          <w:tcPr>
            <w:tcW w:w="900" w:type="dxa"/>
          </w:tcPr>
          <w:p>
            <w:pPr>
              <w:pStyle w:val="Compact"/>
              <w:spacing w:before="0" w:after="0" w:lineRule="exact" w:line="200"/>
              <w:jc w:val="left"/>
            </w:pPr>
            <w:r>
              <w:rPr>
                <w:sz w:val="16"/>
              </w:rPr>
              <w:t xml:space="preserve">5.6</w:t>
            </w:r>
          </w:p>
        </w:tc>
      </w:tr>
      <w:tr>
        <w:trPr>
          <w:cantSplit/>
        </w:trPr>
        <w:tc>
          <w:tcPr>
            <w:tcW w:w="2971" w:type="dxa"/>
          </w:tcPr>
          <w:p>
            <w:pPr>
              <w:pStyle w:val="Compact"/>
              <w:spacing w:before="0" w:after="0" w:lineRule="exact" w:line="200"/>
              <w:jc w:val="left"/>
            </w:pPr>
            <w:r>
              <w:rPr>
                <w:sz w:val="16"/>
              </w:rPr>
              <w:t xml:space="preserve">About half of the rise is not explained by first-time entry</w:t>
            </w:r>
          </w:p>
        </w:tc>
        <w:tc>
          <w:tcPr>
            <w:tcW w:w="3164" w:type="dxa"/>
          </w:tcPr>
          <w:p>
            <w:pPr>
              <w:pStyle w:val="Compact"/>
              <w:spacing w:before="0" w:after="0" w:lineRule="exact" w:line="200"/>
              <w:jc w:val="left"/>
            </w:pPr>
            <w:r>
              <w:rPr>
                <w:sz w:val="16"/>
              </w:rPr>
              <w:t xml:space="preserve">Exploratory</w:t>
            </w:r>
          </w:p>
        </w:tc>
        <w:tc>
          <w:tcPr>
            <w:tcW w:w="3164" w:type="dxa"/>
          </w:tcPr>
          <w:p>
            <w:pPr>
              <w:pStyle w:val="Compact"/>
              <w:spacing w:before="0" w:after="0" w:lineRule="exact" w:line="200"/>
              <w:jc w:val="left"/>
            </w:pPr>
            <w:r>
              <w:rPr>
                <w:sz w:val="16"/>
              </w:rPr>
              <w:t xml:space="preserve">With and without exits; cohorts; provinces; sampling error</w:t>
            </w:r>
          </w:p>
        </w:tc>
        <w:tc>
          <w:tcPr>
            <w:tcW w:w="900" w:type="dxa"/>
          </w:tcPr>
          <w:p>
            <w:pPr>
              <w:pStyle w:val="Compact"/>
              <w:spacing w:before="0" w:after="0" w:lineRule="exact" w:line="200"/>
              <w:jc w:val="left"/>
            </w:pPr>
            <w:r>
              <w:rPr>
                <w:sz w:val="16"/>
              </w:rPr>
              <w:t xml:space="preserve">5.7</w:t>
            </w:r>
          </w:p>
        </w:tc>
      </w:tr>
      <w:tr>
        <w:trPr>
          <w:cantSplit/>
        </w:trPr>
        <w:tc>
          <w:tcPr>
            <w:tcW w:w="2971" w:type="dxa"/>
          </w:tcPr>
          <w:p>
            <w:pPr>
              <w:pStyle w:val="Compact"/>
              <w:spacing w:before="0" w:after="0" w:lineRule="exact" w:line="200"/>
              <w:jc w:val="left"/>
            </w:pPr>
            <w:r>
              <w:rPr>
                <w:sz w:val="16"/>
              </w:rPr>
              <w:t xml:space="preserve">Read as wider coverage, the extra count leaves H2 near its threshold (about 42 to 54 percent)</w:t>
            </w:r>
          </w:p>
        </w:tc>
        <w:tc>
          <w:tcPr>
            <w:tcW w:w="3164" w:type="dxa"/>
          </w:tcPr>
          <w:p>
            <w:pPr>
              <w:pStyle w:val="Compact"/>
              <w:spacing w:before="0" w:after="0" w:lineRule="exact" w:line="200"/>
              <w:jc w:val="left"/>
            </w:pPr>
            <w:r>
              <w:rPr>
                <w:sz w:val="16"/>
              </w:rPr>
              <w:t xml:space="preserve">Exploratory</w:t>
            </w:r>
          </w:p>
        </w:tc>
        <w:tc>
          <w:tcPr>
            <w:tcW w:w="3164" w:type="dxa"/>
          </w:tcPr>
          <w:p>
            <w:pPr>
              <w:pStyle w:val="Compact"/>
              <w:spacing w:before="0" w:after="0" w:lineRule="exact" w:line="200"/>
              <w:jc w:val="left"/>
            </w:pPr>
            <w:r>
              <w:rPr>
                <w:sz w:val="16"/>
              </w:rPr>
              <w:t xml:space="preserve">Count and sales removed together; two exit rates</w:t>
            </w:r>
          </w:p>
        </w:tc>
        <w:tc>
          <w:tcPr>
            <w:tcW w:w="900" w:type="dxa"/>
          </w:tcPr>
          <w:p>
            <w:pPr>
              <w:pStyle w:val="Compact"/>
              <w:spacing w:before="0" w:after="0" w:lineRule="exact" w:line="200"/>
              <w:jc w:val="left"/>
            </w:pPr>
            <w:r>
              <w:rPr>
                <w:sz w:val="16"/>
              </w:rPr>
              <w:t xml:space="preserve">5.7</w:t>
            </w:r>
          </w:p>
        </w:tc>
      </w:tr>
      <w:tr>
        <w:trPr>
          <w:cantSplit/>
        </w:trPr>
        <w:tc>
          <w:tcPr>
            <w:tcW w:w="2971" w:type="dxa"/>
          </w:tcPr>
          <w:p>
            <w:pPr>
              <w:pStyle w:val="Compact"/>
              <w:spacing w:before="0" w:after="0" w:lineRule="exact" w:line="200"/>
              <w:jc w:val="left"/>
            </w:pPr>
            <w:r>
              <w:rPr>
                <w:sz w:val="16"/>
              </w:rPr>
              <w:t xml:space="preserve">The extra count leaned toward long-running businesses; returning sellers cannot be ruled out</w:t>
            </w:r>
          </w:p>
        </w:tc>
        <w:tc>
          <w:tcPr>
            <w:tcW w:w="3164" w:type="dxa"/>
          </w:tcPr>
          <w:p>
            <w:pPr>
              <w:pStyle w:val="Compact"/>
              <w:spacing w:before="0" w:after="0" w:lineRule="exact" w:line="200"/>
              <w:jc w:val="left"/>
            </w:pPr>
            <w:r>
              <w:rPr>
                <w:sz w:val="16"/>
              </w:rPr>
              <w:t xml:space="preserve">Exploratory</w:t>
            </w:r>
          </w:p>
        </w:tc>
        <w:tc>
          <w:tcPr>
            <w:tcW w:w="3164" w:type="dxa"/>
          </w:tcPr>
          <w:p>
            <w:pPr>
              <w:pStyle w:val="Compact"/>
              <w:spacing w:before="0" w:after="0" w:lineRule="exact" w:line="200"/>
              <w:jc w:val="left"/>
            </w:pPr>
            <w:r>
              <w:rPr>
                <w:sz w:val="16"/>
              </w:rPr>
              <w:t xml:space="preserve">Part-year selling</w:t>
            </w:r>
          </w:p>
        </w:tc>
        <w:tc>
          <w:tcPr>
            <w:tcW w:w="900" w:type="dxa"/>
          </w:tcPr>
          <w:p>
            <w:pPr>
              <w:pStyle w:val="Compact"/>
              <w:spacing w:before="0" w:after="0" w:lineRule="exact" w:line="200"/>
              <w:jc w:val="left"/>
            </w:pPr>
            <w:r>
              <w:rPr>
                <w:sz w:val="16"/>
              </w:rPr>
              <w:t xml:space="preserve">5.8</w:t>
            </w:r>
          </w:p>
        </w:tc>
      </w:tr>
      <w:tr>
        <w:trPr>
          <w:cantSplit/>
        </w:trPr>
        <w:tc>
          <w:tcPr>
            <w:tcW w:w="2971" w:type="dxa"/>
          </w:tcPr>
          <w:p>
            <w:pPr>
              <w:pStyle w:val="Compact"/>
              <w:spacing w:before="0" w:after="0" w:lineRule="exact" w:line="200"/>
              <w:jc w:val="left"/>
            </w:pPr>
            <w:r>
              <w:rPr>
                <w:sz w:val="16"/>
              </w:rPr>
              <w:t xml:space="preserve">Most online selling happens outside marketplaces, and records are thinner there</w:t>
            </w:r>
          </w:p>
        </w:tc>
        <w:tc>
          <w:tcPr>
            <w:tcW w:w="3164" w:type="dxa"/>
          </w:tcPr>
          <w:p>
            <w:pPr>
              <w:pStyle w:val="Compact"/>
              <w:spacing w:before="0" w:after="0" w:lineRule="exact" w:line="200"/>
              <w:jc w:val="left"/>
            </w:pPr>
            <w:r>
              <w:rPr>
                <w:sz w:val="16"/>
              </w:rPr>
              <w:t xml:space="preserve">Registered and descriptive</w:t>
            </w:r>
          </w:p>
        </w:tc>
        <w:tc>
          <w:tcPr>
            <w:tcW w:w="3164" w:type="dxa"/>
          </w:tcPr>
          <w:p>
            <w:pPr>
              <w:pStyle w:val="Compact"/>
              <w:spacing w:before="0" w:after="0" w:lineRule="exact" w:line="200"/>
              <w:jc w:val="left"/>
            </w:pPr>
            <w:r>
              <w:rPr>
                <w:sz w:val="16"/>
              </w:rPr>
              <w:t xml:space="preserve">Four survey years; World Bank surveys</w:t>
            </w:r>
          </w:p>
        </w:tc>
        <w:tc>
          <w:tcPr>
            <w:tcW w:w="900" w:type="dxa"/>
          </w:tcPr>
          <w:p>
            <w:pPr>
              <w:pStyle w:val="Compact"/>
              <w:spacing w:before="0" w:after="0" w:lineRule="exact" w:line="200"/>
              <w:jc w:val="left"/>
            </w:pPr>
            <w:r>
              <w:rPr>
                <w:sz w:val="16"/>
              </w:rPr>
              <w:t xml:space="preserve">5.9</w:t>
            </w:r>
          </w:p>
        </w:tc>
      </w:tr>
      <w:tr>
        <w:trPr>
          <w:cantSplit/>
        </w:trPr>
        <w:tc>
          <w:tcPr>
            <w:tcW w:w="2971" w:type="dxa"/>
          </w:tcPr>
          <w:p>
            <w:pPr>
              <w:pStyle w:val="Compact"/>
              <w:spacing w:before="0" w:after="0" w:lineRule="exact" w:line="200"/>
              <w:jc w:val="left"/>
            </w:pPr>
            <w:r>
              <w:rPr>
                <w:sz w:val="16"/>
              </w:rPr>
              <w:t xml:space="preserve">National figures agree only where they cover the same sellers</w:t>
            </w:r>
          </w:p>
        </w:tc>
        <w:tc>
          <w:tcPr>
            <w:tcW w:w="3164" w:type="dxa"/>
          </w:tcPr>
          <w:p>
            <w:pPr>
              <w:pStyle w:val="Compact"/>
              <w:spacing w:before="0" w:after="0" w:lineRule="exact" w:line="200"/>
              <w:jc w:val="left"/>
            </w:pPr>
            <w:r>
              <w:rPr>
                <w:sz w:val="16"/>
              </w:rPr>
              <w:t xml:space="preserve">Registered, with a mixed outcome, and descriptive</w:t>
            </w:r>
          </w:p>
        </w:tc>
        <w:tc>
          <w:tcPr>
            <w:tcW w:w="3164" w:type="dxa"/>
          </w:tcPr>
          <w:p>
            <w:pPr>
              <w:pStyle w:val="Compact"/>
              <w:spacing w:before="0" w:after="0" w:lineRule="exact" w:line="200"/>
              <w:jc w:val="left"/>
            </w:pPr>
            <w:r>
              <w:rPr>
                <w:sz w:val="16"/>
              </w:rPr>
              <w:t xml:space="preserve">Three value scenarios</w:t>
            </w:r>
          </w:p>
        </w:tc>
        <w:tc>
          <w:tcPr>
            <w:tcW w:w="900" w:type="dxa"/>
          </w:tcPr>
          <w:p>
            <w:pPr>
              <w:pStyle w:val="Compact"/>
              <w:spacing w:before="0" w:after="0" w:lineRule="exact" w:line="200"/>
              <w:jc w:val="left"/>
            </w:pPr>
            <w:r>
              <w:rPr>
                <w:sz w:val="16"/>
              </w:rPr>
              <w:t xml:space="preserve">5.10</w:t>
            </w:r>
          </w:p>
        </w:tc>
      </w:tr>
    </w:tbl>
    <w:bookmarkStart w:id="51" w:name="how-much-revenue-leaves-out"/>
    <w:p>
      <w:pPr>
        <w:pStyle w:val="Heading2"/>
      </w:pPr>
      <w:r>
        <w:t xml:space="preserve">5.1 How much revenue leaves out</w:t>
      </w:r>
    </w:p>
    <w:p>
      <w:pPr>
        <w:pStyle w:val="FirstParagraph"/>
      </w:pPr>
      <w:r>
        <w:rPr>
          <w:bCs/>
          <w:b/>
        </w:rPr>
        <w:t xml:space="preserve">Revenue showed only a small part of what Indonesia’s major platforms carried.</w:t>
      </w:r>
      <w:r>
        <w:t xml:space="preserve"> </w:t>
      </w:r>
      <w:r>
        <w:t xml:space="preserve">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5.2 shows each platform.</w:t>
      </w:r>
    </w:p>
    <w:p>
      <w:pPr>
        <w:pStyle w:val="BodyText"/>
        <w:keepNext/>
        <w:spacing w:before="140" w:after="56" w:lineRule="exact" w:line="246"/>
        <w:jc w:val="left"/>
      </w:pPr>
      <w:r>
        <w:rPr>
          <w:b/>
          <w:sz w:val="17"/>
        </w:rPr>
        <w:t>Table 5.2.</w:t>
      </w:r>
      <w:r>
        <w:rPr>
          <w:b w:val="0"/>
          <w:sz w:val="17"/>
        </w:rPr>
        <w:t xml:space="preserve"> The invisible wedge of three platforms, 2023 (US$ billion)</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1340"/>
        <w:gridCol w:w="1398"/>
        <w:gridCol w:w="990"/>
        <w:gridCol w:w="816"/>
        <w:gridCol w:w="1224"/>
        <w:gridCol w:w="4429"/>
      </w:tblGrid>
      <w:tr>
        <w:trPr>
          <w:tblHeader w:val="true"/>
          <w:cantSplit/>
          <w:tblHeader/>
        </w:trPr>
        <w:tc>
          <w:tcPr>
            <w:tcW w:w="1340" w:type="dxa"/>
            <w:tcBorders>
              <w:bottom w:val="single" w:sz="4" w:space="0" w:color="111111"/>
            </w:tcBorders>
          </w:tcPr>
          <w:p>
            <w:pPr>
              <w:pStyle w:val="Compact"/>
              <w:spacing w:before="0" w:after="0" w:lineRule="exact" w:line="200"/>
              <w:jc w:val="left"/>
            </w:pPr>
            <w:r>
              <w:rPr>
                <w:b/>
                <w:sz w:val="16"/>
              </w:rPr>
              <w:t xml:space="preserve">Platform</w:t>
            </w:r>
          </w:p>
        </w:tc>
        <w:tc>
          <w:tcPr>
            <w:tcW w:w="1398" w:type="dxa"/>
            <w:tcBorders>
              <w:bottom w:val="single" w:sz="4" w:space="0" w:color="111111"/>
            </w:tcBorders>
          </w:tcPr>
          <w:p>
            <w:pPr>
              <w:pStyle w:val="Compact"/>
              <w:spacing w:before="0" w:after="0" w:lineRule="exact" w:line="200"/>
              <w:jc w:val="left"/>
            </w:pPr>
            <w:r>
              <w:rPr>
                <w:b/>
                <w:sz w:val="16"/>
              </w:rPr>
              <w:t xml:space="preserve">Transaction value</w:t>
            </w:r>
          </w:p>
        </w:tc>
        <w:tc>
          <w:tcPr>
            <w:tcW w:w="990" w:type="dxa"/>
            <w:tcBorders>
              <w:bottom w:val="single" w:sz="4" w:space="0" w:color="111111"/>
            </w:tcBorders>
          </w:tcPr>
          <w:p>
            <w:pPr>
              <w:pStyle w:val="Compact"/>
              <w:spacing w:before="0" w:after="0" w:lineRule="exact" w:line="200"/>
              <w:jc w:val="left"/>
            </w:pPr>
            <w:r>
              <w:rPr>
                <w:b/>
                <w:sz w:val="16"/>
              </w:rPr>
              <w:t xml:space="preserve">Revenue</w:t>
            </w:r>
          </w:p>
        </w:tc>
        <w:tc>
          <w:tcPr>
            <w:tcW w:w="816" w:type="dxa"/>
            <w:tcBorders>
              <w:bottom w:val="single" w:sz="4" w:space="0" w:color="111111"/>
            </w:tcBorders>
          </w:tcPr>
          <w:p>
            <w:pPr>
              <w:pStyle w:val="Compact"/>
              <w:spacing w:before="0" w:after="0" w:lineRule="exact" w:line="200"/>
              <w:jc w:val="left"/>
            </w:pPr>
            <w:r>
              <w:rPr>
                <w:b/>
                <w:sz w:val="16"/>
              </w:rPr>
              <w:t xml:space="preserve">Wedge</w:t>
            </w:r>
          </w:p>
        </w:tc>
        <w:tc>
          <w:tcPr>
            <w:tcW w:w="1224" w:type="dxa"/>
            <w:tcBorders>
              <w:bottom w:val="single" w:sz="4" w:space="0" w:color="111111"/>
            </w:tcBorders>
          </w:tcPr>
          <w:p>
            <w:pPr>
              <w:pStyle w:val="Compact"/>
              <w:spacing w:before="0" w:after="0" w:lineRule="exact" w:line="200"/>
              <w:jc w:val="left"/>
            </w:pPr>
            <w:r>
              <w:rPr>
                <w:b/>
                <w:sz w:val="16"/>
              </w:rPr>
              <w:t xml:space="preserve">Ecosystem ratio</w:t>
            </w:r>
          </w:p>
        </w:tc>
        <w:tc>
          <w:tcPr>
            <w:tcW w:w="4429" w:type="dxa"/>
            <w:tcBorders>
              <w:bottom w:val="single" w:sz="4" w:space="0" w:color="111111"/>
            </w:tcBorders>
          </w:tcPr>
          <w:p>
            <w:pPr>
              <w:pStyle w:val="Compact"/>
              <w:spacing w:before="0" w:after="0" w:lineRule="exact" w:line="200"/>
              <w:jc w:val="left"/>
            </w:pPr>
            <w:r>
              <w:rPr>
                <w:b/>
                <w:sz w:val="16"/>
              </w:rPr>
              <w:t xml:space="preserve">How it is labelled</w:t>
            </w:r>
          </w:p>
        </w:tc>
      </w:tr>
      <w:tr>
        <w:trPr>
          <w:cantSplit/>
        </w:trPr>
        <w:tc>
          <w:tcPr>
            <w:tcW w:w="1340" w:type="dxa"/>
          </w:tcPr>
          <w:p>
            <w:pPr>
              <w:pStyle w:val="Compact"/>
              <w:spacing w:before="0" w:after="0" w:lineRule="exact" w:line="200"/>
              <w:jc w:val="left"/>
            </w:pPr>
            <w:r>
              <w:rPr>
                <w:sz w:val="16"/>
              </w:rPr>
              <w:t xml:space="preserve">Tokopedia</w:t>
            </w:r>
          </w:p>
        </w:tc>
        <w:tc>
          <w:tcPr>
            <w:tcW w:w="1398" w:type="dxa"/>
          </w:tcPr>
          <w:p>
            <w:pPr>
              <w:pStyle w:val="Compact"/>
              <w:spacing w:before="0" w:after="0" w:lineRule="exact" w:line="200"/>
              <w:jc w:val="left"/>
            </w:pPr>
            <w:r>
              <w:rPr>
                <w:sz w:val="16"/>
              </w:rPr>
              <w:t xml:space="preserve">16.33</w:t>
            </w:r>
          </w:p>
        </w:tc>
        <w:tc>
          <w:tcPr>
            <w:tcW w:w="990" w:type="dxa"/>
          </w:tcPr>
          <w:p>
            <w:pPr>
              <w:pStyle w:val="Compact"/>
              <w:spacing w:before="0" w:after="0" w:lineRule="exact" w:line="200"/>
              <w:jc w:val="left"/>
            </w:pPr>
            <w:r>
              <w:rPr>
                <w:sz w:val="16"/>
              </w:rPr>
              <w:t xml:space="preserve">0.41</w:t>
            </w:r>
          </w:p>
        </w:tc>
        <w:tc>
          <w:tcPr>
            <w:tcW w:w="816" w:type="dxa"/>
          </w:tcPr>
          <w:p>
            <w:pPr>
              <w:pStyle w:val="Compact"/>
              <w:spacing w:before="0" w:after="0" w:lineRule="exact" w:line="200"/>
              <w:jc w:val="left"/>
            </w:pPr>
            <w:r>
              <w:rPr>
                <w:sz w:val="16"/>
              </w:rPr>
              <w:t xml:space="preserve">15.93</w:t>
            </w:r>
          </w:p>
        </w:tc>
        <w:tc>
          <w:tcPr>
            <w:tcW w:w="1224" w:type="dxa"/>
          </w:tcPr>
          <w:p>
            <w:pPr>
              <w:pStyle w:val="Compact"/>
              <w:spacing w:before="0" w:after="0" w:lineRule="exact" w:line="200"/>
              <w:jc w:val="left"/>
            </w:pPr>
            <w:r>
              <w:rPr>
                <w:sz w:val="16"/>
              </w:rPr>
              <w:t xml:space="preserve">39.3</w:t>
            </w:r>
          </w:p>
        </w:tc>
        <w:tc>
          <w:tcPr>
            <w:tcW w:w="4429" w:type="dxa"/>
          </w:tcPr>
          <w:p>
            <w:pPr>
              <w:pStyle w:val="Compact"/>
              <w:spacing w:before="0" w:after="0" w:lineRule="exact" w:line="200"/>
              <w:jc w:val="left"/>
            </w:pPr>
            <w:r>
              <w:rPr>
                <w:sz w:val="16"/>
              </w:rPr>
              <w:t xml:space="preserve">Both direct segment disclosure</w:t>
            </w:r>
          </w:p>
        </w:tc>
      </w:tr>
      <w:tr>
        <w:trPr>
          <w:cantSplit/>
        </w:trPr>
        <w:tc>
          <w:tcPr>
            <w:tcW w:w="1340" w:type="dxa"/>
          </w:tcPr>
          <w:p>
            <w:pPr>
              <w:pStyle w:val="Compact"/>
              <w:spacing w:before="0" w:after="0" w:lineRule="exact" w:line="200"/>
              <w:jc w:val="left"/>
            </w:pPr>
            <w:r>
              <w:rPr>
                <w:sz w:val="16"/>
              </w:rPr>
              <w:t xml:space="preserve">Shopee, Indonesia</w:t>
            </w:r>
          </w:p>
        </w:tc>
        <w:tc>
          <w:tcPr>
            <w:tcW w:w="1398" w:type="dxa"/>
          </w:tcPr>
          <w:p>
            <w:pPr>
              <w:pStyle w:val="Compact"/>
              <w:spacing w:before="0" w:after="0" w:lineRule="exact" w:line="200"/>
              <w:jc w:val="left"/>
            </w:pPr>
            <w:r>
              <w:rPr>
                <w:sz w:val="16"/>
              </w:rPr>
              <w:t xml:space="preserve">21.52</w:t>
            </w:r>
          </w:p>
        </w:tc>
        <w:tc>
          <w:tcPr>
            <w:tcW w:w="990" w:type="dxa"/>
          </w:tcPr>
          <w:p>
            <w:pPr>
              <w:pStyle w:val="Compact"/>
              <w:spacing w:before="0" w:after="0" w:lineRule="exact" w:line="200"/>
              <w:jc w:val="left"/>
            </w:pPr>
            <w:r>
              <w:rPr>
                <w:sz w:val="16"/>
              </w:rPr>
              <w:t xml:space="preserve">2.15</w:t>
            </w:r>
          </w:p>
        </w:tc>
        <w:tc>
          <w:tcPr>
            <w:tcW w:w="816" w:type="dxa"/>
          </w:tcPr>
          <w:p>
            <w:pPr>
              <w:pStyle w:val="Compact"/>
              <w:spacing w:before="0" w:after="0" w:lineRule="exact" w:line="200"/>
              <w:jc w:val="left"/>
            </w:pPr>
            <w:r>
              <w:rPr>
                <w:sz w:val="16"/>
              </w:rPr>
              <w:t xml:space="preserve">19.37</w:t>
            </w:r>
          </w:p>
        </w:tc>
        <w:tc>
          <w:tcPr>
            <w:tcW w:w="1224" w:type="dxa"/>
          </w:tcPr>
          <w:p>
            <w:pPr>
              <w:pStyle w:val="Compact"/>
              <w:spacing w:before="0" w:after="0" w:lineRule="exact" w:line="200"/>
              <w:jc w:val="left"/>
            </w:pPr>
            <w:r>
              <w:rPr>
                <w:sz w:val="16"/>
              </w:rPr>
              <w:t xml:space="preserve">9.0</w:t>
            </w:r>
          </w:p>
        </w:tc>
        <w:tc>
          <w:tcPr>
            <w:tcW w:w="4429" w:type="dxa"/>
          </w:tcPr>
          <w:p>
            <w:pPr>
              <w:pStyle w:val="Compact"/>
              <w:spacing w:before="0" w:after="0" w:lineRule="exact" w:line="200"/>
              <w:jc w:val="left"/>
            </w:pPr>
            <w:r>
              <w:rPr>
                <w:sz w:val="16"/>
              </w:rPr>
              <w:t xml:space="preserve">Transaction value is an outside estimate (Momentum Works); revenue is derived at an assumed take rate of 10 percent</w:t>
            </w:r>
          </w:p>
        </w:tc>
      </w:tr>
      <w:tr>
        <w:trPr>
          <w:cantSplit/>
        </w:trPr>
        <w:tc>
          <w:tcPr>
            <w:tcW w:w="1340" w:type="dxa"/>
          </w:tcPr>
          <w:p>
            <w:pPr>
              <w:pStyle w:val="Compact"/>
              <w:spacing w:before="0" w:after="0" w:lineRule="exact" w:line="200"/>
              <w:jc w:val="left"/>
            </w:pPr>
            <w:r>
              <w:rPr>
                <w:sz w:val="16"/>
              </w:rPr>
              <w:t xml:space="preserve">Grab, Indonesia</w:t>
            </w:r>
          </w:p>
        </w:tc>
        <w:tc>
          <w:tcPr>
            <w:tcW w:w="1398" w:type="dxa"/>
          </w:tcPr>
          <w:p>
            <w:pPr>
              <w:pStyle w:val="Compact"/>
              <w:spacing w:before="0" w:after="0" w:lineRule="exact" w:line="200"/>
              <w:jc w:val="left"/>
            </w:pPr>
            <w:r>
              <w:rPr>
                <w:sz w:val="16"/>
              </w:rPr>
              <w:t xml:space="preserve">5.38</w:t>
            </w:r>
          </w:p>
        </w:tc>
        <w:tc>
          <w:tcPr>
            <w:tcW w:w="990" w:type="dxa"/>
          </w:tcPr>
          <w:p>
            <w:pPr>
              <w:pStyle w:val="Compact"/>
              <w:spacing w:before="0" w:after="0" w:lineRule="exact" w:line="200"/>
              <w:jc w:val="left"/>
            </w:pPr>
            <w:r>
              <w:rPr>
                <w:sz w:val="16"/>
              </w:rPr>
              <w:t xml:space="preserve">0.60</w:t>
            </w:r>
          </w:p>
        </w:tc>
        <w:tc>
          <w:tcPr>
            <w:tcW w:w="816" w:type="dxa"/>
          </w:tcPr>
          <w:p>
            <w:pPr>
              <w:pStyle w:val="Compact"/>
              <w:spacing w:before="0" w:after="0" w:lineRule="exact" w:line="200"/>
              <w:jc w:val="left"/>
            </w:pPr>
            <w:r>
              <w:rPr>
                <w:sz w:val="16"/>
              </w:rPr>
              <w:t xml:space="preserve">4.78</w:t>
            </w:r>
          </w:p>
        </w:tc>
        <w:tc>
          <w:tcPr>
            <w:tcW w:w="1224" w:type="dxa"/>
          </w:tcPr>
          <w:p>
            <w:pPr>
              <w:pStyle w:val="Compact"/>
              <w:spacing w:before="0" w:after="0" w:lineRule="exact" w:line="200"/>
              <w:jc w:val="left"/>
            </w:pPr>
            <w:r>
              <w:rPr>
                <w:sz w:val="16"/>
              </w:rPr>
              <w:t xml:space="preserve">7.9</w:t>
            </w:r>
          </w:p>
        </w:tc>
        <w:tc>
          <w:tcPr>
            <w:tcW w:w="4429" w:type="dxa"/>
          </w:tcPr>
          <w:p>
            <w:pPr>
              <w:pStyle w:val="Compact"/>
              <w:spacing w:before="0" w:after="0" w:lineRule="exact" w:line="200"/>
              <w:jc w:val="left"/>
            </w:pPr>
            <w:r>
              <w:rPr>
                <w:sz w:val="16"/>
              </w:rPr>
              <w:t xml:space="preserve">Revenue is a direct country disclosure; transaction value is derived from Grab’s company-wide ratio</w:t>
            </w:r>
          </w:p>
        </w:tc>
      </w:tr>
      <w:tr>
        <w:trPr>
          <w:cantSplit/>
        </w:trPr>
        <w:tc>
          <w:tcPr>
            <w:tcW w:w="1340" w:type="dxa"/>
          </w:tcPr>
          <w:p>
            <w:pPr>
              <w:pStyle w:val="Compact"/>
              <w:spacing w:before="0" w:after="0" w:lineRule="exact" w:line="200"/>
              <w:jc w:val="left"/>
            </w:pPr>
            <w:r>
              <w:rPr>
                <w:sz w:val="16"/>
              </w:rPr>
              <w:t xml:space="preserve">Total</w:t>
            </w:r>
          </w:p>
        </w:tc>
        <w:tc>
          <w:tcPr>
            <w:tcW w:w="1398" w:type="dxa"/>
          </w:tcPr>
          <w:p>
            <w:pPr>
              <w:pStyle w:val="Compact"/>
              <w:spacing w:before="0" w:after="0" w:lineRule="exact" w:line="200"/>
              <w:jc w:val="left"/>
            </w:pPr>
            <w:r>
              <w:rPr>
                <w:sz w:val="16"/>
              </w:rPr>
              <w:t xml:space="preserve">43.23</w:t>
            </w:r>
          </w:p>
        </w:tc>
        <w:tc>
          <w:tcPr>
            <w:tcW w:w="990" w:type="dxa"/>
          </w:tcPr>
          <w:p>
            <w:pPr>
              <w:pStyle w:val="Compact"/>
              <w:spacing w:before="0" w:after="0" w:lineRule="exact" w:line="200"/>
              <w:jc w:val="left"/>
            </w:pPr>
            <w:r>
              <w:rPr>
                <w:sz w:val="16"/>
              </w:rPr>
              <w:t xml:space="preserve">3.16</w:t>
            </w:r>
          </w:p>
        </w:tc>
        <w:tc>
          <w:tcPr>
            <w:tcW w:w="816" w:type="dxa"/>
          </w:tcPr>
          <w:p>
            <w:pPr>
              <w:pStyle w:val="Compact"/>
              <w:spacing w:before="0" w:after="0" w:lineRule="exact" w:line="200"/>
              <w:jc w:val="left"/>
            </w:pPr>
            <w:r>
              <w:rPr>
                <w:sz w:val="16"/>
              </w:rPr>
              <w:t xml:space="preserve">40.07</w:t>
            </w:r>
          </w:p>
        </w:tc>
        <w:tc>
          <w:tcPr>
            <w:tcW w:w="1224" w:type="dxa"/>
          </w:tcPr>
          <w:p>
            <w:pPr>
              <w:pStyle w:val="Compact"/>
              <w:spacing w:before="0" w:after="0" w:lineRule="exact" w:line="200"/>
              <w:jc w:val="left"/>
            </w:pPr>
            <w:r>
              <w:rPr>
                <w:sz w:val="16"/>
              </w:rPr>
              <w:t xml:space="preserve">12.7</w:t>
            </w:r>
          </w:p>
        </w:tc>
        <w:tc>
          <w:tcPr>
            <w:tcW w:w="4429" w:type="dxa"/>
          </w:tcPr>
          <w:p>
            <w:pPr>
              <w:pStyle w:val="Compact"/>
              <w:spacing w:before="0" w:after="0" w:lineRule="exact" w:line="200"/>
              <w:jc w:val="left"/>
            </w:pPr>
            <w:r>
              <w:rPr>
                <w:sz w:val="16"/>
              </w:rPr>
              <w:t xml:space="preserve">Sum of three platforms, not a national total</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Rounded amounts may not add. With Shopee’s take rate at 9 or 11 percent, the total wedge is US$40.3 or US$39.9 billion; at Sea’s company-wide rate of 11.5 percent, it is US$39.8 billion. Source: company filings; Momentum Works (2024), as quoted by Setyowati (2024); author’s calculations.</w:t>
      </w:r>
    </w:p>
    <w:p>
      <w:pPr>
        <w:pStyle w:val="BodyText"/>
      </w:pPr>
      <w:r>
        <w:t xml:space="preserve">The three ratios differ because the amounts come from different sources. Tokopedia reports both amounts. Shopee’s ratio follows from the assumed take rate, and Grab’s is its company-wide ratio, so neither is separate evidence for Indonesia. Blibli and Bukalapak also report both amounts, with ratios of about 43 and 36, close to Tokopedia’s. They stay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and dropping any one platform still leaves more than US$20 billion. For platforms that report both amounts, the wedge was 97 to 99 percent of transaction value in every year. It moved almost one for one with the commerce, and Appendix A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1"/>
    <w:bookmarkStart w:id="55" w:name="testing-h1-1"/>
    <w:p>
      <w:pPr>
        <w:pStyle w:val="Heading2"/>
      </w:pPr>
      <w:r>
        <w:t xml:space="preserve">5.2 Testing H1</w:t>
      </w:r>
    </w:p>
    <w:p>
      <w:pPr>
        <w:pStyle w:val="FirstParagraph"/>
      </w:pPr>
      <w:r>
        <w:rPr>
          <w:bCs/>
          <w:b/>
        </w:rPr>
        <w:t xml:space="preserve">Revenue did not keep pace with transaction value at the Indonesian and regional platforms, and the thesis rejects H1.</w:t>
      </w:r>
      <w:r>
        <w:t xml:space="preserve"> </w:t>
      </w:r>
      <w:r>
        <w:t xml:space="preserve">At the typical platform in this group, the take rate moved by about 20 percent a year, up or down. At the typical foreign platform it moved by about 6 percent, so the moves were about three times as large. Table 5.3 gives the test and its checks.</w:t>
      </w:r>
    </w:p>
    <w:p>
      <w:pPr>
        <w:pStyle w:val="BodyText"/>
        <w:keepNext/>
        <w:spacing w:before="140" w:after="56" w:lineRule="exact" w:line="246"/>
        <w:jc w:val="left"/>
      </w:pPr>
      <w:r>
        <w:rPr>
          <w:b/>
          <w:sz w:val="17"/>
        </w:rPr>
        <w:t>Table 5.3.</w:t>
      </w:r>
      <w:r>
        <w:rPr>
          <w:b w:val="0"/>
          <w:sz w:val="17"/>
        </w:rPr>
        <w:t xml:space="preserve"> The test of H1</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4404"/>
        <w:gridCol w:w="1506"/>
        <w:gridCol w:w="2028"/>
        <w:gridCol w:w="1101"/>
        <w:gridCol w:w="1159"/>
      </w:tblGrid>
      <w:tr>
        <w:trPr>
          <w:tblHeader w:val="true"/>
          <w:cantSplit/>
          <w:tblHeader/>
        </w:trPr>
        <w:tc>
          <w:tcPr>
            <w:tcW w:w="4404" w:type="dxa"/>
            <w:tcBorders>
              <w:bottom w:val="single" w:sz="4" w:space="0" w:color="111111"/>
            </w:tcBorders>
          </w:tcPr>
          <w:p>
            <w:pPr>
              <w:pStyle w:val="Compact"/>
              <w:spacing w:before="0" w:after="0" w:lineRule="exact" w:line="200"/>
              <w:jc w:val="left"/>
            </w:pPr>
            <w:r>
              <w:rPr>
                <w:b/>
                <w:sz w:val="16"/>
              </w:rPr>
              <w:t xml:space="preserve">Test</w:t>
            </w:r>
          </w:p>
        </w:tc>
        <w:tc>
          <w:tcPr>
            <w:tcW w:w="1506" w:type="dxa"/>
            <w:tcBorders>
              <w:bottom w:val="single" w:sz="4" w:space="0" w:color="111111"/>
            </w:tcBorders>
          </w:tcPr>
          <w:p>
            <w:pPr>
              <w:pStyle w:val="Compact"/>
              <w:spacing w:before="0" w:after="0" w:lineRule="exact" w:line="200"/>
              <w:jc w:val="left"/>
            </w:pPr>
            <w:r>
              <w:rPr>
                <w:b/>
                <w:sz w:val="16"/>
              </w:rPr>
              <w:t xml:space="preserve">Method</w:t>
            </w:r>
          </w:p>
        </w:tc>
        <w:tc>
          <w:tcPr>
            <w:tcW w:w="2028" w:type="dxa"/>
            <w:tcBorders>
              <w:bottom w:val="single" w:sz="4" w:space="0" w:color="111111"/>
            </w:tcBorders>
          </w:tcPr>
          <w:p>
            <w:pPr>
              <w:pStyle w:val="Compact"/>
              <w:spacing w:before="0" w:after="0" w:lineRule="exact" w:line="200"/>
              <w:jc w:val="left"/>
            </w:pPr>
            <w:r>
              <w:rPr>
                <w:b/>
                <w:sz w:val="16"/>
              </w:rPr>
              <w:t xml:space="preserve">Indonesian and regional group</w:t>
            </w:r>
          </w:p>
        </w:tc>
        <w:tc>
          <w:tcPr>
            <w:tcW w:w="1101" w:type="dxa"/>
            <w:tcBorders>
              <w:bottom w:val="single" w:sz="4" w:space="0" w:color="111111"/>
            </w:tcBorders>
          </w:tcPr>
          <w:p>
            <w:pPr>
              <w:pStyle w:val="Compact"/>
              <w:spacing w:before="0" w:after="0" w:lineRule="exact" w:line="200"/>
              <w:jc w:val="left"/>
            </w:pPr>
            <w:r>
              <w:rPr>
                <w:b/>
                <w:sz w:val="16"/>
              </w:rPr>
              <w:t xml:space="preserve">Foreign group</w:t>
            </w:r>
          </w:p>
        </w:tc>
        <w:tc>
          <w:tcPr>
            <w:tcW w:w="1159" w:type="dxa"/>
            <w:tcBorders>
              <w:bottom w:val="single" w:sz="4" w:space="0" w:color="111111"/>
            </w:tcBorders>
          </w:tcPr>
          <w:p>
            <w:pPr>
              <w:pStyle w:val="Compact"/>
              <w:spacing w:before="0" w:after="0" w:lineRule="exact" w:line="200"/>
              <w:jc w:val="left"/>
            </w:pPr>
            <w:r>
              <w:rPr>
                <w:b/>
                <w:sz w:val="16"/>
              </w:rPr>
              <w:t xml:space="preserve">p-value</w:t>
            </w:r>
          </w:p>
        </w:tc>
      </w:tr>
      <w:tr>
        <w:trPr>
          <w:cantSplit/>
        </w:trPr>
        <w:tc>
          <w:tcPr>
            <w:tcW w:w="4404" w:type="dxa"/>
          </w:tcPr>
          <w:p>
            <w:pPr>
              <w:pStyle w:val="Compact"/>
              <w:spacing w:before="0" w:after="0" w:lineRule="exact" w:line="200"/>
              <w:jc w:val="left"/>
            </w:pPr>
            <w:r>
              <w:rPr>
                <w:sz w:val="16"/>
              </w:rPr>
              <w:t xml:space="preserve">Yearly change in log take rate, 5 platforms against 27</w:t>
            </w:r>
          </w:p>
        </w:tc>
        <w:tc>
          <w:tcPr>
            <w:tcW w:w="1506" w:type="dxa"/>
          </w:tcPr>
          <w:p>
            <w:pPr>
              <w:pStyle w:val="Compact"/>
              <w:spacing w:before="0" w:after="0" w:lineRule="exact" w:line="200"/>
              <w:jc w:val="left"/>
            </w:pPr>
            <w:r>
              <w:rPr>
                <w:sz w:val="16"/>
              </w:rPr>
              <w:t xml:space="preserve">Mann–Whitney</w:t>
            </w:r>
          </w:p>
        </w:tc>
        <w:tc>
          <w:tcPr>
            <w:tcW w:w="2028" w:type="dxa"/>
          </w:tcPr>
          <w:p>
            <w:pPr>
              <w:pStyle w:val="Compact"/>
              <w:spacing w:before="0" w:after="0" w:lineRule="exact" w:line="200"/>
              <w:jc w:val="left"/>
            </w:pPr>
            <w:r>
              <w:rPr>
                <w:sz w:val="16"/>
              </w:rPr>
              <w:t xml:space="preserve">0.20</w:t>
            </w:r>
          </w:p>
        </w:tc>
        <w:tc>
          <w:tcPr>
            <w:tcW w:w="1101" w:type="dxa"/>
          </w:tcPr>
          <w:p>
            <w:pPr>
              <w:pStyle w:val="Compact"/>
              <w:spacing w:before="0" w:after="0" w:lineRule="exact" w:line="200"/>
              <w:jc w:val="left"/>
            </w:pPr>
            <w:r>
              <w:rPr>
                <w:sz w:val="16"/>
              </w:rPr>
              <w:t xml:space="preserve">0.06</w:t>
            </w:r>
          </w:p>
        </w:tc>
        <w:tc>
          <w:tcPr>
            <w:tcW w:w="1159" w:type="dxa"/>
          </w:tcPr>
          <w:p>
            <w:pPr>
              <w:pStyle w:val="Compact"/>
              <w:spacing w:before="0" w:after="0" w:lineRule="exact" w:line="200"/>
              <w:jc w:val="left"/>
            </w:pPr>
            <w:r>
              <w:rPr>
                <w:sz w:val="16"/>
              </w:rPr>
              <w:t xml:space="preserve">0.004</w:t>
            </w:r>
          </w:p>
        </w:tc>
      </w:tr>
      <w:tr>
        <w:trPr>
          <w:cantSplit/>
        </w:trPr>
        <w:tc>
          <w:tcPr>
            <w:tcW w:w="4404" w:type="dxa"/>
          </w:tcPr>
          <w:p>
            <w:pPr>
              <w:pStyle w:val="Compact"/>
              <w:spacing w:before="0" w:after="0" w:lineRule="exact" w:line="200"/>
              <w:jc w:val="left"/>
            </w:pPr>
            <w:r>
              <w:rPr>
                <w:sz w:val="16"/>
              </w:rPr>
              <w:t xml:space="preserve">The same</w:t>
            </w:r>
          </w:p>
        </w:tc>
        <w:tc>
          <w:tcPr>
            <w:tcW w:w="1506" w:type="dxa"/>
          </w:tcPr>
          <w:p>
            <w:pPr>
              <w:pStyle w:val="Compact"/>
              <w:spacing w:before="0" w:after="0" w:lineRule="exact" w:line="200"/>
              <w:jc w:val="left"/>
            </w:pPr>
            <w:r>
              <w:rPr>
                <w:sz w:val="16"/>
              </w:rPr>
              <w:t xml:space="preserve">Shuffle</w:t>
            </w:r>
          </w:p>
        </w:tc>
        <w:tc>
          <w:tcPr>
            <w:tcW w:w="2028" w:type="dxa"/>
          </w:tcPr>
          <w:p>
            <w:pPr>
              <w:pStyle w:val="Compact"/>
              <w:spacing w:before="0" w:after="0" w:lineRule="exact" w:line="200"/>
              <w:jc w:val="left"/>
            </w:pPr>
            <w:r>
              <w:rPr>
                <w:sz w:val="16"/>
              </w:rPr>
              <w:t xml:space="preserve">0.20</w:t>
            </w:r>
          </w:p>
        </w:tc>
        <w:tc>
          <w:tcPr>
            <w:tcW w:w="1101" w:type="dxa"/>
          </w:tcPr>
          <w:p>
            <w:pPr>
              <w:pStyle w:val="Compact"/>
              <w:spacing w:before="0" w:after="0" w:lineRule="exact" w:line="200"/>
              <w:jc w:val="left"/>
            </w:pPr>
            <w:r>
              <w:rPr>
                <w:sz w:val="16"/>
              </w:rPr>
              <w:t xml:space="preserve">0.06</w:t>
            </w:r>
          </w:p>
        </w:tc>
        <w:tc>
          <w:tcPr>
            <w:tcW w:w="1159" w:type="dxa"/>
          </w:tcPr>
          <w:p>
            <w:pPr>
              <w:pStyle w:val="Compact"/>
              <w:spacing w:before="0" w:after="0" w:lineRule="exact" w:line="200"/>
              <w:jc w:val="left"/>
            </w:pPr>
            <w:r>
              <w:rPr>
                <w:sz w:val="16"/>
              </w:rPr>
              <w:t xml:space="preserve">0.022</w:t>
            </w:r>
          </w:p>
        </w:tc>
      </w:tr>
      <w:tr>
        <w:trPr>
          <w:cantSplit/>
        </w:trPr>
        <w:tc>
          <w:tcPr>
            <w:tcW w:w="4404" w:type="dxa"/>
          </w:tcPr>
          <w:p>
            <w:pPr>
              <w:pStyle w:val="Compact"/>
              <w:spacing w:before="0" w:after="0" w:lineRule="exact" w:line="200"/>
              <w:jc w:val="left"/>
            </w:pPr>
            <w:r>
              <w:rPr>
                <w:sz w:val="16"/>
              </w:rPr>
              <w:t xml:space="preserve">Growth divergence in points, 5 platforms against 26</w:t>
            </w:r>
          </w:p>
        </w:tc>
        <w:tc>
          <w:tcPr>
            <w:tcW w:w="1506" w:type="dxa"/>
          </w:tcPr>
          <w:p>
            <w:pPr>
              <w:pStyle w:val="Compact"/>
              <w:spacing w:before="0" w:after="0" w:lineRule="exact" w:line="200"/>
              <w:jc w:val="left"/>
            </w:pPr>
            <w:r>
              <w:rPr>
                <w:sz w:val="16"/>
              </w:rPr>
              <w:t xml:space="preserve">Mann–Whitney</w:t>
            </w:r>
          </w:p>
        </w:tc>
        <w:tc>
          <w:tcPr>
            <w:tcW w:w="2028" w:type="dxa"/>
          </w:tcPr>
          <w:p>
            <w:pPr>
              <w:pStyle w:val="Compact"/>
              <w:spacing w:before="0" w:after="0" w:lineRule="exact" w:line="200"/>
              <w:jc w:val="left"/>
            </w:pPr>
            <w:r>
              <w:rPr>
                <w:sz w:val="16"/>
              </w:rPr>
              <w:t xml:space="preserve">27.0</w:t>
            </w:r>
          </w:p>
        </w:tc>
        <w:tc>
          <w:tcPr>
            <w:tcW w:w="1101" w:type="dxa"/>
          </w:tcPr>
          <w:p>
            <w:pPr>
              <w:pStyle w:val="Compact"/>
              <w:spacing w:before="0" w:after="0" w:lineRule="exact" w:line="200"/>
              <w:jc w:val="left"/>
            </w:pPr>
            <w:r>
              <w:rPr>
                <w:sz w:val="16"/>
              </w:rPr>
              <w:t xml:space="preserve">6.5</w:t>
            </w:r>
          </w:p>
        </w:tc>
        <w:tc>
          <w:tcPr>
            <w:tcW w:w="1159" w:type="dxa"/>
          </w:tcPr>
          <w:p>
            <w:pPr>
              <w:pStyle w:val="Compact"/>
              <w:spacing w:before="0" w:after="0" w:lineRule="exact" w:line="200"/>
              <w:jc w:val="left"/>
            </w:pPr>
            <w:r>
              <w:rPr>
                <w:sz w:val="16"/>
              </w:rPr>
              <w:t xml:space="preserve">0.005</w:t>
            </w:r>
          </w:p>
        </w:tc>
      </w:tr>
      <w:tr>
        <w:trPr>
          <w:cantSplit/>
        </w:trPr>
        <w:tc>
          <w:tcPr>
            <w:tcW w:w="4404" w:type="dxa"/>
          </w:tcPr>
          <w:p>
            <w:pPr>
              <w:pStyle w:val="Compact"/>
              <w:spacing w:before="0" w:after="0" w:lineRule="exact" w:line="200"/>
              <w:jc w:val="left"/>
            </w:pPr>
            <w:r>
              <w:rPr>
                <w:sz w:val="16"/>
              </w:rPr>
              <w:t xml:space="preserve">Drop each platform in turn, or treat Tokopedia and GoTo as one company</w:t>
            </w:r>
          </w:p>
        </w:tc>
        <w:tc>
          <w:tcPr>
            <w:tcW w:w="1506" w:type="dxa"/>
          </w:tcPr>
          <w:p>
            <w:pPr>
              <w:pStyle w:val="Compact"/>
              <w:spacing w:before="0" w:after="0" w:lineRule="exact" w:line="200"/>
              <w:jc w:val="left"/>
            </w:pPr>
            <w:r>
              <w:rPr>
                <w:sz w:val="16"/>
              </w:rPr>
              <w:t xml:space="preserve">Mann–Whitney</w:t>
            </w:r>
          </w:p>
        </w:tc>
        <w:tc>
          <w:tcPr>
            <w:tcW w:w="2028" w:type="dxa"/>
          </w:tcPr>
          <w:p>
            <w:pPr>
              <w:pStyle w:val="Compact"/>
              <w:spacing w:before="0" w:after="0" w:lineRule="exact" w:line="200"/>
              <w:jc w:val="left"/>
            </w:pPr>
            <w:r>
              <w:rPr>
                <w:sz w:val="16"/>
              </w:rPr>
              <w:t xml:space="preserve">0.17 to 0.23</w:t>
            </w:r>
          </w:p>
        </w:tc>
        <w:tc>
          <w:tcPr>
            <w:tcW w:w="1101" w:type="dxa"/>
          </w:tcPr>
          <w:p>
            <w:pPr>
              <w:pStyle w:val="Compact"/>
              <w:spacing w:before="0" w:after="0" w:lineRule="exact" w:line="200"/>
              <w:jc w:val="left"/>
            </w:pPr>
            <w:r>
              <w:rPr>
                <w:sz w:val="16"/>
              </w:rPr>
              <w:t xml:space="preserve">0.06</w:t>
            </w:r>
          </w:p>
        </w:tc>
        <w:tc>
          <w:tcPr>
            <w:tcW w:w="1159" w:type="dxa"/>
          </w:tcPr>
          <w:p>
            <w:pPr>
              <w:pStyle w:val="Compact"/>
              <w:spacing w:before="0" w:after="0" w:lineRule="exact" w:line="200"/>
              <w:jc w:val="left"/>
            </w:pPr>
            <w:r>
              <w:rPr>
                <w:sz w:val="16"/>
              </w:rPr>
              <w:t xml:space="preserve">0.003 to 0.016</w:t>
            </w:r>
          </w:p>
        </w:tc>
      </w:tr>
      <w:tr>
        <w:trPr>
          <w:cantSplit/>
        </w:trPr>
        <w:tc>
          <w:tcPr>
            <w:tcW w:w="4404" w:type="dxa"/>
          </w:tcPr>
          <w:p>
            <w:pPr>
              <w:pStyle w:val="Compact"/>
              <w:spacing w:before="0" w:after="0" w:lineRule="exact" w:line="200"/>
              <w:jc w:val="left"/>
            </w:pPr>
            <w:r>
              <w:rPr>
                <w:sz w:val="16"/>
              </w:rPr>
              <w:t xml:space="preserve">Quarterly pairs, 3 platforms against 8</w:t>
            </w:r>
          </w:p>
        </w:tc>
        <w:tc>
          <w:tcPr>
            <w:tcW w:w="1506" w:type="dxa"/>
          </w:tcPr>
          <w:p>
            <w:pPr>
              <w:pStyle w:val="Compact"/>
              <w:spacing w:before="0" w:after="0" w:lineRule="exact" w:line="200"/>
              <w:jc w:val="left"/>
            </w:pPr>
            <w:r>
              <w:rPr>
                <w:sz w:val="16"/>
              </w:rPr>
              <w:t xml:space="preserve">Mann–Whitney</w:t>
            </w:r>
          </w:p>
        </w:tc>
        <w:tc>
          <w:tcPr>
            <w:tcW w:w="2028" w:type="dxa"/>
          </w:tcPr>
          <w:p>
            <w:pPr>
              <w:pStyle w:val="Compact"/>
              <w:spacing w:before="0" w:after="0" w:lineRule="exact" w:line="200"/>
              <w:jc w:val="left"/>
            </w:pPr>
            <w:r>
              <w:rPr>
                <w:sz w:val="16"/>
              </w:rPr>
              <w:t xml:space="preserve">0.071</w:t>
            </w:r>
          </w:p>
        </w:tc>
        <w:tc>
          <w:tcPr>
            <w:tcW w:w="1101" w:type="dxa"/>
          </w:tcPr>
          <w:p>
            <w:pPr>
              <w:pStyle w:val="Compact"/>
              <w:spacing w:before="0" w:after="0" w:lineRule="exact" w:line="200"/>
              <w:jc w:val="left"/>
            </w:pPr>
            <w:r>
              <w:rPr>
                <w:sz w:val="16"/>
              </w:rPr>
              <w:t xml:space="preserve">0.049</w:t>
            </w:r>
          </w:p>
        </w:tc>
        <w:tc>
          <w:tcPr>
            <w:tcW w:w="1159" w:type="dxa"/>
          </w:tcPr>
          <w:p>
            <w:pPr>
              <w:pStyle w:val="Compact"/>
              <w:spacing w:before="0" w:after="0" w:lineRule="exact" w:line="200"/>
              <w:jc w:val="left"/>
            </w:pPr>
            <w:r>
              <w:rPr>
                <w:sz w:val="16"/>
              </w:rPr>
              <w:t xml:space="preserve">0.19</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Group values are medians of each platform’s median yearly change. Appendix B lists every check, including the tests without Ozon and Zalando.</w:t>
      </w:r>
    </w:p>
    <w:p>
      <w:pPr>
        <w:pStyle w:val="BodyText"/>
      </w:pPr>
      <w:r>
        <w:t xml:space="preserve">The main test compares the five platforms with 27 abroad, using one median per platform. Both methods of Section 4.3 reject equal moves (p = 0.004 and 0.022), and exact versions that list every possible split of the 32 platforms agree (p = 0.004 and 0.021). No single platform carries the result: dropping any one, or treating Tokopedia and GoTo as one company, keeps p at 0.016 or below. Dropping the two largest movers, Blibli and Tokopedia, weakens it to p = 0.058 (Appendix B).</w:t>
      </w:r>
    </w:p>
    <w:p>
      <w:pPr>
        <w:pStyle w:val="BodyText"/>
      </w:pPr>
      <w:r>
        <w:rPr>
          <w:bCs/>
          <w:b/>
        </w:rPr>
        <w:t xml:space="preserve">The main test was set up after a first, narrower test, so it is exploratory.</w:t>
      </w:r>
      <w:r>
        <w:t xml:space="preserve"> </w:t>
      </w:r>
      <w:r>
        <w:t xml:space="preserve">The narrower test, set before the wider one, compares the three Indonesian marketplaces with the eight foreign platforms chosen first. It points the same way. With one median per platform, the Mann–Whitney test rejects equal moves (p = 0.024). A shuffle of platform labels comes close without passing (p = 0.06), since three platforms give a test little power. In that sample, revenue growth and transaction value growth had a correlation of 0.10 in Indonesia and 0.98 abroad, excluding Sea.</w:t>
      </w:r>
    </w:p>
    <w:p>
      <w:pPr>
        <w:pStyle w:val="BodyText"/>
      </w:pPr>
      <w:r>
        <w:t xml:space="preserve">The main test and the narrower test ask about the size of the moves, not their direction, and direction is less telling. Revenue grew faster than transaction value in 13 of the 15 Indonesian and regional pairs, and in two of them the two moved in opposite directions. Abroad, take rates also rose in about two thirds of pairs, but by much less. What sets the Indonesian and regional platforms apart is the size of the moves.</w:t>
      </w:r>
    </w:p>
    <w:p>
      <w:pPr>
        <w:pStyle w:val="BodyText"/>
      </w:pPr>
      <w:r>
        <w:t xml:space="preserve">Quarterly pairs do not reject H1 (p = 0.19), contrary to a prediction registered before the test was run. Most of the quarterly Indonesian pairs cover 2023 to 2026, after most of the repricing, while the large moves came between 2022 and 2024.</w:t>
      </w:r>
      <w:r>
        <w:t xml:space="preserve"> </w:t>
      </w:r>
      <w:r>
        <w:rPr>
          <w:bCs/>
          <w:b/>
        </w:rPr>
        <w:t xml:space="preserve">So the rejection of H1 describes that period.</w:t>
      </w:r>
    </w:p>
    <w:p>
      <w:pPr>
        <w:pStyle w:val="BodyText"/>
      </w:pPr>
      <w:r>
        <w:t xml:space="preserve">The large moves were not simply a mark of young platforms, an exploratory check. The Indonesian and regional platforms made their largest moves one or two years after listing on the stock market. Foreign platforms, by contrast, did not move their take rates more in their first three years after listing than later (median 0.07 against 0.08, p = 0.24). This comparison uses the 15 foreign platforms with years in both periods. Nor did foreign platforms in lower-income markets move more in 2022 to 2024: one of seven did, against all four Indonesian and regional platforms with enough years. The repricing was an Indonesian and regional episode of those years.</w:t>
      </w:r>
    </w:p>
    <w:p>
      <w:pPr>
        <w:pStyle w:val="BodyText"/>
      </w:pPr>
      <w:r>
        <w:t xml:space="preserve">The thin take rate of Indonesian and regional platforms explains much of the threefold difference, an exploratory finding. Measured in percentage points, both groups changed their take rates by about 1 point a year, and the difference between them is nowhere near large enough to count (p = 0.65).</w:t>
      </w:r>
    </w:p>
    <w:p>
      <w:pPr>
        <w:pStyle w:val="BodyText"/>
      </w:pPr>
      <w:r>
        <w:t xml:space="preserve">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three measures side by side. The test shows that take rates moved, but not what the platforms changed to move them.</w:t>
      </w:r>
    </w:p>
    <w:p>
      <w:pPr>
        <w:pStyle w:val="BodyText"/>
        <w:keepNext/>
        <w:spacing w:before="114" w:after="0" w:line="240" w:lineRule="auto"/>
        <w:jc w:val="center"/>
      </w:pPr>
      <w:r>
        <w:drawing>
          <wp:inline>
            <wp:extent cx="4913077" cy="1800000"/>
            <wp:effectExtent b="0" l="0" r="0" t="0"/>
            <wp:docPr descr="" title="" id="53" name="Picture"/>
            <a:graphic>
              <a:graphicData uri="http://schemas.openxmlformats.org/drawingml/2006/picture">
                <pic:pic>
                  <pic:nvPicPr>
                    <pic:cNvPr descr="figures/fig5_1_thin_slice.png" id="54" name="Picture"/>
                    <pic:cNvPicPr>
                      <a:picLocks noChangeArrowheads="1" noChangeAspect="1"/>
                    </pic:cNvPicPr>
                  </pic:nvPicPr>
                  <pic:blipFill>
                    <a:blip r:embed="rId52"/>
                    <a:stretch>
                      <a:fillRect/>
                    </a:stretch>
                  </pic:blipFill>
                  <pic:spPr bwMode="auto">
                    <a:xfrm>
                      <a:off x="0" y="0"/>
                      <a:ext cx="4913077" cy="1800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5.1. The thin take rate.</w:t>
      </w:r>
      <w:r>
        <w:rPr>
          <w:sz w:val="16"/>
        </w:rPr>
        <w:t xml:space="preserve"> </w:t>
      </w:r>
      <w:r>
        <w:rPr>
          <w:sz w:val="16"/>
        </w:rP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5"/>
    <w:bookmarkStart w:id="59" w:name="what-moved-the-take-rate"/>
    <w:p>
      <w:pPr>
        <w:pStyle w:val="Heading2"/>
      </w:pPr>
      <w:r>
        <w:t xml:space="preserve">5.3 What moved the take rate</w:t>
      </w:r>
    </w:p>
    <w:p>
      <w:pPr>
        <w:pStyle w:val="FirstParagraph"/>
      </w:pPr>
      <w:r>
        <w:rPr>
          <w:bCs/>
          <w:b/>
        </w:rPr>
        <w:t xml:space="preserve">Pricing, not more commerce, moved revenue at the Indonesian and regional platforms.</w:t>
      </w:r>
      <w:r>
        <w:t xml:space="preserve"> </w:t>
      </w:r>
      <w:r>
        <w:t xml:space="preserve">Pricing here means a change in the take rate, through fees or incentives. With equation (5), the take rate accounts for about two thirds of a revenue move at the typical pair, against about a quarter abroad. The wedge, by contrast, follows the commerce: in both groups, about 95 percent of a move in the wedge comes from transaction value.</w:t>
      </w:r>
    </w:p>
    <w:p>
      <w:pPr>
        <w:pStyle w:val="BodyText"/>
      </w:pPr>
      <w:r>
        <w:t xml:space="preserve">Where companies disclose both their fees and their incentives, equation (6) splits the growth of revenue further. Table 5.4 gives the seven traced windows. Fees and incentives are measured per unit of transaction value, and a negative share means that a part pulled revenue down. The windows of one platform overlap, so they are not seven independent cases.</w:t>
      </w:r>
    </w:p>
    <w:p>
      <w:pPr>
        <w:pStyle w:val="BodyText"/>
        <w:keepNext/>
        <w:spacing w:before="140" w:after="56" w:lineRule="exact" w:line="246"/>
        <w:jc w:val="left"/>
      </w:pPr>
      <w:r>
        <w:rPr>
          <w:b/>
          <w:sz w:val="17"/>
        </w:rPr>
        <w:t>Table 5.4.</w:t>
      </w:r>
      <w:r>
        <w:rPr>
          <w:b w:val="0"/>
          <w:sz w:val="17"/>
        </w:rPr>
        <w:t xml:space="preserve"> What moved revenue in seven Indonesian and regional windows (share of the growth of revenue, percent)</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3344"/>
        <w:gridCol w:w="1922"/>
        <w:gridCol w:w="1588"/>
        <w:gridCol w:w="1421"/>
        <w:gridCol w:w="1922"/>
      </w:tblGrid>
      <w:tr>
        <w:trPr>
          <w:tblHeader w:val="true"/>
          <w:cantSplit/>
          <w:tblHeader/>
        </w:trPr>
        <w:tc>
          <w:tcPr>
            <w:tcW w:w="3344" w:type="dxa"/>
            <w:tcBorders>
              <w:bottom w:val="single" w:sz="4" w:space="0" w:color="111111"/>
            </w:tcBorders>
          </w:tcPr>
          <w:p>
            <w:pPr>
              <w:pStyle w:val="Compact"/>
              <w:spacing w:before="0" w:after="0" w:lineRule="exact" w:line="200"/>
              <w:jc w:val="left"/>
            </w:pPr>
            <w:r>
              <w:rPr>
                <w:b/>
                <w:sz w:val="16"/>
              </w:rPr>
              <w:t xml:space="preserve">Platform and window</w:t>
            </w:r>
          </w:p>
        </w:tc>
        <w:tc>
          <w:tcPr>
            <w:tcW w:w="1922" w:type="dxa"/>
            <w:tcBorders>
              <w:bottom w:val="single" w:sz="4" w:space="0" w:color="111111"/>
            </w:tcBorders>
          </w:tcPr>
          <w:p>
            <w:pPr>
              <w:pStyle w:val="Compact"/>
              <w:spacing w:before="0" w:after="0" w:lineRule="exact" w:line="200"/>
              <w:jc w:val="left"/>
            </w:pPr>
            <w:r>
              <w:rPr>
                <w:b/>
                <w:sz w:val="16"/>
              </w:rPr>
              <w:t xml:space="preserve">Growth of revenue</w:t>
            </w:r>
          </w:p>
        </w:tc>
        <w:tc>
          <w:tcPr>
            <w:tcW w:w="1588" w:type="dxa"/>
            <w:tcBorders>
              <w:bottom w:val="single" w:sz="4" w:space="0" w:color="111111"/>
            </w:tcBorders>
          </w:tcPr>
          <w:p>
            <w:pPr>
              <w:pStyle w:val="Compact"/>
              <w:spacing w:before="0" w:after="0" w:lineRule="exact" w:line="200"/>
              <w:jc w:val="left"/>
            </w:pPr>
            <w:r>
              <w:rPr>
                <w:b/>
                <w:sz w:val="16"/>
              </w:rPr>
              <w:t xml:space="preserve">More commerce</w:t>
            </w:r>
          </w:p>
        </w:tc>
        <w:tc>
          <w:tcPr>
            <w:tcW w:w="1421" w:type="dxa"/>
            <w:tcBorders>
              <w:bottom w:val="single" w:sz="4" w:space="0" w:color="111111"/>
            </w:tcBorders>
          </w:tcPr>
          <w:p>
            <w:pPr>
              <w:pStyle w:val="Compact"/>
              <w:spacing w:before="0" w:after="0" w:lineRule="exact" w:line="200"/>
              <w:jc w:val="left"/>
            </w:pPr>
            <w:r>
              <w:rPr>
                <w:b/>
                <w:sz w:val="16"/>
              </w:rPr>
              <w:t xml:space="preserve">Higher fees</w:t>
            </w:r>
          </w:p>
        </w:tc>
        <w:tc>
          <w:tcPr>
            <w:tcW w:w="1922" w:type="dxa"/>
            <w:tcBorders>
              <w:bottom w:val="single" w:sz="4" w:space="0" w:color="111111"/>
            </w:tcBorders>
          </w:tcPr>
          <w:p>
            <w:pPr>
              <w:pStyle w:val="Compact"/>
              <w:spacing w:before="0" w:after="0" w:lineRule="exact" w:line="200"/>
              <w:jc w:val="left"/>
            </w:pPr>
            <w:r>
              <w:rPr>
                <w:b/>
                <w:sz w:val="16"/>
              </w:rPr>
              <w:t xml:space="preserve">Lower incentives</w:t>
            </w:r>
          </w:p>
        </w:tc>
      </w:tr>
      <w:tr>
        <w:trPr>
          <w:cantSplit/>
        </w:trPr>
        <w:tc>
          <w:tcPr>
            <w:tcW w:w="3344" w:type="dxa"/>
          </w:tcPr>
          <w:p>
            <w:pPr>
              <w:pStyle w:val="Compact"/>
              <w:spacing w:before="0" w:after="0" w:lineRule="exact" w:line="200"/>
              <w:jc w:val="left"/>
            </w:pPr>
            <w:r>
              <w:rPr>
                <w:sz w:val="16"/>
              </w:rPr>
              <w:t xml:space="preserve">Tokopedia, 2022–23</w:t>
            </w:r>
          </w:p>
        </w:tc>
        <w:tc>
          <w:tcPr>
            <w:tcW w:w="1922" w:type="dxa"/>
          </w:tcPr>
          <w:p>
            <w:pPr>
              <w:pStyle w:val="Compact"/>
              <w:spacing w:before="0" w:after="0" w:lineRule="exact" w:line="200"/>
              <w:jc w:val="left"/>
            </w:pPr>
            <w:r>
              <w:rPr>
                <w:sz w:val="16"/>
              </w:rPr>
              <w:t xml:space="preserve">+53%</w:t>
            </w:r>
          </w:p>
        </w:tc>
        <w:tc>
          <w:tcPr>
            <w:tcW w:w="1588" w:type="dxa"/>
          </w:tcPr>
          <w:p>
            <w:pPr>
              <w:pStyle w:val="Compact"/>
              <w:spacing w:before="0" w:after="0" w:lineRule="exact" w:line="200"/>
              <w:jc w:val="left"/>
            </w:pPr>
            <w:r>
              <w:rPr>
                <w:sz w:val="16"/>
              </w:rPr>
              <w:t xml:space="preserve">−22</w:t>
            </w:r>
          </w:p>
        </w:tc>
        <w:tc>
          <w:tcPr>
            <w:tcW w:w="1421" w:type="dxa"/>
          </w:tcPr>
          <w:p>
            <w:pPr>
              <w:pStyle w:val="Compact"/>
              <w:spacing w:before="0" w:after="0" w:lineRule="exact" w:line="200"/>
              <w:jc w:val="left"/>
            </w:pPr>
            <w:r>
              <w:rPr>
                <w:sz w:val="16"/>
              </w:rPr>
              <w:t xml:space="preserve">76</w:t>
            </w:r>
          </w:p>
        </w:tc>
        <w:tc>
          <w:tcPr>
            <w:tcW w:w="1922" w:type="dxa"/>
          </w:tcPr>
          <w:p>
            <w:pPr>
              <w:pStyle w:val="Compact"/>
              <w:spacing w:before="0" w:after="0" w:lineRule="exact" w:line="200"/>
              <w:jc w:val="left"/>
            </w:pPr>
            <w:r>
              <w:rPr>
                <w:sz w:val="16"/>
              </w:rPr>
              <w:t xml:space="preserve">45</w:t>
            </w:r>
          </w:p>
        </w:tc>
      </w:tr>
      <w:tr>
        <w:trPr>
          <w:cantSplit/>
        </w:trPr>
        <w:tc>
          <w:tcPr>
            <w:tcW w:w="3344" w:type="dxa"/>
          </w:tcPr>
          <w:p>
            <w:pPr>
              <w:pStyle w:val="Compact"/>
              <w:spacing w:before="0" w:after="0" w:lineRule="exact" w:line="200"/>
              <w:jc w:val="left"/>
            </w:pPr>
            <w:r>
              <w:rPr>
                <w:sz w:val="16"/>
              </w:rPr>
              <w:t xml:space="preserve">Blibli third-party retail, 2022–23</w:t>
            </w:r>
          </w:p>
        </w:tc>
        <w:tc>
          <w:tcPr>
            <w:tcW w:w="1922" w:type="dxa"/>
          </w:tcPr>
          <w:p>
            <w:pPr>
              <w:pStyle w:val="Compact"/>
              <w:spacing w:before="0" w:after="0" w:lineRule="exact" w:line="200"/>
              <w:jc w:val="left"/>
            </w:pPr>
            <w:r>
              <w:rPr>
                <w:sz w:val="16"/>
              </w:rPr>
              <w:t xml:space="preserve">+465%</w:t>
            </w:r>
          </w:p>
        </w:tc>
        <w:tc>
          <w:tcPr>
            <w:tcW w:w="1588" w:type="dxa"/>
          </w:tcPr>
          <w:p>
            <w:pPr>
              <w:pStyle w:val="Compact"/>
              <w:spacing w:before="0" w:after="0" w:lineRule="exact" w:line="200"/>
              <w:jc w:val="left"/>
            </w:pPr>
            <w:r>
              <w:rPr>
                <w:sz w:val="16"/>
              </w:rPr>
              <w:t xml:space="preserve">17</w:t>
            </w:r>
          </w:p>
        </w:tc>
        <w:tc>
          <w:tcPr>
            <w:tcW w:w="1421" w:type="dxa"/>
          </w:tcPr>
          <w:p>
            <w:pPr>
              <w:pStyle w:val="Compact"/>
              <w:spacing w:before="0" w:after="0" w:lineRule="exact" w:line="200"/>
              <w:jc w:val="left"/>
            </w:pPr>
            <w:r>
              <w:rPr>
                <w:sz w:val="16"/>
              </w:rPr>
              <w:t xml:space="preserve">20</w:t>
            </w:r>
          </w:p>
        </w:tc>
        <w:tc>
          <w:tcPr>
            <w:tcW w:w="1922" w:type="dxa"/>
          </w:tcPr>
          <w:p>
            <w:pPr>
              <w:pStyle w:val="Compact"/>
              <w:spacing w:before="0" w:after="0" w:lineRule="exact" w:line="200"/>
              <w:jc w:val="left"/>
            </w:pPr>
            <w:r>
              <w:rPr>
                <w:sz w:val="16"/>
              </w:rPr>
              <w:t xml:space="preserve">63</w:t>
            </w:r>
          </w:p>
        </w:tc>
      </w:tr>
      <w:tr>
        <w:trPr>
          <w:cantSplit/>
        </w:trPr>
        <w:tc>
          <w:tcPr>
            <w:tcW w:w="3344" w:type="dxa"/>
          </w:tcPr>
          <w:p>
            <w:pPr>
              <w:pStyle w:val="Compact"/>
              <w:spacing w:before="0" w:after="0" w:lineRule="exact" w:line="200"/>
              <w:jc w:val="left"/>
            </w:pPr>
            <w:r>
              <w:rPr>
                <w:sz w:val="16"/>
              </w:rPr>
              <w:t xml:space="preserve">Blibli third-party retail, 2022–25</w:t>
            </w:r>
          </w:p>
        </w:tc>
        <w:tc>
          <w:tcPr>
            <w:tcW w:w="1922" w:type="dxa"/>
          </w:tcPr>
          <w:p>
            <w:pPr>
              <w:pStyle w:val="Compact"/>
              <w:spacing w:before="0" w:after="0" w:lineRule="exact" w:line="200"/>
              <w:jc w:val="left"/>
            </w:pPr>
            <w:r>
              <w:rPr>
                <w:sz w:val="16"/>
              </w:rPr>
              <w:t xml:space="preserve">+679%</w:t>
            </w:r>
          </w:p>
        </w:tc>
        <w:tc>
          <w:tcPr>
            <w:tcW w:w="1588" w:type="dxa"/>
          </w:tcPr>
          <w:p>
            <w:pPr>
              <w:pStyle w:val="Compact"/>
              <w:spacing w:before="0" w:after="0" w:lineRule="exact" w:line="200"/>
              <w:jc w:val="left"/>
            </w:pPr>
            <w:r>
              <w:rPr>
                <w:sz w:val="16"/>
              </w:rPr>
              <w:t xml:space="preserve">18</w:t>
            </w:r>
          </w:p>
        </w:tc>
        <w:tc>
          <w:tcPr>
            <w:tcW w:w="1421" w:type="dxa"/>
          </w:tcPr>
          <w:p>
            <w:pPr>
              <w:pStyle w:val="Compact"/>
              <w:spacing w:before="0" w:after="0" w:lineRule="exact" w:line="200"/>
              <w:jc w:val="left"/>
            </w:pPr>
            <w:r>
              <w:rPr>
                <w:sz w:val="16"/>
              </w:rPr>
              <w:t xml:space="preserve">63</w:t>
            </w:r>
          </w:p>
        </w:tc>
        <w:tc>
          <w:tcPr>
            <w:tcW w:w="1922" w:type="dxa"/>
          </w:tcPr>
          <w:p>
            <w:pPr>
              <w:pStyle w:val="Compact"/>
              <w:spacing w:before="0" w:after="0" w:lineRule="exact" w:line="200"/>
              <w:jc w:val="left"/>
            </w:pPr>
            <w:r>
              <w:rPr>
                <w:sz w:val="16"/>
              </w:rPr>
              <w:t xml:space="preserve">20</w:t>
            </w:r>
          </w:p>
        </w:tc>
      </w:tr>
      <w:tr>
        <w:trPr>
          <w:cantSplit/>
        </w:trPr>
        <w:tc>
          <w:tcPr>
            <w:tcW w:w="3344" w:type="dxa"/>
          </w:tcPr>
          <w:p>
            <w:pPr>
              <w:pStyle w:val="Compact"/>
              <w:spacing w:before="0" w:after="0" w:lineRule="exact" w:line="200"/>
              <w:jc w:val="left"/>
            </w:pPr>
            <w:r>
              <w:rPr>
                <w:sz w:val="16"/>
              </w:rPr>
              <w:t xml:space="preserve">Grab on-demand, 2021–24</w:t>
            </w:r>
          </w:p>
        </w:tc>
        <w:tc>
          <w:tcPr>
            <w:tcW w:w="1922" w:type="dxa"/>
          </w:tcPr>
          <w:p>
            <w:pPr>
              <w:pStyle w:val="Compact"/>
              <w:spacing w:before="0" w:after="0" w:lineRule="exact" w:line="200"/>
              <w:jc w:val="left"/>
            </w:pPr>
            <w:r>
              <w:rPr>
                <w:sz w:val="16"/>
              </w:rPr>
              <w:t xml:space="preserve">+321%</w:t>
            </w:r>
          </w:p>
        </w:tc>
        <w:tc>
          <w:tcPr>
            <w:tcW w:w="1588" w:type="dxa"/>
          </w:tcPr>
          <w:p>
            <w:pPr>
              <w:pStyle w:val="Compact"/>
              <w:spacing w:before="0" w:after="0" w:lineRule="exact" w:line="200"/>
              <w:jc w:val="left"/>
            </w:pPr>
            <w:r>
              <w:rPr>
                <w:sz w:val="16"/>
              </w:rPr>
              <w:t xml:space="preserve">34</w:t>
            </w:r>
          </w:p>
        </w:tc>
        <w:tc>
          <w:tcPr>
            <w:tcW w:w="1421" w:type="dxa"/>
          </w:tcPr>
          <w:p>
            <w:pPr>
              <w:pStyle w:val="Compact"/>
              <w:spacing w:before="0" w:after="0" w:lineRule="exact" w:line="200"/>
              <w:jc w:val="left"/>
            </w:pPr>
            <w:r>
              <w:rPr>
                <w:sz w:val="16"/>
              </w:rPr>
              <w:t xml:space="preserve">34</w:t>
            </w:r>
          </w:p>
        </w:tc>
        <w:tc>
          <w:tcPr>
            <w:tcW w:w="1922" w:type="dxa"/>
          </w:tcPr>
          <w:p>
            <w:pPr>
              <w:pStyle w:val="Compact"/>
              <w:spacing w:before="0" w:after="0" w:lineRule="exact" w:line="200"/>
              <w:jc w:val="left"/>
            </w:pPr>
            <w:r>
              <w:rPr>
                <w:sz w:val="16"/>
              </w:rPr>
              <w:t xml:space="preserve">33</w:t>
            </w:r>
          </w:p>
        </w:tc>
      </w:tr>
      <w:tr>
        <w:trPr>
          <w:cantSplit/>
        </w:trPr>
        <w:tc>
          <w:tcPr>
            <w:tcW w:w="3344" w:type="dxa"/>
          </w:tcPr>
          <w:p>
            <w:pPr>
              <w:pStyle w:val="Compact"/>
              <w:spacing w:before="0" w:after="0" w:lineRule="exact" w:line="200"/>
              <w:jc w:val="left"/>
            </w:pPr>
            <w:r>
              <w:rPr>
                <w:sz w:val="16"/>
              </w:rPr>
              <w:t xml:space="preserve">Grab on-demand, 2022–24</w:t>
            </w:r>
          </w:p>
        </w:tc>
        <w:tc>
          <w:tcPr>
            <w:tcW w:w="1922" w:type="dxa"/>
          </w:tcPr>
          <w:p>
            <w:pPr>
              <w:pStyle w:val="Compact"/>
              <w:spacing w:before="0" w:after="0" w:lineRule="exact" w:line="200"/>
              <w:jc w:val="left"/>
            </w:pPr>
            <w:r>
              <w:rPr>
                <w:sz w:val="16"/>
              </w:rPr>
              <w:t xml:space="preserve">+86%</w:t>
            </w:r>
          </w:p>
        </w:tc>
        <w:tc>
          <w:tcPr>
            <w:tcW w:w="1588" w:type="dxa"/>
          </w:tcPr>
          <w:p>
            <w:pPr>
              <w:pStyle w:val="Compact"/>
              <w:spacing w:before="0" w:after="0" w:lineRule="exact" w:line="200"/>
              <w:jc w:val="left"/>
            </w:pPr>
            <w:r>
              <w:rPr>
                <w:sz w:val="16"/>
              </w:rPr>
              <w:t xml:space="preserve">42</w:t>
            </w:r>
          </w:p>
        </w:tc>
        <w:tc>
          <w:tcPr>
            <w:tcW w:w="1421" w:type="dxa"/>
          </w:tcPr>
          <w:p>
            <w:pPr>
              <w:pStyle w:val="Compact"/>
              <w:spacing w:before="0" w:after="0" w:lineRule="exact" w:line="200"/>
              <w:jc w:val="left"/>
            </w:pPr>
            <w:r>
              <w:rPr>
                <w:sz w:val="16"/>
              </w:rPr>
              <w:t xml:space="preserve">11</w:t>
            </w:r>
          </w:p>
        </w:tc>
        <w:tc>
          <w:tcPr>
            <w:tcW w:w="1922" w:type="dxa"/>
          </w:tcPr>
          <w:p>
            <w:pPr>
              <w:pStyle w:val="Compact"/>
              <w:spacing w:before="0" w:after="0" w:lineRule="exact" w:line="200"/>
              <w:jc w:val="left"/>
            </w:pPr>
            <w:r>
              <w:rPr>
                <w:sz w:val="16"/>
              </w:rPr>
              <w:t xml:space="preserve">47</w:t>
            </w:r>
          </w:p>
        </w:tc>
      </w:tr>
      <w:tr>
        <w:trPr>
          <w:cantSplit/>
        </w:trPr>
        <w:tc>
          <w:tcPr>
            <w:tcW w:w="3344" w:type="dxa"/>
          </w:tcPr>
          <w:p>
            <w:pPr>
              <w:pStyle w:val="Compact"/>
              <w:spacing w:before="0" w:after="0" w:lineRule="exact" w:line="200"/>
              <w:jc w:val="left"/>
            </w:pPr>
            <w:r>
              <w:rPr>
                <w:sz w:val="16"/>
              </w:rPr>
              <w:t xml:space="preserve">GoTo on-demand, 2022–25</w:t>
            </w:r>
          </w:p>
        </w:tc>
        <w:tc>
          <w:tcPr>
            <w:tcW w:w="1922" w:type="dxa"/>
          </w:tcPr>
          <w:p>
            <w:pPr>
              <w:pStyle w:val="Compact"/>
              <w:spacing w:before="0" w:after="0" w:lineRule="exact" w:line="200"/>
              <w:jc w:val="left"/>
            </w:pPr>
            <w:r>
              <w:rPr>
                <w:sz w:val="16"/>
              </w:rPr>
              <w:t xml:space="preserve">+111%</w:t>
            </w:r>
          </w:p>
        </w:tc>
        <w:tc>
          <w:tcPr>
            <w:tcW w:w="1588" w:type="dxa"/>
          </w:tcPr>
          <w:p>
            <w:pPr>
              <w:pStyle w:val="Compact"/>
              <w:spacing w:before="0" w:after="0" w:lineRule="exact" w:line="200"/>
              <w:jc w:val="left"/>
            </w:pPr>
            <w:r>
              <w:rPr>
                <w:sz w:val="16"/>
              </w:rPr>
              <w:t xml:space="preserve">12</w:t>
            </w:r>
          </w:p>
        </w:tc>
        <w:tc>
          <w:tcPr>
            <w:tcW w:w="1421" w:type="dxa"/>
          </w:tcPr>
          <w:p>
            <w:pPr>
              <w:pStyle w:val="Compact"/>
              <w:spacing w:before="0" w:after="0" w:lineRule="exact" w:line="200"/>
              <w:jc w:val="left"/>
            </w:pPr>
            <w:r>
              <w:rPr>
                <w:sz w:val="16"/>
              </w:rPr>
              <w:t xml:space="preserve">36</w:t>
            </w:r>
          </w:p>
        </w:tc>
        <w:tc>
          <w:tcPr>
            <w:tcW w:w="1922" w:type="dxa"/>
          </w:tcPr>
          <w:p>
            <w:pPr>
              <w:pStyle w:val="Compact"/>
              <w:spacing w:before="0" w:after="0" w:lineRule="exact" w:line="200"/>
              <w:jc w:val="left"/>
            </w:pPr>
            <w:r>
              <w:rPr>
                <w:sz w:val="16"/>
              </w:rPr>
              <w:t xml:space="preserve">52</w:t>
            </w:r>
          </w:p>
        </w:tc>
      </w:tr>
      <w:tr>
        <w:trPr>
          <w:cantSplit/>
        </w:trPr>
        <w:tc>
          <w:tcPr>
            <w:tcW w:w="3344" w:type="dxa"/>
          </w:tcPr>
          <w:p>
            <w:pPr>
              <w:pStyle w:val="Compact"/>
              <w:spacing w:before="0" w:after="0" w:lineRule="exact" w:line="200"/>
              <w:jc w:val="left"/>
            </w:pPr>
            <w:r>
              <w:rPr>
                <w:sz w:val="16"/>
              </w:rPr>
              <w:t xml:space="preserve">GoTo on-demand, 2023–25</w:t>
            </w:r>
          </w:p>
        </w:tc>
        <w:tc>
          <w:tcPr>
            <w:tcW w:w="1922" w:type="dxa"/>
          </w:tcPr>
          <w:p>
            <w:pPr>
              <w:pStyle w:val="Compact"/>
              <w:spacing w:before="0" w:after="0" w:lineRule="exact" w:line="200"/>
              <w:jc w:val="left"/>
            </w:pPr>
            <w:r>
              <w:rPr>
                <w:sz w:val="16"/>
              </w:rPr>
              <w:t xml:space="preserve">+114%</w:t>
            </w:r>
          </w:p>
        </w:tc>
        <w:tc>
          <w:tcPr>
            <w:tcW w:w="1588" w:type="dxa"/>
          </w:tcPr>
          <w:p>
            <w:pPr>
              <w:pStyle w:val="Compact"/>
              <w:spacing w:before="0" w:after="0" w:lineRule="exact" w:line="200"/>
              <w:jc w:val="left"/>
            </w:pPr>
            <w:r>
              <w:rPr>
                <w:sz w:val="16"/>
              </w:rPr>
              <w:t xml:space="preserve">27</w:t>
            </w:r>
          </w:p>
        </w:tc>
        <w:tc>
          <w:tcPr>
            <w:tcW w:w="1421" w:type="dxa"/>
          </w:tcPr>
          <w:p>
            <w:pPr>
              <w:pStyle w:val="Compact"/>
              <w:spacing w:before="0" w:after="0" w:lineRule="exact" w:line="200"/>
              <w:jc w:val="left"/>
            </w:pPr>
            <w:r>
              <w:rPr>
                <w:sz w:val="16"/>
              </w:rPr>
              <w:t xml:space="preserve">6</w:t>
            </w:r>
          </w:p>
        </w:tc>
        <w:tc>
          <w:tcPr>
            <w:tcW w:w="1922" w:type="dxa"/>
          </w:tcPr>
          <w:p>
            <w:pPr>
              <w:pStyle w:val="Compact"/>
              <w:spacing w:before="0" w:after="0" w:lineRule="exact" w:line="200"/>
              <w:jc w:val="left"/>
            </w:pPr>
            <w:r>
              <w:rPr>
                <w:sz w:val="16"/>
              </w:rPr>
              <w:t xml:space="preserve">67</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Shares are rounded, so a row can add to 99 or 101. Source: company filings; author’s calculations (Appendix A).</w:t>
      </w:r>
    </w:p>
    <w:p>
      <w:pPr>
        <w:pStyle w:val="BodyText"/>
      </w:pPr>
      <w:r>
        <w:rPr>
          <w:bCs/>
          <w:b/>
        </w:rPr>
        <w:t xml:space="preserve">Higher fees and lower incentives together outweighed more commerce in every window.</w:t>
      </w:r>
      <w:r>
        <w:t xml:space="preserve"> </w:t>
      </w:r>
      <w:r>
        <w:t xml:space="preserve">Lower incentives were the larger of the two in four windows and higher fees in two. In the seventh, Grab from 2021 to 2024, the two were nearly equal.</w:t>
      </w:r>
    </w:p>
    <w:p>
      <w:pPr>
        <w:pStyle w:val="BodyText"/>
      </w:pPr>
      <w:r>
        <w:t xml:space="preserve">Three series need a note. GoTo’s 2022 transaction value is an estimate.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as in Table 5.4, higher fees account for more of the rise in the take rate. The two views differ only on which lever led (Figure 5.2).</w:t>
      </w:r>
    </w:p>
    <w:p>
      <w:pPr>
        <w:pStyle w:val="BodyText"/>
        <w:keepNext/>
        <w:spacing w:before="114" w:after="0" w:line="240" w:lineRule="auto"/>
        <w:jc w:val="center"/>
      </w:pPr>
      <w:r>
        <w:drawing>
          <wp:inline>
            <wp:extent cx="5425001" cy="1800000"/>
            <wp:effectExtent b="0" l="0" r="0" t="0"/>
            <wp:docPr descr="" title="" id="57" name="Picture"/>
            <a:graphic>
              <a:graphicData uri="http://schemas.openxmlformats.org/drawingml/2006/picture">
                <pic:pic>
                  <pic:nvPicPr>
                    <pic:cNvPr descr="figures/fig5_2_tokopedia_two_views.png" id="58" name="Picture"/>
                    <pic:cNvPicPr>
                      <a:picLocks noChangeArrowheads="1" noChangeAspect="1"/>
                    </pic:cNvPicPr>
                  </pic:nvPicPr>
                  <pic:blipFill>
                    <a:blip r:embed="rId56"/>
                    <a:stretch>
                      <a:fillRect/>
                    </a:stretch>
                  </pic:blipFill>
                  <pic:spPr bwMode="auto">
                    <a:xfrm>
                      <a:off x="0" y="0"/>
                      <a:ext cx="5425001" cy="1800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5.2. Tokopedia, 2022 to 2023: two ways to split the rise in revenue.</w:t>
      </w:r>
      <w:r>
        <w:rPr>
          <w:sz w:val="16"/>
        </w:rPr>
        <w:t xml:space="preserve"> </w:t>
      </w:r>
      <w:r>
        <w:rPr>
          <w:sz w:val="16"/>
        </w:rP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bookmarkEnd w:id="59"/>
    <w:bookmarkStart w:id="60" w:name="what-markets-valued"/>
    <w:p>
      <w:pPr>
        <w:pStyle w:val="Heading2"/>
      </w:pPr>
      <w:r>
        <w:t xml:space="preserve">5.4 What markets valued</w:t>
      </w:r>
    </w:p>
    <w:p>
      <w:pPr>
        <w:pStyle w:val="FirstParagraph"/>
      </w:pPr>
      <w:r>
        <w:rPr>
          <w:bCs/>
          <w:b/>
        </w:rPr>
        <w:t xml:space="preserve">Across 28 listed platforms and 138 platform-years, market value moved with transaction value, a registered result.</w:t>
      </w:r>
      <w:r>
        <w:t xml:space="preserve"> </w:t>
      </w:r>
      <w:r>
        <w:t xml:space="preserve">A 1 percent rise in transaction value goes with a rise of about 0.6 percent in market value (</w:t>
      </w:r>
      <w:r>
        <w:rPr>
          <w:rFonts w:ascii="Cambria" w:hAnsi="Cambria" w:cs="Cambria" w:eastAsia="Cambria"/>
        </w:rPr>
        <w:t xml:space="preserve">β</w:t>
      </w:r>
      <w:r>
        <w:rPr>
          <w:vertAlign w:val="subscript"/>
        </w:rPr>
        <w:t xml:space="preserve">V</w:t>
      </w:r>
      <w:r>
        <w:t xml:space="preserve"> </w:t>
      </w:r>
      <w:r>
        <w:t xml:space="preserve">in equation (8), p = 0.002). Section 4.5 describes this sample, which differs from the 27 foreign platforms of H1.</w:t>
      </w:r>
    </w:p>
    <w:p>
      <w:pPr>
        <w:pStyle w:val="BodyText"/>
      </w:pPr>
      <w:r>
        <w:rPr>
          <w:bCs/>
          <w:b/>
        </w:rPr>
        <w:t xml:space="preserve">The second registered prediction does not hold in the main sample.</w:t>
      </w:r>
      <w:r>
        <w:t xml:space="preserve"> </w:t>
      </w:r>
      <w:r>
        <w:t xml:space="preserve">It expected markets to value growth from a higher take rate less than growth from more commerce. A 1 percent rise in the take rate goes with a rise of about 0.3 percent (</w:t>
      </w:r>
      <w:r>
        <w:rPr>
          <w:rFonts w:ascii="Cambria" w:hAnsi="Cambria" w:cs="Cambria" w:eastAsia="Cambria"/>
        </w:rPr>
        <w:t xml:space="preserve">β</w:t>
      </w:r>
      <w:r>
        <w:rPr>
          <w:vertAlign w:val="subscript"/>
        </w:rPr>
        <w:t xml:space="preserve">m</w:t>
      </w:r>
      <w:r>
        <w:t xml:space="preserve">), which is too uncertain to tell from zero. The gap between the two estimates is not large enough to count (p = 0.20, or 0.16 with extreme values capped). The test could reliably flag only a gap above about 0.8, so a failed prediction here means the data cannot tell, not that markets value the two sources alike.</w:t>
      </w:r>
    </w:p>
    <w:p>
      <w:pPr>
        <w:pStyle w:val="BodyText"/>
      </w:pPr>
      <w:r>
        <w:t xml:space="preserve">A second run adds five segment series, including Grab, GoTo and Sea, and Mercado Libre. There the gap counts (p = 0.004), with about 0.6 for transaction value against about 0.1 for the take rate. But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w:t>
      </w:r>
    </w:p>
    <w:p>
      <w:pPr>
        <w:pStyle w:val="BodyText"/>
      </w:pPr>
      <w:r>
        <w:t xml:space="preserve">How a firm records revenue matters too. After the 2000 crash, revenue explained less of the prices of internet firms that booked the full sale amount as revenue (Davis 2002). The data do not show that markets valued growth from pricing any less. The national figures give a separate view of the same commerce.</w:t>
      </w:r>
    </w:p>
    <w:bookmarkEnd w:id="60"/>
    <w:bookmarkStart w:id="64" w:name="the-platforms-and-the-sellers-in-2023"/>
    <w:p>
      <w:pPr>
        <w:pStyle w:val="Heading2"/>
      </w:pPr>
      <w:r>
        <w:t xml:space="preserve">5.5 The platforms and the sellers in 2023</w:t>
      </w:r>
    </w:p>
    <w:p>
      <w:pPr>
        <w:pStyle w:val="FirstParagraph"/>
      </w:pPr>
      <w:r>
        <w:rPr>
          <w:bCs/>
          <w:b/>
        </w:rPr>
        <w:t xml:space="preserve">Buying through platforms did not boom in 2023.</w:t>
      </w:r>
      <w:r>
        <w:t xml:space="preserve"> </w:t>
      </w:r>
      <w:r>
        <w:t xml:space="preserve">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keepNext/>
        <w:spacing w:before="114" w:after="0" w:line="240" w:lineRule="auto"/>
        <w:jc w:val="center"/>
      </w:pPr>
      <w:r>
        <w:drawing>
          <wp:inline>
            <wp:extent cx="5650105" cy="3024000"/>
            <wp:effectExtent b="0" l="0" r="0" t="0"/>
            <wp:docPr descr="" title="" id="62" name="Picture"/>
            <a:graphic>
              <a:graphicData uri="http://schemas.openxmlformats.org/drawingml/2006/picture">
                <pic:pic>
                  <pic:nvPicPr>
                    <pic:cNvPr descr="figures/fig5_3_growth_2023.png" id="63" name="Picture"/>
                    <pic:cNvPicPr>
                      <a:picLocks noChangeArrowheads="1" noChangeAspect="1"/>
                    </pic:cNvPicPr>
                  </pic:nvPicPr>
                  <pic:blipFill>
                    <a:blip r:embed="rId61"/>
                    <a:stretch>
                      <a:fillRect/>
                    </a:stretch>
                  </pic:blipFill>
                  <pic:spPr bwMode="auto">
                    <a:xfrm>
                      <a:off x="0" y="0"/>
                      <a:ext cx="5650105" cy="3024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5.3. Growth in 2023 (percent).</w:t>
      </w:r>
      <w:r>
        <w:rPr>
          <w:sz w:val="16"/>
        </w:rPr>
        <w:t xml:space="preserve"> </w:t>
      </w:r>
      <w:r>
        <w:rPr>
          <w:sz w:val="16"/>
        </w:rP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w:t>
      </w:r>
    </w:p>
    <w:p>
      <w:pPr>
        <w:pStyle w:val="BodyText"/>
      </w:pPr>
      <w:r>
        <w:t xml:space="preserve">The published count of online sellers nonetheless rose by 27 percent in 2023. A rise of that size, in a year without a boom in sales, needs explaining.</w:t>
      </w:r>
    </w:p>
    <w:bookmarkEnd w:id="64"/>
    <w:bookmarkStart w:id="65" w:name="h2-and-the-entry-test"/>
    <w:p>
      <w:pPr>
        <w:pStyle w:val="Heading2"/>
      </w:pPr>
      <w:r>
        <w:t xml:space="preserve">5.6 H2 and the entry test</w:t>
      </w:r>
    </w:p>
    <w:p>
      <w:pPr>
        <w:pStyle w:val="FirstParagraph"/>
      </w:pPr>
      <w:r>
        <w:rPr>
          <w:bCs/>
          <w:b/>
        </w:rPr>
        <w:t xml:space="preserve">H2 holds on BPS’s published figures, but the registered entry test shows that first-time entry cannot explain the whole rise in the count.</w:t>
      </w:r>
      <w:r>
        <w:t xml:space="preserve"> </w:t>
      </w:r>
      <w:r>
        <w:t xml:space="preserve">From 2022 to 2023, online sales value grew by 41 percent and the number of businesses by 27 percent. More businesses account for 71 percent of that growth, and higher sales per business for the rest.</w:t>
      </w:r>
    </w:p>
    <w:p>
      <w:pPr>
        <w:pStyle w:val="BodyText"/>
      </w:pPr>
      <w:r>
        <w:t xml:space="preserve">H2 holds again from 2023 to 2024. Value grew by 17 percent, and more businesses account for 90 percent of the growth, or 71 percent on BPS’s other count for 2023. The split of equation (7) is arithmetic, and it cannot tell a new seller from one counted for the first time.</w:t>
      </w:r>
    </w:p>
    <w:p>
      <w:pPr>
        <w:pStyle w:val="BodyText"/>
      </w:pPr>
      <w:r>
        <w:rPr>
          <w:bCs/>
          <w:b/>
        </w:rPr>
        <w:t xml:space="preserve">The registered entry test separates new sellers from sellers counted for the first time, and it fails.</w:t>
      </w:r>
      <w:r>
        <w:t xml:space="preserve"> </w:t>
      </w:r>
      <w:r>
        <w:t xml:space="preserve">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5"/>
    <w:bookmarkStart w:id="66" w:name="what-the-rise-in-the-count-contains"/>
    <w:p>
      <w:pPr>
        <w:pStyle w:val="Heading2"/>
      </w:pPr>
      <w:r>
        <w:t xml:space="preserve">5.7 What the rise in the count contains</w:t>
      </w:r>
    </w:p>
    <w:p>
      <w:pPr>
        <w:pStyle w:val="FirstParagraph"/>
      </w:pPr>
      <w:r>
        <w:rPr>
          <w:bCs/>
          <w:b/>
        </w:rPr>
        <w:t xml:space="preserve">About half of the 2023 rise in the count is not explained by first-time entry, an exploratory result.</w:t>
      </w:r>
      <w:r>
        <w:t xml:space="preserve"> </w:t>
      </w:r>
      <w:r>
        <w:t xml:space="preserve">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keepNext/>
        <w:spacing w:before="140" w:after="56" w:lineRule="exact" w:line="246"/>
        <w:jc w:val="left"/>
      </w:pPr>
      <w:r>
        <w:rPr>
          <w:b/>
          <w:sz w:val="17"/>
        </w:rPr>
        <w:t>Table 5.5.</w:t>
      </w:r>
      <w:r>
        <w:rPr>
          <w:b w:val="0"/>
          <w:sz w:val="17"/>
        </w:rPr>
        <w:t xml:space="preserve"> The 2023 rise in the count of online sellers (thousands)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4950"/>
        <w:gridCol w:w="1950"/>
        <w:gridCol w:w="3300"/>
      </w:tblGrid>
      <w:tr>
        <w:trPr>
          <w:tblHeader w:val="true"/>
          <w:cantSplit/>
          <w:tblHeader/>
        </w:trPr>
        <w:tc>
          <w:tcPr>
            <w:tcW w:w="4950" w:type="dxa"/>
            <w:tcBorders>
              <w:bottom w:val="single" w:sz="4" w:space="0" w:color="111111"/>
            </w:tcBorders>
          </w:tcPr>
          <w:p>
            <w:pPr>
              <w:pStyle w:val="Compact"/>
              <w:spacing w:before="0" w:after="0" w:lineRule="exact" w:line="200"/>
              <w:jc w:val="left"/>
            </w:pPr>
            <w:r>
              <w:rPr>
                <w:b/>
                <w:sz w:val="16"/>
              </w:rPr>
              <w:t xml:space="preserve">Part of the rise</w:t>
            </w:r>
          </w:p>
        </w:tc>
        <w:tc>
          <w:tcPr>
            <w:tcW w:w="1950" w:type="dxa"/>
            <w:tcBorders>
              <w:bottom w:val="single" w:sz="4" w:space="0" w:color="111111"/>
            </w:tcBorders>
          </w:tcPr>
          <w:p>
            <w:pPr>
              <w:pStyle w:val="Compact"/>
              <w:spacing w:before="0" w:after="0" w:lineRule="exact" w:line="200"/>
              <w:jc w:val="left"/>
            </w:pPr>
            <w:r>
              <w:rPr>
                <w:b/>
                <w:sz w:val="16"/>
              </w:rPr>
              <w:t xml:space="preserve">If no seller stopped</w:t>
            </w:r>
          </w:p>
        </w:tc>
        <w:tc>
          <w:tcPr>
            <w:tcW w:w="3300" w:type="dxa"/>
            <w:tcBorders>
              <w:bottom w:val="single" w:sz="4" w:space="0" w:color="111111"/>
            </w:tcBorders>
          </w:tcPr>
          <w:p>
            <w:pPr>
              <w:pStyle w:val="Compact"/>
              <w:spacing w:before="0" w:after="0" w:lineRule="exact" w:line="200"/>
              <w:jc w:val="left"/>
            </w:pPr>
            <w:r>
              <w:rPr>
                <w:b/>
                <w:sz w:val="16"/>
              </w:rPr>
              <w:t xml:space="preserve">If sellers stopped at 5 percent a year</w:t>
            </w:r>
          </w:p>
        </w:tc>
      </w:tr>
      <w:tr>
        <w:trPr>
          <w:cantSplit/>
        </w:trPr>
        <w:tc>
          <w:tcPr>
            <w:tcW w:w="4950" w:type="dxa"/>
          </w:tcPr>
          <w:p>
            <w:pPr>
              <w:pStyle w:val="Compact"/>
              <w:spacing w:before="0" w:after="0" w:lineRule="exact" w:line="200"/>
              <w:jc w:val="left"/>
            </w:pPr>
            <w:r>
              <w:rPr>
                <w:sz w:val="16"/>
              </w:rPr>
              <w:t xml:space="preserve">Rise between the weighted totals of the two files</w:t>
            </w:r>
          </w:p>
        </w:tc>
        <w:tc>
          <w:tcPr>
            <w:tcW w:w="1950" w:type="dxa"/>
          </w:tcPr>
          <w:p>
            <w:pPr>
              <w:pStyle w:val="Compact"/>
              <w:spacing w:before="0" w:after="0" w:lineRule="exact" w:line="200"/>
              <w:jc w:val="left"/>
            </w:pPr>
            <w:r>
              <w:rPr>
                <w:sz w:val="16"/>
              </w:rPr>
              <w:t xml:space="preserve">819 (100%)</w:t>
            </w:r>
          </w:p>
        </w:tc>
        <w:tc>
          <w:tcPr>
            <w:tcW w:w="3300" w:type="dxa"/>
          </w:tcPr>
          <w:p>
            <w:pPr>
              <w:pStyle w:val="Compact"/>
              <w:spacing w:before="0" w:after="0" w:lineRule="exact" w:line="200"/>
              <w:jc w:val="left"/>
            </w:pPr>
            <w:r>
              <w:rPr>
                <w:sz w:val="16"/>
              </w:rPr>
              <w:t xml:space="preserve">819 (100%)</w:t>
            </w:r>
          </w:p>
        </w:tc>
      </w:tr>
      <w:tr>
        <w:trPr>
          <w:cantSplit/>
        </w:trPr>
        <w:tc>
          <w:tcPr>
            <w:tcW w:w="4950" w:type="dxa"/>
          </w:tcPr>
          <w:p>
            <w:pPr>
              <w:pStyle w:val="Compact"/>
              <w:spacing w:before="0" w:after="0" w:lineRule="exact" w:line="200"/>
              <w:jc w:val="left"/>
            </w:pPr>
            <w:r>
              <w:rPr>
                <w:sz w:val="16"/>
              </w:rPr>
              <w:t xml:space="preserve">Net entry: sellers who began in 2023, less those who stopped</w:t>
            </w:r>
          </w:p>
        </w:tc>
        <w:tc>
          <w:tcPr>
            <w:tcW w:w="1950" w:type="dxa"/>
          </w:tcPr>
          <w:p>
            <w:pPr>
              <w:pStyle w:val="Compact"/>
              <w:spacing w:before="0" w:after="0" w:lineRule="exact" w:line="200"/>
              <w:jc w:val="left"/>
            </w:pPr>
            <w:r>
              <w:rPr>
                <w:sz w:val="16"/>
              </w:rPr>
              <w:t xml:space="preserve">513 (63%)</w:t>
            </w:r>
          </w:p>
        </w:tc>
        <w:tc>
          <w:tcPr>
            <w:tcW w:w="3300" w:type="dxa"/>
          </w:tcPr>
          <w:p>
            <w:pPr>
              <w:pStyle w:val="Compact"/>
              <w:spacing w:before="0" w:after="0" w:lineRule="exact" w:line="200"/>
              <w:jc w:val="left"/>
            </w:pPr>
            <w:r>
              <w:rPr>
                <w:sz w:val="16"/>
              </w:rPr>
              <w:t xml:space="preserve">361 (44%)</w:t>
            </w:r>
          </w:p>
        </w:tc>
      </w:tr>
      <w:tr>
        <w:trPr>
          <w:cantSplit/>
        </w:trPr>
        <w:tc>
          <w:tcPr>
            <w:tcW w:w="4950" w:type="dxa"/>
          </w:tcPr>
          <w:p>
            <w:pPr>
              <w:pStyle w:val="Compact"/>
              <w:spacing w:before="0" w:after="0" w:lineRule="exact" w:line="200"/>
              <w:jc w:val="left"/>
            </w:pPr>
            <w:r>
              <w:rPr>
                <w:sz w:val="16"/>
              </w:rPr>
              <w:t xml:space="preserve">Earlier sellers newly counted above the whole 2022 count</w:t>
            </w:r>
          </w:p>
        </w:tc>
        <w:tc>
          <w:tcPr>
            <w:tcW w:w="1950" w:type="dxa"/>
          </w:tcPr>
          <w:p>
            <w:pPr>
              <w:pStyle w:val="Compact"/>
              <w:spacing w:before="0" w:after="0" w:lineRule="exact" w:line="200"/>
              <w:jc w:val="left"/>
            </w:pPr>
            <w:r>
              <w:rPr>
                <w:sz w:val="16"/>
              </w:rPr>
              <w:t xml:space="preserve">306 (37%)</w:t>
            </w:r>
          </w:p>
        </w:tc>
        <w:tc>
          <w:tcPr>
            <w:tcW w:w="3300" w:type="dxa"/>
          </w:tcPr>
          <w:p>
            <w:pPr>
              <w:pStyle w:val="Compact"/>
              <w:spacing w:before="0" w:after="0" w:lineRule="exact" w:line="200"/>
              <w:jc w:val="left"/>
            </w:pPr>
            <w:r>
              <w:rPr>
                <w:sz w:val="16"/>
              </w:rPr>
              <w:t xml:space="preserve">458 (56%)</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sat in chat and social selling. Among sellers who began by 2022, those using only chat or social media rose by 13 percent, and marketplace users by 0.3 percent. Across the 34 provinces, growth in the count had almost no link to the share of new sellers (a rank correlation of 0.10, on a scale from −1 to 1). It had only a weak link to growth in the sample (0.35).</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figure rose by 41 percent in rupiah, from about US$53 billion to about US$72 billion at each year’s exchange rate. The thesis asks how much of that rise the sellers’ own answers can account for, by giving each kind of seller its typical size in the 2022 file.</w:t>
      </w:r>
    </w:p>
    <w:p>
      <w:pPr>
        <w:pStyle w:val="BodyText"/>
      </w:pPr>
      <w:r>
        <w:t xml:space="preserve">New sellers, sized like those that began in 2022, account for 25 to 30 percent of the rise. The extra earlier sellers, sized like chat and social sellers, account for 15 to 17 percent. The typical seller already online reported no growth (a mean change of about −4 percent, counting each seller once). That leaves 53 to 59 percent with no source in the sellers’ answers. A few large sellers growing fast could account for it, but the files cannot show whether they did.</w:t>
      </w:r>
    </w:p>
    <w:p>
      <w:pPr>
        <w:pStyle w:val="BodyText"/>
      </w:pPr>
      <w:r>
        <w:rPr>
          <w:bCs/>
          <w:b/>
        </w:rPr>
        <w:t xml:space="preserve">H2 holds on the published series, but it sits right on its threshold once the extra count is read as coverage, an exploratory follow-up.</w:t>
      </w:r>
      <w:r>
        <w:t xml:space="preserve"> </w:t>
      </w:r>
      <w:r>
        <w:t xml:space="preserve">H2’s split treats every seller in the count as having entered. Suppose instead that the sellers not explained by entry were reached by wider coverage, and that their sales came with them. With both taken out of the 2023 figures, more businesses account for about 54 percent of the growth if no seller stopped, and about 42 percent if sellers stopped at 5 percent a year. H2 requires more than 50 percent. Taking out the sellers but keeping their sales gives 34 to 47 percent, but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helps decide between the two.</w:t>
      </w:r>
    </w:p>
    <w:bookmarkEnd w:id="66"/>
    <w:bookmarkStart w:id="70" w:name="who-the-extra-sellers-were"/>
    <w:p>
      <w:pPr>
        <w:pStyle w:val="Heading2"/>
      </w:pPr>
      <w:r>
        <w:t xml:space="preserve">5.8 Who the extra sellers were</w:t>
      </w:r>
    </w:p>
    <w:p>
      <w:pPr>
        <w:pStyle w:val="FirstParagraph"/>
      </w:pPr>
      <w:r>
        <w:rPr>
          <w:bCs/>
          <w:b/>
        </w:rPr>
        <w:t xml:space="preserve">The extra count leaned toward long-running businesses, older owners and places outside Java, an exploratory result.</w:t>
      </w:r>
      <w:r>
        <w:t xml:space="preserve"> </w:t>
      </w:r>
      <w:r>
        <w:t xml:space="preserve">A group’s extra count is its 2023 count less its 2022 count grown at the group’s own yearly rate from 2020 to 2022 (Section 4.7). The extra sellers total about 450 thousand, close to the 458 thousand in Table 5.5. Figure 5.4 compares each group’s share of the extra count with its share of the 2022 count.</w:t>
      </w:r>
    </w:p>
    <w:p>
      <w:pPr>
        <w:pStyle w:val="BodyText"/>
        <w:keepNext/>
        <w:spacing w:before="114" w:after="0" w:line="240" w:lineRule="auto"/>
        <w:jc w:val="center"/>
      </w:pPr>
      <w:r>
        <w:drawing>
          <wp:inline>
            <wp:extent cx="4562143" cy="1800000"/>
            <wp:effectExtent b="0" l="0" r="0" t="0"/>
            <wp:docPr descr="" title="" id="68" name="Picture"/>
            <a:graphic>
              <a:graphicData uri="http://schemas.openxmlformats.org/drawingml/2006/picture">
                <pic:pic>
                  <pic:nvPicPr>
                    <pic:cNvPr descr="figures/fig5_4_extra_sellers.png" id="69" name="Picture"/>
                    <pic:cNvPicPr>
                      <a:picLocks noChangeArrowheads="1" noChangeAspect="1"/>
                    </pic:cNvPicPr>
                  </pic:nvPicPr>
                  <pic:blipFill>
                    <a:blip r:embed="rId67"/>
                    <a:stretch>
                      <a:fillRect/>
                    </a:stretch>
                  </pic:blipFill>
                  <pic:spPr bwMode="auto">
                    <a:xfrm>
                      <a:off x="0" y="0"/>
                      <a:ext cx="4562143" cy="1800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5.4. Who the extra sellers were.</w:t>
      </w:r>
      <w:r>
        <w:rPr>
          <w:sz w:val="16"/>
        </w:rPr>
        <w:t xml:space="preserve"> </w:t>
      </w:r>
      <w:r>
        <w:rPr>
          <w:sz w:val="16"/>
        </w:rP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helps test whether the extra sellers were returning after a pause.</w:t>
      </w:r>
    </w:p>
    <w:p>
      <w:pPr>
        <w:pStyle w:val="BodyText"/>
      </w:pPr>
      <w:r>
        <w:t xml:space="preserve">Part-year selling argues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argues against returners as well. Small firms that stop are more often young firms with young owners (McKenzie and Paffhausen 2019). Returners would then make the extra count lean young. It leaned old.</w:t>
      </w:r>
    </w:p>
    <w:p>
      <w:pPr>
        <w:pStyle w:val="BodyText"/>
      </w:pPr>
      <w:r>
        <w:rPr>
          <w:bCs/>
          <w:b/>
        </w:rPr>
        <w:t xml:space="preserve">Returning sellers still cannot be ruled out.</w:t>
      </w:r>
      <w:r>
        <w:t xml:space="preserve"> </w:t>
      </w:r>
      <w:r>
        <w:t xml:space="preserve">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The next two sections turn to where online sellers sell and what records they keep.</w:t>
      </w:r>
    </w:p>
    <w:bookmarkEnd w:id="70"/>
    <w:bookmarkStart w:id="74" w:name="channels-and-records"/>
    <w:p>
      <w:pPr>
        <w:pStyle w:val="Heading2"/>
      </w:pPr>
      <w:r>
        <w:t xml:space="preserve">5.9 Channels and records</w:t>
      </w:r>
    </w:p>
    <w:p>
      <w:pPr>
        <w:pStyle w:val="FirstParagraph"/>
      </w:pPr>
      <w:r>
        <w:rPr>
          <w:bCs/>
          <w:b/>
        </w:rPr>
        <w:t xml:space="preserve">Most online selling happens outside marketplaces, and records are thinner there.</w:t>
      </w:r>
      <w:r>
        <w:t xml:space="preserve"> </w:t>
      </w:r>
      <w:r>
        <w:t xml:space="preserve">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keepNext/>
        <w:spacing w:before="114" w:after="0" w:line="240" w:lineRule="auto"/>
        <w:jc w:val="center"/>
      </w:pPr>
      <w:r>
        <w:drawing>
          <wp:inline>
            <wp:extent cx="3926102" cy="1800000"/>
            <wp:effectExtent b="0" l="0" r="0" t="0"/>
            <wp:docPr descr="" title="" id="72" name="Picture"/>
            <a:graphic>
              <a:graphicData uri="http://schemas.openxmlformats.org/drawingml/2006/picture">
                <pic:pic>
                  <pic:nvPicPr>
                    <pic:cNvPr descr="figures/fig5_5_marketplace_and_records.png" id="73" name="Picture"/>
                    <pic:cNvPicPr>
                      <a:picLocks noChangeArrowheads="1" noChangeAspect="1"/>
                    </pic:cNvPicPr>
                  </pic:nvPicPr>
                  <pic:blipFill>
                    <a:blip r:embed="rId71"/>
                    <a:stretch>
                      <a:fillRect/>
                    </a:stretch>
                  </pic:blipFill>
                  <pic:spPr bwMode="auto">
                    <a:xfrm>
                      <a:off x="0" y="0"/>
                      <a:ext cx="3926102" cy="1800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5.5. Marketplace use and financial statements, 2020 to 2024.</w:t>
      </w:r>
      <w:r>
        <w:rPr>
          <w:sz w:val="16"/>
        </w:rPr>
        <w:t xml:space="preserve"> </w:t>
      </w:r>
      <w:r>
        <w:rPr>
          <w:sz w:val="16"/>
        </w:rP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w:t>
      </w:r>
    </w:p>
    <w:p>
      <w:pPr>
        <w:pStyle w:val="BodyText"/>
      </w:pPr>
      <w:r>
        <w:t xml:space="preserve">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is the starting point for the third question of Section 2.4, because a rule built on platform records reaches only the marketplace part. Chapter 6 measures that reach. The same split also shows where the national figures disagree, which is the next section.</w:t>
      </w:r>
    </w:p>
    <w:bookmarkEnd w:id="74"/>
    <w:bookmarkStart w:id="75" w:name="why-the-national-figures-disagree"/>
    <w:p>
      <w:pPr>
        <w:pStyle w:val="Heading2"/>
      </w:pPr>
      <w:r>
        <w:t xml:space="preserve">5.10 Why the national figures disagree</w:t>
      </w:r>
    </w:p>
    <w:p>
      <w:pPr>
        <w:pStyle w:val="FirstParagraph"/>
      </w:pPr>
      <w:r>
        <w:rPr>
          <w:bCs/>
          <w:b/>
        </w:rPr>
        <w:t xml:space="preserve">The national figures agree that growth was small only where they cover the same sellers, and they do not agree on scale.</w:t>
      </w:r>
      <w:r>
        <w:t xml:space="preserve"> </w:t>
      </w:r>
      <w:r>
        <w:t xml:space="preserve">In 2023, Bank Indonesia’s e-commerce figure fell by about 5 percent while BPS’s rose by about 41 percent. That is the disagreement Chapter 1 introduced,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and by 0.2 to 13 percent across the scenarios.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Table 4.3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QRIS payments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w:t>
      </w:r>
    </w:p>
    <w:p>
      <w:pPr>
        <w:pStyle w:val="BodyText"/>
      </w:pPr>
      <w:r>
        <w:t xml:space="preserve">In 2023, BPS’s marketplace slice was about US$13 billion, against about US$38 billion for Tokopedia and the Shopee estimate together. In 2024 it was less than a quarter of Momentum Works’ marketplace estimate of about US$57 billion (Setyowati 2025).</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disagree most where only the survey looks. Chapter 6 turns to the rules that Indonesia is writing.</w:t>
      </w:r>
    </w:p>
    <w:bookmarkEnd w:id="75"/>
    <w:bookmarkEnd w:id="76"/>
    <w:bookmarkStart w:id="83" w:name="Xac9ab56db9ced99e03f55956eafe7ff22a86ddc"/>
    <w:p>
      <w:pPr>
        <w:pStyle w:val="Heading1"/>
      </w:pPr>
      <w:r>
        <w:t xml:space="preserve">Chapter 6. Discussion and Policy Implications</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w:t>
      </w:r>
      <w:r>
        <w:t xml:space="preserve"> </w:t>
      </w:r>
      <w:r>
        <w:rPr>
          <w:bCs/>
          <w:b/>
        </w:rPr>
        <w:t xml:space="preserve">Each rule acts on one part of what Chapter 5 measured, and each reaches only that part.</w:t>
      </w:r>
    </w:p>
    <w:p>
      <w:pPr>
        <w:pStyle w:val="BodyText"/>
      </w:pPr>
      <w:r>
        <w:t xml:space="preserve">The marketplace tax is the rule aimed most directly at online sellers.</w:t>
      </w:r>
      <w:r>
        <w:t xml:space="preserve"> </w:t>
      </w:r>
      <w:r>
        <w:rPr>
          <w:bCs/>
          <w:b/>
        </w:rPr>
        <w:t xml:space="preserve">It can collect from at most about 1 in 20 online sellers and about a fifth of online sales value.</w:t>
      </w:r>
      <w:r>
        <w:t xml:space="preserve"> </w:t>
      </w:r>
      <w:r>
        <w:t xml:space="preserve">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7"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keepNext/>
        <w:spacing w:before="140" w:after="56" w:lineRule="exact" w:line="246"/>
        <w:jc w:val="left"/>
      </w:pPr>
      <w:r>
        <w:rPr>
          <w:b/>
          <w:sz w:val="17"/>
        </w:rPr>
        <w:t>Table 6.1.</w:t>
      </w:r>
      <w:r>
        <w:rPr>
          <w:b w:val="0"/>
          <w:sz w:val="17"/>
        </w:rPr>
        <w:t xml:space="preserve"> Indonesia’s recent rules and what each acts on</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2376"/>
        <w:gridCol w:w="2701"/>
        <w:gridCol w:w="1421"/>
        <w:gridCol w:w="1000"/>
        <w:gridCol w:w="2701"/>
      </w:tblGrid>
      <w:tr>
        <w:trPr>
          <w:tblHeader w:val="true"/>
          <w:cantSplit/>
          <w:tblHeader/>
        </w:trPr>
        <w:tc>
          <w:tcPr>
            <w:tcW w:w="2376" w:type="dxa"/>
            <w:tcBorders>
              <w:bottom w:val="single" w:sz="4" w:space="0" w:color="111111"/>
            </w:tcBorders>
          </w:tcPr>
          <w:p>
            <w:pPr>
              <w:pStyle w:val="Compact"/>
              <w:spacing w:before="0" w:after="0" w:lineRule="exact" w:line="200"/>
              <w:jc w:val="left"/>
            </w:pPr>
            <w:r>
              <w:rPr>
                <w:b/>
                <w:sz w:val="16"/>
              </w:rPr>
              <w:t xml:space="preserve">Rule</w:t>
            </w:r>
          </w:p>
        </w:tc>
        <w:tc>
          <w:tcPr>
            <w:tcW w:w="2701" w:type="dxa"/>
            <w:tcBorders>
              <w:bottom w:val="single" w:sz="4" w:space="0" w:color="111111"/>
            </w:tcBorders>
          </w:tcPr>
          <w:p>
            <w:pPr>
              <w:pStyle w:val="Compact"/>
              <w:spacing w:before="0" w:after="0" w:lineRule="exact" w:line="200"/>
              <w:jc w:val="left"/>
            </w:pPr>
            <w:r>
              <w:rPr>
                <w:b/>
                <w:sz w:val="16"/>
              </w:rPr>
              <w:t xml:space="preserve">What it does</w:t>
            </w:r>
          </w:p>
        </w:tc>
        <w:tc>
          <w:tcPr>
            <w:tcW w:w="1421" w:type="dxa"/>
            <w:tcBorders>
              <w:bottom w:val="single" w:sz="4" w:space="0" w:color="111111"/>
            </w:tcBorders>
          </w:tcPr>
          <w:p>
            <w:pPr>
              <w:pStyle w:val="Compact"/>
              <w:spacing w:before="0" w:after="0" w:lineRule="exact" w:line="200"/>
              <w:jc w:val="left"/>
            </w:pPr>
            <w:r>
              <w:rPr>
                <w:b/>
                <w:sz w:val="16"/>
              </w:rPr>
              <w:t xml:space="preserve">What it acts on</w:t>
            </w:r>
          </w:p>
        </w:tc>
        <w:tc>
          <w:tcPr>
            <w:tcW w:w="1000" w:type="dxa"/>
            <w:tcBorders>
              <w:bottom w:val="single" w:sz="4" w:space="0" w:color="111111"/>
            </w:tcBorders>
          </w:tcPr>
          <w:p>
            <w:pPr>
              <w:pStyle w:val="Compact"/>
              <w:spacing w:before="0" w:after="0" w:lineRule="exact" w:line="200"/>
              <w:jc w:val="left"/>
            </w:pPr>
            <w:r>
              <w:rPr>
                <w:b/>
                <w:sz w:val="16"/>
              </w:rPr>
              <w:t xml:space="preserve">Measured in</w:t>
            </w:r>
          </w:p>
        </w:tc>
        <w:tc>
          <w:tcPr>
            <w:tcW w:w="2701" w:type="dxa"/>
            <w:tcBorders>
              <w:bottom w:val="single" w:sz="4" w:space="0" w:color="111111"/>
            </w:tcBorders>
          </w:tcPr>
          <w:p>
            <w:pPr>
              <w:pStyle w:val="Compact"/>
              <w:spacing w:before="0" w:after="0" w:lineRule="exact" w:line="200"/>
              <w:jc w:val="left"/>
            </w:pPr>
            <w:r>
              <w:rPr>
                <w:b/>
                <w:sz w:val="16"/>
              </w:rPr>
              <w:t xml:space="preserve">Status of the text</w:t>
            </w:r>
          </w:p>
        </w:tc>
      </w:tr>
      <w:tr>
        <w:trPr>
          <w:cantSplit/>
        </w:trPr>
        <w:tc>
          <w:tcPr>
            <w:tcW w:w="2376" w:type="dxa"/>
          </w:tcPr>
          <w:p>
            <w:pPr>
              <w:pStyle w:val="Compact"/>
              <w:spacing w:before="0" w:after="0" w:lineRule="exact" w:line="200"/>
              <w:jc w:val="left"/>
            </w:pPr>
            <w:r>
              <w:rPr>
                <w:sz w:val="16"/>
              </w:rPr>
              <w:t xml:space="preserve">Commission cap (Transport Minister Decree KP-PHB 532/2026; Presidential Regulation 27/2026)</w:t>
            </w:r>
          </w:p>
        </w:tc>
        <w:tc>
          <w:tcPr>
            <w:tcW w:w="2701" w:type="dxa"/>
          </w:tcPr>
          <w:p>
            <w:pPr>
              <w:pStyle w:val="Compact"/>
              <w:spacing w:before="0" w:after="0" w:lineRule="exact" w:line="200"/>
              <w:jc w:val="left"/>
            </w:pPr>
            <w:r>
              <w:rPr>
                <w:sz w:val="16"/>
              </w:rPr>
              <w:t xml:space="preserve">Caps the commission on two-wheel passenger trips at 8 percent from 1 July 2026</w:t>
            </w:r>
          </w:p>
        </w:tc>
        <w:tc>
          <w:tcPr>
            <w:tcW w:w="1421" w:type="dxa"/>
          </w:tcPr>
          <w:p>
            <w:pPr>
              <w:pStyle w:val="Compact"/>
              <w:spacing w:before="0" w:after="0" w:lineRule="exact" w:line="200"/>
              <w:jc w:val="left"/>
            </w:pPr>
            <w:r>
              <w:rPr>
                <w:sz w:val="16"/>
              </w:rPr>
              <w:t xml:space="preserve">The fee rate, for one service</w:t>
            </w:r>
          </w:p>
        </w:tc>
        <w:tc>
          <w:tcPr>
            <w:tcW w:w="1000" w:type="dxa"/>
          </w:tcPr>
          <w:p>
            <w:pPr>
              <w:pStyle w:val="Compact"/>
              <w:spacing w:before="0" w:after="0" w:lineRule="exact" w:line="200"/>
              <w:jc w:val="left"/>
            </w:pPr>
            <w:r>
              <w:rPr>
                <w:sz w:val="16"/>
              </w:rPr>
              <w:t xml:space="preserve">5.3</w:t>
            </w:r>
          </w:p>
        </w:tc>
        <w:tc>
          <w:tcPr>
            <w:tcW w:w="2701" w:type="dxa"/>
          </w:tcPr>
          <w:p>
            <w:pPr>
              <w:pStyle w:val="Compact"/>
              <w:spacing w:before="0" w:after="0" w:lineRule="exact" w:line="200"/>
              <w:jc w:val="left"/>
            </w:pPr>
            <w:r>
              <w:rPr>
                <w:sz w:val="16"/>
              </w:rPr>
              <w:t xml:space="preserve">Decree in force from July 2026; presidential regulation released 8 October 2026; neither text public when this thesis was written</w:t>
            </w:r>
          </w:p>
        </w:tc>
      </w:tr>
      <w:tr>
        <w:trPr>
          <w:cantSplit/>
        </w:trPr>
        <w:tc>
          <w:tcPr>
            <w:tcW w:w="2376" w:type="dxa"/>
          </w:tcPr>
          <w:p>
            <w:pPr>
              <w:pStyle w:val="Compact"/>
              <w:spacing w:before="0" w:after="0" w:lineRule="exact" w:line="200"/>
              <w:jc w:val="left"/>
            </w:pPr>
            <w:r>
              <w:rPr>
                <w:sz w:val="16"/>
              </w:rPr>
              <w:t xml:space="preserve">Discount rule (Trade Minister Regulation 19/2026, Art. 18)</w:t>
            </w:r>
          </w:p>
        </w:tc>
        <w:tc>
          <w:tcPr>
            <w:tcW w:w="2701" w:type="dxa"/>
          </w:tcPr>
          <w:p>
            <w:pPr>
              <w:pStyle w:val="Compact"/>
              <w:spacing w:before="0" w:after="0" w:lineRule="exact" w:line="200"/>
              <w:jc w:val="left"/>
            </w:pPr>
            <w:r>
              <w:rPr>
                <w:sz w:val="16"/>
              </w:rPr>
              <w:t xml:space="preserve">Requires every online trade operator, including ride-hailing apps that sell goods, to prevent repeated price subsidies that hurt local products and endless below-cost discounts</w:t>
            </w:r>
          </w:p>
        </w:tc>
        <w:tc>
          <w:tcPr>
            <w:tcW w:w="1421" w:type="dxa"/>
          </w:tcPr>
          <w:p>
            <w:pPr>
              <w:pStyle w:val="Compact"/>
              <w:spacing w:before="0" w:after="0" w:lineRule="exact" w:line="200"/>
              <w:jc w:val="left"/>
            </w:pPr>
            <w:r>
              <w:rPr>
                <w:sz w:val="16"/>
              </w:rPr>
              <w:t xml:space="preserve">The incentive rate</w:t>
            </w:r>
          </w:p>
        </w:tc>
        <w:tc>
          <w:tcPr>
            <w:tcW w:w="1000" w:type="dxa"/>
          </w:tcPr>
          <w:p>
            <w:pPr>
              <w:pStyle w:val="Compact"/>
              <w:spacing w:before="0" w:after="0" w:lineRule="exact" w:line="200"/>
              <w:jc w:val="left"/>
            </w:pPr>
            <w:r>
              <w:rPr>
                <w:sz w:val="16"/>
              </w:rPr>
              <w:t xml:space="preserve">5.3</w:t>
            </w:r>
          </w:p>
        </w:tc>
        <w:tc>
          <w:tcPr>
            <w:tcW w:w="2701" w:type="dxa"/>
          </w:tcPr>
          <w:p>
            <w:pPr>
              <w:pStyle w:val="Compact"/>
              <w:spacing w:before="0" w:after="0" w:lineRule="exact" w:line="200"/>
              <w:jc w:val="left"/>
            </w:pPr>
            <w:r>
              <w:rPr>
                <w:sz w:val="16"/>
              </w:rPr>
              <w:t xml:space="preserve">Primary text read</w:t>
            </w:r>
          </w:p>
        </w:tc>
      </w:tr>
      <w:tr>
        <w:trPr>
          <w:cantSplit/>
        </w:trPr>
        <w:tc>
          <w:tcPr>
            <w:tcW w:w="2376" w:type="dxa"/>
          </w:tcPr>
          <w:p>
            <w:pPr>
              <w:pStyle w:val="Compact"/>
              <w:spacing w:before="0" w:after="0" w:lineRule="exact" w:line="200"/>
              <w:jc w:val="left"/>
            </w:pPr>
            <w:r>
              <w:rPr>
                <w:sz w:val="16"/>
              </w:rPr>
              <w:t xml:space="preserve">Marketplace tax (Finance Minister Regulation 37/2025)</w:t>
            </w:r>
          </w:p>
        </w:tc>
        <w:tc>
          <w:tcPr>
            <w:tcW w:w="2701" w:type="dxa"/>
          </w:tcPr>
          <w:p>
            <w:pPr>
              <w:pStyle w:val="Compact"/>
              <w:spacing w:before="0" w:after="0" w:lineRule="exact" w:line="200"/>
              <w:jc w:val="left"/>
            </w:pPr>
            <w:r>
              <w:rPr>
                <w:sz w:val="16"/>
              </w:rPr>
              <w:t xml:space="preserve">Designated marketplaces collect 0.5 percent of domestic sellers’ gross sales; individuals with sales up to Rp500 million a year are exempt; every seller gives a tax number or national ID</w:t>
            </w:r>
          </w:p>
        </w:tc>
        <w:tc>
          <w:tcPr>
            <w:tcW w:w="1421" w:type="dxa"/>
          </w:tcPr>
          <w:p>
            <w:pPr>
              <w:pStyle w:val="Compact"/>
              <w:spacing w:before="0" w:after="0" w:lineRule="exact" w:line="200"/>
              <w:jc w:val="left"/>
            </w:pPr>
            <w:r>
              <w:rPr>
                <w:sz w:val="16"/>
              </w:rPr>
              <w:t xml:space="preserve">Sellers’ sales inside marketplaces</w:t>
            </w:r>
          </w:p>
        </w:tc>
        <w:tc>
          <w:tcPr>
            <w:tcW w:w="1000" w:type="dxa"/>
          </w:tcPr>
          <w:p>
            <w:pPr>
              <w:pStyle w:val="Compact"/>
              <w:spacing w:before="0" w:after="0" w:lineRule="exact" w:line="200"/>
              <w:jc w:val="left"/>
            </w:pPr>
            <w:r>
              <w:rPr>
                <w:sz w:val="16"/>
              </w:rPr>
              <w:t xml:space="preserve">5.9</w:t>
            </w:r>
          </w:p>
        </w:tc>
        <w:tc>
          <w:tcPr>
            <w:tcW w:w="2701" w:type="dxa"/>
          </w:tcPr>
          <w:p>
            <w:pPr>
              <w:pStyle w:val="Compact"/>
              <w:spacing w:before="0" w:after="0" w:lineRule="exact" w:line="200"/>
              <w:jc w:val="left"/>
            </w:pPr>
            <w:r>
              <w:rPr>
                <w:sz w:val="16"/>
              </w:rPr>
              <w:t xml:space="preserve">Primary text read; collected by Shopee, Tokopedia, Lazada and Blibli since 1 October 2026</w:t>
            </w:r>
          </w:p>
        </w:tc>
      </w:tr>
      <w:tr>
        <w:trPr>
          <w:cantSplit/>
        </w:trPr>
        <w:tc>
          <w:tcPr>
            <w:tcW w:w="2376" w:type="dxa"/>
          </w:tcPr>
          <w:p>
            <w:pPr>
              <w:pStyle w:val="Compact"/>
              <w:spacing w:before="0" w:after="0" w:lineRule="exact" w:line="200"/>
              <w:jc w:val="left"/>
            </w:pPr>
            <w:r>
              <w:rPr>
                <w:sz w:val="16"/>
              </w:rPr>
              <w:t xml:space="preserve">Small-business final tax (Government Regulation 20/2026)</w:t>
            </w:r>
          </w:p>
        </w:tc>
        <w:tc>
          <w:tcPr>
            <w:tcW w:w="2701" w:type="dxa"/>
          </w:tcPr>
          <w:p>
            <w:pPr>
              <w:pStyle w:val="Compact"/>
              <w:spacing w:before="0" w:after="0" w:lineRule="exact" w:line="200"/>
              <w:jc w:val="left"/>
            </w:pPr>
            <w:r>
              <w:rPr>
                <w:sz w:val="16"/>
              </w:rPr>
              <w:t xml:space="preserve">Keeps a 0.5 percent final tax on turnover up to Rp4.8 billion a year; excludes content creators</w:t>
            </w:r>
          </w:p>
        </w:tc>
        <w:tc>
          <w:tcPr>
            <w:tcW w:w="1421" w:type="dxa"/>
          </w:tcPr>
          <w:p>
            <w:pPr>
              <w:pStyle w:val="Compact"/>
              <w:spacing w:before="0" w:after="0" w:lineRule="exact" w:line="200"/>
              <w:jc w:val="left"/>
            </w:pPr>
            <w:r>
              <w:rPr>
                <w:sz w:val="16"/>
              </w:rPr>
              <w:t xml:space="preserve">Small sellers in every channel</w:t>
            </w:r>
          </w:p>
        </w:tc>
        <w:tc>
          <w:tcPr>
            <w:tcW w:w="1000" w:type="dxa"/>
          </w:tcPr>
          <w:p>
            <w:pPr>
              <w:pStyle w:val="Compact"/>
              <w:spacing w:before="0" w:after="0" w:lineRule="exact" w:line="200"/>
              <w:jc w:val="left"/>
            </w:pPr>
            <w:r>
              <w:rPr>
                <w:sz w:val="16"/>
              </w:rPr>
              <w:t xml:space="preserve">Not measured</w:t>
            </w:r>
          </w:p>
        </w:tc>
        <w:tc>
          <w:tcPr>
            <w:tcW w:w="2701" w:type="dxa"/>
          </w:tcPr>
          <w:p>
            <w:pPr>
              <w:pStyle w:val="Compact"/>
              <w:spacing w:before="0" w:after="0" w:lineRule="exact" w:line="200"/>
              <w:jc w:val="left"/>
            </w:pPr>
            <w:r>
              <w:rPr>
                <w:sz w:val="16"/>
              </w:rPr>
              <w:t xml:space="preserve">Primary text read</w:t>
            </w:r>
          </w:p>
        </w:tc>
      </w:tr>
      <w:tr>
        <w:trPr>
          <w:cantSplit/>
        </w:trPr>
        <w:tc>
          <w:tcPr>
            <w:tcW w:w="2376" w:type="dxa"/>
          </w:tcPr>
          <w:p>
            <w:pPr>
              <w:pStyle w:val="Compact"/>
              <w:spacing w:before="0" w:after="0" w:lineRule="exact" w:line="200"/>
              <w:jc w:val="left"/>
            </w:pPr>
            <w:r>
              <w:rPr>
                <w:sz w:val="16"/>
              </w:rPr>
              <w:t xml:space="preserve">Platform data to BPS (BPS Regulation 4/2023)</w:t>
            </w:r>
          </w:p>
        </w:tc>
        <w:tc>
          <w:tcPr>
            <w:tcW w:w="2701" w:type="dxa"/>
          </w:tcPr>
          <w:p>
            <w:pPr>
              <w:pStyle w:val="Compact"/>
              <w:spacing w:before="0" w:after="0" w:lineRule="exact" w:line="200"/>
              <w:jc w:val="left"/>
            </w:pPr>
            <w:r>
              <w:rPr>
                <w:sz w:val="16"/>
              </w:rPr>
              <w:t xml:space="preserve">E-commerce operators must send BPS their revenue, transactions and numbers of sellers and buyers, with sanctions</w:t>
            </w:r>
          </w:p>
        </w:tc>
        <w:tc>
          <w:tcPr>
            <w:tcW w:w="1421" w:type="dxa"/>
          </w:tcPr>
          <w:p>
            <w:pPr>
              <w:pStyle w:val="Compact"/>
              <w:spacing w:before="0" w:after="0" w:lineRule="exact" w:line="200"/>
              <w:jc w:val="left"/>
            </w:pPr>
            <w:r>
              <w:rPr>
                <w:sz w:val="16"/>
              </w:rPr>
              <w:t xml:space="preserve">BPS’s coverage</w:t>
            </w:r>
          </w:p>
        </w:tc>
        <w:tc>
          <w:tcPr>
            <w:tcW w:w="1000" w:type="dxa"/>
          </w:tcPr>
          <w:p>
            <w:pPr>
              <w:pStyle w:val="Compact"/>
              <w:spacing w:before="0" w:after="0" w:lineRule="exact" w:line="200"/>
              <w:jc w:val="left"/>
            </w:pPr>
            <w:r>
              <w:rPr>
                <w:sz w:val="16"/>
              </w:rPr>
              <w:t xml:space="preserve">5.10</w:t>
            </w:r>
          </w:p>
        </w:tc>
        <w:tc>
          <w:tcPr>
            <w:tcW w:w="2701" w:type="dxa"/>
          </w:tcPr>
          <w:p>
            <w:pPr>
              <w:pStyle w:val="Compact"/>
              <w:spacing w:before="0" w:after="0" w:lineRule="exact" w:line="200"/>
              <w:jc w:val="left"/>
            </w:pPr>
            <w:r>
              <w:rPr>
                <w:sz w:val="16"/>
              </w:rPr>
              <w:t xml:space="preserve">Primary text read</w:t>
            </w:r>
          </w:p>
        </w:tc>
      </w:tr>
      <w:tr>
        <w:trPr>
          <w:cantSplit/>
        </w:trPr>
        <w:tc>
          <w:tcPr>
            <w:tcW w:w="2376" w:type="dxa"/>
          </w:tcPr>
          <w:p>
            <w:pPr>
              <w:pStyle w:val="Compact"/>
              <w:spacing w:before="0" w:after="0" w:lineRule="exact" w:line="200"/>
              <w:jc w:val="left"/>
            </w:pPr>
            <w:r>
              <w:rPr>
                <w:sz w:val="16"/>
              </w:rPr>
              <w:t xml:space="preserve">Economic census 2026</w:t>
            </w:r>
          </w:p>
        </w:tc>
        <w:tc>
          <w:tcPr>
            <w:tcW w:w="2701" w:type="dxa"/>
          </w:tcPr>
          <w:p>
            <w:pPr>
              <w:pStyle w:val="Compact"/>
              <w:spacing w:before="0" w:after="0" w:lineRule="exact" w:line="200"/>
              <w:jc w:val="left"/>
            </w:pPr>
            <w:r>
              <w:rPr>
                <w:sz w:val="16"/>
              </w:rPr>
              <w:t xml:space="preserve">Door-to-door count of all businesses, including online selling, affiliates and influencers</w:t>
            </w:r>
          </w:p>
        </w:tc>
        <w:tc>
          <w:tcPr>
            <w:tcW w:w="1421" w:type="dxa"/>
          </w:tcPr>
          <w:p>
            <w:pPr>
              <w:pStyle w:val="Compact"/>
              <w:spacing w:before="0" w:after="0" w:lineRule="exact" w:line="200"/>
              <w:jc w:val="left"/>
            </w:pPr>
            <w:r>
              <w:rPr>
                <w:sz w:val="16"/>
              </w:rPr>
              <w:t xml:space="preserve">BPS’s sampling frame</w:t>
            </w:r>
          </w:p>
        </w:tc>
        <w:tc>
          <w:tcPr>
            <w:tcW w:w="1000" w:type="dxa"/>
          </w:tcPr>
          <w:p>
            <w:pPr>
              <w:pStyle w:val="Compact"/>
              <w:spacing w:before="0" w:after="0" w:lineRule="exact" w:line="200"/>
              <w:jc w:val="left"/>
            </w:pPr>
            <w:r>
              <w:rPr>
                <w:sz w:val="16"/>
              </w:rPr>
              <w:t xml:space="preserve">5.7</w:t>
            </w:r>
          </w:p>
        </w:tc>
        <w:tc>
          <w:tcPr>
            <w:tcW w:w="2701" w:type="dxa"/>
          </w:tcPr>
          <w:p>
            <w:pPr>
              <w:pStyle w:val="Compact"/>
              <w:spacing w:before="0" w:after="0" w:lineRule="exact" w:line="200"/>
              <w:jc w:val="left"/>
            </w:pPr>
            <w:r>
              <w:rPr>
                <w:sz w:val="16"/>
              </w:rPr>
              <w:t xml:space="preserve">News reports; results not yet released</w:t>
            </w:r>
          </w:p>
        </w:tc>
      </w:tr>
      <w:tr>
        <w:trPr>
          <w:cantSplit/>
        </w:trPr>
        <w:tc>
          <w:tcPr>
            <w:tcW w:w="2376" w:type="dxa"/>
          </w:tcPr>
          <w:p>
            <w:pPr>
              <w:pStyle w:val="Compact"/>
              <w:spacing w:before="0" w:after="0" w:lineRule="exact" w:line="200"/>
              <w:jc w:val="left"/>
            </w:pPr>
            <w:r>
              <w:rPr>
                <w:sz w:val="16"/>
              </w:rPr>
              <w:t xml:space="preserve">Ban on payments on social media (Trade Minister Regulation 31/2023, carried into Regulation 19/2026)</w:t>
            </w:r>
          </w:p>
        </w:tc>
        <w:tc>
          <w:tcPr>
            <w:tcW w:w="2701" w:type="dxa"/>
          </w:tcPr>
          <w:p>
            <w:pPr>
              <w:pStyle w:val="Compact"/>
              <w:spacing w:before="0" w:after="0" w:lineRule="exact" w:line="200"/>
              <w:jc w:val="left"/>
            </w:pPr>
            <w:r>
              <w:rPr>
                <w:sz w:val="16"/>
              </w:rPr>
              <w:t xml:space="preserve">Bars social media platforms from handling payments for sales</w:t>
            </w:r>
          </w:p>
        </w:tc>
        <w:tc>
          <w:tcPr>
            <w:tcW w:w="1421" w:type="dxa"/>
          </w:tcPr>
          <w:p>
            <w:pPr>
              <w:pStyle w:val="Compact"/>
              <w:spacing w:before="0" w:after="0" w:lineRule="exact" w:line="200"/>
              <w:jc w:val="left"/>
            </w:pPr>
            <w:r>
              <w:rPr>
                <w:sz w:val="16"/>
              </w:rPr>
              <w:t xml:space="preserve">Where online sales are paid</w:t>
            </w:r>
          </w:p>
        </w:tc>
        <w:tc>
          <w:tcPr>
            <w:tcW w:w="1000" w:type="dxa"/>
          </w:tcPr>
          <w:p>
            <w:pPr>
              <w:pStyle w:val="Compact"/>
              <w:spacing w:before="0" w:after="0" w:lineRule="exact" w:line="200"/>
              <w:jc w:val="left"/>
            </w:pPr>
            <w:r>
              <w:rPr>
                <w:sz w:val="16"/>
              </w:rPr>
              <w:t xml:space="preserve">5.9</w:t>
            </w:r>
          </w:p>
        </w:tc>
        <w:tc>
          <w:tcPr>
            <w:tcW w:w="2701" w:type="dxa"/>
          </w:tcPr>
          <w:p>
            <w:pPr>
              <w:pStyle w:val="Compact"/>
              <w:spacing w:before="0" w:after="0" w:lineRule="exact" w:line="200"/>
              <w:jc w:val="left"/>
            </w:pPr>
            <w:r>
              <w:rPr>
                <w:sz w:val="16"/>
              </w:rPr>
              <w:t xml:space="preserve">Primary text read</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p>
    <w:p>
      <w:pPr>
        <w:pStyle w:val="BodyText"/>
      </w:pPr>
      <w:r>
        <w:t xml:space="preserve">Equation (6)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Chapter 1 described.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7"/>
    <w:bookmarkStart w:id="78" w:name="X28b7fd3199e423b82cfc8b23ae379c54a934281"/>
    <w:p>
      <w:pPr>
        <w:pStyle w:val="Heading2"/>
      </w:pPr>
      <w:r>
        <w:t xml:space="preserve">6.2 What the commission cap and the discount rule can move</w:t>
      </w:r>
    </w:p>
    <w:p>
      <w:pPr>
        <w:pStyle w:val="FirstParagraph"/>
      </w:pPr>
      <w:r>
        <w:rPr>
          <w:bCs/>
          <w:b/>
        </w:rPr>
        <w:t xml:space="preserve">The commission cap reaches a small part of the take rates this thesis measures.</w:t>
      </w:r>
      <w:r>
        <w:t xml:space="preserve"> </w:t>
      </w:r>
      <w:r>
        <w:t xml:space="preserve">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pPr>
      <w:r>
        <w:t xml:space="preserve">Drivers asked for the cap,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rPr>
          <w:bCs/>
          <w:b/>
        </w:rPr>
        <w:t xml:space="preserve">A cap on one fee does not fix the take rate, because the platform still sets its incentives.</w:t>
      </w:r>
      <w:r>
        <w:t xml:space="preserve"> </w:t>
      </w:r>
      <w:r>
        <w:t xml:space="preserve">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Table 5.4.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p>
    <w:bookmarkEnd w:id="78"/>
    <w:bookmarkStart w:id="79"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rPr>
          <w:bCs/>
          <w:b/>
        </w:rPr>
        <w:t xml:space="preserve">At most about 1 in 20 online sellers falls under the tax.</w:t>
      </w:r>
      <w:r>
        <w:t xml:space="preserve"> </w:t>
      </w:r>
      <w:r>
        <w:t xml:space="preserve">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rPr>
          <w:bCs/>
          <w:b/>
        </w:rPr>
        <w:t xml:space="preserve">The tax matters more for the record it creates than for the revenue it raises.</w:t>
      </w:r>
      <w:r>
        <w:t xml:space="preserve"> </w:t>
      </w:r>
      <w:r>
        <w:t xml:space="preserve">Whether sellers move away from the four marketplaces now that collection has started will be known only from later data.</w:t>
      </w:r>
    </w:p>
    <w:bookmarkEnd w:id="79"/>
    <w:bookmarkStart w:id="80" w:name="what-the-statistics-rules-can-change"/>
    <w:p>
      <w:pPr>
        <w:pStyle w:val="Heading2"/>
      </w:pPr>
      <w:r>
        <w:t xml:space="preserve">6.4 What the statistics rules can change</w:t>
      </w:r>
    </w:p>
    <w:p>
      <w:pPr>
        <w:pStyle w:val="FirstParagraph"/>
      </w:pPr>
      <w:r>
        <w:t xml:space="preserve">The rules on statistics act on the outer link, where the national figures disagreed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disagree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80"/>
    <w:bookmarkStart w:id="81"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concern the commission cap, one marketplace fees and one buying through platforms. The ninth concerns BPS’s next figure for the marketplace share. Table 6.2 lists them with the date each is scored.</w:t>
      </w:r>
    </w:p>
    <w:p>
      <w:pPr>
        <w:pStyle w:val="BodyText"/>
        <w:keepNext/>
        <w:spacing w:before="140" w:after="56" w:lineRule="exact" w:line="246"/>
        <w:jc w:val="left"/>
      </w:pPr>
      <w:r>
        <w:rPr>
          <w:b/>
          <w:sz w:val="17"/>
        </w:rPr>
        <w:t>Table 6.2.</w:t>
      </w:r>
      <w:r>
        <w:rPr>
          <w:b w:val="0"/>
          <w:sz w:val="17"/>
        </w:rPr>
        <w:t xml:space="preserve"> Registered predictions on the 2026 rules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1431"/>
        <w:gridCol w:w="4533"/>
        <w:gridCol w:w="2684"/>
        <w:gridCol w:w="1550"/>
      </w:tblGrid>
      <w:tr>
        <w:trPr>
          <w:tblHeader w:val="true"/>
          <w:cantSplit/>
          <w:tblHeader/>
        </w:trPr>
        <w:tc>
          <w:tcPr>
            <w:tcW w:w="1431" w:type="dxa"/>
            <w:tcBorders>
              <w:bottom w:val="single" w:sz="4" w:space="0" w:color="111111"/>
            </w:tcBorders>
          </w:tcPr>
          <w:p>
            <w:pPr>
              <w:pStyle w:val="Compact"/>
              <w:spacing w:before="0" w:after="0" w:lineRule="exact" w:line="200"/>
              <w:jc w:val="left"/>
            </w:pPr>
            <w:r>
              <w:rPr>
                <w:b/>
                <w:sz w:val="16"/>
              </w:rPr>
              <w:t xml:space="preserve">Prediction</w:t>
            </w:r>
          </w:p>
        </w:tc>
        <w:tc>
          <w:tcPr>
            <w:tcW w:w="4533" w:type="dxa"/>
            <w:tcBorders>
              <w:bottom w:val="single" w:sz="4" w:space="0" w:color="111111"/>
            </w:tcBorders>
          </w:tcPr>
          <w:p>
            <w:pPr>
              <w:pStyle w:val="Compact"/>
              <w:spacing w:before="0" w:after="0" w:lineRule="exact" w:line="200"/>
              <w:jc w:val="left"/>
            </w:pPr>
            <w:r>
              <w:rPr>
                <w:b/>
                <w:sz w:val="16"/>
              </w:rPr>
              <w:t xml:space="preserve">What it expects</w:t>
            </w:r>
          </w:p>
        </w:tc>
        <w:tc>
          <w:tcPr>
            <w:tcW w:w="2684" w:type="dxa"/>
            <w:tcBorders>
              <w:bottom w:val="single" w:sz="4" w:space="0" w:color="111111"/>
            </w:tcBorders>
          </w:tcPr>
          <w:p>
            <w:pPr>
              <w:pStyle w:val="Compact"/>
              <w:spacing w:before="0" w:after="0" w:lineRule="exact" w:line="200"/>
              <w:jc w:val="left"/>
            </w:pPr>
            <w:r>
              <w:rPr>
                <w:b/>
                <w:sz w:val="16"/>
              </w:rPr>
              <w:t xml:space="preserve">Bears on</w:t>
            </w:r>
          </w:p>
        </w:tc>
        <w:tc>
          <w:tcPr>
            <w:tcW w:w="1550" w:type="dxa"/>
            <w:tcBorders>
              <w:bottom w:val="single" w:sz="4" w:space="0" w:color="111111"/>
            </w:tcBorders>
          </w:tcPr>
          <w:p>
            <w:pPr>
              <w:pStyle w:val="Compact"/>
              <w:spacing w:before="0" w:after="0" w:lineRule="exact" w:line="200"/>
              <w:jc w:val="left"/>
            </w:pPr>
            <w:r>
              <w:rPr>
                <w:b/>
                <w:sz w:val="16"/>
              </w:rPr>
              <w:t xml:space="preserve">Scored</w:t>
            </w:r>
          </w:p>
        </w:tc>
      </w:tr>
      <w:tr>
        <w:trPr>
          <w:cantSplit/>
        </w:trPr>
        <w:tc>
          <w:tcPr>
            <w:tcW w:w="1431" w:type="dxa"/>
          </w:tcPr>
          <w:p>
            <w:pPr>
              <w:pStyle w:val="Compact"/>
              <w:spacing w:before="0" w:after="0" w:lineRule="exact" w:line="200"/>
              <w:jc w:val="left"/>
            </w:pPr>
            <w:r>
              <w:rPr>
                <w:sz w:val="16"/>
              </w:rPr>
              <w:t xml:space="preserve">P1</w:t>
            </w:r>
          </w:p>
        </w:tc>
        <w:tc>
          <w:tcPr>
            <w:tcW w:w="4533" w:type="dxa"/>
          </w:tcPr>
          <w:p>
            <w:pPr>
              <w:pStyle w:val="Compact"/>
              <w:spacing w:before="0" w:after="0" w:lineRule="exact" w:line="200"/>
              <w:jc w:val="left"/>
            </w:pPr>
            <w:r>
              <w:rPr>
                <w:sz w:val="16"/>
              </w:rPr>
              <w:t xml:space="preserve">GoTo’s on-demand take rate falls by 0.3 to 2.5 points from the second quarter of 2026</w:t>
            </w:r>
          </w:p>
        </w:tc>
        <w:tc>
          <w:tcPr>
            <w:tcW w:w="2684" w:type="dxa"/>
          </w:tcPr>
          <w:p>
            <w:pPr>
              <w:pStyle w:val="Compact"/>
              <w:spacing w:before="0" w:after="0" w:lineRule="exact" w:line="200"/>
              <w:jc w:val="left"/>
            </w:pPr>
            <w:r>
              <w:rPr>
                <w:sz w:val="16"/>
              </w:rPr>
              <w:t xml:space="preserve">Commission cap</w:t>
            </w:r>
          </w:p>
        </w:tc>
        <w:tc>
          <w:tcPr>
            <w:tcW w:w="1550" w:type="dxa"/>
          </w:tcPr>
          <w:p>
            <w:pPr>
              <w:pStyle w:val="Compact"/>
              <w:spacing w:before="0" w:after="0" w:lineRule="exact" w:line="200"/>
              <w:jc w:val="left"/>
            </w:pPr>
            <w:r>
              <w:rPr>
                <w:sz w:val="16"/>
              </w:rPr>
              <w:t xml:space="preserve">Late October 2026</w:t>
            </w:r>
          </w:p>
        </w:tc>
      </w:tr>
      <w:tr>
        <w:trPr>
          <w:cantSplit/>
        </w:trPr>
        <w:tc>
          <w:tcPr>
            <w:tcW w:w="1431" w:type="dxa"/>
          </w:tcPr>
          <w:p>
            <w:pPr>
              <w:pStyle w:val="Compact"/>
              <w:spacing w:before="0" w:after="0" w:lineRule="exact" w:line="200"/>
              <w:jc w:val="left"/>
            </w:pPr>
            <w:r>
              <w:rPr>
                <w:sz w:val="16"/>
              </w:rPr>
              <w:t xml:space="preserve">P3</w:t>
            </w:r>
          </w:p>
        </w:tc>
        <w:tc>
          <w:tcPr>
            <w:tcW w:w="4533" w:type="dxa"/>
          </w:tcPr>
          <w:p>
            <w:pPr>
              <w:pStyle w:val="Compact"/>
              <w:spacing w:before="0" w:after="0" w:lineRule="exact" w:line="200"/>
              <w:jc w:val="left"/>
            </w:pPr>
            <w:r>
              <w:rPr>
                <w:sz w:val="16"/>
              </w:rPr>
              <w:t xml:space="preserve">GoTo’s on-demand transaction value grows by 0 to 12 percent on a year earlier</w:t>
            </w:r>
          </w:p>
        </w:tc>
        <w:tc>
          <w:tcPr>
            <w:tcW w:w="2684" w:type="dxa"/>
          </w:tcPr>
          <w:p>
            <w:pPr>
              <w:pStyle w:val="Compact"/>
              <w:spacing w:before="0" w:after="0" w:lineRule="exact" w:line="200"/>
              <w:jc w:val="left"/>
            </w:pPr>
            <w:r>
              <w:rPr>
                <w:sz w:val="16"/>
              </w:rPr>
              <w:t xml:space="preserve">Commission cap</w:t>
            </w:r>
          </w:p>
        </w:tc>
        <w:tc>
          <w:tcPr>
            <w:tcW w:w="1550" w:type="dxa"/>
          </w:tcPr>
          <w:p>
            <w:pPr>
              <w:pStyle w:val="Compact"/>
              <w:spacing w:before="0" w:after="0" w:lineRule="exact" w:line="200"/>
              <w:jc w:val="left"/>
            </w:pPr>
            <w:r>
              <w:rPr>
                <w:sz w:val="16"/>
              </w:rPr>
              <w:t xml:space="preserve">Late October 2026</w:t>
            </w:r>
          </w:p>
        </w:tc>
      </w:tr>
      <w:tr>
        <w:trPr>
          <w:cantSplit/>
        </w:trPr>
        <w:tc>
          <w:tcPr>
            <w:tcW w:w="1431" w:type="dxa"/>
          </w:tcPr>
          <w:p>
            <w:pPr>
              <w:pStyle w:val="Compact"/>
              <w:spacing w:before="0" w:after="0" w:lineRule="exact" w:line="200"/>
              <w:jc w:val="left"/>
            </w:pPr>
            <w:r>
              <w:rPr>
                <w:sz w:val="16"/>
              </w:rPr>
              <w:t xml:space="preserve">P5</w:t>
            </w:r>
          </w:p>
        </w:tc>
        <w:tc>
          <w:tcPr>
            <w:tcW w:w="4533" w:type="dxa"/>
          </w:tcPr>
          <w:p>
            <w:pPr>
              <w:pStyle w:val="Compact"/>
              <w:spacing w:before="0" w:after="0" w:lineRule="exact" w:line="200"/>
              <w:jc w:val="left"/>
            </w:pPr>
            <w:r>
              <w:rPr>
                <w:sz w:val="16"/>
              </w:rPr>
              <w:t xml:space="preserve">GoTo’s on-demand transaction value grows by at least 5 percent; the prediction fails only below 2 percent</w:t>
            </w:r>
          </w:p>
        </w:tc>
        <w:tc>
          <w:tcPr>
            <w:tcW w:w="2684" w:type="dxa"/>
          </w:tcPr>
          <w:p>
            <w:pPr>
              <w:pStyle w:val="Compact"/>
              <w:spacing w:before="0" w:after="0" w:lineRule="exact" w:line="200"/>
              <w:jc w:val="left"/>
            </w:pPr>
            <w:r>
              <w:rPr>
                <w:sz w:val="16"/>
              </w:rPr>
              <w:t xml:space="preserve">Commission cap, with spending on growth</w:t>
            </w:r>
          </w:p>
        </w:tc>
        <w:tc>
          <w:tcPr>
            <w:tcW w:w="1550" w:type="dxa"/>
          </w:tcPr>
          <w:p>
            <w:pPr>
              <w:pStyle w:val="Compact"/>
              <w:spacing w:before="0" w:after="0" w:lineRule="exact" w:line="200"/>
              <w:jc w:val="left"/>
            </w:pPr>
            <w:r>
              <w:rPr>
                <w:sz w:val="16"/>
              </w:rPr>
              <w:t xml:space="preserve">Late October 2026</w:t>
            </w:r>
          </w:p>
        </w:tc>
      </w:tr>
      <w:tr>
        <w:trPr>
          <w:cantSplit/>
        </w:trPr>
        <w:tc>
          <w:tcPr>
            <w:tcW w:w="1431" w:type="dxa"/>
          </w:tcPr>
          <w:p>
            <w:pPr>
              <w:pStyle w:val="Compact"/>
              <w:spacing w:before="0" w:after="0" w:lineRule="exact" w:line="200"/>
              <w:jc w:val="left"/>
            </w:pPr>
            <w:r>
              <w:rPr>
                <w:sz w:val="16"/>
              </w:rPr>
              <w:t xml:space="preserve">R1</w:t>
            </w:r>
          </w:p>
        </w:tc>
        <w:tc>
          <w:tcPr>
            <w:tcW w:w="4533" w:type="dxa"/>
          </w:tcPr>
          <w:p>
            <w:pPr>
              <w:pStyle w:val="Compact"/>
              <w:spacing w:before="0" w:after="0" w:lineRule="exact" w:line="200"/>
              <w:jc w:val="left"/>
            </w:pPr>
            <w:r>
              <w:rPr>
                <w:sz w:val="16"/>
              </w:rPr>
              <w:t xml:space="preserve">GoTo’s on-demand revenue growth less transaction value growth lies between −0.5 and +12.5 points; it follows from P1 and P3</w:t>
            </w:r>
          </w:p>
        </w:tc>
        <w:tc>
          <w:tcPr>
            <w:tcW w:w="2684" w:type="dxa"/>
          </w:tcPr>
          <w:p>
            <w:pPr>
              <w:pStyle w:val="Compact"/>
              <w:spacing w:before="0" w:after="0" w:lineRule="exact" w:line="200"/>
              <w:jc w:val="left"/>
            </w:pPr>
            <w:r>
              <w:rPr>
                <w:sz w:val="16"/>
              </w:rPr>
              <w:t xml:space="preserve">Commission cap</w:t>
            </w:r>
          </w:p>
        </w:tc>
        <w:tc>
          <w:tcPr>
            <w:tcW w:w="1550" w:type="dxa"/>
          </w:tcPr>
          <w:p>
            <w:pPr>
              <w:pStyle w:val="Compact"/>
              <w:spacing w:before="0" w:after="0" w:lineRule="exact" w:line="200"/>
              <w:jc w:val="left"/>
            </w:pPr>
            <w:r>
              <w:rPr>
                <w:sz w:val="16"/>
              </w:rPr>
              <w:t xml:space="preserve">Late October 2026</w:t>
            </w:r>
          </w:p>
        </w:tc>
      </w:tr>
      <w:tr>
        <w:trPr>
          <w:cantSplit/>
        </w:trPr>
        <w:tc>
          <w:tcPr>
            <w:tcW w:w="1431" w:type="dxa"/>
          </w:tcPr>
          <w:p>
            <w:pPr>
              <w:pStyle w:val="Compact"/>
              <w:spacing w:before="0" w:after="0" w:lineRule="exact" w:line="200"/>
              <w:jc w:val="left"/>
            </w:pPr>
            <w:r>
              <w:rPr>
                <w:sz w:val="16"/>
              </w:rPr>
              <w:t xml:space="preserve">R2</w:t>
            </w:r>
          </w:p>
        </w:tc>
        <w:tc>
          <w:tcPr>
            <w:tcW w:w="4533" w:type="dxa"/>
          </w:tcPr>
          <w:p>
            <w:pPr>
              <w:pStyle w:val="Compact"/>
              <w:spacing w:before="0" w:after="0" w:lineRule="exact" w:line="200"/>
              <w:jc w:val="left"/>
            </w:pPr>
            <w:r>
              <w:rPr>
                <w:sz w:val="16"/>
              </w:rPr>
              <w:t xml:space="preserve">GoTo’s on-demand transaction value grows more slowly than household spending</w:t>
            </w:r>
          </w:p>
        </w:tc>
        <w:tc>
          <w:tcPr>
            <w:tcW w:w="2684" w:type="dxa"/>
          </w:tcPr>
          <w:p>
            <w:pPr>
              <w:pStyle w:val="Compact"/>
              <w:spacing w:before="0" w:after="0" w:lineRule="exact" w:line="200"/>
              <w:jc w:val="left"/>
            </w:pPr>
            <w:r>
              <w:rPr>
                <w:sz w:val="16"/>
              </w:rPr>
              <w:t xml:space="preserve">Buying through platforms</w:t>
            </w:r>
          </w:p>
        </w:tc>
        <w:tc>
          <w:tcPr>
            <w:tcW w:w="1550" w:type="dxa"/>
          </w:tcPr>
          <w:p>
            <w:pPr>
              <w:pStyle w:val="Compact"/>
              <w:spacing w:before="0" w:after="0" w:lineRule="exact" w:line="200"/>
              <w:jc w:val="left"/>
            </w:pPr>
            <w:r>
              <w:rPr>
                <w:sz w:val="16"/>
              </w:rPr>
              <w:t xml:space="preserve">Early November 2026</w:t>
            </w:r>
          </w:p>
        </w:tc>
      </w:tr>
      <w:tr>
        <w:trPr>
          <w:cantSplit/>
        </w:trPr>
        <w:tc>
          <w:tcPr>
            <w:tcW w:w="1431" w:type="dxa"/>
          </w:tcPr>
          <w:p>
            <w:pPr>
              <w:pStyle w:val="Compact"/>
              <w:spacing w:before="0" w:after="0" w:lineRule="exact" w:line="200"/>
              <w:jc w:val="left"/>
            </w:pPr>
            <w:r>
              <w:rPr>
                <w:sz w:val="16"/>
              </w:rPr>
              <w:t xml:space="preserve">P2</w:t>
            </w:r>
          </w:p>
        </w:tc>
        <w:tc>
          <w:tcPr>
            <w:tcW w:w="4533" w:type="dxa"/>
          </w:tcPr>
          <w:p>
            <w:pPr>
              <w:pStyle w:val="Compact"/>
              <w:spacing w:before="0" w:after="0" w:lineRule="exact" w:line="200"/>
              <w:jc w:val="left"/>
            </w:pPr>
            <w:r>
              <w:rPr>
                <w:sz w:val="16"/>
              </w:rPr>
              <w:t xml:space="preserve">Grab’s on-demand take rate stays within −0.6 to +0.4 points of the second quarter</w:t>
            </w:r>
          </w:p>
        </w:tc>
        <w:tc>
          <w:tcPr>
            <w:tcW w:w="2684" w:type="dxa"/>
          </w:tcPr>
          <w:p>
            <w:pPr>
              <w:pStyle w:val="Compact"/>
              <w:spacing w:before="0" w:after="0" w:lineRule="exact" w:line="200"/>
              <w:jc w:val="left"/>
            </w:pPr>
            <w:r>
              <w:rPr>
                <w:sz w:val="16"/>
              </w:rPr>
              <w:t xml:space="preserve">Commission cap</w:t>
            </w:r>
          </w:p>
        </w:tc>
        <w:tc>
          <w:tcPr>
            <w:tcW w:w="1550" w:type="dxa"/>
          </w:tcPr>
          <w:p>
            <w:pPr>
              <w:pStyle w:val="Compact"/>
              <w:spacing w:before="0" w:after="0" w:lineRule="exact" w:line="200"/>
              <w:jc w:val="left"/>
            </w:pPr>
            <w:r>
              <w:rPr>
                <w:sz w:val="16"/>
              </w:rPr>
              <w:t xml:space="preserve">Mid-November 2026</w:t>
            </w:r>
          </w:p>
        </w:tc>
      </w:tr>
      <w:tr>
        <w:trPr>
          <w:cantSplit/>
        </w:trPr>
        <w:tc>
          <w:tcPr>
            <w:tcW w:w="1431" w:type="dxa"/>
          </w:tcPr>
          <w:p>
            <w:pPr>
              <w:pStyle w:val="Compact"/>
              <w:spacing w:before="0" w:after="0" w:lineRule="exact" w:line="200"/>
              <w:jc w:val="left"/>
            </w:pPr>
            <w:r>
              <w:rPr>
                <w:sz w:val="16"/>
              </w:rPr>
              <w:t xml:space="preserve">P4</w:t>
            </w:r>
          </w:p>
        </w:tc>
        <w:tc>
          <w:tcPr>
            <w:tcW w:w="4533" w:type="dxa"/>
          </w:tcPr>
          <w:p>
            <w:pPr>
              <w:pStyle w:val="Compact"/>
              <w:spacing w:before="0" w:after="0" w:lineRule="exact" w:line="200"/>
              <w:jc w:val="left"/>
            </w:pPr>
            <w:r>
              <w:rPr>
                <w:sz w:val="16"/>
              </w:rPr>
              <w:t xml:space="preserve">Grab’s change in the rides take rate, less its change in the deliveries take rate, is at most +0.3 points</w:t>
            </w:r>
          </w:p>
        </w:tc>
        <w:tc>
          <w:tcPr>
            <w:tcW w:w="2684" w:type="dxa"/>
          </w:tcPr>
          <w:p>
            <w:pPr>
              <w:pStyle w:val="Compact"/>
              <w:spacing w:before="0" w:after="0" w:lineRule="exact" w:line="200"/>
              <w:jc w:val="left"/>
            </w:pPr>
            <w:r>
              <w:rPr>
                <w:sz w:val="16"/>
              </w:rPr>
              <w:t xml:space="preserve">Commission cap</w:t>
            </w:r>
          </w:p>
        </w:tc>
        <w:tc>
          <w:tcPr>
            <w:tcW w:w="1550" w:type="dxa"/>
          </w:tcPr>
          <w:p>
            <w:pPr>
              <w:pStyle w:val="Compact"/>
              <w:spacing w:before="0" w:after="0" w:lineRule="exact" w:line="200"/>
              <w:jc w:val="left"/>
            </w:pPr>
            <w:r>
              <w:rPr>
                <w:sz w:val="16"/>
              </w:rPr>
              <w:t xml:space="preserve">Mid-November 2026</w:t>
            </w:r>
          </w:p>
        </w:tc>
      </w:tr>
      <w:tr>
        <w:trPr>
          <w:cantSplit/>
        </w:trPr>
        <w:tc>
          <w:tcPr>
            <w:tcW w:w="1431" w:type="dxa"/>
          </w:tcPr>
          <w:p>
            <w:pPr>
              <w:pStyle w:val="Compact"/>
              <w:spacing w:before="0" w:after="0" w:lineRule="exact" w:line="200"/>
              <w:jc w:val="left"/>
            </w:pPr>
            <w:r>
              <w:rPr>
                <w:sz w:val="16"/>
              </w:rPr>
              <w:t xml:space="preserve">R3</w:t>
            </w:r>
          </w:p>
        </w:tc>
        <w:tc>
          <w:tcPr>
            <w:tcW w:w="4533" w:type="dxa"/>
          </w:tcPr>
          <w:p>
            <w:pPr>
              <w:pStyle w:val="Compact"/>
              <w:spacing w:before="0" w:after="0" w:lineRule="exact" w:line="200"/>
              <w:jc w:val="left"/>
            </w:pPr>
            <w:r>
              <w:rPr>
                <w:sz w:val="16"/>
              </w:rPr>
              <w:t xml:space="preserve">Shopee’s revenue growth less its transaction value growth is at least +10 points</w:t>
            </w:r>
          </w:p>
        </w:tc>
        <w:tc>
          <w:tcPr>
            <w:tcW w:w="2684" w:type="dxa"/>
          </w:tcPr>
          <w:p>
            <w:pPr>
              <w:pStyle w:val="Compact"/>
              <w:spacing w:before="0" w:after="0" w:lineRule="exact" w:line="200"/>
              <w:jc w:val="left"/>
            </w:pPr>
            <w:r>
              <w:rPr>
                <w:sz w:val="16"/>
              </w:rPr>
              <w:t xml:space="preserve">Marketplace fees</w:t>
            </w:r>
          </w:p>
        </w:tc>
        <w:tc>
          <w:tcPr>
            <w:tcW w:w="1550" w:type="dxa"/>
          </w:tcPr>
          <w:p>
            <w:pPr>
              <w:pStyle w:val="Compact"/>
              <w:spacing w:before="0" w:after="0" w:lineRule="exact" w:line="200"/>
              <w:jc w:val="left"/>
            </w:pPr>
            <w:r>
              <w:rPr>
                <w:sz w:val="16"/>
              </w:rPr>
              <w:t xml:space="preserve">Mid-November 2026</w:t>
            </w:r>
          </w:p>
        </w:tc>
      </w:tr>
      <w:tr>
        <w:trPr>
          <w:cantSplit/>
        </w:trPr>
        <w:tc>
          <w:tcPr>
            <w:tcW w:w="1431" w:type="dxa"/>
          </w:tcPr>
          <w:p>
            <w:pPr>
              <w:pStyle w:val="Compact"/>
              <w:spacing w:before="0" w:after="0" w:lineRule="exact" w:line="200"/>
              <w:jc w:val="left"/>
            </w:pPr>
            <w:r>
              <w:rPr>
                <w:sz w:val="16"/>
              </w:rPr>
              <w:t xml:space="preserve">Marketplace share</w:t>
            </w:r>
          </w:p>
        </w:tc>
        <w:tc>
          <w:tcPr>
            <w:tcW w:w="4533" w:type="dxa"/>
          </w:tcPr>
          <w:p>
            <w:pPr>
              <w:pStyle w:val="Compact"/>
              <w:spacing w:before="0" w:after="0" w:lineRule="exact" w:line="200"/>
              <w:jc w:val="left"/>
            </w:pPr>
            <w:r>
              <w:rPr>
                <w:sz w:val="16"/>
              </w:rPr>
              <w:t xml:space="preserve">BPS’s next marketplace share of online sales value is at most 15.79 percent</w:t>
            </w:r>
          </w:p>
        </w:tc>
        <w:tc>
          <w:tcPr>
            <w:tcW w:w="2684" w:type="dxa"/>
          </w:tcPr>
          <w:p>
            <w:pPr>
              <w:pStyle w:val="Compact"/>
              <w:spacing w:before="0" w:after="0" w:lineRule="exact" w:line="200"/>
              <w:jc w:val="left"/>
            </w:pPr>
            <w:r>
              <w:rPr>
                <w:sz w:val="16"/>
              </w:rPr>
              <w:t xml:space="preserve">Reach of marketplace rules</w:t>
            </w:r>
          </w:p>
        </w:tc>
        <w:tc>
          <w:tcPr>
            <w:tcW w:w="1550" w:type="dxa"/>
          </w:tcPr>
          <w:p>
            <w:pPr>
              <w:pStyle w:val="Compact"/>
              <w:spacing w:before="0" w:after="0" w:lineRule="exact" w:line="200"/>
              <w:jc w:val="left"/>
            </w:pPr>
            <w:r>
              <w:rPr>
                <w:sz w:val="16"/>
              </w:rPr>
              <w:t xml:space="preserve">Next BPS release</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bookmarkEnd w:id="81"/>
    <w:bookmarkStart w:id="82"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w:t>
      </w:r>
      <w:r>
        <w:t xml:space="preserve"> </w:t>
      </w:r>
      <w:r>
        <w:rPr>
          <w:bCs/>
          <w:b/>
        </w:rPr>
        <w:t xml:space="preserve">Every one of these rules reaches only the sales that pass through a platform.</w:t>
      </w:r>
      <w:r>
        <w:t xml:space="preserve"> </w:t>
      </w:r>
      <w:r>
        <w:t xml:space="preserve">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(6),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2"/>
    <w:bookmarkEnd w:id="83"/>
    <w:bookmarkStart w:id="89" w:name="chapter-7.-conclusion"/>
    <w:p>
      <w:pPr>
        <w:pStyle w:val="Heading1"/>
      </w:pPr>
      <w:r>
        <w:t xml:space="preserve">Chapter 7. Conclusion</w:t>
      </w:r>
    </w:p>
    <w:p>
      <w:pPr>
        <w:pStyle w:val="FirstParagraph"/>
      </w:pPr>
      <w:r>
        <w:rPr>
          <w:bCs/>
          <w:b/>
        </w:rPr>
        <w:t xml:space="preserve">Each figure of Indonesia’s online economy is a fair guide to another only while a condition holds.</w:t>
      </w:r>
      <w:r>
        <w:t xml:space="preserve"> </w:t>
      </w:r>
      <w:r>
        <w:t xml:space="preserve">Revenue follows transaction value while the take rate stays steady. A survey’s count of sellers follows entry while the survey’s reach stays steady. Between 2022 and 2024 the platforms’ take rates moved, and revenue moved away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4"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w:t>
      </w:r>
      <w:r>
        <w:t xml:space="preserve"> </w:t>
      </w:r>
      <w:r>
        <w:rPr>
          <w:bCs/>
          <w:b/>
        </w:rPr>
        <w:t xml:space="preserve">The answer to the first half is that most of the activity remains outside revenue.</w:t>
      </w:r>
      <w:r>
        <w:t xml:space="preserve"> </w:t>
      </w:r>
      <w:r>
        <w:t xml:space="preserve">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rPr>
          <w:bCs/>
          <w:b/>
        </w:rPr>
        <w:t xml:space="preserve">The answer to the second half differs by link.</w:t>
      </w:r>
      <w:r>
        <w:t xml:space="preserve"> </w:t>
      </w:r>
      <w:r>
        <w:t xml:space="preserve">On the inner link, the choice of revenue changed the conclusion, above all from 2022 to 2024. The Indonesian and regional platforms changed their take rates about three times as much as platforms abroad, measured against the take rate itself, so H1 is rejected. They keep a much thinner share of each sale, so price changes of a similar size in points moved their revenue far more. In the windows traced, pricing moved revenue more than commerce did. Market value, for its part, moved with transaction value, and the data do not show that markets valued growth from pricing any less.</w:t>
      </w:r>
    </w:p>
    <w:p>
      <w:pPr>
        <w:pStyle w:val="BodyText"/>
      </w:pPr>
      <w:r>
        <w:rPr>
          <w:bCs/>
          <w:b/>
        </w:rPr>
        <w:t xml:space="preserve">On the outer link, H2 holds on BPS’s published figures: more businesses account for most of the growth in online sales value.</w:t>
      </w:r>
      <w:r>
        <w:t xml:space="preserve"> </w:t>
      </w:r>
      <w:r>
        <w:t xml:space="preserve">The registered entry test failed, and about half of the 2023 rise in the count is not explained by first-time entry. The extra count leaned toward long-running businesses. Read as wider coverage, an exploratory check, the extra count leaves H2 on its threshold: more businesses then account for about 42 to 54 percent of the growth, against the 50 percent H2 requires.</w:t>
      </w:r>
    </w:p>
    <w:p>
      <w:pPr>
        <w:pStyle w:val="BodyText"/>
      </w:pPr>
      <w:r>
        <w:t xml:space="preserve">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Where the national figures cover the same sellers, they agree on small growth in two of three scenarios. They disagree outside the marketplaces, among the chat and social sellers that only BPS reaches. The figure a reader picks decides whether 2023 looks like a stall or a boom.</w:t>
      </w:r>
    </w:p>
    <w:bookmarkEnd w:id="84"/>
    <w:bookmarkStart w:id="85"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more commerce and a larger take rate with two public figures (equation (5)). At the Indonesian and regional platforms, the take rate accounted for about two thirds of a revenue move at the typical pair. Abroad it accounted for about a quarter. The thinner the take rate, the more a small change in fees or incentives moves revenue growth. Across 28 listed platforms, market value moved with transaction value, as a registered prediction stated. A 1 percent rise in transaction value went with about 0.6 percent more market value.</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5"/>
    <w:bookmarkStart w:id="86" w:name="predictions-that-failed"/>
    <w:p>
      <w:pPr>
        <w:pStyle w:val="Heading2"/>
      </w:pPr>
      <w:r>
        <w:t xml:space="preserve">7.3 Predictions that failed</w:t>
      </w:r>
    </w:p>
    <w:p>
      <w:pPr>
        <w:pStyle w:val="FirstParagraph"/>
      </w:pPr>
      <w:r>
        <w:rPr>
          <w:bCs/>
          <w:b/>
        </w:rPr>
        <w:t xml:space="preserve">Several registered predictions failed, and the failures are part of the answer.</w:t>
      </w:r>
      <w:r>
        <w:t xml:space="preserve"> </w:t>
      </w:r>
      <w:r>
        <w:t xml:space="preserve">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C lists every registered test with its outcome. The predictions on the 2026 rules are listed in Section 6.5, with the date on which each is scored.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6"/>
    <w:bookmarkStart w:id="87" w:name="limits-of-the-evidence"/>
    <w:p>
      <w:pPr>
        <w:pStyle w:val="Heading2"/>
      </w:pPr>
      <w:r>
        <w:t xml:space="preserve">7.4 Limits of the evidence</w:t>
      </w:r>
    </w:p>
    <w:p>
      <w:pPr>
        <w:pStyle w:val="FirstParagraph"/>
      </w:pPr>
      <w:r>
        <w:rPr>
          <w:bCs/>
          <w:b/>
        </w:rPr>
        <w:t xml:space="preserve">The invisible wedge is the part of each sale that a platform passes on to sellers, drivers and others.</w:t>
      </w:r>
      <w:r>
        <w:t xml:space="preserve"> </w:t>
      </w:r>
      <w:r>
        <w:rPr>
          <w:bCs/>
          <w:b/>
        </w:rPr>
        <w:t xml:space="preserve">It is not missing output, unrecorded income or unpaid tax.</w:t>
      </w:r>
      <w:r>
        <w:t xml:space="preserve"> </w:t>
      </w:r>
      <w:r>
        <w:t xml:space="preserve">The thesis does not find BPS’s figures wrong in general, nor that total online buying in Indonesia fell. It finds that one year’s count of sellers moved for reasons other than first-time entry, and that the figures disagree where they cover different sellers. The splits of Table 5.4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w:t>
      </w:r>
    </w:p>
    <w:p>
      <w:pPr>
        <w:pStyle w:val="BodyText"/>
      </w:pPr>
      <w:r>
        <w:t xml:space="preserve">The tests of H1 are one-sided, because each asks whether the Indonesian and regional group moves more. A two-sided test would about double each p-value, and the main Mann–Whitney result would still be below 1 percent. The result depends on the larger movers. Dropping the two largest, Blibli and Tokopedia, leaves p = 0.058, and keeping only the first five years after each platform’s listing leaves p = 0.059 (Appendix B).</w:t>
      </w:r>
    </w:p>
    <w:p>
      <w:pPr>
        <w:pStyle w:val="BodyText"/>
      </w:pPr>
      <w:r>
        <w:t xml:space="preserve">The platform figures carry their own limits. Shopee’s and Grab’s Indonesian amounts come from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w:t>
      </w:r>
    </w:p>
    <w:p>
      <w:pPr>
        <w:pStyle w:val="BodyText"/>
      </w:pPr>
      <w:r>
        <w:t xml:space="preserve">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B).</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are only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The licensed files stay outside the repository, which holds the code and national totals (Section 4.10). The evidence concerns Indonesia, with regional series labelled as such.</w:t>
      </w:r>
    </w:p>
    <w:bookmarkEnd w:id="87"/>
    <w:bookmarkStart w:id="88" w:name="further-research"/>
    <w:p>
      <w:pPr>
        <w:pStyle w:val="Heading2"/>
      </w:pPr>
      <w:r>
        <w:t xml:space="preserve">7.5 Further research</w:t>
      </w:r>
    </w:p>
    <w:p>
      <w:pPr>
        <w:pStyle w:val="FirstParagraph"/>
      </w:pPr>
      <w:r>
        <w:t xml:space="preserve">Five extensions follow from the limits above. The first is to reconcile the levels of BPS’s and the platforms’ figures. It needs common definitions of what counts as a sale, including shipping, digital goods, travel and offline sales. The platform data that BPS now collects could supply the platform side, if BPS publishes them.</w:t>
      </w:r>
    </w:p>
    <w:p>
      <w:pPr>
        <w:pStyle w:val="BodyText"/>
      </w:pPr>
      <w:r>
        <w:t xml:space="preserve">The 2026 economic census gives a second. When BPS adopts a frame from it, the entry test can be repeated on the first survey that uses the new frame. A business identifier that links survey rounds would settle the question of returning sellers.</w:t>
      </w:r>
    </w:p>
    <w:p>
      <w:pPr>
        <w:pStyle w:val="BodyText"/>
      </w:pPr>
      <w:r>
        <w:t xml:space="preserve">A third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also grow, and the channel count can go abroad. Lazada and TikTok Shop can join the test of H1 once they report Indonesian figures. Any country whose statistics office asks sellers which channels they use can measure how much online selling its platform rules reach.</w:t>
      </w:r>
    </w:p>
    <w:p>
      <w:pPr>
        <w:pStyle w:val="BodyText"/>
      </w:pPr>
      <w:r>
        <w:t xml:space="preserve">The thesis started from figures that moved apart in 2023. BPS’s online sales rose by about 41 percent while Bank Indonesia’s measure fell by about 5 percent, and Tokopedia’s revenue rose while its transaction value fell. Each number counts something different. Revenue is what a platform keeps. Bank Indonesia’s number comes from large e-commerce firms. BPS’s comes from the sellers its survey reaches. They stop matching when a platform changes its take rate or a survey changes who it reaches.</w:t>
      </w:r>
      <w:r>
        <w:t xml:space="preserve"> </w:t>
      </w:r>
      <w:r>
        <w:rPr>
          <w:bCs/>
          <w:b/>
        </w:rPr>
        <w:t xml:space="preserve">A reader who asks which of those happened can still use all three.</w:t>
      </w:r>
    </w:p>
    <w:bookmarkEnd w:id="88"/>
    <w:bookmarkEnd w:id="89"/>
    <w:sectPr>
      <w:footerReference r:id="rId9" w:type="default"/>
      <w:pgSz w:h="16838" w:w="11906"/>
      <w:pgMar w:bottom="794" w:footer="340" w:left="850" w:right="850" w:top="7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ource Serif 4">
    <w:altName w:val="Cambria"/>
    <w:charset w:val="00"/>
    <w:family w:val="roman"/>
    <w:pitch w:val="variable"/>
    <w:embedRegular r:id="rIdF1" w:fontKey="{A25E068D-7363-4D8E-9588-0184DDB05FA7}"/>
    <w:embedBold r:id="rIdF2" w:fontKey="{07103A03-5A0F-4319-822C-5FB96342C4BD}"/>
    <w:embedItalic r:id="rIdF3" w:fontKey="{047FB565-5672-4DE9-A94E-38A543ADA8BB}"/>
    <w:embedBoldItalic r:id="rIdF4" w:fontKey="{BF94F6F4-0B91-41A7-8BED-160D6F00C14C}"/>
  </w:font>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urce Serif 4" w:hAnsi="Source Serif 4"/>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TrueTypeFonts/>
  <w:saveSubsetFonts/>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78" w:before="0" w:line="242" w:lineRule="exact"/>
      <w:jc w:val="both"/>
    </w:pPr>
    <w:rPr>
      <w:rFonts w:ascii="Source Serif 4" w:cs="Source Serif 4" w:eastAsia="Source Serif 4" w:hAnsi="Source Serif 4"/>
      <w:color w:val="111111"/>
      <w:sz w:val="18"/>
    </w:rPr>
  </w:style>
  <w:style w:styleId="BodyText" w:type="paragraph">
    <w:name w:val="Body Text"/>
    <w:basedOn w:val="Normal"/>
    <w:link w:val="BodyTextChar"/>
    <w:pPr>
      <w:spacing w:after="78" w:before="0" w:line="242" w:lineRule="exact"/>
      <w:jc w:val="both"/>
    </w:pPr>
    <w:qFormat/>
    <w:rPr>
      <w:rFonts w:ascii="Source Serif 4" w:cs="Source Serif 4" w:eastAsia="Source Serif 4" w:hAnsi="Source Serif 4"/>
      <w:color w:val="111111"/>
      <w:sz w:val="18"/>
    </w:rPr>
  </w:style>
  <w:style w:customStyle="1" w:styleId="FirstParagraph" w:type="paragraph">
    <w:name w:val="First Paragraph"/>
    <w:basedOn w:val="BodyText"/>
    <w:next w:val="BodyText"/>
    <w:qFormat/>
    <w:pPr>
      <w:spacing w:after="78" w:before="0" w:line="242" w:lineRule="exact"/>
      <w:jc w:val="both"/>
    </w:pPr>
    <w:rPr>
      <w:rFonts w:ascii="Source Serif 4" w:cs="Source Serif 4" w:eastAsia="Source Serif 4" w:hAnsi="Source Serif 4"/>
      <w:color w:val="111111"/>
      <w:sz w:val="18"/>
    </w:rPr>
  </w:style>
  <w:style w:customStyle="1" w:styleId="Compact" w:type="paragraph">
    <w:name w:val="Compact"/>
    <w:basedOn w:val="BodyText"/>
    <w:qFormat/>
    <w:pPr>
      <w:spacing w:after="20" w:before="0" w:line="242" w:lineRule="exact"/>
      <w:jc w:val="left"/>
    </w:pPr>
    <w:rPr>
      <w:rFonts w:ascii="Source Serif 4" w:cs="Source Serif 4" w:eastAsia="Source Serif 4" w:hAnsi="Source Serif 4"/>
      <w:color w:val="111111"/>
      <w:sz w:val="18"/>
    </w:rPr>
  </w:style>
  <w:style w:styleId="Title" w:type="paragraph">
    <w:name w:val="Title"/>
    <w:basedOn w:val="Normal"/>
    <w:next w:val="BodyText"/>
    <w:qFormat/>
    <w:pPr>
      <w:keepNext/>
      <w:keepLines/>
      <w:spacing w:after="56" w:before="0" w:line="312" w:lineRule="exact"/>
      <w:jc w:val="left"/>
    </w:pPr>
    <w:rPr>
      <w:rFonts w:ascii="Source Serif 4" w:cs="Source Serif 4" w:eastAsia="Source Serif 4" w:hAnsi="Source Serif 4"/>
      <w:b/>
      <w:bCs/>
      <w:color w:val="111111"/>
      <w:sz w:val="24"/>
      <w:szCs w:val="36"/>
    </w:rPr>
  </w:style>
  <w:style w:styleId="Subtitle" w:type="paragraph">
    <w:name w:val="Subtitle"/>
    <w:basedOn w:val="Title"/>
    <w:next w:val="BodyText"/>
    <w:qFormat/>
    <w:pPr>
      <w:keepNext/>
      <w:keepLines/>
      <w:spacing w:after="220" w:before="0" w:line="232" w:lineRule="exact"/>
      <w:jc w:val="left"/>
      <w:pBdr>
        <w:bottom w:color="999999" w:space="6" w:sz="6" w:val="single"/>
      </w:pBdr>
    </w:pPr>
    <w:rPr>
      <w:rFonts w:ascii="Source Serif 4" w:cs="Source Serif 4" w:eastAsia="Source Serif 4" w:hAnsi="Source Serif 4"/>
      <w:b w:val="0"/>
      <w:i/>
      <w:color w:val="111111"/>
      <w:sz w:val="18"/>
      <w:szCs w:val="30"/>
    </w:rPr>
  </w:style>
  <w:style w:customStyle="1" w:styleId="Author" w:type="paragraph">
    <w:name w:val="Author"/>
    <w:next w:val="BodyText"/>
    <w:qFormat/>
    <w:pPr>
      <w:keepNext/>
      <w:keepLines/>
      <w:spacing w:after="20" w:before="0" w:line="232" w:lineRule="exact"/>
      <w:jc w:val="left"/>
    </w:pPr>
    <w:rPr>
      <w:rFonts w:ascii="Source Serif 4" w:cs="Source Serif 4" w:eastAsia="Source Serif 4" w:hAnsi="Source Serif 4"/>
      <w:color w:val="111111"/>
      <w:sz w:val="18"/>
    </w:rPr>
  </w:style>
  <w:style w:styleId="Date" w:type="paragraph">
    <w:name w:val="Date"/>
    <w:next w:val="BodyText"/>
    <w:qFormat/>
    <w:pPr>
      <w:keepNext/>
      <w:keepLines/>
      <w:spacing w:after="20" w:before="0" w:line="232" w:lineRule="exact"/>
      <w:jc w:val="left"/>
    </w:pPr>
    <w:rPr>
      <w:rFonts w:ascii="Source Serif 4" w:cs="Source Serif 4" w:eastAsia="Source Serif 4" w:hAnsi="Source Serif 4"/>
      <w:color w:val="111111"/>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70" w:before="396" w:line="352" w:lineRule="exact"/>
      <w:jc w:val="left"/>
      <w:outlineLvl w:val="0"/>
    </w:pPr>
    <w:rPr>
      <w:rFonts w:ascii="Source Serif 4" w:cs="Source Serif 4" w:eastAsia="Source Serif 4" w:hAnsi="Source Serif 4"/>
      <w:b/>
      <w:bCs/>
      <w:i w:val="0"/>
      <w:color w:val="111111"/>
      <w:sz w:val="27"/>
      <w:szCs w:val="32"/>
    </w:rPr>
  </w:style>
  <w:style w:styleId="Heading2" w:type="paragraph">
    <w:name w:val="Heading 2"/>
    <w:basedOn w:val="Normal"/>
    <w:next w:val="BodyText"/>
    <w:uiPriority w:val="9"/>
    <w:unhideWhenUsed/>
    <w:qFormat/>
    <w:pPr>
      <w:keepNext/>
      <w:keepLines/>
      <w:spacing w:after="56" w:before="226" w:line="272" w:lineRule="exact"/>
      <w:jc w:val="left"/>
      <w:outlineLvl w:val="1"/>
    </w:pPr>
    <w:rPr>
      <w:rFonts w:ascii="Source Serif 4" w:cs="Source Serif 4" w:eastAsia="Source Serif 4" w:hAnsi="Source Serif 4"/>
      <w:b/>
      <w:bCs/>
      <w:i w:val="0"/>
      <w:color w:val="111111"/>
      <w:sz w:val="21"/>
      <w:szCs w:val="28"/>
    </w:rPr>
  </w:style>
  <w:style w:styleId="Heading3" w:type="paragraph">
    <w:name w:val="Heading 3"/>
    <w:basedOn w:val="Normal"/>
    <w:next w:val="BodyText"/>
    <w:uiPriority w:val="9"/>
    <w:unhideWhenUsed/>
    <w:qFormat/>
    <w:pPr>
      <w:keepNext/>
      <w:keepLines/>
      <w:spacing w:after="56" w:before="170" w:line="246" w:lineRule="exact"/>
      <w:jc w:val="left"/>
      <w:outlineLvl w:val="2"/>
    </w:pPr>
    <w:rPr>
      <w:rFonts w:ascii="Source Serif 4" w:cs="Source Serif 4" w:eastAsia="Source Serif 4" w:hAnsi="Source Serif 4"/>
      <w:b/>
      <w:bCs/>
      <w:i/>
      <w:color w:val="111111"/>
      <w:sz w:val="19"/>
      <w:szCs w:val="24"/>
    </w:rPr>
  </w:style>
  <w:style w:styleId="Heading4" w:type="paragraph">
    <w:name w:val="Heading 4"/>
    <w:basedOn w:val="Normal"/>
    <w:next w:val="BodyText"/>
    <w:uiPriority w:val="9"/>
    <w:unhideWhenUsed/>
    <w:qFormat/>
    <w:pPr>
      <w:keepNext/>
      <w:keepLines/>
      <w:spacing w:after="40" w:before="120" w:line="242" w:lineRule="exact"/>
      <w:jc w:val="left"/>
      <w:outlineLvl w:val="3"/>
    </w:pPr>
    <w:rPr>
      <w:rFonts w:ascii="Source Serif 4" w:cs="Source Serif 4" w:eastAsia="Source Serif 4" w:hAnsi="Source Serif 4"/>
      <w:i w:val="0"/>
      <w:b/>
      <w:bCs/>
      <w:color w:val="111111"/>
      <w:sz w:val="18"/>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14" w:before="86" w:line="242" w:lineRule="exact"/>
      <w:ind w:firstLine="0" w:left="454" w:right="454"/>
      <w:jc w:val="left"/>
    </w:pPr>
    <w:rPr>
      <w:rFonts w:ascii="Source Serif 4" w:cs="Source Serif 4" w:eastAsia="Source Serif 4" w:hAnsi="Source Serif 4"/>
      <w:color w:val="111111"/>
      <w:sz w:val="18"/>
    </w:rPr>
  </w:style>
  <w:style w:styleId="FootnoteText" w:type="paragraph">
    <w:name w:val="Footnote Text"/>
    <w:basedOn w:val="Normal"/>
    <w:next w:val="FootnoteText"/>
    <w:uiPriority w:val="9"/>
    <w:unhideWhenUsed/>
    <w:qFormat/>
    <w:pPr>
      <w:spacing w:after="20" w:before="0" w:line="216" w:lineRule="exact"/>
      <w:jc w:val="left"/>
    </w:pPr>
    <w:rPr>
      <w:rFonts w:ascii="Source Serif 4" w:cs="Source Serif 4" w:eastAsia="Source Serif 4" w:hAnsi="Source Serif 4"/>
      <w:color w:val="111111"/>
      <w:sz w:val="1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56" w:before="140" w:line="246" w:lineRule="exact"/>
      <w:jc w:val="left"/>
    </w:pPr>
    <w:rPr>
      <w:rFonts w:ascii="Source Serif 4" w:cs="Source Serif 4" w:eastAsia="Source Serif 4" w:hAnsi="Source Serif 4"/>
      <w:b w:val="0"/>
      <w:i w:val="0"/>
      <w:color w:val="111111"/>
      <w:sz w:val="17"/>
    </w:rPr>
  </w:style>
  <w:style w:customStyle="1" w:styleId="TableCaption" w:type="paragraph">
    <w:name w:val="Table Caption"/>
    <w:basedOn w:val="Caption"/>
    <w:pPr>
      <w:keepNext/>
      <w:spacing w:after="56" w:before="140" w:line="246" w:lineRule="exact"/>
      <w:jc w:val="left"/>
    </w:pPr>
    <w:rPr>
      <w:rFonts w:ascii="Source Serif 4" w:cs="Source Serif 4" w:eastAsia="Source Serif 4" w:hAnsi="Source Serif 4"/>
      <w:b w:val="0"/>
      <w:i w:val="0"/>
      <w:color w:val="111111"/>
      <w:sz w:val="17"/>
    </w:rPr>
  </w:style>
  <w:style w:customStyle="1" w:styleId="ImageCaption" w:type="paragraph">
    <w:name w:val="Image Caption"/>
    <w:basedOn w:val="Caption"/>
    <w:pPr>
      <w:spacing w:after="56" w:before="140" w:line="246" w:lineRule="exact"/>
      <w:jc w:val="left"/>
    </w:pPr>
    <w:rPr>
      <w:rFonts w:ascii="Source Serif 4" w:cs="Source Serif 4" w:eastAsia="Source Serif 4" w:hAnsi="Source Serif 4"/>
      <w:b w:val="0"/>
      <w:i w:val="0"/>
      <w:color w:val="111111"/>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quation" w:type="paragraph">
    <w:name w:val="Equation"/>
    <w:basedOn w:val="Normal"/>
    <w:pPr>
      <w:keepLines/>
      <w:tabs>
        <w:tab w:pos="5102" w:val="center"/>
        <w:tab w:pos="10205" w:val="right"/>
      </w:tabs>
      <w:spacing w:after="114" w:before="86" w:line="246" w:lineRule="exact"/>
      <w:jc w:val="left"/>
    </w:pPr>
    <w:rPr>
      <w:rFonts w:ascii="Source Serif 4" w:cs="Source Serif 4" w:eastAsia="Source Serif 4" w:hAnsi="Source Serif 4"/>
      <w:color w:val="111111"/>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0" Type="http://schemas.openxmlformats.org/officeDocument/2006/relationships/image" Target="media/rId30.png"/><Relationship Id="rId52" Type="http://schemas.openxmlformats.org/officeDocument/2006/relationships/image" Target="media/rId52.png"/><Relationship Id="rId56" Type="http://schemas.openxmlformats.org/officeDocument/2006/relationships/image" Target="media/rId56.png"/><Relationship Id="rId61" Type="http://schemas.openxmlformats.org/officeDocument/2006/relationships/image" Target="media/rId61.png"/><Relationship Id="rId67" Type="http://schemas.openxmlformats.org/officeDocument/2006/relationships/image" Target="media/rId67.png"/><Relationship Id="rId71" Type="http://schemas.openxmlformats.org/officeDocument/2006/relationships/image" Target="media/rId71.png"/></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creator/>
  <dc:language>en</dc:language>
  <cp:keywords/>
  <dcterms:created xsi:type="dcterms:W3CDTF">2026-10-24T06:44:51Z</dcterms:created>
  <dcterms:modified xsi:type="dcterms:W3CDTF">2026-10-24T06:44:51Z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Master’s thesis, condensed version</vt:lpwstr>
  </property>
</Properties>
</file>