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3.png" ContentType="image/png"/>
  <Override PartName="/word/media/rId57.png" ContentType="image/png"/>
  <Override PartName="/word/media/rId62.png" ContentType="image/png"/>
  <Override PartName="/word/media/rId68.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Invisible</w:t>
      </w:r>
      <w:r>
        <w:t xml:space="preserve"> </w:t>
      </w:r>
      <w:r>
        <w:t xml:space="preserve">Ledger</w:t>
      </w:r>
      <w:r>
        <w:t xml:space="preserve"> </w:t>
      </w:r>
      <w:r>
        <w:t xml:space="preserve">(editing</w:t>
      </w:r>
      <w:r>
        <w:t xml:space="preserve"> </w:t>
      </w:r>
      <w:r>
        <w:t xml:space="preserve">copy)</w:t>
      </w:r>
    </w:p>
    <w:p>
      <w:pPr>
        <w:pStyle w:val="Subtitle"/>
      </w:pPr>
      <w:r>
        <w:t xml:space="preserve">Draft</w:t>
      </w:r>
      <w:r>
        <w:t xml:space="preserve"> </w:t>
      </w:r>
      <w:r>
        <w:t xml:space="preserve">of</w:t>
      </w:r>
      <w:r>
        <w:t xml:space="preserve"> </w:t>
      </w:r>
      <w:r>
        <w:t xml:space="preserve">2026-10-25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rPr>
          <w:bCs/>
          <w:b/>
        </w:rPr>
        <w:t xml:space="preserve">The Invisible Ledger: Quantifying the Invisible Wedge in Indonesia’s Platform Economy</w:t>
      </w:r>
    </w:p>
    <w:p>
      <w:pPr>
        <w:pStyle w:val="BodyText"/>
      </w:pPr>
      <w:r>
        <w:t xml:space="preserve">A platform’s revenue stands for the commerce it carries, and a survey’s count of sellers stands for the businesses selling online. This thesis asks how much activity remains invisible when platforms are measured through their revenue, and when that choice changes the conclusion about growth. It studies Indonesia, using platform reports, a national survey of online sellers and national figures.</w:t>
      </w:r>
    </w:p>
    <w:p>
      <w:pPr>
        <w:pStyle w:val="BodyText"/>
      </w:pPr>
      <w:r>
        <w:t xml:space="preserve">In 2023, three major platforms kept about US$3 billion of the US$43 billion that passed through them. Abroad, revenue grew in proportion to transaction value. In Indonesia and the region it did not: platforms changed the share of each sale they kept 3.6 times as much as 27 platforms abroad, mostly between 2022 and 2024, so that hypothesis is rejected.</w:t>
      </w:r>
    </w:p>
    <w:p>
      <w:pPr>
        <w:pStyle w:val="BodyText"/>
      </w:pPr>
      <w:r>
        <w:t xml:space="preserve">The count of online sellers rose by 27 percent in 2023. A test registered in advance finds too few new sellers to produce that rise, and a later, exploratory count shows that first-time entry explains only about half of it. If the rest is read as wider survey coverage, the finding that more businesses drive growth sits on its threshold. The new marketplace tax can collect from at most about 1 in 20 online sellers.</w:t>
      </w:r>
    </w:p>
    <w:p>
      <w:pPr>
        <w:pStyle w:val="BodyText"/>
      </w:pPr>
      <w:r>
        <w:rPr>
          <w:bCs/>
          <w:b/>
        </w:rPr>
        <w:t xml:space="preserve">Keywords:</w:t>
      </w:r>
      <w:r>
        <w:t xml:space="preserve"> </w:t>
      </w:r>
      <w:r>
        <w:t xml:space="preserve">digital platforms; take rate; e-commerce measurement; transaction value; online sellers; Indonesia</w:t>
      </w:r>
    </w:p>
    <w:p>
      <w:pPr>
        <w:pStyle w:val="BodyText"/>
      </w:pPr>
      <w:r>
        <w:rPr>
          <w:iCs/>
          <w:i/>
        </w:rPr>
        <w:t xml:space="preserve">[Chinese abstract (中文摘要), Chinese keywords and the Chinese title page are required by YZU and are left for the researcher. The proposal’s Chinese title was 隱形帳簿：量化印尼平台經濟中的隱形缺口.]</w:t>
      </w:r>
    </w:p>
    <w:bookmarkEnd w:id="20"/>
    <w:bookmarkStart w:id="24" w:name="chapter-1.-introduction"/>
    <w:p>
      <w:pPr>
        <w:pStyle w:val="Heading1"/>
      </w:pPr>
      <w:r>
        <w:t xml:space="preserve">Chapter 1. Introduction</w:t>
      </w:r>
    </w:p>
    <w:p>
      <w:pPr>
        <w:pStyle w:val="FirstParagraph"/>
      </w:pPr>
      <w:r>
        <w:t xml:space="preserve">Over the past decade, digital commerce has changed how goods and services are bought and sold. A growing part of it passes through platforms, such as online marketplaces and ride-hailing and delivery apps. Investors value platforms largely on their reported growth, and governments use the same figures to size their digital economies and to tax online sellers. The trade is large: businesses in 43 economies sold almost US$27 trillion online in 2022, by the estimate of the United Nations Conference on Trade and Development (UNCTAD 2024).</w:t>
      </w:r>
    </w:p>
    <w:p>
      <w:pPr>
        <w:pStyle w:val="BodyText"/>
      </w:pPr>
      <w:r>
        <w:t xml:space="preserve">Investors and governments each treat a figure as a stand-in for the commerce behind it, and a stand-in follows the commerce only while the link between them holds. A platform keeps just part of each sale, as commissions and fees, and the rest is the seller’s receipts, the driver’s fare or another amount that passes through. The share a platform keeps, its take rate, is a pricing choice rather than a fixed number (Rochet and Tirole 2003), so revenue can grow even when the commerce it carries falls. National figures face a similar problem, because a survey can reach more, or different, businesses from one year to the next.</w:t>
      </w:r>
    </w:p>
    <w:p>
      <w:pPr>
        <w:pStyle w:val="BodyText"/>
      </w:pPr>
      <w:r>
        <w:t xml:space="preserve">Indonesia in 2023 offers a striking example, as its figures moved away from the commerce they stand for. Tokopedia, one of Indonesia’s largest online marketplaces, saw its net revenue rise by 53 percent. Yet its transaction value, the value of what was bought through the platform, fell by 9 percent (GoTo Gojek Tokopedia 2024a, 2024b). Nationally, Badan Pusat Statistik (BPS), Indonesia’s national statistics agency, reported that online sales rose by about 41 percent (BPS 2025a), while the central bank’s measure of online shopping fell by about 5 percent (Bank Indonesia 2023; KabarBursa 2024). Depending on which figure one reads, 2023 was either a boom or a stall.</w:t>
      </w:r>
    </w:p>
    <w:p>
      <w:pPr>
        <w:pStyle w:val="BodyText"/>
      </w:pPr>
      <w:r>
        <w:t xml:space="preserve">At Tokopedia, about 60 percent of the extra revenue came from smaller discounts and incentives, which a platform pays out of its own earnings (GoTo Gojek Tokopedia 2024b). So the share the platform kept had changed, not only the commerce. This thesis calls what a revenue-only measure leaves out the invisible wedge. It does not mean activity that goes unrecorded; it is the value that passes through a platform to sellers, drivers and others without appearing in the platform’s revenue.</w:t>
      </w:r>
    </w:p>
    <w:p>
      <w:pPr>
        <w:pStyle w:val="BodyText"/>
      </w:pPr>
      <w:r>
        <w:t xml:space="preserve">Research explains why platform revenue and national sales figures can differ. However, it does not say when a figure stops moving with the activity it represents, or by how much. Answering that takes a platform’s revenue and transaction value over several years, and a national count of online sellers whose underlying answers can be examined.</w:t>
      </w:r>
    </w:p>
    <w:p>
      <w:pPr>
        <w:pStyle w:val="BodyText"/>
      </w:pPr>
      <w:r>
        <w:t xml:space="preserve">There are three reasons why this thesis focuses on Indonesia. First, Indonesia allows the question to be tested. Several platforms report revenue and transaction value each year, and BPS asks online sellers when they began and how their sales changed. Second, the two sources already differ on scale: for 2024, BPS gives about US$81 billion for online sales and the central bank about US$31 billion (BPS 2025b; Bank Indonesia 2025). Third, new rules on platform commissions, discounts and tax act directly on these figures, so the evidence bears on how far those rules can reach.</w:t>
      </w:r>
    </w:p>
    <w:p>
      <w:pPr>
        <w:pStyle w:val="BodyText"/>
      </w:pPr>
      <w:r>
        <w:t xml:space="preserve">Platform and survey figures are also likely to disagree, because most online sellers work through messaging and social media, outside the marketplaces. In 2023, traders at Tanah Abang, a wholesale market in Jakarta, said their customers had moved to sellers on TikTok Shop (Agence France-Presse 2023). The government then banned transactions on social media platforms, and TikTok Shop closed in Indonesia soon after (Ministry of Trade of the Republic of Indonesia 2023; Mandagie 2023). The events of 2023 suggest that the two did disagree.</w:t>
      </w:r>
    </w:p>
    <w:bookmarkStart w:id="21" w:name="research-question-and-objectives"/>
    <w:p>
      <w:pPr>
        <w:pStyle w:val="Heading2"/>
      </w:pPr>
      <w:r>
        <w:t xml:space="preserve">1.1 Research question and objectives</w:t>
      </w:r>
    </w:p>
    <w:p>
      <w:pPr>
        <w:pStyle w:val="FirstParagraph"/>
      </w:pPr>
      <w:r>
        <w:t xml:space="preserve">This thesis examines how the digital economy is measured. Most online commerce is missing from the platform figures on which companies are valued and sellers are taxed, and millions of the people who sell online are outside those figures altogether. Decisions on valuation, statistics and tax rest on numbers that show only a fraction of the activity they are taken to describe. This thesis aims to bring the rest into view: to show how much of the online economy the current figures miss, where it is, and who is in it.</w:t>
      </w:r>
    </w:p>
    <w:p>
      <w:pPr>
        <w:pStyle w:val="BodyText"/>
      </w:pPr>
      <w:r>
        <w:t xml:space="preserve">Measuring what the current figures miss begins with one question: how much economic activity remains invisible when digital platforms are measured through their reported revenue, and when does that choice change the conclusion about growth? The question has two halves. The first concerns size, which is how much of the activity lies outside the figure. The second concerns growth, which is whether the figure still moves with the activity once prices or coverage change. A large wedge would matter less if it stayed in proportion; the second half asks whether it did.</w:t>
      </w:r>
    </w:p>
    <w:p>
      <w:pPr>
        <w:pStyle w:val="BodyText"/>
      </w:pPr>
      <w:r>
        <w:t xml:space="preserve">The research question is addressed through three objectives. The first is to measure the invisible wedge across the platform histories available from 2020 to 2025. The second is to reconcile selected large movements with disclosed changes in monetization, customer incentives, revenue recognition and reporting scope. The third is to compare the platform evidence with national e-commerce and payment figures, to test whether they give the same account of economic scale and growth.</w:t>
      </w:r>
    </w:p>
    <w:p>
      <w:pPr>
        <w:pStyle w:val="BodyText"/>
      </w:pPr>
      <w:r>
        <w:t xml:space="preserve">The thesis tests two hypotheses. H1 says that a platform’s revenue grows in proportion to its transaction value. H2 says that national e-commerce growth comes mainly from more businesses selling online, and less from higher sales per business. Further analyses test whether a rise in the count of online sellers comes from sellers entering for the first time, and estimate how many sellers a rule built on platform records can reach.</w:t>
      </w:r>
    </w:p>
    <w:p>
      <w:pPr>
        <w:pStyle w:val="BodyText"/>
      </w:pPr>
      <w:r>
        <w:t xml:space="preserve">The analysis begins by measuring the invisible wedge. In 2023, three major platforms in Indonesia kept about US$3 billion of the US$43 billion that passed through them, so revenue shows only a small part of the commerce platforms carry, and marketplaces carry only about a fifth of online sales value in BPS’s survey. The thesis then tests H1. In Indonesia, platform revenue grew faster than the commerce behind it, mainly because platforms kept a larger share of each sale, not because buyers bought more: Indonesian and regional platforms changed their take rates more than three times as much as 27 platforms abroad. Next, the thesis turns to the national figures. National growth came mainly from more sellers, as H2 states. But the registered entry test fails, and about half of the 2023 rise in the count of sellers is not explained by first-time entry. Finally, the thesis finds that the new marketplace tax can collect from at most about 1 in 20 online sellers.</w:t>
      </w:r>
    </w:p>
    <w:bookmarkEnd w:id="21"/>
    <w:bookmarkStart w:id="22" w:name="contributions"/>
    <w:p>
      <w:pPr>
        <w:pStyle w:val="Heading2"/>
      </w:pPr>
      <w:r>
        <w:t xml:space="preserve">1.2 Contributions</w:t>
      </w:r>
    </w:p>
    <w:p>
      <w:pPr>
        <w:pStyle w:val="FirstParagraph"/>
      </w:pPr>
      <w:r>
        <w:t xml:space="preserve">The thesis makes three contributions, one for each group that relies on these figures: investors, statistics offices, and the authorities that tax and regulate online selling.</w:t>
      </w:r>
    </w:p>
    <w:p>
      <w:pPr>
        <w:pStyle w:val="BodyText"/>
      </w:pPr>
      <w:r>
        <w:t xml:space="preserve">First, for investors, the thesis shows how small a part of the commerce a platform’s revenue records. That matters for value, because the market values of internet firms track revenue (Bowen, Davis and Rajgopal 2002). It matters for growth too: the larger the wedge is next to revenue, the more a small change in fees or discounts moves revenue growth. Platform economics explains why the share a platform keeps can move (Rochet and Tirole 2003; Armstrong 2006), but not how far it moves in practice. The thesis traces why revenue moved, which lets an investor check whether reported growth came from more commerce or from a larger share of each sale. A prediction registered in advance then tests how market value moves with revenue and with commerce.</w:t>
      </w:r>
    </w:p>
    <w:p>
      <w:pPr>
        <w:pStyle w:val="BodyText"/>
      </w:pPr>
      <w:r>
        <w:t xml:space="preserve">Second, for statistics offices, the thesis shows where the commerce outside the platforms sits and tests what a rise in the count of online sellers represents. A change in survey design can create a break that looks like real change (van den Brakel, Smith and Compton 2008), and published totals cannot tell the two apart. Most online sellers are small businesses that keep no financial statements. Each reports the year it began selling online, so the survey shows how much of a rise is first-time entry. The test was specified before the survey files were opened, and it can be repeated on any survey that asks the same question.</w:t>
      </w:r>
    </w:p>
    <w:p>
      <w:pPr>
        <w:pStyle w:val="BodyText"/>
      </w:pPr>
      <w:r>
        <w:t xml:space="preserve">Third, for tax authorities and regulators, the thesis measures how far rules based on platform records reach. Reports from third parties improve tax compliance where they exist (Kleven et al. 2011; Pomeranz 2015), but such a rule reaches only the sellers who use platforms, so where most sellers work outside them, it covers a minority. The thesis also sets each recent rule, from the cap on ride-hailing commissions to the limit on discounts, against the figure it acts on. Several other countries have adopted similar rules (Organisation for Economic Co-operation and Development [OECD] 2020; European Union 2021), so the same question applies there.</w:t>
      </w:r>
    </w:p>
    <w:p>
      <w:pPr>
        <w:pStyle w:val="BodyText"/>
      </w:pPr>
      <w:r>
        <w:t xml:space="preserve">More broadly, earlier work has already compared platform transaction values with national e-commerce statistics. This thesis adds connected evidence for one country, drawing on the platforms’ accounts, the sellers’ own survey responses and the rules that act on both.</w:t>
      </w:r>
    </w:p>
    <w:bookmarkEnd w:id="22"/>
    <w:bookmarkStart w:id="23" w:name="structure-of-the-thesis"/>
    <w:p>
      <w:pPr>
        <w:pStyle w:val="Heading2"/>
      </w:pPr>
      <w:r>
        <w:t xml:space="preserve">1.3 Structure of the thesis</w:t>
      </w:r>
    </w:p>
    <w:p>
      <w:pPr>
        <w:pStyle w:val="FirstParagraph"/>
      </w:pPr>
      <w:r>
        <w:t xml:space="preserve">The thesis moves from ideas to evidence and then to what follows from it. Chapter 2 reviews why platform revenue differs from the commerce behind it, how online selling is measured, and what platform records can show. It ends with the questions the literature leaves open. Chapter 3 turns those questions into measures, two hypotheses, the entry test and four further analyses. Chapter 4 describes the data and the tests that use them. Chapter 5 gives the results, first for the platforms and then for the national figures. Chapter 6 asks how far Indonesia’s recent rules reach and what the findings mean for other countries. Chapter 7 concludes and states the limits of the evidence.</w:t>
      </w:r>
    </w:p>
    <w:bookmarkEnd w:id="23"/>
    <w:bookmarkEnd w:id="24"/>
    <w:bookmarkStart w:id="29" w:name="chapter-2.-literature-review"/>
    <w:p>
      <w:pPr>
        <w:pStyle w:val="Heading1"/>
      </w:pPr>
      <w:r>
        <w:t xml:space="preserve">Chapter 2. Literature Review</w:t>
      </w:r>
    </w:p>
    <w:p>
      <w:pPr>
        <w:pStyle w:val="FirstParagraph"/>
      </w:pPr>
      <w:r>
        <w:t xml:space="preserve">Digital platforms sit between economic activity and the figures used to measure it. A platform carries a sale between a buyer and a seller. It records part of the payment as its own revenue, and it keeps a record of the whole sale. Different bodies of research study these steps. Platform economics and accounting explain why revenue is only part of each payment (Section 2.1). Official statistics explain how online sales across the country are measured (Section 2.2). Research on third-party information explains what a platform’s records can show to tax authorities (Section 2.3). Each body of research explains why the figures differ, but none measures how far they differ in practice. Section 2.4 sets out this research gap.</w:t>
      </w:r>
    </w:p>
    <w:bookmarkStart w:id="25" w:name="X2419545b11582f22f334485db35f4409c183a23"/>
    <w:p>
      <w:pPr>
        <w:pStyle w:val="Heading2"/>
      </w:pPr>
      <w:r>
        <w:t xml:space="preserve">2.1 Platform economics and revenue recognition</w:t>
      </w:r>
    </w:p>
    <w:p>
      <w:pPr>
        <w:pStyle w:val="FirstParagraph"/>
      </w:pPr>
      <w:r>
        <w:t xml:space="preserve">A platform reports two figures that describe its business: the value of the commerce it carries, and the revenue it keeps from them. Investors price that revenue: market values of internet firms track it, and share prices respond to revenue news beyond earnings news (Bowen, Davis and Rajgopal 2002; Davis 2002). Revenue is a fair guide to the commerce only if it keeps a steady share of that commerce.</w:t>
      </w:r>
    </w:p>
    <w:p>
      <w:pPr>
        <w:pStyle w:val="BodyText"/>
      </w:pPr>
      <w:r>
        <w:t xml:space="preserve">Platform economics explains why revenue is only a small share of the commerce. A platform serves two groups that need each other, such as shoppers and merchants, or riders and drivers. It sets its charges for both groups together and earns fees for arranging trades, not the value of each sale (Rochet and Tirole 2003; Armstrong 2006; Evans and Schmalensee 2016). The level of its charges and the split between the two groups are choices, so the platform can take more or less revenue from the same commerce (Rochet and Tirole 2003; Caillaud and Jullien 2003).</w:t>
      </w:r>
    </w:p>
    <w:p>
      <w:pPr>
        <w:pStyle w:val="BodyText"/>
      </w:pPr>
      <w:r>
        <w:t xml:space="preserve">Accounting rules add a second reason. Under the international standard, International Financial Reporting Standard 15 (IFRS 15), a company that only arranges a sale records its fee and not the full payment. If a rider pays 100 for a trip and the driver keeps 80, such a company records 20. Discounts and vouchers that it pays for are normally deducted from its revenue (International Accounting Standards Board 2014). So revenue can rise when a platform raises its fees or cuts its discounts, with no change in what customers buy.</w:t>
      </w:r>
    </w:p>
    <w:p>
      <w:pPr>
        <w:pStyle w:val="BodyText"/>
      </w:pPr>
      <w:r>
        <w:t xml:space="preserve">Platform economics and accounting explain why the share is small and why it can move, but they leave its actual size and movement to be measured. The pricing models were built to explain how a platform sets its charges, so they predict the direction of a change, not its size in a given market. The accounting studies asked how internet firms around 2000 chose to report revenue, not how far that revenue drifted from the commerce behind it (Bowen, Davis and Rajgopal 2002). Studies of how investors valued those firms, and how analysts forecast their revenue, relied on web traffic as their measure of activity (Trueman, Wong and Zhang 2000, 2001; Rajgopal, Venkatachalam and Kotha 2003).</w:t>
      </w:r>
    </w:p>
    <w:p>
      <w:pPr>
        <w:pStyle w:val="BodyText"/>
      </w:pPr>
      <w:r>
        <w:t xml:space="preserve">Transaction value also needs care, because each company defines it for itself. A figure of this kind loses information when its definition changes (Givoly, Li, Lourie and Nekrasov 2019). Testing whether revenue stays a fair guide needs the reported revenue and transaction value of the same platforms, over several years and on one definition. The studies reviewed here do not make that comparison, and none covers Indonesian platforms.</w:t>
      </w:r>
    </w:p>
    <w:bookmarkEnd w:id="25"/>
    <w:bookmarkStart w:id="26" w:name="measuring-the-digital-economy"/>
    <w:p>
      <w:pPr>
        <w:pStyle w:val="Heading2"/>
      </w:pPr>
      <w:r>
        <w:t xml:space="preserve">2.2 Measuring the digital economy</w:t>
      </w:r>
    </w:p>
    <w:p>
      <w:pPr>
        <w:pStyle w:val="FirstParagraph"/>
      </w:pPr>
      <w:r>
        <w:t xml:space="preserve">A country’s online commerce is larger than what platforms carry, because many sellers trade outside platforms. Several producers measure it, and each counts something different. Industry reports add up the value of goods sold through platforms (Google, Temasek and Bain 2024). Statistics offices, such as BPS in Indonesia, survey businesses about their online sales (BPS 2025a, 2025b). Central banks count electronic payments (Bank Indonesia 2025). The resulting values change with the definition used (UNCTAD 2023, 2024).</w:t>
      </w:r>
    </w:p>
    <w:p>
      <w:pPr>
        <w:pStyle w:val="BodyText"/>
      </w:pPr>
      <w:r>
        <w:t xml:space="preserve">National accounts separate the sale between a buyer and a seller from the platform’s fee, and they count only the fee as the platform’s output (Ahmad and Schreyer 2016; International Monetary Fund 2018; Organisation for Economic Co-operation and Development [OECD] 2023; European Commission et al. 2025).</w:t>
      </w:r>
    </w:p>
    <w:p>
      <w:pPr>
        <w:pStyle w:val="BodyText"/>
      </w:pPr>
      <w:r>
        <w:t xml:space="preserve">Research on measurement offers a method: test a figure against the activity it stands for, as studies of night-time lights do for national income (Henderson, Storeygard and Weil 2012). Growth in online sales can be split in the same spirit, into more sales by existing sellers and more sellers entering. Trade economists split a country’s exports in this way, into more of each good and more kinds of goods (Hummels and Klenow 2005).</w:t>
      </w:r>
    </w:p>
    <w:p>
      <w:pPr>
        <w:pStyle w:val="BodyText"/>
      </w:pPr>
      <w:r>
        <w:t xml:space="preserve">Official statistics and measurement research say what to count and how to check one figure against another. Neither follows platform figures and national figures through time in one country. The test of one figure against another has been applied to national income and night-time lights. Among the studies reviewed here, it has not been applied to platform commerce and national online sales.</w:t>
      </w:r>
    </w:p>
    <w:p>
      <w:pPr>
        <w:pStyle w:val="BodyText"/>
      </w:pPr>
      <w:r>
        <w:t xml:space="preserve">The growth split has its own difficulty, because it rests on a count of sellers. Such counts can mislead for known reasons. A change in survey design can create a break that looks like real change (van den Brakel, Smith and Compton 2008; van den Brakel, Zhang and Tam 2020). People tend to report past events as more recent than they were (Neter and Waksberg 1964). Small firms that stop are more often young firms with young owners (McKenzie and Paffhausen 2019). Published totals cannot show whether a rise in the count reflects new sellers or a wider survey, because they do not record when each seller began. That question needs the answers of the sellers themselves.</w:t>
      </w:r>
    </w:p>
    <w:bookmarkEnd w:id="26"/>
    <w:bookmarkStart w:id="27" w:name="X3ee77a008a85c18fceb22937f1808424e318f12"/>
    <w:p>
      <w:pPr>
        <w:pStyle w:val="Heading2"/>
      </w:pPr>
      <w:r>
        <w:t xml:space="preserve">2.3 Digital records and third-party information</w:t>
      </w:r>
    </w:p>
    <w:p>
      <w:pPr>
        <w:pStyle w:val="FirstParagraph"/>
      </w:pPr>
      <w:r>
        <w:t xml:space="preserve">A platform records every sale it carries: who sold what, to whom, for how much and when. Governments have begun to use these records for tax. The OECD, a group of mostly high-income countries, set out model rules under which platforms report what their sellers earn (OECD 2020). The European Union applies these rules through its DAC7 directive (European Union 2021). Indonesia goes further and requires marketplaces to collect tax from their sellers (Ministry of Finance of the Republic of Indonesia 2025).</w:t>
      </w:r>
    </w:p>
    <w:p>
      <w:pPr>
        <w:pStyle w:val="BodyText"/>
      </w:pPr>
      <w:r>
        <w:t xml:space="preserve">Tax research explains why such records matter. Reports from third parties improve compliance. In Denmark, evasion was close to zero on income that employers and banks reported, and substantial on income that taxpayers reported themselves (Kleven et al. 2011). In Chile, the paper trail of the value-added tax deters evasion, and enforcement spreads up the supply chain (Pomeranz 2015). In Brazil, rewards for asking for receipts raised the sales that firms reported (Naritomi 2019). Digital records can also hold information that conventional records lack (Berg, Burg, Gombovic and Puri 2020).</w:t>
      </w:r>
    </w:p>
    <w:p>
      <w:pPr>
        <w:pStyle w:val="BodyText"/>
      </w:pPr>
      <w:r>
        <w:t xml:space="preserve">Tax research shows that platform records are valuable where they exist. Its evidence comes from settings where a third party already sees the transaction, such as an employer paying wages or a firm buying from another firm. Online selling differs, because many sellers trade through messaging apps and social media, where no marketplace records the sale (BPS 2025a). How far a rule built on platform records can reach depends on how much selling happens on platforms. The studies reviewed here do not estimate that share for Indonesia.</w:t>
      </w:r>
    </w:p>
    <w:bookmarkEnd w:id="27"/>
    <w:bookmarkStart w:id="28" w:name="research-gap"/>
    <w:p>
      <w:pPr>
        <w:pStyle w:val="Heading2"/>
      </w:pPr>
      <w:r>
        <w:t xml:space="preserve">2.4 Research gap</w:t>
      </w:r>
    </w:p>
    <w:p>
      <w:pPr>
        <w:pStyle w:val="FirstParagraph"/>
      </w:pPr>
      <w:r>
        <w:t xml:space="preserve">The shortfalls identified in Sections 2.1 to 2.3 define the research gap, and each becomes one question for the thesis. Chapter 3 sets out the tools that answer each.</w:t>
      </w:r>
    </w:p>
    <w:p>
      <w:pPr>
        <w:numPr>
          <w:ilvl w:val="0"/>
          <w:numId w:val="1001"/>
        </w:numPr>
        <w:pStyle w:val="Compact"/>
      </w:pPr>
      <w:r>
        <w:rPr>
          <w:bCs/>
          <w:b/>
        </w:rPr>
        <w:t xml:space="preserve">How large is the difference between transaction value and revenue, and does it last?</w:t>
      </w:r>
      <w:r>
        <w:t xml:space="preserve"> </w:t>
      </w:r>
      <w:r>
        <w:t xml:space="preserve">This follows from Section 2.1. It explains why the share is small and can move, but whether reported revenue stays a fair guide to reported transaction value has not been tested, least of all for Indonesian platforms.</w:t>
      </w:r>
    </w:p>
    <w:p>
      <w:pPr>
        <w:numPr>
          <w:ilvl w:val="0"/>
          <w:numId w:val="1001"/>
        </w:numPr>
        <w:pStyle w:val="Compact"/>
      </w:pPr>
      <w:r>
        <w:rPr>
          <w:bCs/>
          <w:b/>
        </w:rPr>
        <w:t xml:space="preserve">Does the choice of figure change the conclusion about growth?</w:t>
      </w:r>
      <w:r>
        <w:t xml:space="preserve"> </w:t>
      </w:r>
      <w:r>
        <w:t xml:space="preserve">This follows from Section 2.2. It shows that figures differ, but platform and national figures have not been followed through time in one country, and published totals cannot show what a rise in the count of sellers contains.</w:t>
      </w:r>
    </w:p>
    <w:p>
      <w:pPr>
        <w:numPr>
          <w:ilvl w:val="0"/>
          <w:numId w:val="1001"/>
        </w:numPr>
        <w:pStyle w:val="Compact"/>
      </w:pPr>
      <w:r>
        <w:rPr>
          <w:bCs/>
          <w:b/>
        </w:rPr>
        <w:t xml:space="preserve">How far can rules built on platform records reach?</w:t>
      </w:r>
      <w:r>
        <w:t xml:space="preserve"> </w:t>
      </w:r>
      <w:r>
        <w:t xml:space="preserve">This follows from Section 2.3. It shows that platform records are valuable, but how much of online selling they cover has not been estimated for Indonesia.</w:t>
      </w:r>
    </w:p>
    <w:bookmarkEnd w:id="28"/>
    <w:bookmarkEnd w:id="29"/>
    <w:bookmarkStart w:id="39" w:name="chapter-3.-framework-and-hypotheses"/>
    <w:p>
      <w:pPr>
        <w:pStyle w:val="Heading1"/>
      </w:pPr>
      <w:r>
        <w:t xml:space="preserve">Chapter 3. Framework and Hypotheses</w:t>
      </w:r>
    </w:p>
    <w:p>
      <w:pPr>
        <w:pStyle w:val="FirstParagraph"/>
      </w:pPr>
      <w:r>
        <w:t xml:space="preserve">Platform activity can be observed through several figures, and these figures do not measure the same economic object. Transaction value measures the commerce a platform carries. Revenue measures the part of that commerce the platform keeps. National statistics measure online sales across all sellers, whether or not they use a platform.</w:t>
      </w:r>
    </w:p>
    <w:p>
      <w:pPr>
        <w:pStyle w:val="BodyText"/>
      </w:pPr>
      <w:r>
        <w:t xml:space="preserve">The framework tests each figure against the activity it is used to represent, as studies of night-time lights do for national income (Henderson, Storeygard and Weil 2012). It starts from the difference between the value a platform processes and the revenue it recognizes. It then asks whether that relationship stays stable over time, and whether figures from other sources give the same account of online activity. Figure 3.1 shows the structure.</w:t>
      </w:r>
    </w:p>
    <w:p>
      <w:pPr>
        <w:pStyle w:val="BodyText"/>
      </w:pPr>
      <w:r>
        <w:t xml:space="preserve">Figure 3.1 places the three quantities inside one another. Revenue sits inside platform commerce, because a platform keeps only part of each sale. Platform commerce sits inside all online commerce, because many sellers trade outside platforms. The first hypothesis, H1, tests the inner link between revenue and platform commerce. The second, H2, tests the outer link between platform commerce and national online commerce.</w:t>
      </w:r>
    </w:p>
    <w:p>
      <w:pPr>
        <w:pStyle w:val="BodyText"/>
      </w:pPr>
      <w:r>
        <w:drawing>
          <wp:inline>
            <wp:extent cx="5302908" cy="2896109"/>
            <wp:effectExtent b="0" l="0" r="0" t="0"/>
            <wp:docPr descr="" title="" id="31" name="Picture"/>
            <a:graphic>
              <a:graphicData uri="http://schemas.openxmlformats.org/drawingml/2006/picture">
                <pic:pic>
                  <pic:nvPicPr>
                    <pic:cNvPr descr="figures/fig3_1_two_links.png" id="32" name="Picture"/>
                    <pic:cNvPicPr>
                      <a:picLocks noChangeArrowheads="1" noChangeAspect="1"/>
                    </pic:cNvPicPr>
                  </pic:nvPicPr>
                  <pic:blipFill>
                    <a:blip r:embed="rId30"/>
                    <a:stretch>
                      <a:fillRect/>
                    </a:stretch>
                  </pic:blipFill>
                  <pic:spPr bwMode="auto">
                    <a:xfrm>
                      <a:off x="0" y="0"/>
                      <a:ext cx="5302908" cy="2896109"/>
                    </a:xfrm>
                    <a:prstGeom prst="rect">
                      <a:avLst/>
                    </a:prstGeom>
                    <a:noFill/>
                    <a:ln w="9525">
                      <a:noFill/>
                      <a:headEnd/>
                      <a:tailEnd/>
                    </a:ln>
                  </pic:spPr>
                </pic:pic>
              </a:graphicData>
            </a:graphic>
          </wp:inline>
        </w:drawing>
      </w:r>
    </w:p>
    <w:p>
      <w:pPr>
        <w:pStyle w:val="BodyText"/>
      </w:pPr>
      <w:r>
        <w:rPr>
          <w:bCs/>
          <w:b/>
        </w:rPr>
        <w:t xml:space="preserve">Figure 3.1. Three nested quantities and the two links.</w:t>
      </w:r>
      <w:r>
        <w:t xml:space="preserve"> </w:t>
      </w:r>
      <w:r>
        <w:t xml:space="preserve">Revenue sits inside platform commerce, which sits inside all online commerce. H1 tests the inner link and H2 the outer link.</w:t>
      </w:r>
    </w:p>
    <w:p>
      <w:pPr>
        <w:pStyle w:val="BodyText"/>
      </w:pPr>
      <w:r>
        <w:rPr>
          <w:iCs/>
          <w:i/>
        </w:rPr>
        <w:t xml:space="preserve">Note:</w:t>
      </w:r>
      <w:r>
        <w:t xml:space="preserve"> </w:t>
      </w:r>
      <w:r>
        <w:t xml:space="preserve">The figure is illustrative, and the sizes are not to scale. The platform circle differs from the marketplace channel in BPS’s survey of online sellers.</w:t>
      </w:r>
    </w:p>
    <w:p>
      <w:pPr>
        <w:pStyle w:val="BodyText"/>
      </w:pPr>
      <w:r>
        <w:t xml:space="preserve">The research question asks how much activity remains invisible when platforms are measured through revenue, and when that choice changes the conclusion about growth. The literature leaves three parts of it open (Section 2.4). The framework answers each with its own tools:</w:t>
      </w:r>
    </w:p>
    <w:p>
      <w:pPr>
        <w:numPr>
          <w:ilvl w:val="0"/>
          <w:numId w:val="1002"/>
        </w:numPr>
        <w:pStyle w:val="Compact"/>
      </w:pPr>
      <w:r>
        <w:rPr>
          <w:bCs/>
          <w:b/>
        </w:rPr>
        <w:t xml:space="preserve">How large the difference between transaction value and revenue is, and whether it lasts:</w:t>
      </w:r>
      <w:r>
        <w:t xml:space="preserve"> </w:t>
      </w:r>
      <w:r>
        <w:t xml:space="preserve">three measures, direct tests of what changes them, and H1 (Sections 3.2 to 3.4).</w:t>
      </w:r>
    </w:p>
    <w:p>
      <w:pPr>
        <w:numPr>
          <w:ilvl w:val="0"/>
          <w:numId w:val="1002"/>
        </w:numPr>
        <w:pStyle w:val="Compact"/>
      </w:pPr>
      <w:r>
        <w:rPr>
          <w:bCs/>
          <w:b/>
        </w:rPr>
        <w:t xml:space="preserve">Whether the choice of figure changes the conclusion about growth:</w:t>
      </w:r>
      <w:r>
        <w:t xml:space="preserve"> </w:t>
      </w:r>
      <w:r>
        <w:t xml:space="preserve">H2, the entry test and a comparison of national figures (Sections 3.4 to 3.6).</w:t>
      </w:r>
    </w:p>
    <w:p>
      <w:pPr>
        <w:numPr>
          <w:ilvl w:val="0"/>
          <w:numId w:val="1002"/>
        </w:numPr>
        <w:pStyle w:val="Compact"/>
      </w:pPr>
      <w:r>
        <w:rPr>
          <w:bCs/>
          <w:b/>
        </w:rPr>
        <w:t xml:space="preserve">How far rules built on platform records reach:</w:t>
      </w:r>
      <w:r>
        <w:t xml:space="preserve"> </w:t>
      </w:r>
      <w:r>
        <w:t xml:space="preserve">how online selling divides between marketplaces and other channels (Section 3.6).</w:t>
      </w:r>
    </w:p>
    <w:p>
      <w:pPr>
        <w:pStyle w:val="FirstParagraph"/>
      </w:pPr>
      <w:r>
        <w:t xml:space="preserve">The three objectives set in Chapter 1 sit inside this map. Measuring the wedge and tracing its large moves serve the first question, and comparing platform figures with national and payment figures serves the second. The third question is answered by a further analysis.</w:t>
      </w:r>
    </w:p>
    <w:bookmarkStart w:id="33" w:name="terms-and-rules-for-comparison"/>
    <w:p>
      <w:pPr>
        <w:pStyle w:val="Heading2"/>
      </w:pPr>
      <w:r>
        <w:t xml:space="preserve">3.1 Terms and rules for comparison</w:t>
      </w:r>
    </w:p>
    <w:p>
      <w:pPr>
        <w:pStyle w:val="FirstParagraph"/>
      </w:pPr>
      <w:r>
        <w:t xml:space="preserve">Six terms recur throughout the thesis. Transaction value, V, is everything bought through a platform in a period, also called the commerce the platform carries. Companies call it gross merchandise value (GMV), gross transaction value (GTV) or total payment volume (TPV); the thesis treats these as one measure and notes where a company’s scope differs. Revenue, R, is what the platform recognizes as its own income in its accounts. The take rate, m, is revenue divided by transaction value: the share of each sale that the platform keeps. Customer incentives are the discounts, vouchers and other promotions that a platform pays for. Accounting rules normally deduct them from revenue, and Tokopedia reports the deduction as a separate line.</w:t>
      </w:r>
    </w:p>
    <w:p>
      <w:pPr>
        <w:pStyle w:val="BodyText"/>
      </w:pPr>
      <w:r>
        <w:t xml:space="preserve">An online seller is a business that BPS counts as selling online; the text also calls it a seller or a business. The count of online sellers is BPS’s estimate of how many there are in a year. First-time entry means that a seller began selling online in the year being measured. The measures built from these terms are defined in Section 3.2, and Appendix A lists every variable with its symbol, definition and source.</w:t>
      </w:r>
    </w:p>
    <w:p>
      <w:pPr>
        <w:pStyle w:val="BodyText"/>
      </w:pPr>
      <w:r>
        <w:t xml:space="preserve">Three rules decide which figures can be set against each other. First, transaction value and revenue are paired only when they refer to the same period and the same business. A take rate built from figures of different scope would measure the mismatch, not the platform.</w:t>
      </w:r>
    </w:p>
    <w:p>
      <w:pPr>
        <w:pStyle w:val="BodyText"/>
      </w:pPr>
      <w:r>
        <w:t xml:space="preserve">Second, each platform is compared only with itself from one year to the next. Companies define transaction value in their own ways, and a disclosed measure tells less when the way it is computed changes (Givoly, Li, Lourie and Nekrasov 2019). Within one company the definition cancels out of the yearly change, as long as the company keeps it.</w:t>
      </w:r>
    </w:p>
    <w:p>
      <w:pPr>
        <w:pStyle w:val="BodyText"/>
      </w:pPr>
      <w:r>
        <w:t xml:space="preserve">Third, companies that mainly sell goods themselves are kept out. Such a company reports the whole sale as revenue, while a platform that only arranges the sale reports its fee (International Accounting Standards Board 2014). The two business models differ in kind (Hagiu and Wright 2015), and their take rates cannot be compared.</w:t>
      </w:r>
    </w:p>
    <w:p>
      <w:pPr>
        <w:pStyle w:val="BodyText"/>
      </w:pPr>
      <w:r>
        <w:t xml:space="preserve">Every figure also keeps a label for where it comes from. Figures that companies report are kept apart from figures that the thesis constructs, and both are kept apart from national statistics and payment figures. Chapter 4 applies these rules platform by platform.</w:t>
      </w:r>
    </w:p>
    <w:bookmarkEnd w:id="33"/>
    <w:bookmarkStart w:id="34" w:name="three-measures"/>
    <w:p>
      <w:pPr>
        <w:pStyle w:val="Heading2"/>
      </w:pPr>
      <w:r>
        <w:t xml:space="preserve">3.2 Three measures</w:t>
      </w:r>
    </w:p>
    <w:p>
      <w:pPr>
        <w:pStyle w:val="FirstParagraph"/>
      </w:pPr>
      <w:r>
        <w:t xml:space="preserve">The invisible wedge measures, in currency, the part of transaction value that lies outside a platform’s revenue:</w:t>
      </w:r>
    </w:p>
    <w:p>
      <w:pPr>
        <w:pStyle w:val="SourceCode"/>
      </w:pPr>
      <w:r>
        <w:rPr>
          <w:rStyle w:val="VerbatimChar"/>
        </w:rPr>
        <w:t xml:space="preserve">W_it = V_it − R_it                                   (1)</w:t>
      </w:r>
    </w:p>
    <w:p>
      <w:pPr>
        <w:pStyle w:val="FirstParagraph"/>
      </w:pPr>
      <w:r>
        <w:t xml:space="preserve">where V_it is the transaction value of platform i in year t and R_it is the revenue it recognizes for the same year and business. The wedge is not an accounting error, because both amounts may appear in the same company report. It is a measure of transaction value, not of income or value added, so it does not measure missing output.</w:t>
      </w:r>
    </w:p>
    <w:p>
      <w:pPr>
        <w:pStyle w:val="BodyText"/>
      </w:pPr>
      <w:r>
        <w:t xml:space="preserve">To compare platforms of different size, the thesis also expresses the wedge relative to revenue, as the ecosystem ratio:</w:t>
      </w:r>
    </w:p>
    <w:p>
      <w:pPr>
        <w:pStyle w:val="SourceCode"/>
      </w:pPr>
      <w:r>
        <w:rPr>
          <w:rStyle w:val="VerbatimChar"/>
        </w:rPr>
        <w:t xml:space="preserve">E_it = W_it / R_it = 1 / m_it − 1                     (2)</w:t>
      </w:r>
    </w:p>
    <w:p>
      <w:pPr>
        <w:pStyle w:val="FirstParagraph"/>
      </w:pPr>
      <w:r>
        <w:t xml:space="preserve">where m_it = R_it / V_it is the take rate, the share of each sale that the platform keeps. The ecosystem ratio is the author’s own measure, and it restates the take rate. An ecosystem ratio of 9 means that 9 units of transaction value lie outside revenue for every unit recorded as revenue. Equivalently, the platform keeps 10 percent of each sale. Table 5.1 applies the measures to three platforms in Indonesia in 2023, where the wedge is about US$40 billion and the ecosystem ratio about 13.</w:t>
      </w:r>
    </w:p>
    <w:p>
      <w:pPr>
        <w:pStyle w:val="BodyText"/>
      </w:pPr>
      <w:r>
        <w:t xml:space="preserve">A single ratio does not show whether the relationship holds over time, so the thesis defines growth divergence:</w:t>
      </w:r>
    </w:p>
    <w:p>
      <w:pPr>
        <w:pStyle w:val="SourceCode"/>
      </w:pPr>
      <w:r>
        <w:rPr>
          <w:rStyle w:val="VerbatimChar"/>
        </w:rPr>
        <w:t xml:space="preserve">D_it = g(R_it) − g(V_it)                              (3)</w:t>
      </w:r>
    </w:p>
    <w:p>
      <w:pPr>
        <w:pStyle w:val="FirstParagraph"/>
      </w:pPr>
      <w:r>
        <w:t xml:space="preserve">where g(X) is the growth of X from one year to the next, as a share of the first year. A positive D means that revenue grew faster than transaction value, so the take rate rose. A negative D means the reverse. If revenue were a stable proxy for transaction value, D would stay close to zero. Revenue equals the take rate times transaction value, so D can also be written with the take rate alone:</w:t>
      </w:r>
    </w:p>
    <w:p>
      <w:pPr>
        <w:pStyle w:val="SourceCode"/>
      </w:pPr>
      <w:r>
        <w:rPr>
          <w:rStyle w:val="VerbatimChar"/>
        </w:rPr>
        <w:t xml:space="preserve">D_it = (1 + g(V_it)) × (m_it − m_i,t−1) / m_i,t−1      (4)</w:t>
      </w:r>
    </w:p>
    <w:p>
      <w:pPr>
        <w:pStyle w:val="FirstParagraph"/>
      </w:pPr>
      <w:r>
        <w:t xml:space="preserve">where m_i,t−1 is the take rate in the earlier year and m_it the take rate in the later year. If the take rate is steady, D is zero and revenue grows exactly as fast as transaction value.</w:t>
      </w:r>
    </w:p>
    <w:p>
      <w:pPr>
        <w:pStyle w:val="BodyText"/>
      </w:pPr>
      <w:r>
        <w:t xml:space="preserve">Tokopedia between 2022 and 2023 illustrates the three measures. Its take rate rose from about 1.5 to about 2.5 percent, so it kept about two thirds more of each sale. Its transaction value fell by about 9 percent and its revenue rose by about 53 percent, so D was 0.91 × 0.68 = 0.62, or 62 percentage points. Its wedge stayed at about 98 percent of transaction value and fell with it, by about 10 percent.</w:t>
      </w:r>
    </w:p>
    <w:p>
      <w:pPr>
        <w:pStyle w:val="BodyText"/>
      </w:pPr>
      <w:r>
        <w:t xml:space="preserve">The three measures do different jobs. The wedge gives the size of what revenue leaves out, and at a marketplace that keeps a few percent of each sale it is almost all of transaction value. The ecosystem ratio expresses that size relative to revenue. Growth divergence carries the central test: whether revenue and transaction value keep the same relationship from year to year.</w:t>
      </w:r>
    </w:p>
    <w:p>
      <w:pPr>
        <w:pStyle w:val="BodyText"/>
      </w:pPr>
      <w:r>
        <w:t xml:space="preserve">The ecosystem ratio also governs how far a change in the take rate moves revenue growth. Equation (4) shows that D is the change in the take rate divided by its starting level.</w:t>
      </w:r>
    </w:p>
    <w:p>
      <w:pPr>
        <w:pStyle w:val="BodyText"/>
      </w:pPr>
      <w:r>
        <w:t xml:space="preserve">A platform that keeps 2 percent of each sale has an ecosystem ratio of 49. If its transaction value is flat, a rise in its take rate to 3 percent raises its revenue by 50 percent. A platform that keeps 17 percent has an ecosystem ratio near 5, and a rise to 18 percent raises its revenue by about 6 percent. So a large ecosystem ratio means that ordinary changes in fees or discounts can produce large swings in reported revenue growth.</w:t>
      </w:r>
    </w:p>
    <w:p>
      <w:pPr>
        <w:pStyle w:val="BodyText"/>
      </w:pPr>
      <w:r>
        <w:t xml:space="preserve">The take rate itself has two parts:</w:t>
      </w:r>
    </w:p>
    <w:p>
      <w:pPr>
        <w:pStyle w:val="SourceCode"/>
      </w:pPr>
      <w:r>
        <w:rPr>
          <w:rStyle w:val="VerbatimChar"/>
        </w:rPr>
        <w:t xml:space="preserve">m_it = f_it − s_it                                    (5)</w:t>
      </w:r>
    </w:p>
    <w:p>
      <w:pPr>
        <w:pStyle w:val="FirstParagraph"/>
      </w:pPr>
      <w:r>
        <w:t xml:space="preserve">where f_it is the fee rate and s_it the incentive rate, both measured against transaction value. A take rate can rise because a platform charges more or because it spends less on discounts and vouchers. Accounting rules normally deduct such incentives from revenue (International Accounting Standards Board 2014). So a cut in incentives raises revenue even when no fee changes.</w:t>
      </w:r>
    </w:p>
    <w:p>
      <w:pPr>
        <w:pStyle w:val="BodyText"/>
      </w:pPr>
      <w:r>
        <w:t xml:space="preserve">Equation (5) also shows where a rule acts. A cap on commissions acts on the fee rate, and a limit on discounts acts on the incentive rate. Chapter 6 sets Indonesia’s recent rules against these parts of the take rate.</w:t>
      </w:r>
    </w:p>
    <w:bookmarkEnd w:id="34"/>
    <w:bookmarkStart w:id="35" w:name="Xf5d189a48112b2a5ff2359da6a7450ee2226bce"/>
    <w:p>
      <w:pPr>
        <w:pStyle w:val="Heading2"/>
      </w:pPr>
      <w:r>
        <w:t xml:space="preserve">3.3 What changes the wedge and the ecosystem ratio</w:t>
      </w:r>
    </w:p>
    <w:p>
      <w:pPr>
        <w:pStyle w:val="FirstParagraph"/>
      </w:pPr>
      <w:r>
        <w:t xml:space="preserve">Equations (1) to (4) define the wedge and the ecosystem ratio. They do not say what moves them. Two direct tests do, and Chapter 5 reports both. The first tests whether revenue grows in proportion to transaction value, the claim of H1. The second asks what explains the size of the wedge and of the ecosystem ratio across platforms.</w:t>
      </w:r>
    </w:p>
    <w:p>
      <w:pPr>
        <w:pStyle w:val="BodyText"/>
      </w:pPr>
      <w:r>
        <w:t xml:space="preserve">Revenue grows in proportion to transaction value when a 1 percent rise in transaction value comes with a 1 percent rise in revenue. That claim can be tested in growth rates, with g(·) as defined above:</w:t>
      </w:r>
    </w:p>
    <w:p>
      <w:pPr>
        <w:pStyle w:val="SourceCode"/>
      </w:pPr>
      <w:r>
        <w:rPr>
          <w:rStyle w:val="VerbatimChar"/>
        </w:rPr>
        <w:t xml:space="preserve">g(R_it) = a + b g(V_it) + c Indonesia_i + d (Indonesia_i × g(V_it)) + u_it        (6)</w:t>
      </w:r>
    </w:p>
    <w:p>
      <w:pPr>
        <w:pStyle w:val="FirstParagraph"/>
      </w:pPr>
      <w:r>
        <w:t xml:space="preserve">where Indonesia_i equals one for the Indonesian and regional platforms and zero for the foreign ones. If revenue is proportional to transaction value, b equals 1, a is close to zero, and the group does not matter, so c and d are zero. A slope below 1 in the Indonesian and regional group would mean that revenue moved with the platform’s pricing and not with the commerce. The correlation between the two growth rates, which Chapter 5 reports for each group, gives the same test in one number.</w:t>
      </w:r>
    </w:p>
    <w:p>
      <w:pPr>
        <w:pStyle w:val="BodyText"/>
      </w:pPr>
      <w:r>
        <w:t xml:space="preserve">The second test regresses the wedge and the ecosystem ratio on the features of a platform and of its home market:</w:t>
      </w:r>
    </w:p>
    <w:p>
      <w:pPr>
        <w:pStyle w:val="SourceCode"/>
      </w:pPr>
      <w:r>
        <w:rPr>
          <w:rStyle w:val="VerbatimChar"/>
        </w:rPr>
        <w:t xml:space="preserve">Y_it = α + β1 Indonesia_i + β2 ln(1 + Listed_it) + β3 ln(Assets_it) + β4′ Type_i + γ′ Macro_it + δ_t + ε_it        (7)</w:t>
      </w:r>
    </w:p>
    <w:p>
      <w:pPr>
        <w:pStyle w:val="FirstParagraph"/>
      </w:pPr>
      <w:r>
        <w:t xml:space="preserve">where Y_it is the natural logarithm of the wedge in US dollars, or the ecosystem ratio. Listed_it is the number of years since the platform listed on a stock exchange. Assets_it is its total assets in US dollars, which measure size without using transaction value, because transaction value is part of the wedge itself. Type_i marks the kind of platform: marketplace, which is the base, on-demand, travel, freelance or resale. Macro_it holds four measures of the platform’s home market: growth in gross domestic product (GDP), consumer-price inflation, growth in household spending and the central bank’s policy rate. The year effects δ_t remove what all platforms share in a year.</w:t>
      </w:r>
    </w:p>
    <w:p>
      <w:pPr>
        <w:pStyle w:val="BodyText"/>
      </w:pPr>
      <w:r>
        <w:t xml:space="preserve">The take rate and its parts do not appear on the right-hand side. The ecosystem ratio equals one divided by the take rate, minus one, so a regression of the ratio on the take rate would restate an identity and show nothing. Chapter 4 describes the data, the variables and the standard errors.</w:t>
      </w:r>
    </w:p>
    <w:bookmarkEnd w:id="35"/>
    <w:bookmarkStart w:id="36" w:name="hypotheses"/>
    <w:p>
      <w:pPr>
        <w:pStyle w:val="Heading2"/>
      </w:pPr>
      <w:r>
        <w:t xml:space="preserve">3.4 Hypotheses</w:t>
      </w:r>
    </w:p>
    <w:p>
      <w:pPr>
        <w:pStyle w:val="FirstParagraph"/>
      </w:pPr>
      <w:r>
        <w:t xml:space="preserve">Two hypotheses follow from the research question. H1 asks whether revenue follows the commerce carried within a platform. H2 asks where national online growth comes from, which decides whether the commerce on platforms can stand for national online commerce. Together they test the two links in Figure 3.1. Each hypothesis, and the entry test of Section 3.5, comes with its main test and with the result that would count against it.</w:t>
      </w:r>
    </w:p>
    <w:p>
      <w:pPr>
        <w:pStyle w:val="BodyText"/>
      </w:pPr>
      <w:r>
        <w:t xml:space="preserve">The share of transaction value that a platform keeps is not fixed. A platform sets its charges on both sides of the market together, and both the level and the split are choices (Rochet and Tirole 2003). Platforms often hold down the price to one side to draw it in. They can raise that price once both sides have joined (Evans and Schmalensee 2016).</w:t>
      </w:r>
    </w:p>
    <w:p>
      <w:pPr>
        <w:pStyle w:val="BodyText"/>
      </w:pPr>
      <w:r>
        <w:t xml:space="preserve">Accounting rules move the share in two ways. The discounts a platform pays for come out of its revenue. A platform that sells goods itself, a different business model (Hagiu and Wright 2015), records more of each sale than one that only arranges it (International Accounting Standards Board 2014). Both can change as a platform changes its business model or scope.</w:t>
      </w:r>
    </w:p>
    <w:p>
      <w:pPr>
        <w:pStyle w:val="BodyText"/>
      </w:pPr>
      <w:r>
        <w:t xml:space="preserve">Revenue follows transaction value only while the take rate holds steady, that is, while D stays near zero. In that case revenue would be a workable proxy for the commerce a platform carries, and the ecosystem ratio would not change. The first hypothesis states this case.</w:t>
      </w:r>
    </w:p>
    <w:p>
      <w:pPr>
        <w:pStyle w:val="BlockText"/>
      </w:pPr>
      <w:r>
        <w:rPr>
          <w:bCs/>
          <w:b/>
        </w:rPr>
        <w:t xml:space="preserve">H1.</w:t>
      </w:r>
      <w:r>
        <w:t xml:space="preserve"> </w:t>
      </w:r>
      <w:r>
        <w:t xml:space="preserve">Transaction value and revenue recognized by the same platform grow in proportion over time.</w:t>
      </w:r>
    </w:p>
    <w:p>
      <w:pPr>
        <w:pStyle w:val="FirstParagraph"/>
      </w:pPr>
      <w:r>
        <w:t xml:space="preserve">H1 is tested in two ways. The first is equation (6): revenue growth is regressed on transaction value growth, and H1 holds in a group if the slope is 1. The second compares the size of yearly changes in the take rate, measured as simple percentage changes, between two groups. One group is the Indonesian and regional platforms. The other is listed platforms abroad, where revenue and transaction value broadly move together. A slope far below 1 in Indonesia, or changes far larger in Indonesia than abroad, would count against H1. Chapter 4 describes the two groups and the tests.</w:t>
      </w:r>
    </w:p>
    <w:p>
      <w:pPr>
        <w:pStyle w:val="BodyText"/>
      </w:pPr>
      <w:r>
        <w:t xml:space="preserve">National e-commerce value can grow in two ways. Existing businesses can sell more, which is the intensive margin. More businesses can sell online, which is the extensive margin.</w:t>
      </w:r>
    </w:p>
    <w:p>
      <w:pPr>
        <w:pStyle w:val="BodyText"/>
      </w:pPr>
      <w:r>
        <w:t xml:space="preserve">The distinction matters for measurement. Growth driven by new sellers can take place in channels that platform accounts do not cover, such as social media and instant messaging, which BPS reports are widely used (BPS 2025a). Platform figures can then miss that growth even when every platform reports accurately.</w:t>
      </w:r>
    </w:p>
    <w:p>
      <w:pPr>
        <w:pStyle w:val="BodyText"/>
      </w:pPr>
      <w:r>
        <w:t xml:space="preserve">BPS publishes both the number of businesses selling online, N, and their total online sales value, Y. Since Y equals N times the sales per business, its growth splits in two:</w:t>
      </w:r>
    </w:p>
    <w:p>
      <w:pPr>
        <w:pStyle w:val="SourceCode"/>
      </w:pPr>
      <w:r>
        <w:rPr>
          <w:rStyle w:val="VerbatimChar"/>
        </w:rPr>
        <w:t xml:space="preserve">1 + g(Y_t) = (1 + g(N_t)) × (1 + g(Y_t / N_t))                   (8)</w:t>
      </w:r>
    </w:p>
    <w:p>
      <w:pPr>
        <w:pStyle w:val="FirstParagraph"/>
      </w:pPr>
      <w:r>
        <w:t xml:space="preserve">where g(N) is the growth in the number of businesses, the extensive margin, and g(Y/N) the growth in sales per business, the intensive margin. H2 holds if g(N) is larger than g(Y/N), which is the same as saying that more businesses account for most of the growth. The second hypothesis states the case in which more businesses drive growth.</w:t>
      </w:r>
    </w:p>
    <w:p>
      <w:pPr>
        <w:pStyle w:val="BlockText"/>
      </w:pPr>
      <w:r>
        <w:rPr>
          <w:bCs/>
          <w:b/>
        </w:rPr>
        <w:t xml:space="preserve">H2.</w:t>
      </w:r>
      <w:r>
        <w:t xml:space="preserve"> </w:t>
      </w:r>
      <w:r>
        <w:t xml:space="preserve">The growth of national e-commerce value comes mainly from more businesses selling online, and less from higher sales per business.</w:t>
      </w:r>
    </w:p>
    <w:p>
      <w:pPr>
        <w:pStyle w:val="FirstParagraph"/>
      </w:pPr>
      <w:r>
        <w:t xml:space="preserve">The H2 split is arithmetic. It does not assign new businesses to channels, and it does not show whether the businesses in the count are new.</w:t>
      </w:r>
    </w:p>
    <w:bookmarkEnd w:id="36"/>
    <w:bookmarkStart w:id="37" w:name="the-entry-test"/>
    <w:p>
      <w:pPr>
        <w:pStyle w:val="Heading2"/>
      </w:pPr>
      <w:r>
        <w:t xml:space="preserve">3.5 The entry test</w:t>
      </w:r>
    </w:p>
    <w:p>
      <w:pPr>
        <w:pStyle w:val="FirstParagraph"/>
      </w:pPr>
      <w:r>
        <w:t xml:space="preserve">H2 rests on BPS’s count of businesses selling online, and a rise in that count can mean two different things. Either more businesses started selling, or the survey reached businesses that were already selling. A change in how a survey finds its respondents can create a break in a series that looks like real change (van den Brakel, Smith and Compton 2008).</w:t>
      </w:r>
    </w:p>
    <w:p>
      <w:pPr>
        <w:pStyle w:val="BodyText"/>
      </w:pPr>
      <w:r>
        <w:t xml:space="preserve">The published figures cannot tell the two apart. The survey can, because it asks every seller in which year it began selling online. The thesis checks what the count contains with a test written down before the survey files were opened.</w:t>
      </w:r>
    </w:p>
    <w:p>
      <w:pPr>
        <w:pStyle w:val="BlockText"/>
      </w:pPr>
      <w:r>
        <w:rPr>
          <w:bCs/>
          <w:b/>
        </w:rPr>
        <w:t xml:space="preserve">Entry test.</w:t>
      </w:r>
      <w:r>
        <w:t xml:space="preserve"> </w:t>
      </w:r>
      <w:r>
        <w:t xml:space="preserve">In BPS’s survey of online sellers for 2023, at least 21.5 percent of online sellers must report that they began selling online in 2023.</w:t>
      </w:r>
    </w:p>
    <w:p>
      <w:pPr>
        <w:pStyle w:val="FirstParagraph"/>
      </w:pPr>
      <w:r>
        <w:t xml:space="preserve">The 21.5 percent threshold comes from arithmetic. The published count of online sellers rose by 27.4 percent in 2023. Suppose every extra seller was new and no seller stopped. Then for every 100 sellers a year earlier there were 127.4, and 27.4 of those were new. New sellers would make up 21.5 percent of all sellers, which is 27.4 divided by 127.4.</w:t>
      </w:r>
    </w:p>
    <w:p>
      <w:pPr>
        <w:pStyle w:val="BodyText"/>
      </w:pPr>
      <w:r>
        <w:t xml:space="preserve">Sellers who stopped would have to be replaced as well, which only raises the share needed. The threshold is the smallest share of new sellers that can produce the rise. The test does not test H2 itself. It tests what</w:t>
      </w:r>
      <w:r>
        <w:t xml:space="preserve"> </w:t>
      </w:r>
      <w:r>
        <w:t xml:space="preserve">“</w:t>
      </w:r>
      <w:r>
        <w:t xml:space="preserve">more businesses</w:t>
      </w:r>
      <w:r>
        <w:t xml:space="preserve">”</w:t>
      </w:r>
      <w:r>
        <w:t xml:space="preserve"> </w:t>
      </w:r>
      <w:r>
        <w:t xml:space="preserve">means.</w:t>
      </w:r>
    </w:p>
    <w:p>
      <w:pPr>
        <w:pStyle w:val="BodyText"/>
      </w:pPr>
      <w:r>
        <w:t xml:space="preserve">Sellers’ memory works in favour of passing the test, as Section 2.2 noted: a seller who began in 2022 but reports 2023 raises the share of new sellers. Recall error of this kind makes the threshold easier to reach, so a share below it is a cautious finding.</w:t>
      </w:r>
    </w:p>
    <w:p>
      <w:pPr>
        <w:pStyle w:val="BodyText"/>
      </w:pPr>
      <w:r>
        <w:t xml:space="preserve">If the share of new sellers falls short, part of the rise is something other than first-time entry. Two readings are open. The survey may have reached more of the sellers who were already there. Or sellers may have come back after a pause, since a returning seller keeps an old start year. The age of the sellers behind the rise bears on the second reading, because small firms that stop are more often young (Section 2.2). Chapter 5 weighs the two readings with that evidence.</w:t>
      </w:r>
    </w:p>
    <w:bookmarkEnd w:id="37"/>
    <w:bookmarkStart w:id="38" w:name="further-analyses"/>
    <w:p>
      <w:pPr>
        <w:pStyle w:val="Heading2"/>
      </w:pPr>
      <w:r>
        <w:t xml:space="preserve">3.6 Further analyses</w:t>
      </w:r>
    </w:p>
    <w:p>
      <w:pPr>
        <w:pStyle w:val="FirstParagraph"/>
      </w:pPr>
      <w:r>
        <w:t xml:space="preserve">Four further analyses complete the framework without forming hypotheses of their own. Each answers a part of the research question that H1, H2 and the entry test leave open. They are the tracing of large movements, the market values of listed platforms, the channels and reach of platform records, and the comparison of national figures.</w:t>
      </w:r>
    </w:p>
    <w:p>
      <w:pPr>
        <w:pStyle w:val="BodyText"/>
      </w:pPr>
      <w:r>
        <w:t xml:space="preserve">Tracing large movements asks what moved revenue when it parted from transaction value. Wherever H1 finds a large change in the take rate, the thesis divides the change in revenue into more commerce, higher fees and lower incentives, using company reports (Appendix B). It also reads the reports for changes in the mix of businesses and in reporting scope.</w:t>
      </w:r>
    </w:p>
    <w:p>
      <w:pPr>
        <w:pStyle w:val="BodyText"/>
      </w:pPr>
      <w:r>
        <w:t xml:space="preserve">The market-value analysis asks whether investors, who price revenue (Section 2.1), treat its two sources alike. Equation (4) shows that revenue growth has two sources: growth in transaction value and a change in the take rate.</w:t>
      </w:r>
    </w:p>
    <w:p>
      <w:pPr>
        <w:pStyle w:val="BodyText"/>
      </w:pPr>
      <w:r>
        <w:t xml:space="preserve">The two sources of growth need not be worth the same. Growth from the take rate has a limit, because a platform cannot raise its share of each sale without end. A higher price to one side of a platform can also reduce how much that side uses it (Rochet and Tirole 2003).</w:t>
      </w:r>
    </w:p>
    <w:p>
      <w:pPr>
        <w:pStyle w:val="BodyText"/>
      </w:pPr>
      <w:r>
        <w:t xml:space="preserve">The thesis relates the yearly change in a platform’s market value, MV, to the two sources of revenue growth:</w:t>
      </w:r>
    </w:p>
    <w:p>
      <w:pPr>
        <w:pStyle w:val="SourceCode"/>
      </w:pPr>
      <w:r>
        <w:rPr>
          <w:rStyle w:val="VerbatimChar"/>
        </w:rPr>
        <w:t xml:space="preserve">Δln MV_it = β_V Δln V_it + β_m Δln m_it + year effect + error      (9)</w:t>
      </w:r>
    </w:p>
    <w:p>
      <w:pPr>
        <w:pStyle w:val="FirstParagraph"/>
      </w:pPr>
      <w:r>
        <w:t xml:space="preserve">where β_V shows how market value moves with transaction value, and β_m how it moves with the take rate. Two predictions were written down before the market values were collected. The first is that market value moves with transaction value, so β_V is positive. The second is that markets value growth from more commerce more than growth from a higher take rate, so β_V is larger than β_m. The predictions were registered with changes measured in logs, and the specification is kept as registered.</w:t>
      </w:r>
    </w:p>
    <w:p>
      <w:pPr>
        <w:pStyle w:val="BodyText"/>
      </w:pPr>
      <w:r>
        <w:t xml:space="preserve">The channel analysis answers the third question of Section 2.4. A rule built on platform records reaches only the sellers whose sales pass through a platform. Its reach depends on how online selling divides between marketplaces and channels that no marketplace records, such as messaging apps and social media. The thesis measures that division by sellers and by sales value. It also counts the marketplace sellers who may be large enough to fall under the marketplace tax.</w:t>
      </w:r>
    </w:p>
    <w:p>
      <w:pPr>
        <w:pStyle w:val="BodyText"/>
      </w:pPr>
      <w:r>
        <w:t xml:space="preserve">Record keeping is the second part of this analysis. The thesis compares how often marketplace sellers and other sellers keep financial statements. The comparison bears on the information that platform records can add.</w:t>
      </w:r>
    </w:p>
    <w:p>
      <w:pPr>
        <w:pStyle w:val="BodyText"/>
      </w:pPr>
      <w:r>
        <w:t xml:space="preserve">The comparison of national figures extends the outer link in Figure 3.1. Platform reports, BPS’s survey, Bank Indonesia’s statistics and industry estimates count different things.</w:t>
      </w:r>
    </w:p>
    <w:p>
      <w:pPr>
        <w:pStyle w:val="BodyText"/>
      </w:pPr>
      <w:r>
        <w:t xml:space="preserve">If two national figures move in opposite directions in one year, the conclusion about growth depends on the figure chosen. The thesis compares growth rates, each in its own unit, and levels only after reconciling what each source covers. Household spending is a further point of comparison.</w:t>
      </w:r>
    </w:p>
    <w:bookmarkEnd w:id="38"/>
    <w:bookmarkEnd w:id="39"/>
    <w:bookmarkStart w:id="51" w:name="chapter-4.-data-and-methods"/>
    <w:p>
      <w:pPr>
        <w:pStyle w:val="Heading1"/>
      </w:pPr>
      <w:r>
        <w:t xml:space="preserve">Chapter 4. Data and Methods</w:t>
      </w:r>
    </w:p>
    <w:p>
      <w:pPr>
        <w:pStyle w:val="FirstParagraph"/>
      </w:pPr>
      <w:r>
        <w:t xml:space="preserve">The figures this thesis compares come from sources that were never designed to be read together. Platforms publish in their own formats, and the answers of individual sellers are released only under a data-use agreement. The methods in this chapter are built around these conditions.</w:t>
      </w:r>
    </w:p>
    <w:p>
      <w:pPr>
        <w:pStyle w:val="BodyText"/>
      </w:pPr>
      <w:r>
        <w:t xml:space="preserve">On the platform side, the thesis reads revenue and transaction value from annual reports, audited statements and earnings releases. The extraction tables keep the source file and the quoted passage beside every value. The Indonesian platforms are three online marketplaces, Tokopedia, Bukalapak and Blibli, and GoTo, the group that runs the Gojek app for rides and deliveries. GoTo also controlled Tokopedia until 2024 and still holds a stake in it. Grab, a Singapore company that runs rides and deliveries across Southeast Asia, completes the group. Sea, also based in Singapore, owns the Shopee marketplace and is read with the foreign platforms (Section 4.1). Where a platform does not report Indonesia alone, as with Shopee and Grab, the thesis states what it derives or borrows and labels it.</w:t>
      </w:r>
    </w:p>
    <w:p>
      <w:pPr>
        <w:pStyle w:val="BodyText"/>
      </w:pPr>
      <w:r>
        <w:t xml:space="preserve">The national side rests on BPS’s survey of online sellers. BPS publishes a few totals, and the thesis obtained the answers behind them for three survey rounds, which show when each seller began selling online and how much it sold. The central bank’s own figure has no published method, so it serves only as a point of comparison.</w:t>
      </w:r>
    </w:p>
    <w:p>
      <w:pPr>
        <w:pStyle w:val="BodyText"/>
      </w:pPr>
      <w:r>
        <w:t xml:space="preserve">Setting the two sides against each other for one country is what makes the tests possible. Indonesia allows it. Five platform series report revenue and transaction value in the same year, and three of them report what they pay out in incentives. The survey asks every online seller when it began. The tests are built to ask only what these sources can answer, and each limit is stated where it applies.</w:t>
      </w:r>
    </w:p>
    <w:p>
      <w:pPr>
        <w:pStyle w:val="BodyText"/>
      </w:pPr>
      <w:r>
        <w:t xml:space="preserve">The chapter describes the evidence on each side and the tests that use it, platforms first (Sections 4.1 to 4.5) and then the survey (Sections 4.6 to 4.8). It ends with the comparison of national figures and with how every number is labelled and traced (Sections 4.9 and 4.10).</w:t>
      </w:r>
    </w:p>
    <w:bookmarkStart w:id="40" w:name="the-platform-data"/>
    <w:p>
      <w:pPr>
        <w:pStyle w:val="Heading2"/>
      </w:pPr>
      <w:r>
        <w:t xml:space="preserve">4.1 The platform data</w:t>
      </w:r>
    </w:p>
    <w:p>
      <w:pPr>
        <w:pStyle w:val="FirstParagraph"/>
      </w:pPr>
      <w:r>
        <w:t xml:space="preserve">The basic observation is one platform in one year, which this thesis calls a platform-year. Revenue comes from the company’s financial statements and transaction value from its annual report or earnings release. Both refer to the same year and, as closely as the filings allow, the same business.</w:t>
      </w:r>
    </w:p>
    <w:p>
      <w:pPr>
        <w:pStyle w:val="BodyText"/>
      </w:pPr>
      <w:r>
        <w:t xml:space="preserve">Companies define transaction value in different ways, and some include shipping charges, digital goods or travel. The thesis keeps each company’s own definition and records it. Under the second rule of Section 3.1, the definition cancels out of a take rate’s yearly changes. This holds as long as the company keeps both the definition and the mix of its businesses.</w:t>
      </w:r>
    </w:p>
    <w:p>
      <w:pPr>
        <w:pStyle w:val="BodyText"/>
      </w:pPr>
      <w:r>
        <w:t xml:space="preserve">Two groups of platforms are compared. The Indonesian and regional group has five platforms, listed in Appendix B. Three are Indonesian marketplaces, and two are the on-demand businesses of Grab and GoTo, which cover rides and deliveries. The foreign group has 27 listed platforms in marketplaces, travel and ticketing, freelance work, resale and food delivery. Eight were chosen first, and 19 were added to widen the comparison. Ten more were examined and left out, six because they sell mostly their own goods and four because they do not disclose transaction value.</w:t>
      </w:r>
    </w:p>
    <w:p>
      <w:pPr>
        <w:pStyle w:val="BodyText"/>
      </w:pPr>
      <w:r>
        <w:t xml:space="preserve">Appendix B states the scope of each series because the series differ, and only Tokopedia is an Indonesian segment alone. The thesis never adds the series together, and each platform enters the tests on its own. Sea, whose Shopee business has Indonesia as a main market, sits in the foreign group.</w:t>
      </w:r>
    </w:p>
    <w:p>
      <w:pPr>
        <w:pStyle w:val="BodyText"/>
      </w:pPr>
      <w:r>
        <w:t xml:space="preserve">Platform-years are compared in pairs, and three rules keep the pairs comparable. Two consecutive platform-years form a pair, and nothing else does. A missing year stays missing and is never filled in. Annual and quarterly pairs are never pooled. A take rate is a ratio of two amounts in one currency, so the tests need no exchange rate. Amounts in running text are in US dollars at the World Bank’s average rate for the year (World Bank 2026).</w:t>
      </w:r>
    </w:p>
    <w:p>
      <w:pPr>
        <w:pStyle w:val="BodyText"/>
      </w:pPr>
      <w:r>
        <w:t xml:space="preserve">The third rule of Section 3.1, which keeps out companies that mainly sell their own goods, is applied in two ways. For the 19 platforms added, the thesis drops any year in which own goods exceed half of revenue. For the eight chosen first, it keeps a pair only when the company’s reporting scope did not change between the two years.</w:t>
      </w:r>
    </w:p>
    <w:p>
      <w:pPr>
        <w:pStyle w:val="BodyText"/>
      </w:pPr>
      <w:r>
        <w:t xml:space="preserve">Two platforms sit close to that line. Zalando is one of the eight and sells part of what it carries, so Appendix C repeats the test without it. One added pair, Ozon from 2021 to 2022, ends in a kept year but starts in a dropped one. Appendix C repeats the test without Ozon as well. The result is 15 pairs for the Indonesian and regional group and 158 for the foreign group.</w:t>
      </w:r>
    </w:p>
    <w:bookmarkEnd w:id="40"/>
    <w:bookmarkStart w:id="41" w:name="measuring-the-wedge-in-indonesia"/>
    <w:p>
      <w:pPr>
        <w:pStyle w:val="Heading2"/>
      </w:pPr>
      <w:r>
        <w:t xml:space="preserve">4.2 Measuring the wedge in Indonesia</w:t>
      </w:r>
    </w:p>
    <w:p>
      <w:pPr>
        <w:pStyle w:val="FirstParagraph"/>
      </w:pPr>
      <w:r>
        <w:t xml:space="preserve">The first objective, the size of the invisible wedge, needs amounts for Indonesia alone. The thesis sums the transaction value and revenue of three major platforms in Indonesia in 2023: Tokopedia, Shopee and Grab. The wedge and the ecosystem ratio are then computed from the sums.</w:t>
      </w:r>
    </w:p>
    <w:p>
      <w:pPr>
        <w:pStyle w:val="BodyText"/>
      </w:pPr>
      <w:r>
        <w:t xml:space="preserve">Each platform reaches the sum by its own route. Tokopedia reports both amounts for its segment. Shopee’s transaction value is an outside estimate by Momentum Works, a research firm that tracks online commerce in Southeast Asia. Its revenue assumes a take rate of 10 percent, which the thesis varies from 9 to 11 percent. Grab reports its Indonesian revenue, and the thesis derives its Indonesian transaction value from Grab’s company-wide ratio of the two amounts. The thesis drops each platform in turn, and it repeats the exercise for every platform-year between 2020 and 2025 that the filings allow.</w:t>
      </w:r>
    </w:p>
    <w:bookmarkEnd w:id="41"/>
    <w:bookmarkStart w:id="42" w:name="testing-h1"/>
    <w:p>
      <w:pPr>
        <w:pStyle w:val="Heading2"/>
      </w:pPr>
      <w:r>
        <w:t xml:space="preserve">4.3 Testing H1</w:t>
      </w:r>
    </w:p>
    <w:p>
      <w:pPr>
        <w:pStyle w:val="FirstParagraph"/>
      </w:pPr>
      <w:r>
        <w:t xml:space="preserve">The test of H1 has two parts, run on the same 32 platforms: the five Indonesian and regional platforms, Tokopedia, Blibli, Bukalapak and the on-demand businesses of Grab and GoTo, and the 27 platforms abroad.</w:t>
      </w:r>
    </w:p>
    <w:p>
      <w:pPr>
        <w:pStyle w:val="BodyText"/>
      </w:pPr>
      <w:r>
        <w:t xml:space="preserve">The first part is equation (6). Each observation is a pair of consecutive years of one platform, and a missing year is never filled. Growth is the simple percentage change, and growth rates are capped at their 5th and 95th percentiles (Section 4.4). The regression runs on all platforms with the group interaction, on the foreign group alone and on the Indonesian and regional group alone, with standard errors clustered by platform. The thesis also reports the correlation between revenue growth and transaction value growth for each group. Appendix C gives the rank correlation and the correlation without caps.</w:t>
      </w:r>
    </w:p>
    <w:p>
      <w:pPr>
        <w:pStyle w:val="BodyText"/>
      </w:pPr>
      <w:r>
        <w:t xml:space="preserve">The second part asks how far each platform’s take rate moves from one year to the next. For each pair of years it takes the simple percentage change in the take rate. Tokopedia’s change in 2023 is 68 percent. A move in either direction counts against H1, so the test uses the size of each yearly change. Each platform gets one number, the median size of its yearly changes, because the pairs of one platform are not independent of one another.</w:t>
      </w:r>
    </w:p>
    <w:p>
      <w:pPr>
        <w:pStyle w:val="BodyText"/>
      </w:pPr>
      <w:r>
        <w:t xml:space="preserve">The test compares five numbers for the Indonesian and regional group with 27 for the foreign group. It asks whether the first group ranks higher than chance would give, using a one-sided Mann–Whitney test (Mann and Whitney 1947). It repeats the question by shuffling the group labels 9,999 times. The p-value is the chance of a result at least this lopsided if the groups did not differ.</w:t>
      </w:r>
    </w:p>
    <w:p>
      <w:pPr>
        <w:pStyle w:val="BodyText"/>
      </w:pPr>
      <w:r>
        <w:t xml:space="preserve">Appendix C lists the checks on this test. Some change the sample. They drop each platform in turn, drop two at a time, treat Tokopedia and GoTo as one company, move Sea to the regional group, keep only the first five years after listing, or narrow the test to the three marketplaces. Others change the measure: the change in logs, which the first version of this test used, growth divergence in points as Chapter 3 defines it, exact tests, and the change in the take rate in percentage points, to see whether a thin take rate explains the result. One repeats the test with quarterly pairs.</w:t>
      </w:r>
    </w:p>
    <w:bookmarkEnd w:id="42"/>
    <w:bookmarkStart w:id="43" w:name="Xfbf6e5adbfadf21de73f4530e1ec2c5eb39a9a1"/>
    <w:p>
      <w:pPr>
        <w:pStyle w:val="Heading2"/>
      </w:pPr>
      <w:r>
        <w:t xml:space="preserve">4.4 What explains the wedge and the ecosystem ratio</w:t>
      </w:r>
    </w:p>
    <w:p>
      <w:pPr>
        <w:pStyle w:val="FirstParagraph"/>
      </w:pPr>
      <w:r>
        <w:t xml:space="preserve">Equation (7) is estimated on a panel of 213 platform-years for the same 32 platforms, 20 of them Indonesian and regional platform-years and 193 foreign. A platform-year enters when the company reports both transaction value and revenue for it under the rules of Section 3.1, and a year that fails them stays missing. Amounts are in US dollars at the World Bank’s period-average rate for the year (World Bank 2026).</w:t>
      </w:r>
    </w:p>
    <w:p>
      <w:pPr>
        <w:pStyle w:val="BodyText"/>
      </w:pPr>
      <w:r>
        <w:t xml:space="preserve">Size is the platform’s total assets, taken from annual reports filed with the US Securities and Exchange Commission for 26 platforms (U.S. Securities and Exchange Commission 2026) and from published financial statements for the other six: Tokopedia and GoTo, which share one group statement, Blibli, Bukalapak, Rakuten and Zalando. Total assets are those of the company as a whole. They overstate the platform business at GoTo, Rakuten and Sea. The number of years since listing counts from the year the platform listed on a stock exchange, from public record, and a year before listing counts as zero. The type of platform is the author’s classification (Appendix B).</w:t>
      </w:r>
    </w:p>
    <w:p>
      <w:pPr>
        <w:pStyle w:val="BodyText"/>
      </w:pPr>
      <w:r>
        <w:t xml:space="preserve">The home market is the country of the platform’s main market. It is the United States for most US-listed platforms and Indonesia for the five Indonesian and regional platforms. It is also Indonesia for Sea, whose Shopee business has Indonesia as a main market. GDP growth, inflation and growth in household spending come from the World Bank (2026). The policy rate is the central bank’s rate from the Bank for International Settlements (2026), averaged over the year. It is not available for Kazakhstan or Nigeria, so the regressions with macroeconomic variables have 178 platform-years from 30 platforms.</w:t>
      </w:r>
    </w:p>
    <w:p>
      <w:pPr>
        <w:pStyle w:val="BodyText"/>
      </w:pPr>
      <w:r>
        <w:t xml:space="preserve">Growth rates and the ecosystem ratio are capped at their 5th and 95th percentiles across all platforms, the rule that Section 4.5 uses for market value. Standard errors are clustered by platform, with the small-sample correction, and p-values use a t distribution with one fewer degrees of freedom than platforms. Only five platforms are Indonesian and regional, so the thesis adds a wild cluster bootstrap p-value for the Indonesia coefficient (Cameron, Gelbach and Miller 2008). Appendix C lists the checks on this coefficient. All of these tests are exploratory, because they were designed after the data were seen.</w:t>
      </w:r>
    </w:p>
    <w:p>
      <w:pPr>
        <w:pStyle w:val="BodyText"/>
      </w:pPr>
      <w:r>
        <w:t xml:space="preserve">The second objective, to reconcile large movements in revenue with disclosed changes in fees, discounts and scope, rests on company reports. Where a company discloses both its gross fees and its incentives, the thesis splits the growth of revenue over a window into more commerce, a change in the fee rate and a change in the incentive rate (equation (5)). The split is exact only in logs, so Appendix B keeps the log definition for these windows. A change in the mix of businesses is recorded from the company’s reports.</w:t>
      </w:r>
    </w:p>
    <w:p>
      <w:pPr>
        <w:pStyle w:val="BodyText"/>
      </w:pPr>
      <w:r>
        <w:t xml:space="preserve">The sources differ by company. Tokopedia’s audited segment note gives gross revenue, incentives and net revenue, and the thesis checks them against the audited consolidated statements. For Tokopedia the thesis also reports the change line by line in rupiah, the usual way to read accounts, and says where the two views differ. Grab is read from its annual filings and GoTo from its audited statements. Blibli does not report incentives, so its split rests on a proxy built from its releases. Seven windows are traced, and Appendix B lists them. The thesis also records where accounting treatment or reporting scope matters, such as the deduction of incentives from revenue and the travel business inside Blibli’s retail segment. Company explanations are read as reports and are not tested.</w:t>
      </w:r>
    </w:p>
    <w:bookmarkEnd w:id="43"/>
    <w:bookmarkStart w:id="44" w:name="market-values"/>
    <w:p>
      <w:pPr>
        <w:pStyle w:val="Heading2"/>
      </w:pPr>
      <w:r>
        <w:t xml:space="preserve">4.5 Market values</w:t>
      </w:r>
    </w:p>
    <w:p>
      <w:pPr>
        <w:pStyle w:val="FirstParagraph"/>
      </w:pPr>
      <w:r>
        <w:t xml:space="preserve">The market-value analysis of Section 3.6 uses year-end market values from the data service of the London Stock Exchange Group (LSEG), under the university licence. The main sample has 28 listed platforms and 138 platform-years, made up of Bukalapak and 27 platforms abroad, and it uses whole-company figures only. It is not the list of 27 used for H1. It adds Airbnb, Booking, DoorDash, Lyft and Uber, and it lacks Despegar, Mercado Libre, Ozon, Rakuten and Sea.</w:t>
      </w:r>
    </w:p>
    <w:p>
      <w:pPr>
        <w:pStyle w:val="BodyText"/>
      </w:pPr>
      <w:r>
        <w:t xml:space="preserve">Equation (9) is estimated with a fixed effect for each year, which removes what all platforms share in that year. Standard errors are clustered by company, which allows for the repeated observations of one company. Each prediction names a direction, so both tests are one-sided. The test was written down before the market values were pulled, with changes measured in logs, and it keeps that definition. The result is an association, and market value also changes when a company issues shares, so the thesis does not call it a stock return. A second run adds five segment series and Mercado Libre as a robustness check. Grab, GoTo and Sea enter only there, because their reported transaction value covers only part of the business that the market value prices.</w:t>
      </w:r>
    </w:p>
    <w:bookmarkEnd w:id="44"/>
    <w:bookmarkStart w:id="46" w:name="the-survey-files-and-h2"/>
    <w:p>
      <w:pPr>
        <w:pStyle w:val="Heading2"/>
      </w:pPr>
      <w:r>
        <w:t xml:space="preserve">4.6 The survey files and H2</w:t>
      </w:r>
    </w:p>
    <w:p>
      <w:pPr>
        <w:pStyle w:val="FirstParagraph"/>
      </w:pPr>
      <w:r>
        <w:t xml:space="preserve">The national evidence comes from the survey of online sellers that BPS runs. BPS publishes the number of businesses selling online, their total online sales and the shares by channel (BPS 2025a, 2025b). The survey rounds are named for the survey year, but their questions refer to the year before. The thesis names a file by its round and a year by the year of activity, so the file for the 2024 round describes 2023. Each round lists businesses in sampled areas and updates its sampling frame, so a change in who is found can change the count.</w:t>
      </w:r>
    </w:p>
    <w:p>
      <w:pPr>
        <w:pStyle w:val="BodyText"/>
      </w:pPr>
      <w:r>
        <w:t xml:space="preserve">H2 uses the published figures and the split of equation (8). BPS prints two counts of businesses for 2023, so the thesis computes the 2023 to 2024 split with both and reports both. The 2022 to 2023 split uses the count that the survey weights match.</w:t>
      </w:r>
    </w:p>
    <w:p>
      <w:pPr>
        <w:pStyle w:val="BodyText"/>
      </w:pPr>
      <w:r>
        <w:t xml:space="preserve">The published figures cannot tell a new seller from one counted for the first time, but the survey files can. The three files are the E-Commerce rounds of 2021, 2023 and 2024, which describe the activity years 2020, 2022 and 2023.</w:t>
      </w:r>
      <w:r>
        <w:rPr>
          <w:rStyle w:val="FootnoteReference"/>
        </w:rPr>
        <w:footnoteReference w:id="45"/>
      </w:r>
      <w:r>
        <w:t xml:space="preserve"> </w:t>
      </w:r>
      <w:r>
        <w:t xml:space="preserve">Each row is a business that sold online in the activity year. Its survey weight shows how many businesses it represents, so the weights add up to the national count.</w:t>
      </w:r>
    </w:p>
    <w:p>
      <w:pPr>
        <w:pStyle w:val="BodyText"/>
      </w:pPr>
      <w:r>
        <w:t xml:space="preserve">Two checks come before any test. The weighted total of each file must fall within 1 percent of the BPS count. The 2024 file must also reproduce two published shares of sellers who keep complete financial statements, 28.63 and 12.25 percent. All three files pass. The files carry no business identifier across rounds and no area variable below the province. So the rounds compare groups of sellers and not the same sellers over time.</w:t>
      </w:r>
    </w:p>
    <w:bookmarkEnd w:id="46"/>
    <w:bookmarkStart w:id="47" w:name="the-entry-test-and-the-extra-sellers"/>
    <w:p>
      <w:pPr>
        <w:pStyle w:val="Heading2"/>
      </w:pPr>
      <w:r>
        <w:t xml:space="preserve">4.7 The entry test and the extra sellers</w:t>
      </w:r>
    </w:p>
    <w:p>
      <w:pPr>
        <w:pStyle w:val="FirstParagraph"/>
      </w:pPr>
      <w:r>
        <w:t xml:space="preserve">The entry test asks whether at least 21.5 percent of the 2023 sellers in the 2024 file began selling online in 2023, a threshold that Chapter 3 derives. BPS also prints a second count for 2023, but the survey weights match the first, so the threshold stays at 21.5 percent. The test was written down and dated in the project’s code archive, called the repository, before the files were opened.</w:t>
      </w:r>
    </w:p>
    <w:p>
      <w:pPr>
        <w:pStyle w:val="BodyText"/>
      </w:pPr>
      <w:r>
        <w:t xml:space="preserve">A failed entry test raises a second question: how much of the rise does first-time entry not explain? The sellers behind that part are called the extra sellers. A cohort is the group of sellers that began selling online by a given year. If two surveys count the same population, a cohort can only shrink between them, because sellers stop and no new seller can join it.</w:t>
      </w:r>
    </w:p>
    <w:p>
      <w:pPr>
        <w:pStyle w:val="BodyText"/>
      </w:pPr>
      <w:r>
        <w:t xml:space="preserve">The cohort check compares the 2024 file’s count of sellers who began before 2023 with the whole 2022 count. It does so twice. The first time it assumes that no seller stopped. The second time it assumes that sellers stopped at about 5 percent a year, the rate at which one cohort shrank between the 2020 and 2022 surveys.</w:t>
      </w:r>
    </w:p>
    <w:p>
      <w:pPr>
        <w:pStyle w:val="BodyText"/>
      </w:pPr>
      <w:r>
        <w:t xml:space="preserve">Further checks ask where the extra sellers sit and who they are. They compare provinces and channels using rank correlations, look at sellers’ own reports of their sales, and use the sampling error that BPS publishes. They compare each group’s count in 2023 with what its own yearly change in 2020 to 2022 would give. They also look at part-year selling and test a scenario of returners.</w:t>
      </w:r>
    </w:p>
    <w:p>
      <w:pPr>
        <w:pStyle w:val="BodyText"/>
      </w:pPr>
      <w:r>
        <w:t xml:space="preserve">The cohort check and the further checks were designed after the entry test failed, so Chapter 5 labels them exploratory. The exception is the median change in sellers’ sales, which was registered. The files cannot rule out returners, because a seller who stopped and returned keeps an old start year.</w:t>
      </w:r>
    </w:p>
    <w:bookmarkEnd w:id="47"/>
    <w:bookmarkStart w:id="48" w:name="channels-records-and-reach"/>
    <w:p>
      <w:pPr>
        <w:pStyle w:val="Heading2"/>
      </w:pPr>
      <w:r>
        <w:t xml:space="preserve">4.8 Channels, records and reach</w:t>
      </w:r>
    </w:p>
    <w:p>
      <w:pPr>
        <w:pStyle w:val="FirstParagraph"/>
      </w:pPr>
      <w:r>
        <w:t xml:space="preserve">Three analyses beyond the entry test also use the survey files. One asks which channels sellers use and how sales divide between them. The published tables split the 2023 to 2024 rise in value between marketplaces and other channels, and BPS counts food and ride apps in its marketplace category.</w:t>
      </w:r>
    </w:p>
    <w:p>
      <w:pPr>
        <w:pStyle w:val="BodyText"/>
      </w:pPr>
      <w:r>
        <w:t xml:space="preserve">Value by channel needs revenue brackets, and only the 2021 and 2023 files have them. The thesis gives each bracket a low, a middle and a high amount, fixed before the file was opened. A check follows: the middle scenario’s 2022 total must fall between half and double BPS’s published total of about US$53 billion.</w:t>
      </w:r>
    </w:p>
    <w:p>
      <w:pPr>
        <w:pStyle w:val="BodyText"/>
      </w:pPr>
      <w:r>
        <w:t xml:space="preserve">The 2023 questionnaire asks for monthly revenue but the bracket limits are annual size classes, so both readings are computed and the one that passes is kept. If the lower brackets alone already exceed the total, value shares are reported as ranges.</w:t>
      </w:r>
    </w:p>
    <w:p>
      <w:pPr>
        <w:pStyle w:val="BodyText"/>
      </w:pPr>
      <w:r>
        <w:t xml:space="preserve">Whether a seller keeps complete financial statements is the subject of a second analysis. It bears on what platform records can add, because a seller with no statements leaves fewer formal records. World Bank Enterprise Surveys add a check on records. They cover unregistered firms in six Indonesian cities in 2023, and formal firms with five or more employees in seven countries.</w:t>
      </w:r>
    </w:p>
    <w:p>
      <w:pPr>
        <w:pStyle w:val="BodyText"/>
      </w:pPr>
      <w:r>
        <w:t xml:space="preserve">A third analysis builds on the first two and is developed in Chapter 6. It counts the marketplace sellers whose revenue is above a bracket line and expresses the count as a share of all online sellers. At the 2022 rate, BPS’s brackets divide at about US$20,000 a year. The marketplace tax exempts individual sellers up to about US$34,000. So the count above BPS’s line is an upper limit on the sellers the tax can reach.</w:t>
      </w:r>
    </w:p>
    <w:p>
      <w:pPr>
        <w:pStyle w:val="BodyText"/>
      </w:pPr>
      <w:r>
        <w:t xml:space="preserve">Chapter 6 also sets each recent rule against the part of the figures it acts on. The thesis reads each legal text where it is published. It labels each rule by the status of its text: primary text read, announced, or reported in the news only.</w:t>
      </w:r>
    </w:p>
    <w:bookmarkEnd w:id="48"/>
    <w:bookmarkStart w:id="49" w:name="comparing-national-figures"/>
    <w:p>
      <w:pPr>
        <w:pStyle w:val="Heading2"/>
      </w:pPr>
      <w:r>
        <w:t xml:space="preserve">4.9 Comparing national figures</w:t>
      </w:r>
    </w:p>
    <w:p>
      <w:pPr>
        <w:pStyle w:val="FirstParagraph"/>
      </w:pPr>
      <w:r>
        <w:t xml:space="preserve">The third objective, to compare the platform evidence with national and payment figures, rests on the sources that Appendix A lists, with what each one counts. Beyond the rules of Section 3.1, the comparison is closest where the coverage of two sources overlaps. Payment figures serve as context, because they show how people pay and not what they buy online.</w:t>
      </w:r>
    </w:p>
    <w:p>
      <w:pPr>
        <w:pStyle w:val="BodyText"/>
      </w:pPr>
      <w:r>
        <w:t xml:space="preserve">The 2023 file, which describes 2022, lets the thesis separate the part of BPS’s marketplace sales that went to final consumers. It compares that part with Bank Indonesia’s figure for the same year, in a test written down before the file was opened. The thesis sets the 2023 growth of six measures of buying through platforms beside household spending, each in its own unit. It does the same with quarterly platform growth.</w:t>
      </w:r>
    </w:p>
    <w:bookmarkEnd w:id="49"/>
    <w:bookmarkStart w:id="50" w:name="labels-traceability-and-licensed-data"/>
    <w:p>
      <w:pPr>
        <w:pStyle w:val="Heading2"/>
      </w:pPr>
      <w:r>
        <w:t xml:space="preserve">4.10 Labels, traceability and licensed data</w:t>
      </w:r>
    </w:p>
    <w:p>
      <w:pPr>
        <w:pStyle w:val="FirstParagraph"/>
      </w:pPr>
      <w:r>
        <w:t xml:space="preserve">Every number in the thesis follows one path: source document, extract, analytic row, result. Each extract keeps the company’s currency and units, and each value carries a label: direct company disclosure, direct segment disclosure, external estimate, derived value, conversion or scenario. The labels are never mixed in one sample. A restatement or a conflict between two reports is reported and never overwritten. A single script rebuilds every table that depends only on committed files, and 314 automatic checks confirm that each recorded result still matches its table.</w:t>
      </w:r>
    </w:p>
    <w:p>
      <w:pPr>
        <w:pStyle w:val="BodyText"/>
      </w:pPr>
      <w:r>
        <w:t xml:space="preserve">The thesis also separates tests by when they were written. A registered test was written down, dated and stored in the repository before the data were opened. This applies to the entry test, the scenario rules for value, the comparison with Bank Indonesia and the market-value test, among others. Appendix D lists them with their dates. An exploratory test was designed after some results were seen. The test with the larger groups in Section 4.3 belongs here, because it was set up after a first test on the three marketplaces. A descriptive result reports numbers without a test.</w:t>
      </w:r>
    </w:p>
    <w:p>
      <w:pPr>
        <w:pStyle w:val="BodyText"/>
      </w:pPr>
      <w:r>
        <w:t xml:space="preserve">The World Bank indicators, the Bank for International Settlements policy rates and the total assets from SEC filings are public. The repository holds the downloaded values and the scripts that fetched them. Three sources are licensed and are not in the repository: the BPS survey files, the LSEG market values and the World Bank survey files. The repository records the size and checksum of each file, so anyone who obtains the same files can check them. It holds the code and the national totals it produces, and no business-level record. BPS is cited as the source of every survey figure, in line with the data-use agreement. Chapter 7 states what these data cannot show.</w:t>
      </w:r>
    </w:p>
    <w:bookmarkEnd w:id="50"/>
    <w:bookmarkEnd w:id="51"/>
    <w:bookmarkStart w:id="77" w:name="chapter-5.-results"/>
    <w:p>
      <w:pPr>
        <w:pStyle w:val="Heading1"/>
      </w:pPr>
      <w:r>
        <w:t xml:space="preserve">Chapter 5. Results</w:t>
      </w:r>
    </w:p>
    <w:p>
      <w:pPr>
        <w:pStyle w:val="FirstParagraph"/>
      </w:pPr>
      <w:r>
        <w:t xml:space="preserve">The results follow the two links of Figure 3.1. On the inner link, revenue showed a small and unsteady part of the commerce that platforms carried. Platforms changed how much of each sale they kept, and revenue moved with those choices (Sections 5.1 to 5.4). On the outer link, the national count of online sellers rose by 27 percent in 2023. About half of that rise is not explained by sellers entering for the first time. Whether H2 holds depends on how that half is read (Sections 5.5 to 5.10).</w:t>
      </w:r>
    </w:p>
    <w:p>
      <w:pPr>
        <w:pStyle w:val="BodyText"/>
      </w:pPr>
      <w:r>
        <w:t xml:space="preserve">Every result in this chapter carries one of the three labels of Section 4.10: registered, exploratory or descriptive. A result given without a label is descriptive. Each section states the label next to the result it reports.</w:t>
      </w:r>
    </w:p>
    <w:bookmarkStart w:id="52" w:name="how-much-revenue-leaves-out"/>
    <w:p>
      <w:pPr>
        <w:pStyle w:val="Heading2"/>
      </w:pPr>
      <w:r>
        <w:t xml:space="preserve">5.1 How much revenue leaves out</w:t>
      </w:r>
    </w:p>
    <w:p>
      <w:pPr>
        <w:pStyle w:val="FirstParagraph"/>
      </w:pPr>
      <w:r>
        <w:t xml:space="preserve">Revenue showed only a small part of what Indonesia’s major platforms carried. In 2023, Tokopedia, Shopee and Grab together carried about US$43 billion of transaction value and kept about US$3 billion as revenue. Revenue was about 7 percent of that commerce, and the invisible wedge was about US$40 billion. The ecosystem ratio was about 13, so almost 13 dollars of commerce passed outside revenue for every dollar the platforms kept. Table 5.1 shows each platform.</w:t>
      </w:r>
    </w:p>
    <w:p>
      <w:pPr>
        <w:pStyle w:val="BodyText"/>
      </w:pPr>
      <w:r>
        <w:rPr>
          <w:bCs/>
          <w:b/>
        </w:rPr>
        <w:t xml:space="preserve">Table 5.1. The invisible wedge of three platforms, 2023 (US$ billion)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Platform</w:t>
            </w:r>
          </w:p>
        </w:tc>
        <w:tc>
          <w:tcPr/>
          <w:p>
            <w:pPr>
              <w:pStyle w:val="Compact"/>
              <w:jc w:val="left"/>
            </w:pPr>
            <w:r>
              <w:t xml:space="preserve">Transaction value</w:t>
            </w:r>
          </w:p>
        </w:tc>
        <w:tc>
          <w:tcPr/>
          <w:p>
            <w:pPr>
              <w:pStyle w:val="Compact"/>
              <w:jc w:val="left"/>
            </w:pPr>
            <w:r>
              <w:t xml:space="preserve">Revenue</w:t>
            </w:r>
          </w:p>
        </w:tc>
        <w:tc>
          <w:tcPr/>
          <w:p>
            <w:pPr>
              <w:pStyle w:val="Compact"/>
              <w:jc w:val="left"/>
            </w:pPr>
            <w:r>
              <w:t xml:space="preserve">Wedge</w:t>
            </w:r>
          </w:p>
        </w:tc>
        <w:tc>
          <w:tcPr/>
          <w:p>
            <w:pPr>
              <w:pStyle w:val="Compact"/>
              <w:jc w:val="left"/>
            </w:pPr>
            <w:r>
              <w:t xml:space="preserve">Ecosystem ratio</w:t>
            </w:r>
          </w:p>
        </w:tc>
        <w:tc>
          <w:tcPr/>
          <w:p>
            <w:pPr>
              <w:pStyle w:val="Compact"/>
              <w:jc w:val="left"/>
            </w:pPr>
            <w:r>
              <w:t xml:space="preserve">How it is labelled</w:t>
            </w:r>
          </w:p>
        </w:tc>
      </w:tr>
      <w:tr>
        <w:tc>
          <w:tcPr/>
          <w:p>
            <w:pPr>
              <w:pStyle w:val="Compact"/>
              <w:jc w:val="left"/>
            </w:pPr>
            <w:r>
              <w:t xml:space="preserve">Tokopedia</w:t>
            </w:r>
          </w:p>
        </w:tc>
        <w:tc>
          <w:tcPr/>
          <w:p>
            <w:pPr>
              <w:pStyle w:val="Compact"/>
              <w:jc w:val="left"/>
            </w:pPr>
            <w:r>
              <w:t xml:space="preserve">16.33</w:t>
            </w:r>
          </w:p>
        </w:tc>
        <w:tc>
          <w:tcPr/>
          <w:p>
            <w:pPr>
              <w:pStyle w:val="Compact"/>
              <w:jc w:val="left"/>
            </w:pPr>
            <w:r>
              <w:t xml:space="preserve">0.41</w:t>
            </w:r>
          </w:p>
        </w:tc>
        <w:tc>
          <w:tcPr/>
          <w:p>
            <w:pPr>
              <w:pStyle w:val="Compact"/>
              <w:jc w:val="left"/>
            </w:pPr>
            <w:r>
              <w:t xml:space="preserve">15.93</w:t>
            </w:r>
          </w:p>
        </w:tc>
        <w:tc>
          <w:tcPr/>
          <w:p>
            <w:pPr>
              <w:pStyle w:val="Compact"/>
              <w:jc w:val="left"/>
            </w:pPr>
            <w:r>
              <w:t xml:space="preserve">39.3</w:t>
            </w:r>
          </w:p>
        </w:tc>
        <w:tc>
          <w:tcPr/>
          <w:p>
            <w:pPr>
              <w:pStyle w:val="Compact"/>
              <w:jc w:val="left"/>
            </w:pPr>
            <w:r>
              <w:t xml:space="preserve">Both direct segment disclosure</w:t>
            </w:r>
          </w:p>
        </w:tc>
      </w:tr>
      <w:tr>
        <w:tc>
          <w:tcPr/>
          <w:p>
            <w:pPr>
              <w:pStyle w:val="Compact"/>
              <w:jc w:val="left"/>
            </w:pPr>
            <w:r>
              <w:t xml:space="preserve">Shopee, Indonesia</w:t>
            </w:r>
          </w:p>
        </w:tc>
        <w:tc>
          <w:tcPr/>
          <w:p>
            <w:pPr>
              <w:pStyle w:val="Compact"/>
              <w:jc w:val="left"/>
            </w:pPr>
            <w:r>
              <w:t xml:space="preserve">21.52</w:t>
            </w:r>
          </w:p>
        </w:tc>
        <w:tc>
          <w:tcPr/>
          <w:p>
            <w:pPr>
              <w:pStyle w:val="Compact"/>
              <w:jc w:val="left"/>
            </w:pPr>
            <w:r>
              <w:t xml:space="preserve">2.15</w:t>
            </w:r>
          </w:p>
        </w:tc>
        <w:tc>
          <w:tcPr/>
          <w:p>
            <w:pPr>
              <w:pStyle w:val="Compact"/>
              <w:jc w:val="left"/>
            </w:pPr>
            <w:r>
              <w:t xml:space="preserve">19.37</w:t>
            </w:r>
          </w:p>
        </w:tc>
        <w:tc>
          <w:tcPr/>
          <w:p>
            <w:pPr>
              <w:pStyle w:val="Compact"/>
              <w:jc w:val="left"/>
            </w:pPr>
            <w:r>
              <w:t xml:space="preserve">9.0</w:t>
            </w:r>
          </w:p>
        </w:tc>
        <w:tc>
          <w:tcPr/>
          <w:p>
            <w:pPr>
              <w:pStyle w:val="Compact"/>
              <w:jc w:val="left"/>
            </w:pPr>
            <w:r>
              <w:t xml:space="preserve">Transaction value is an outside estimate (Momentum Works); revenue is derived at an assumed take rate of 10 percent</w:t>
            </w:r>
          </w:p>
        </w:tc>
      </w:tr>
      <w:tr>
        <w:tc>
          <w:tcPr/>
          <w:p>
            <w:pPr>
              <w:pStyle w:val="Compact"/>
              <w:jc w:val="left"/>
            </w:pPr>
            <w:r>
              <w:t xml:space="preserve">Grab, Indonesia</w:t>
            </w:r>
          </w:p>
        </w:tc>
        <w:tc>
          <w:tcPr/>
          <w:p>
            <w:pPr>
              <w:pStyle w:val="Compact"/>
              <w:jc w:val="left"/>
            </w:pPr>
            <w:r>
              <w:t xml:space="preserve">5.38</w:t>
            </w:r>
          </w:p>
        </w:tc>
        <w:tc>
          <w:tcPr/>
          <w:p>
            <w:pPr>
              <w:pStyle w:val="Compact"/>
              <w:jc w:val="left"/>
            </w:pPr>
            <w:r>
              <w:t xml:space="preserve">0.60</w:t>
            </w:r>
          </w:p>
        </w:tc>
        <w:tc>
          <w:tcPr/>
          <w:p>
            <w:pPr>
              <w:pStyle w:val="Compact"/>
              <w:jc w:val="left"/>
            </w:pPr>
            <w:r>
              <w:t xml:space="preserve">4.78</w:t>
            </w:r>
          </w:p>
        </w:tc>
        <w:tc>
          <w:tcPr/>
          <w:p>
            <w:pPr>
              <w:pStyle w:val="Compact"/>
              <w:jc w:val="left"/>
            </w:pPr>
            <w:r>
              <w:t xml:space="preserve">7.9</w:t>
            </w:r>
          </w:p>
        </w:tc>
        <w:tc>
          <w:tcPr/>
          <w:p>
            <w:pPr>
              <w:pStyle w:val="Compact"/>
              <w:jc w:val="left"/>
            </w:pPr>
            <w:r>
              <w:t xml:space="preserve">Revenue is a direct country disclosure; transaction value is derived from Grab’s company-wide ratio</w:t>
            </w:r>
          </w:p>
        </w:tc>
      </w:tr>
      <w:tr>
        <w:tc>
          <w:tcPr/>
          <w:p>
            <w:pPr>
              <w:pStyle w:val="Compact"/>
              <w:jc w:val="left"/>
            </w:pPr>
            <w:r>
              <w:t xml:space="preserve">Total</w:t>
            </w:r>
          </w:p>
        </w:tc>
        <w:tc>
          <w:tcPr/>
          <w:p>
            <w:pPr>
              <w:pStyle w:val="Compact"/>
              <w:jc w:val="left"/>
            </w:pPr>
            <w:r>
              <w:t xml:space="preserve">43.23</w:t>
            </w:r>
          </w:p>
        </w:tc>
        <w:tc>
          <w:tcPr/>
          <w:p>
            <w:pPr>
              <w:pStyle w:val="Compact"/>
              <w:jc w:val="left"/>
            </w:pPr>
            <w:r>
              <w:t xml:space="preserve">3.16</w:t>
            </w:r>
          </w:p>
        </w:tc>
        <w:tc>
          <w:tcPr/>
          <w:p>
            <w:pPr>
              <w:pStyle w:val="Compact"/>
              <w:jc w:val="left"/>
            </w:pPr>
            <w:r>
              <w:t xml:space="preserve">40.07</w:t>
            </w:r>
          </w:p>
        </w:tc>
        <w:tc>
          <w:tcPr/>
          <w:p>
            <w:pPr>
              <w:pStyle w:val="Compact"/>
              <w:jc w:val="left"/>
            </w:pPr>
            <w:r>
              <w:t xml:space="preserve">12.7</w:t>
            </w:r>
          </w:p>
        </w:tc>
        <w:tc>
          <w:tcPr/>
          <w:p>
            <w:pPr>
              <w:pStyle w:val="Compact"/>
              <w:jc w:val="left"/>
            </w:pPr>
            <w:r>
              <w:t xml:space="preserve">Sum of three platforms, not a national total</w:t>
            </w:r>
          </w:p>
        </w:tc>
      </w:tr>
    </w:tbl>
    <w:p>
      <w:pPr>
        <w:pStyle w:val="BodyText"/>
      </w:pPr>
      <w:r>
        <w:rPr>
          <w:iCs/>
          <w:i/>
        </w:rPr>
        <w:t xml:space="preserve">Note:</w:t>
      </w:r>
      <w:r>
        <w:t xml:space="preserve"> </w:t>
      </w:r>
      <w:r>
        <w:t xml:space="preserve">Rounded amounts may not add. With Shopee’s take rate at 9 or 11 percent, the total wedge is US$40.3 or US$39.9 billion; at Sea’s company-wide rate of 11.5 percent, it is US$39.8 billion. Source: company filings; Momentum Works (2024), as quoted by Setyowati (2024); author’s calculations.</w:t>
      </w:r>
    </w:p>
    <w:p>
      <w:pPr>
        <w:pStyle w:val="BodyText"/>
      </w:pPr>
      <w:r>
        <w:t xml:space="preserve">The three ratios differ because the amounts come from different sources. Tokopedia reports both amounts. Shopee’s ratio follows from the assumed take rate, and Grab’s is its company-wide ratio, so neither is separate evidence for Indonesia. Blibli and Bukalapak also report both amounts, with ratios of about 43 and 36, close to Tokopedia’s. They stay out of the sum because Blibli’s figure includes online travel and Bukalapak reports for its whole group.</w:t>
      </w:r>
    </w:p>
    <w:p>
      <w:pPr>
        <w:pStyle w:val="BodyText"/>
      </w:pPr>
      <w:r>
        <w:t xml:space="preserve">The size of the wedge does not depend on the assumed rates. A take rate for Shopee between 9 and 11 percent keeps the total near US$40 billion, and dropping any one platform still leaves more than US$20 billion. For platforms that report both amounts, the wedge was 97 to 99 percent of transaction value in every year. It moved almost one for one with the commerce, and Appendix B gives the wedge by platform and year.</w:t>
      </w:r>
    </w:p>
    <w:p>
      <w:pPr>
        <w:pStyle w:val="BodyText"/>
      </w:pPr>
      <w:r>
        <w:t xml:space="preserve">Platform commerce is itself only part of online commerce. In BPS’s survey, marketplaces carry about a fifth of online sales value (Section 5.9), so platform revenue shows a smaller part still. A small share can still be a fair guide to the commerce, as long as it keeps its size from year to year.</w:t>
      </w:r>
    </w:p>
    <w:bookmarkEnd w:id="52"/>
    <w:bookmarkStart w:id="56" w:name="testing-h1-1"/>
    <w:p>
      <w:pPr>
        <w:pStyle w:val="Heading2"/>
      </w:pPr>
      <w:r>
        <w:t xml:space="preserve">5.2 Testing H1</w:t>
      </w:r>
    </w:p>
    <w:p>
      <w:pPr>
        <w:pStyle w:val="FirstParagraph"/>
      </w:pPr>
      <w:r>
        <w:t xml:space="preserve">Revenue followed transaction value abroad and did not in Indonesia and the region, so the thesis rejects H1 for the Indonesian and regional platforms. Table 5.2 describes the panel behind the test. The typical Indonesian and regional platform-year has an ecosystem ratio of about 35, against about 5.5 abroad. Transaction value grew by a median of 16 percent a year in both groups, and revenue by 38 percent in Indonesia and the region against 21 percent abroad. The Indonesian and regional platforms are also younger, a median of one year since listing against four.</w:t>
      </w:r>
    </w:p>
    <w:p>
      <w:pPr>
        <w:pStyle w:val="BodyText"/>
      </w:pPr>
      <w:r>
        <w:rPr>
          <w:bCs/>
          <w:b/>
        </w:rPr>
        <w:t xml:space="preserve">Table 5.2. Summary statistics and correlations</w:t>
      </w:r>
    </w:p>
    <w:p>
      <w:pPr>
        <w:pStyle w:val="BodyText"/>
      </w:pPr>
      <w:r>
        <w:t xml:space="preserve">This table reports summary statistics and pairwise correlations for the panel of 213 platform-years used in Sections 5.2 and 5.3, which covers 32 platforms. Panel A gives the number of observations (N), the mean, the median (P50) and the standard deviation (SD) of each variable for the Indonesian and regional platforms and for the foreign platforms. Panel B gives pairwise Pearson correlations for all platforms. Growth rates and the ecosystem ratio are capped at their 5th and 95th percentiles; the wedge and total assets are in US$ million. Appendix A defines the variables. ∗∗∗, ∗∗ and ∗ correspond to statistical significance at the 1%, 5% and 10% levels.</w:t>
      </w:r>
    </w:p>
    <w:p>
      <w:pPr>
        <w:pStyle w:val="BodyText"/>
      </w:pPr>
      <w:r>
        <w:rPr>
          <w:iCs/>
          <w:i/>
        </w:rPr>
        <w:t xml:space="preserve">Panel A. Summary statistics</w:t>
      </w:r>
    </w:p>
    <w:tbl>
      <w:tblPr>
        <w:tblStyle w:val="Table"/>
        <w:tblW w:type="pct" w:w="5000"/>
        <w:tblLook w:firstRow="1" w:lastRow="0" w:firstColumn="0" w:lastColumn="0" w:noHBand="0" w:noVBand="0" w:val="0020"/>
        <w:jc w:val="start"/>
      </w:tblPr>
      <w:tblGrid>
        <w:gridCol w:w="678"/>
        <w:gridCol w:w="905"/>
        <w:gridCol w:w="905"/>
        <w:gridCol w:w="905"/>
        <w:gridCol w:w="905"/>
        <w:gridCol w:w="905"/>
        <w:gridCol w:w="905"/>
        <w:gridCol w:w="905"/>
        <w:gridCol w:w="905"/>
      </w:tblGrid>
      <w:tr>
        <w:trPr>
          <w:tblHeader w:val="true"/>
        </w:trPr>
        <w:tc>
          <w:tcPr/>
          <w:p>
            <w:pPr>
              <w:pStyle w:val="Compact"/>
              <w:jc w:val="left"/>
            </w:pPr>
            <w:r>
              <w:t xml:space="preserve">Variable</w:t>
            </w:r>
          </w:p>
        </w:tc>
        <w:tc>
          <w:tcPr/>
          <w:p>
            <w:pPr>
              <w:pStyle w:val="Compact"/>
              <w:jc w:val="right"/>
            </w:pPr>
            <w:r>
              <w:t xml:space="preserve">Indonesian and regional</w:t>
            </w:r>
          </w:p>
        </w:tc>
        <w:tc>
          <w:tcPr/>
          <w:p>
            <w:pPr>
              <w:pStyle w:val="Compact"/>
            </w:pPr>
          </w:p>
        </w:tc>
        <w:tc>
          <w:tcPr/>
          <w:p>
            <w:pPr>
              <w:pStyle w:val="Compact"/>
            </w:pPr>
          </w:p>
        </w:tc>
        <w:tc>
          <w:tcPr/>
          <w:p>
            <w:pPr>
              <w:pStyle w:val="Compact"/>
            </w:pPr>
          </w:p>
        </w:tc>
        <w:tc>
          <w:tcPr/>
          <w:p>
            <w:pPr>
              <w:pStyle w:val="Compact"/>
              <w:jc w:val="right"/>
            </w:pPr>
            <w:r>
              <w:t xml:space="preserve">Foreign</w:t>
            </w:r>
          </w:p>
        </w:tc>
        <w:tc>
          <w:tcPr/>
          <w:p>
            <w:pPr>
              <w:pStyle w:val="Compact"/>
            </w:pPr>
          </w:p>
        </w:tc>
        <w:tc>
          <w:tcPr/>
          <w:p>
            <w:pPr>
              <w:pStyle w:val="Compact"/>
            </w:pPr>
          </w:p>
        </w:tc>
        <w:tc>
          <w:tcPr/>
          <w:p>
            <w:pPr>
              <w:pStyle w:val="Compact"/>
            </w:pPr>
          </w:p>
        </w:tc>
      </w:tr>
      <w:tr>
        <w:tc>
          <w:tcPr/>
          <w:p>
            <w:pPr>
              <w:pStyle w:val="Compact"/>
            </w:pPr>
          </w:p>
        </w:tc>
        <w:tc>
          <w:tcPr/>
          <w:p>
            <w:pPr>
              <w:pStyle w:val="Compact"/>
              <w:jc w:val="right"/>
            </w:pPr>
            <w:r>
              <w:rPr>
                <w:bCs/>
                <w:b/>
              </w:rPr>
              <w:t xml:space="preserve">N</w:t>
            </w:r>
          </w:p>
        </w:tc>
        <w:tc>
          <w:tcPr/>
          <w:p>
            <w:pPr>
              <w:pStyle w:val="Compact"/>
              <w:jc w:val="right"/>
            </w:pPr>
            <w:r>
              <w:rPr>
                <w:bCs/>
                <w:b/>
              </w:rPr>
              <w:t xml:space="preserve">Mean</w:t>
            </w:r>
          </w:p>
        </w:tc>
        <w:tc>
          <w:tcPr/>
          <w:p>
            <w:pPr>
              <w:pStyle w:val="Compact"/>
              <w:jc w:val="right"/>
            </w:pPr>
            <w:r>
              <w:rPr>
                <w:bCs/>
                <w:b/>
              </w:rPr>
              <w:t xml:space="preserve">P50</w:t>
            </w:r>
          </w:p>
        </w:tc>
        <w:tc>
          <w:tcPr/>
          <w:p>
            <w:pPr>
              <w:pStyle w:val="Compact"/>
              <w:jc w:val="right"/>
            </w:pPr>
            <w:r>
              <w:rPr>
                <w:bCs/>
                <w:b/>
              </w:rPr>
              <w:t xml:space="preserve">SD</w:t>
            </w:r>
          </w:p>
        </w:tc>
        <w:tc>
          <w:tcPr/>
          <w:p>
            <w:pPr>
              <w:pStyle w:val="Compact"/>
              <w:jc w:val="right"/>
            </w:pPr>
            <w:r>
              <w:rPr>
                <w:bCs/>
                <w:b/>
              </w:rPr>
              <w:t xml:space="preserve">N</w:t>
            </w:r>
          </w:p>
        </w:tc>
        <w:tc>
          <w:tcPr/>
          <w:p>
            <w:pPr>
              <w:pStyle w:val="Compact"/>
              <w:jc w:val="right"/>
            </w:pPr>
            <w:r>
              <w:rPr>
                <w:bCs/>
                <w:b/>
              </w:rPr>
              <w:t xml:space="preserve">Mean</w:t>
            </w:r>
          </w:p>
        </w:tc>
        <w:tc>
          <w:tcPr/>
          <w:p>
            <w:pPr>
              <w:pStyle w:val="Compact"/>
              <w:jc w:val="right"/>
            </w:pPr>
            <w:r>
              <w:rPr>
                <w:bCs/>
                <w:b/>
              </w:rPr>
              <w:t xml:space="preserve">P50</w:t>
            </w:r>
          </w:p>
        </w:tc>
        <w:tc>
          <w:tcPr/>
          <w:p>
            <w:pPr>
              <w:pStyle w:val="Compact"/>
              <w:jc w:val="right"/>
            </w:pPr>
            <w:r>
              <w:rPr>
                <w:bCs/>
                <w:b/>
              </w:rPr>
              <w:t xml:space="preserve">SD</w:t>
            </w:r>
          </w:p>
        </w:tc>
      </w:tr>
      <w:tr>
        <w:tc>
          <w:tcPr/>
          <w:p>
            <w:pPr>
              <w:pStyle w:val="Compact"/>
              <w:jc w:val="left"/>
            </w:pPr>
            <w:r>
              <w:t xml:space="preserve">Wedge, US$ million</w:t>
            </w:r>
          </w:p>
        </w:tc>
        <w:tc>
          <w:tcPr/>
          <w:p>
            <w:pPr>
              <w:pStyle w:val="Compact"/>
              <w:jc w:val="right"/>
            </w:pPr>
            <w:r>
              <w:t xml:space="preserve">20</w:t>
            </w:r>
          </w:p>
        </w:tc>
        <w:tc>
          <w:tcPr/>
          <w:p>
            <w:pPr>
              <w:pStyle w:val="Compact"/>
              <w:jc w:val="right"/>
            </w:pPr>
            <w:r>
              <w:t xml:space="preserve">7,834</w:t>
            </w:r>
          </w:p>
        </w:tc>
        <w:tc>
          <w:tcPr/>
          <w:p>
            <w:pPr>
              <w:pStyle w:val="Compact"/>
              <w:jc w:val="right"/>
            </w:pPr>
            <w:r>
              <w:t xml:space="preserve">6,999</w:t>
            </w:r>
          </w:p>
        </w:tc>
        <w:tc>
          <w:tcPr/>
          <w:p>
            <w:pPr>
              <w:pStyle w:val="Compact"/>
              <w:jc w:val="right"/>
            </w:pPr>
            <w:r>
              <w:t xml:space="preserve">5,311</w:t>
            </w:r>
          </w:p>
        </w:tc>
        <w:tc>
          <w:tcPr/>
          <w:p>
            <w:pPr>
              <w:pStyle w:val="Compact"/>
              <w:jc w:val="right"/>
            </w:pPr>
            <w:r>
              <w:t xml:space="preserve">193</w:t>
            </w:r>
          </w:p>
        </w:tc>
        <w:tc>
          <w:tcPr/>
          <w:p>
            <w:pPr>
              <w:pStyle w:val="Compact"/>
              <w:jc w:val="right"/>
            </w:pPr>
            <w:r>
              <w:t xml:space="preserve">50,439</w:t>
            </w:r>
          </w:p>
        </w:tc>
        <w:tc>
          <w:tcPr/>
          <w:p>
            <w:pPr>
              <w:pStyle w:val="Compact"/>
              <w:jc w:val="right"/>
            </w:pPr>
            <w:r>
              <w:t xml:space="preserve">3,732</w:t>
            </w:r>
          </w:p>
        </w:tc>
        <w:tc>
          <w:tcPr/>
          <w:p>
            <w:pPr>
              <w:pStyle w:val="Compact"/>
              <w:jc w:val="right"/>
            </w:pPr>
            <w:r>
              <w:t xml:space="preserve">142,180</w:t>
            </w:r>
          </w:p>
        </w:tc>
      </w:tr>
      <w:tr>
        <w:tc>
          <w:tcPr/>
          <w:p>
            <w:pPr>
              <w:pStyle w:val="Compact"/>
              <w:jc w:val="left"/>
            </w:pPr>
            <w:r>
              <w:t xml:space="preserve">Ecosystem ratio</w:t>
            </w:r>
          </w:p>
        </w:tc>
        <w:tc>
          <w:tcPr/>
          <w:p>
            <w:pPr>
              <w:pStyle w:val="Compact"/>
              <w:jc w:val="right"/>
            </w:pPr>
            <w:r>
              <w:t xml:space="preserve">20</w:t>
            </w:r>
          </w:p>
        </w:tc>
        <w:tc>
          <w:tcPr/>
          <w:p>
            <w:pPr>
              <w:pStyle w:val="Compact"/>
              <w:jc w:val="right"/>
            </w:pPr>
            <w:r>
              <w:t xml:space="preserve">25.08</w:t>
            </w:r>
          </w:p>
        </w:tc>
        <w:tc>
          <w:tcPr/>
          <w:p>
            <w:pPr>
              <w:pStyle w:val="Compact"/>
              <w:jc w:val="right"/>
            </w:pPr>
            <w:r>
              <w:t xml:space="preserve">34.66</w:t>
            </w:r>
          </w:p>
        </w:tc>
        <w:tc>
          <w:tcPr/>
          <w:p>
            <w:pPr>
              <w:pStyle w:val="Compact"/>
              <w:jc w:val="right"/>
            </w:pPr>
            <w:r>
              <w:t xml:space="preserve">14.95</w:t>
            </w:r>
          </w:p>
        </w:tc>
        <w:tc>
          <w:tcPr/>
          <w:p>
            <w:pPr>
              <w:pStyle w:val="Compact"/>
              <w:jc w:val="right"/>
            </w:pPr>
            <w:r>
              <w:t xml:space="preserve">193</w:t>
            </w:r>
          </w:p>
        </w:tc>
        <w:tc>
          <w:tcPr/>
          <w:p>
            <w:pPr>
              <w:pStyle w:val="Compact"/>
              <w:jc w:val="right"/>
            </w:pPr>
            <w:r>
              <w:t xml:space="preserve">8.84</w:t>
            </w:r>
          </w:p>
        </w:tc>
        <w:tc>
          <w:tcPr/>
          <w:p>
            <w:pPr>
              <w:pStyle w:val="Compact"/>
              <w:jc w:val="right"/>
            </w:pPr>
            <w:r>
              <w:t xml:space="preserve">5.50</w:t>
            </w:r>
          </w:p>
        </w:tc>
        <w:tc>
          <w:tcPr/>
          <w:p>
            <w:pPr>
              <w:pStyle w:val="Compact"/>
              <w:jc w:val="right"/>
            </w:pPr>
            <w:r>
              <w:t xml:space="preserve">9.56</w:t>
            </w:r>
          </w:p>
        </w:tc>
      </w:tr>
      <w:tr>
        <w:tc>
          <w:tcPr/>
          <w:p>
            <w:pPr>
              <w:pStyle w:val="Compact"/>
              <w:jc w:val="left"/>
            </w:pPr>
            <w:r>
              <w:t xml:space="preserve">Revenue growth, g(R)</w:t>
            </w:r>
          </w:p>
        </w:tc>
        <w:tc>
          <w:tcPr/>
          <w:p>
            <w:pPr>
              <w:pStyle w:val="Compact"/>
              <w:jc w:val="right"/>
            </w:pPr>
            <w:r>
              <w:t xml:space="preserve">15</w:t>
            </w:r>
          </w:p>
        </w:tc>
        <w:tc>
          <w:tcPr/>
          <w:p>
            <w:pPr>
              <w:pStyle w:val="Compact"/>
              <w:jc w:val="right"/>
            </w:pPr>
            <w:r>
              <w:t xml:space="preserve">0.53</w:t>
            </w:r>
          </w:p>
        </w:tc>
        <w:tc>
          <w:tcPr/>
          <w:p>
            <w:pPr>
              <w:pStyle w:val="Compact"/>
              <w:jc w:val="right"/>
            </w:pPr>
            <w:r>
              <w:t xml:space="preserve">0.38</w:t>
            </w:r>
          </w:p>
        </w:tc>
        <w:tc>
          <w:tcPr/>
          <w:p>
            <w:pPr>
              <w:pStyle w:val="Compact"/>
              <w:jc w:val="right"/>
            </w:pPr>
            <w:r>
              <w:t xml:space="preserve">0.44</w:t>
            </w:r>
          </w:p>
        </w:tc>
        <w:tc>
          <w:tcPr/>
          <w:p>
            <w:pPr>
              <w:pStyle w:val="Compact"/>
              <w:jc w:val="right"/>
            </w:pPr>
            <w:r>
              <w:t xml:space="preserve">166</w:t>
            </w:r>
          </w:p>
        </w:tc>
        <w:tc>
          <w:tcPr/>
          <w:p>
            <w:pPr>
              <w:pStyle w:val="Compact"/>
              <w:jc w:val="right"/>
            </w:pPr>
            <w:r>
              <w:t xml:space="preserve">0.32</w:t>
            </w:r>
          </w:p>
        </w:tc>
        <w:tc>
          <w:tcPr/>
          <w:p>
            <w:pPr>
              <w:pStyle w:val="Compact"/>
              <w:jc w:val="right"/>
            </w:pPr>
            <w:r>
              <w:t xml:space="preserve">0.21</w:t>
            </w:r>
          </w:p>
        </w:tc>
        <w:tc>
          <w:tcPr/>
          <w:p>
            <w:pPr>
              <w:pStyle w:val="Compact"/>
              <w:jc w:val="right"/>
            </w:pPr>
            <w:r>
              <w:t xml:space="preserve">0.44</w:t>
            </w:r>
          </w:p>
        </w:tc>
      </w:tr>
      <w:tr>
        <w:tc>
          <w:tcPr/>
          <w:p>
            <w:pPr>
              <w:pStyle w:val="Compact"/>
              <w:jc w:val="left"/>
            </w:pPr>
            <w:r>
              <w:t xml:space="preserve">Transaction value growth, g(V)</w:t>
            </w:r>
          </w:p>
        </w:tc>
        <w:tc>
          <w:tcPr/>
          <w:p>
            <w:pPr>
              <w:pStyle w:val="Compact"/>
              <w:jc w:val="right"/>
            </w:pPr>
            <w:r>
              <w:t xml:space="preserve">15</w:t>
            </w:r>
          </w:p>
        </w:tc>
        <w:tc>
          <w:tcPr/>
          <w:p>
            <w:pPr>
              <w:pStyle w:val="Compact"/>
              <w:jc w:val="right"/>
            </w:pPr>
            <w:r>
              <w:t xml:space="preserve">0.22</w:t>
            </w:r>
          </w:p>
        </w:tc>
        <w:tc>
          <w:tcPr/>
          <w:p>
            <w:pPr>
              <w:pStyle w:val="Compact"/>
              <w:jc w:val="right"/>
            </w:pPr>
            <w:r>
              <w:t xml:space="preserve">0.16</w:t>
            </w:r>
          </w:p>
        </w:tc>
        <w:tc>
          <w:tcPr/>
          <w:p>
            <w:pPr>
              <w:pStyle w:val="Compact"/>
              <w:jc w:val="right"/>
            </w:pPr>
            <w:r>
              <w:t xml:space="preserve">0.34</w:t>
            </w:r>
          </w:p>
        </w:tc>
        <w:tc>
          <w:tcPr/>
          <w:p>
            <w:pPr>
              <w:pStyle w:val="Compact"/>
              <w:jc w:val="right"/>
            </w:pPr>
            <w:r>
              <w:t xml:space="preserve">166</w:t>
            </w:r>
          </w:p>
        </w:tc>
        <w:tc>
          <w:tcPr/>
          <w:p>
            <w:pPr>
              <w:pStyle w:val="Compact"/>
              <w:jc w:val="right"/>
            </w:pPr>
            <w:r>
              <w:t xml:space="preserve">0.26</w:t>
            </w:r>
          </w:p>
        </w:tc>
        <w:tc>
          <w:tcPr/>
          <w:p>
            <w:pPr>
              <w:pStyle w:val="Compact"/>
              <w:jc w:val="right"/>
            </w:pPr>
            <w:r>
              <w:t xml:space="preserve">0.16</w:t>
            </w:r>
          </w:p>
        </w:tc>
        <w:tc>
          <w:tcPr/>
          <w:p>
            <w:pPr>
              <w:pStyle w:val="Compact"/>
              <w:jc w:val="right"/>
            </w:pPr>
            <w:r>
              <w:t xml:space="preserve">0.40</w:t>
            </w:r>
          </w:p>
        </w:tc>
      </w:tr>
      <w:tr>
        <w:tc>
          <w:tcPr/>
          <w:p>
            <w:pPr>
              <w:pStyle w:val="Compact"/>
              <w:jc w:val="left"/>
            </w:pPr>
            <w:r>
              <w:t xml:space="preserve">Total assets, US$ million</w:t>
            </w:r>
          </w:p>
        </w:tc>
        <w:tc>
          <w:tcPr/>
          <w:p>
            <w:pPr>
              <w:pStyle w:val="Compact"/>
              <w:jc w:val="right"/>
            </w:pPr>
            <w:r>
              <w:t xml:space="preserve">20</w:t>
            </w:r>
          </w:p>
        </w:tc>
        <w:tc>
          <w:tcPr/>
          <w:p>
            <w:pPr>
              <w:pStyle w:val="Compact"/>
              <w:jc w:val="right"/>
            </w:pPr>
            <w:r>
              <w:t xml:space="preserve">4,300</w:t>
            </w:r>
          </w:p>
        </w:tc>
        <w:tc>
          <w:tcPr/>
          <w:p>
            <w:pPr>
              <w:pStyle w:val="Compact"/>
              <w:jc w:val="right"/>
            </w:pPr>
            <w:r>
              <w:t xml:space="preserve">2,751</w:t>
            </w:r>
          </w:p>
        </w:tc>
        <w:tc>
          <w:tcPr/>
          <w:p>
            <w:pPr>
              <w:pStyle w:val="Compact"/>
              <w:jc w:val="right"/>
            </w:pPr>
            <w:r>
              <w:t xml:space="preserve">3,727</w:t>
            </w:r>
          </w:p>
        </w:tc>
        <w:tc>
          <w:tcPr/>
          <w:p>
            <w:pPr>
              <w:pStyle w:val="Compact"/>
              <w:jc w:val="right"/>
            </w:pPr>
            <w:r>
              <w:t xml:space="preserve">182</w:t>
            </w:r>
          </w:p>
        </w:tc>
        <w:tc>
          <w:tcPr/>
          <w:p>
            <w:pPr>
              <w:pStyle w:val="Compact"/>
              <w:jc w:val="right"/>
            </w:pPr>
            <w:r>
              <w:t xml:space="preserve">13,252</w:t>
            </w:r>
          </w:p>
        </w:tc>
        <w:tc>
          <w:tcPr/>
          <w:p>
            <w:pPr>
              <w:pStyle w:val="Compact"/>
              <w:jc w:val="right"/>
            </w:pPr>
            <w:r>
              <w:t xml:space="preserve">1,461</w:t>
            </w:r>
          </w:p>
        </w:tc>
        <w:tc>
          <w:tcPr/>
          <w:p>
            <w:pPr>
              <w:pStyle w:val="Compact"/>
              <w:jc w:val="right"/>
            </w:pPr>
            <w:r>
              <w:t xml:space="preserve">35,325</w:t>
            </w:r>
          </w:p>
        </w:tc>
      </w:tr>
      <w:tr>
        <w:tc>
          <w:tcPr/>
          <w:p>
            <w:pPr>
              <w:pStyle w:val="Compact"/>
              <w:jc w:val="left"/>
            </w:pPr>
            <w:r>
              <w:t xml:space="preserve">Years since listing</w:t>
            </w:r>
          </w:p>
        </w:tc>
        <w:tc>
          <w:tcPr/>
          <w:p>
            <w:pPr>
              <w:pStyle w:val="Compact"/>
              <w:jc w:val="right"/>
            </w:pPr>
            <w:r>
              <w:t xml:space="preserve">20</w:t>
            </w:r>
          </w:p>
        </w:tc>
        <w:tc>
          <w:tcPr/>
          <w:p>
            <w:pPr>
              <w:pStyle w:val="Compact"/>
              <w:jc w:val="right"/>
            </w:pPr>
            <w:r>
              <w:t xml:space="preserve">1.10</w:t>
            </w:r>
          </w:p>
        </w:tc>
        <w:tc>
          <w:tcPr/>
          <w:p>
            <w:pPr>
              <w:pStyle w:val="Compact"/>
              <w:jc w:val="right"/>
            </w:pPr>
            <w:r>
              <w:t xml:space="preserve">1.00</w:t>
            </w:r>
          </w:p>
        </w:tc>
        <w:tc>
          <w:tcPr/>
          <w:p>
            <w:pPr>
              <w:pStyle w:val="Compact"/>
              <w:jc w:val="right"/>
            </w:pPr>
            <w:r>
              <w:t xml:space="preserve">1.12</w:t>
            </w:r>
          </w:p>
        </w:tc>
        <w:tc>
          <w:tcPr/>
          <w:p>
            <w:pPr>
              <w:pStyle w:val="Compact"/>
              <w:jc w:val="right"/>
            </w:pPr>
            <w:r>
              <w:t xml:space="preserve">193</w:t>
            </w:r>
          </w:p>
        </w:tc>
        <w:tc>
          <w:tcPr/>
          <w:p>
            <w:pPr>
              <w:pStyle w:val="Compact"/>
              <w:jc w:val="right"/>
            </w:pPr>
            <w:r>
              <w:t xml:space="preserve">6.38</w:t>
            </w:r>
          </w:p>
        </w:tc>
        <w:tc>
          <w:tcPr/>
          <w:p>
            <w:pPr>
              <w:pStyle w:val="Compact"/>
              <w:jc w:val="right"/>
            </w:pPr>
            <w:r>
              <w:t xml:space="preserve">4.00</w:t>
            </w:r>
          </w:p>
        </w:tc>
        <w:tc>
          <w:tcPr/>
          <w:p>
            <w:pPr>
              <w:pStyle w:val="Compact"/>
              <w:jc w:val="right"/>
            </w:pPr>
            <w:r>
              <w:t xml:space="preserve">7.21</w:t>
            </w:r>
          </w:p>
        </w:tc>
      </w:tr>
      <w:tr>
        <w:tc>
          <w:tcPr/>
          <w:p>
            <w:pPr>
              <w:pStyle w:val="Compact"/>
              <w:jc w:val="left"/>
            </w:pPr>
            <w:r>
              <w:t xml:space="preserve">GDP growth, percent</w:t>
            </w:r>
          </w:p>
        </w:tc>
        <w:tc>
          <w:tcPr/>
          <w:p>
            <w:pPr>
              <w:pStyle w:val="Compact"/>
              <w:jc w:val="right"/>
            </w:pPr>
            <w:r>
              <w:t xml:space="preserve">20</w:t>
            </w:r>
          </w:p>
        </w:tc>
        <w:tc>
          <w:tcPr/>
          <w:p>
            <w:pPr>
              <w:pStyle w:val="Compact"/>
              <w:jc w:val="right"/>
            </w:pPr>
            <w:r>
              <w:t xml:space="preserve">4.20</w:t>
            </w:r>
          </w:p>
        </w:tc>
        <w:tc>
          <w:tcPr/>
          <w:p>
            <w:pPr>
              <w:pStyle w:val="Compact"/>
              <w:jc w:val="right"/>
            </w:pPr>
            <w:r>
              <w:t xml:space="preserve">5.05</w:t>
            </w:r>
          </w:p>
        </w:tc>
        <w:tc>
          <w:tcPr/>
          <w:p>
            <w:pPr>
              <w:pStyle w:val="Compact"/>
              <w:jc w:val="right"/>
            </w:pPr>
            <w:r>
              <w:t xml:space="preserve">2.21</w:t>
            </w:r>
          </w:p>
        </w:tc>
        <w:tc>
          <w:tcPr/>
          <w:p>
            <w:pPr>
              <w:pStyle w:val="Compact"/>
              <w:jc w:val="right"/>
            </w:pPr>
            <w:r>
              <w:t xml:space="preserve">193</w:t>
            </w:r>
          </w:p>
        </w:tc>
        <w:tc>
          <w:tcPr/>
          <w:p>
            <w:pPr>
              <w:pStyle w:val="Compact"/>
              <w:jc w:val="right"/>
            </w:pPr>
            <w:r>
              <w:t xml:space="preserve">3.06</w:t>
            </w:r>
          </w:p>
        </w:tc>
        <w:tc>
          <w:tcPr/>
          <w:p>
            <w:pPr>
              <w:pStyle w:val="Compact"/>
              <w:jc w:val="right"/>
            </w:pPr>
            <w:r>
              <w:t xml:space="preserve">2.79</w:t>
            </w:r>
          </w:p>
        </w:tc>
        <w:tc>
          <w:tcPr/>
          <w:p>
            <w:pPr>
              <w:pStyle w:val="Compact"/>
              <w:jc w:val="right"/>
            </w:pPr>
            <w:r>
              <w:t xml:space="preserve">3.00</w:t>
            </w:r>
          </w:p>
        </w:tc>
      </w:tr>
      <w:tr>
        <w:tc>
          <w:tcPr/>
          <w:p>
            <w:pPr>
              <w:pStyle w:val="Compact"/>
              <w:jc w:val="left"/>
            </w:pPr>
            <w:r>
              <w:t xml:space="preserve">Inflation, percent</w:t>
            </w:r>
          </w:p>
        </w:tc>
        <w:tc>
          <w:tcPr/>
          <w:p>
            <w:pPr>
              <w:pStyle w:val="Compact"/>
              <w:jc w:val="right"/>
            </w:pPr>
            <w:r>
              <w:t xml:space="preserve">20</w:t>
            </w:r>
          </w:p>
        </w:tc>
        <w:tc>
          <w:tcPr/>
          <w:p>
            <w:pPr>
              <w:pStyle w:val="Compact"/>
              <w:jc w:val="right"/>
            </w:pPr>
            <w:r>
              <w:t xml:space="preserve">2.91</w:t>
            </w:r>
          </w:p>
        </w:tc>
        <w:tc>
          <w:tcPr/>
          <w:p>
            <w:pPr>
              <w:pStyle w:val="Compact"/>
              <w:jc w:val="right"/>
            </w:pPr>
            <w:r>
              <w:t xml:space="preserve">2.93</w:t>
            </w:r>
          </w:p>
        </w:tc>
        <w:tc>
          <w:tcPr/>
          <w:p>
            <w:pPr>
              <w:pStyle w:val="Compact"/>
              <w:jc w:val="right"/>
            </w:pPr>
            <w:r>
              <w:t xml:space="preserve">1.08</w:t>
            </w:r>
          </w:p>
        </w:tc>
        <w:tc>
          <w:tcPr/>
          <w:p>
            <w:pPr>
              <w:pStyle w:val="Compact"/>
              <w:jc w:val="right"/>
            </w:pPr>
            <w:r>
              <w:t xml:space="preserve">179</w:t>
            </w:r>
          </w:p>
        </w:tc>
        <w:tc>
          <w:tcPr/>
          <w:p>
            <w:pPr>
              <w:pStyle w:val="Compact"/>
              <w:jc w:val="right"/>
            </w:pPr>
            <w:r>
              <w:t xml:space="preserve">8.55</w:t>
            </w:r>
          </w:p>
        </w:tc>
        <w:tc>
          <w:tcPr/>
          <w:p>
            <w:pPr>
              <w:pStyle w:val="Compact"/>
              <w:jc w:val="right"/>
            </w:pPr>
            <w:r>
              <w:t xml:space="preserve">2.95</w:t>
            </w:r>
          </w:p>
        </w:tc>
        <w:tc>
          <w:tcPr/>
          <w:p>
            <w:pPr>
              <w:pStyle w:val="Compact"/>
              <w:jc w:val="right"/>
            </w:pPr>
            <w:r>
              <w:t xml:space="preserve">21.84</w:t>
            </w:r>
          </w:p>
        </w:tc>
      </w:tr>
      <w:tr>
        <w:tc>
          <w:tcPr/>
          <w:p>
            <w:pPr>
              <w:pStyle w:val="Compact"/>
              <w:jc w:val="left"/>
            </w:pPr>
            <w:r>
              <w:t xml:space="preserve">Household spending growth, percent</w:t>
            </w:r>
          </w:p>
        </w:tc>
        <w:tc>
          <w:tcPr/>
          <w:p>
            <w:pPr>
              <w:pStyle w:val="Compact"/>
              <w:jc w:val="right"/>
            </w:pPr>
            <w:r>
              <w:t xml:space="preserve">20</w:t>
            </w:r>
          </w:p>
        </w:tc>
        <w:tc>
          <w:tcPr/>
          <w:p>
            <w:pPr>
              <w:pStyle w:val="Compact"/>
              <w:jc w:val="right"/>
            </w:pPr>
            <w:r>
              <w:t xml:space="preserve">3.77</w:t>
            </w:r>
          </w:p>
        </w:tc>
        <w:tc>
          <w:tcPr/>
          <w:p>
            <w:pPr>
              <w:pStyle w:val="Compact"/>
              <w:jc w:val="right"/>
            </w:pPr>
            <w:r>
              <w:t xml:space="preserve">4.95</w:t>
            </w:r>
          </w:p>
        </w:tc>
        <w:tc>
          <w:tcPr/>
          <w:p>
            <w:pPr>
              <w:pStyle w:val="Compact"/>
              <w:jc w:val="right"/>
            </w:pPr>
            <w:r>
              <w:t xml:space="preserve">2.45</w:t>
            </w:r>
          </w:p>
        </w:tc>
        <w:tc>
          <w:tcPr/>
          <w:p>
            <w:pPr>
              <w:pStyle w:val="Compact"/>
              <w:jc w:val="right"/>
            </w:pPr>
            <w:r>
              <w:t xml:space="preserve">174</w:t>
            </w:r>
          </w:p>
        </w:tc>
        <w:tc>
          <w:tcPr/>
          <w:p>
            <w:pPr>
              <w:pStyle w:val="Compact"/>
              <w:jc w:val="right"/>
            </w:pPr>
            <w:r>
              <w:t xml:space="preserve">3.55</w:t>
            </w:r>
          </w:p>
        </w:tc>
        <w:tc>
          <w:tcPr/>
          <w:p>
            <w:pPr>
              <w:pStyle w:val="Compact"/>
              <w:jc w:val="right"/>
            </w:pPr>
            <w:r>
              <w:t xml:space="preserve">2.95</w:t>
            </w:r>
          </w:p>
        </w:tc>
        <w:tc>
          <w:tcPr/>
          <w:p>
            <w:pPr>
              <w:pStyle w:val="Compact"/>
              <w:jc w:val="right"/>
            </w:pPr>
            <w:r>
              <w:t xml:space="preserve">4.21</w:t>
            </w:r>
          </w:p>
        </w:tc>
      </w:tr>
      <w:tr>
        <w:tc>
          <w:tcPr/>
          <w:p>
            <w:pPr>
              <w:pStyle w:val="Compact"/>
              <w:jc w:val="left"/>
            </w:pPr>
            <w:r>
              <w:t xml:space="preserve">Policy rate, percent</w:t>
            </w:r>
          </w:p>
        </w:tc>
        <w:tc>
          <w:tcPr/>
          <w:p>
            <w:pPr>
              <w:pStyle w:val="Compact"/>
              <w:jc w:val="right"/>
            </w:pPr>
            <w:r>
              <w:t xml:space="preserve">20</w:t>
            </w:r>
          </w:p>
        </w:tc>
        <w:tc>
          <w:tcPr/>
          <w:p>
            <w:pPr>
              <w:pStyle w:val="Compact"/>
              <w:jc w:val="right"/>
            </w:pPr>
            <w:r>
              <w:t xml:space="preserve">4.85</w:t>
            </w:r>
          </w:p>
        </w:tc>
        <w:tc>
          <w:tcPr/>
          <w:p>
            <w:pPr>
              <w:pStyle w:val="Compact"/>
              <w:jc w:val="right"/>
            </w:pPr>
            <w:r>
              <w:t xml:space="preserve">4.76</w:t>
            </w:r>
          </w:p>
        </w:tc>
        <w:tc>
          <w:tcPr/>
          <w:p>
            <w:pPr>
              <w:pStyle w:val="Compact"/>
              <w:jc w:val="right"/>
            </w:pPr>
            <w:r>
              <w:t xml:space="preserve">1.01</w:t>
            </w:r>
          </w:p>
        </w:tc>
        <w:tc>
          <w:tcPr/>
          <w:p>
            <w:pPr>
              <w:pStyle w:val="Compact"/>
              <w:jc w:val="right"/>
            </w:pPr>
            <w:r>
              <w:t xml:space="preserve">183</w:t>
            </w:r>
          </w:p>
        </w:tc>
        <w:tc>
          <w:tcPr/>
          <w:p>
            <w:pPr>
              <w:pStyle w:val="Compact"/>
              <w:jc w:val="right"/>
            </w:pPr>
            <w:r>
              <w:t xml:space="preserve">6.24</w:t>
            </w:r>
          </w:p>
        </w:tc>
        <w:tc>
          <w:tcPr/>
          <w:p>
            <w:pPr>
              <w:pStyle w:val="Compact"/>
              <w:jc w:val="right"/>
            </w:pPr>
            <w:r>
              <w:t xml:space="preserve">3.91</w:t>
            </w:r>
          </w:p>
        </w:tc>
        <w:tc>
          <w:tcPr/>
          <w:p>
            <w:pPr>
              <w:pStyle w:val="Compact"/>
              <w:jc w:val="right"/>
            </w:pPr>
            <w:r>
              <w:t xml:space="preserve">12.34</w:t>
            </w:r>
          </w:p>
        </w:tc>
      </w:tr>
    </w:tbl>
    <w:p>
      <w:pPr>
        <w:pStyle w:val="BodyText"/>
      </w:pPr>
      <w:r>
        <w:rPr>
          <w:iCs/>
          <w:i/>
        </w:rPr>
        <w:t xml:space="preserve">Panel B. Pairwise correlations</w:t>
      </w:r>
    </w:p>
    <w:tbl>
      <w:tblPr>
        <w:tblStyle w:val="Table"/>
        <w:tblW w:type="pct" w:w="5000"/>
        <w:tblLook w:firstRow="1" w:lastRow="0" w:firstColumn="0" w:lastColumn="0" w:noHBand="0" w:noVBand="0" w:val="0020"/>
        <w:jc w:val="start"/>
      </w:tblPr>
      <w:tblGrid>
        <w:gridCol w:w="609"/>
        <w:gridCol w:w="812"/>
        <w:gridCol w:w="812"/>
        <w:gridCol w:w="812"/>
        <w:gridCol w:w="812"/>
        <w:gridCol w:w="812"/>
        <w:gridCol w:w="812"/>
        <w:gridCol w:w="812"/>
        <w:gridCol w:w="812"/>
        <w:gridCol w:w="812"/>
      </w:tblGrid>
      <w:tr>
        <w:trPr>
          <w:tblHeader w:val="true"/>
        </w:trPr>
        <w:tc>
          <w:tcPr/>
          <w:p>
            <w:pPr>
              <w:pStyle w:val="Compact"/>
              <w:jc w:val="left"/>
            </w:pPr>
            <w:r>
              <w:t xml:space="preserve">Variables</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(6)</w:t>
            </w:r>
          </w:p>
        </w:tc>
        <w:tc>
          <w:tcPr/>
          <w:p>
            <w:pPr>
              <w:pStyle w:val="Compact"/>
              <w:jc w:val="right"/>
            </w:pPr>
            <w:r>
              <w:t xml:space="preserve">(7)</w:t>
            </w:r>
          </w:p>
        </w:tc>
        <w:tc>
          <w:tcPr/>
          <w:p>
            <w:pPr>
              <w:pStyle w:val="Compact"/>
              <w:jc w:val="right"/>
            </w:pPr>
            <w:r>
              <w:t xml:space="preserve">(8)</w:t>
            </w:r>
          </w:p>
        </w:tc>
        <w:tc>
          <w:tcPr/>
          <w:p>
            <w:pPr>
              <w:pStyle w:val="Compact"/>
              <w:jc w:val="right"/>
            </w:pPr>
            <w:r>
              <w:t xml:space="preserve">(9)</w:t>
            </w:r>
          </w:p>
        </w:tc>
      </w:tr>
      <w:tr>
        <w:tc>
          <w:tcPr/>
          <w:p>
            <w:pPr>
              <w:pStyle w:val="Compact"/>
              <w:jc w:val="left"/>
            </w:pPr>
            <w:r>
              <w:t xml:space="preserve">(1) ln(Wedge)</w:t>
            </w:r>
          </w:p>
        </w:tc>
        <w:tc>
          <w:tcPr/>
          <w:p>
            <w:pPr>
              <w:pStyle w:val="Compact"/>
              <w:jc w:val="righ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 Ecosystem ratio</w:t>
            </w:r>
          </w:p>
        </w:tc>
        <w:tc>
          <w:tcPr/>
          <w:p>
            <w:pPr>
              <w:pStyle w:val="Compact"/>
              <w:jc w:val="right"/>
            </w:pPr>
            <w:r>
              <w:t xml:space="preserve">0.37∗∗∗</w:t>
            </w:r>
          </w:p>
        </w:tc>
        <w:tc>
          <w:tcPr/>
          <w:p>
            <w:pPr>
              <w:pStyle w:val="Compact"/>
              <w:jc w:val="righ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 g(R)</w:t>
            </w:r>
          </w:p>
        </w:tc>
        <w:tc>
          <w:tcPr/>
          <w:p>
            <w:pPr>
              <w:pStyle w:val="Compact"/>
              <w:jc w:val="right"/>
            </w:pPr>
            <w:r>
              <w:t xml:space="preserve">0.13∗</w:t>
            </w:r>
          </w:p>
        </w:tc>
        <w:tc>
          <w:tcPr/>
          <w:p>
            <w:pPr>
              <w:pStyle w:val="Compact"/>
              <w:jc w:val="right"/>
            </w:pPr>
            <w:r>
              <w:t xml:space="preserve">0.18∗∗</w:t>
            </w:r>
          </w:p>
        </w:tc>
        <w:tc>
          <w:tcPr/>
          <w:p>
            <w:pPr>
              <w:pStyle w:val="Compact"/>
              <w:jc w:val="righ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 g(V)</w:t>
            </w:r>
          </w:p>
        </w:tc>
        <w:tc>
          <w:tcPr/>
          <w:p>
            <w:pPr>
              <w:pStyle w:val="Compact"/>
              <w:jc w:val="right"/>
            </w:pPr>
            <w:r>
              <w:t xml:space="preserve">0.05</w:t>
            </w:r>
          </w:p>
        </w:tc>
        <w:tc>
          <w:tcPr/>
          <w:p>
            <w:pPr>
              <w:pStyle w:val="Compact"/>
              <w:jc w:val="right"/>
            </w:pPr>
            <w:r>
              <w:t xml:space="preserve">0.15∗</w:t>
            </w:r>
          </w:p>
        </w:tc>
        <w:tc>
          <w:tcPr/>
          <w:p>
            <w:pPr>
              <w:pStyle w:val="Compact"/>
              <w:jc w:val="right"/>
            </w:pPr>
            <w:r>
              <w:t xml:space="preserve">0.84∗∗∗</w:t>
            </w:r>
          </w:p>
        </w:tc>
        <w:tc>
          <w:tcPr/>
          <w:p>
            <w:pPr>
              <w:pStyle w:val="Compact"/>
              <w:jc w:val="righ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 ln(Assets)</w:t>
            </w:r>
          </w:p>
        </w:tc>
        <w:tc>
          <w:tcPr/>
          <w:p>
            <w:pPr>
              <w:pStyle w:val="Compact"/>
              <w:jc w:val="right"/>
            </w:pPr>
            <w:r>
              <w:t xml:space="preserve">0.88∗∗∗</w:t>
            </w:r>
          </w:p>
        </w:tc>
        <w:tc>
          <w:tcPr/>
          <w:p>
            <w:pPr>
              <w:pStyle w:val="Compact"/>
              <w:jc w:val="right"/>
            </w:pPr>
            <w:r>
              <w:t xml:space="preserve">0.10</w:t>
            </w:r>
          </w:p>
        </w:tc>
        <w:tc>
          <w:tcPr/>
          <w:p>
            <w:pPr>
              <w:pStyle w:val="Compact"/>
              <w:jc w:val="right"/>
            </w:pPr>
            <w:r>
              <w:t xml:space="preserve">0.10</w:t>
            </w:r>
          </w:p>
        </w:tc>
        <w:tc>
          <w:tcPr/>
          <w:p>
            <w:pPr>
              <w:pStyle w:val="Compact"/>
              <w:jc w:val="right"/>
            </w:pPr>
            <w:r>
              <w:t xml:space="preserve">0.01</w:t>
            </w:r>
          </w:p>
        </w:tc>
        <w:tc>
          <w:tcPr/>
          <w:p>
            <w:pPr>
              <w:pStyle w:val="Compact"/>
              <w:jc w:val="righ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 ln(1+YearsListed)</w:t>
            </w:r>
          </w:p>
        </w:tc>
        <w:tc>
          <w:tcPr/>
          <w:p>
            <w:pPr>
              <w:pStyle w:val="Compact"/>
              <w:jc w:val="right"/>
            </w:pPr>
            <w:r>
              <w:t xml:space="preserve">0.44∗∗∗</w:t>
            </w:r>
          </w:p>
        </w:tc>
        <w:tc>
          <w:tcPr/>
          <w:p>
            <w:pPr>
              <w:pStyle w:val="Compact"/>
              <w:jc w:val="right"/>
            </w:pPr>
            <w:r>
              <w:t xml:space="preserve">-0.20∗∗∗</w:t>
            </w:r>
          </w:p>
        </w:tc>
        <w:tc>
          <w:tcPr/>
          <w:p>
            <w:pPr>
              <w:pStyle w:val="Compact"/>
              <w:jc w:val="right"/>
            </w:pPr>
            <w:r>
              <w:t xml:space="preserve">-0.30∗∗∗</w:t>
            </w:r>
          </w:p>
        </w:tc>
        <w:tc>
          <w:tcPr/>
          <w:p>
            <w:pPr>
              <w:pStyle w:val="Compact"/>
              <w:jc w:val="right"/>
            </w:pPr>
            <w:r>
              <w:t xml:space="preserve">-0.35∗∗∗</w:t>
            </w:r>
          </w:p>
        </w:tc>
        <w:tc>
          <w:tcPr/>
          <w:p>
            <w:pPr>
              <w:pStyle w:val="Compact"/>
              <w:jc w:val="right"/>
            </w:pPr>
            <w:r>
              <w:t xml:space="preserve">0.46∗∗∗</w:t>
            </w:r>
          </w:p>
        </w:tc>
        <w:tc>
          <w:tcPr/>
          <w:p>
            <w:pPr>
              <w:pStyle w:val="Compact"/>
              <w:jc w:val="right"/>
            </w:pPr>
            <w:r>
              <w:t xml:space="preserve">1</w:t>
            </w:r>
          </w:p>
        </w:tc>
        <w:tc>
          <w:tcPr/>
          <w:p>
            <w:pPr>
              <w:pStyle w:val="Compact"/>
            </w:pPr>
          </w:p>
        </w:tc>
        <w:tc>
          <w:tcPr/>
          <w:p>
            <w:pPr>
              <w:pStyle w:val="Compact"/>
            </w:pPr>
          </w:p>
        </w:tc>
        <w:tc>
          <w:tcPr/>
          <w:p>
            <w:pPr>
              <w:pStyle w:val="Compact"/>
            </w:pPr>
          </w:p>
        </w:tc>
      </w:tr>
      <w:tr>
        <w:tc>
          <w:tcPr/>
          <w:p>
            <w:pPr>
              <w:pStyle w:val="Compact"/>
              <w:jc w:val="left"/>
            </w:pPr>
            <w:r>
              <w:t xml:space="preserve">(7) IndonesiaRegion</w:t>
            </w:r>
          </w:p>
        </w:tc>
        <w:tc>
          <w:tcPr/>
          <w:p>
            <w:pPr>
              <w:pStyle w:val="Compact"/>
              <w:jc w:val="right"/>
            </w:pPr>
            <w:r>
              <w:t xml:space="preserve">0.02</w:t>
            </w:r>
          </w:p>
        </w:tc>
        <w:tc>
          <w:tcPr/>
          <w:p>
            <w:pPr>
              <w:pStyle w:val="Compact"/>
              <w:jc w:val="right"/>
            </w:pPr>
            <w:r>
              <w:t xml:space="preserve">0.42∗∗∗</w:t>
            </w:r>
          </w:p>
        </w:tc>
        <w:tc>
          <w:tcPr/>
          <w:p>
            <w:pPr>
              <w:pStyle w:val="Compact"/>
              <w:jc w:val="right"/>
            </w:pPr>
            <w:r>
              <w:t xml:space="preserve">0.13∗</w:t>
            </w:r>
          </w:p>
        </w:tc>
        <w:tc>
          <w:tcPr/>
          <w:p>
            <w:pPr>
              <w:pStyle w:val="Compact"/>
              <w:jc w:val="right"/>
            </w:pPr>
            <w:r>
              <w:t xml:space="preserve">-0.03</w:t>
            </w:r>
          </w:p>
        </w:tc>
        <w:tc>
          <w:tcPr/>
          <w:p>
            <w:pPr>
              <w:pStyle w:val="Compact"/>
              <w:jc w:val="right"/>
            </w:pPr>
            <w:r>
              <w:t xml:space="preserve">0.04</w:t>
            </w:r>
          </w:p>
        </w:tc>
        <w:tc>
          <w:tcPr/>
          <w:p>
            <w:pPr>
              <w:pStyle w:val="Compact"/>
              <w:jc w:val="right"/>
            </w:pPr>
            <w:r>
              <w:t xml:space="preserve">-0.27∗∗∗</w:t>
            </w:r>
          </w:p>
        </w:tc>
        <w:tc>
          <w:tcPr/>
          <w:p>
            <w:pPr>
              <w:pStyle w:val="Compact"/>
              <w:jc w:val="right"/>
            </w:pPr>
            <w:r>
              <w:t xml:space="preserve">1</w:t>
            </w:r>
          </w:p>
        </w:tc>
        <w:tc>
          <w:tcPr/>
          <w:p>
            <w:pPr>
              <w:pStyle w:val="Compact"/>
            </w:pPr>
          </w:p>
        </w:tc>
        <w:tc>
          <w:tcPr/>
          <w:p>
            <w:pPr>
              <w:pStyle w:val="Compact"/>
            </w:pPr>
          </w:p>
        </w:tc>
      </w:tr>
      <w:tr>
        <w:tc>
          <w:tcPr/>
          <w:p>
            <w:pPr>
              <w:pStyle w:val="Compact"/>
              <w:jc w:val="left"/>
            </w:pPr>
            <w:r>
              <w:t xml:space="preserve">(8) GDPGrowth</w:t>
            </w:r>
          </w:p>
        </w:tc>
        <w:tc>
          <w:tcPr/>
          <w:p>
            <w:pPr>
              <w:pStyle w:val="Compact"/>
              <w:jc w:val="right"/>
            </w:pPr>
            <w:r>
              <w:t xml:space="preserve">0.10</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0.21∗∗∗</w:t>
            </w:r>
          </w:p>
        </w:tc>
        <w:tc>
          <w:tcPr/>
          <w:p>
            <w:pPr>
              <w:pStyle w:val="Compact"/>
              <w:jc w:val="right"/>
            </w:pPr>
            <w:r>
              <w:t xml:space="preserve">0.06</w:t>
            </w:r>
          </w:p>
        </w:tc>
        <w:tc>
          <w:tcPr/>
          <w:p>
            <w:pPr>
              <w:pStyle w:val="Compact"/>
              <w:jc w:val="right"/>
            </w:pPr>
            <w:r>
              <w:t xml:space="preserve">-0.11</w:t>
            </w:r>
          </w:p>
        </w:tc>
        <w:tc>
          <w:tcPr/>
          <w:p>
            <w:pPr>
              <w:pStyle w:val="Compact"/>
              <w:jc w:val="right"/>
            </w:pPr>
            <w:r>
              <w:t xml:space="preserve">0.11</w:t>
            </w:r>
          </w:p>
        </w:tc>
        <w:tc>
          <w:tcPr/>
          <w:p>
            <w:pPr>
              <w:pStyle w:val="Compact"/>
              <w:jc w:val="right"/>
            </w:pPr>
            <w:r>
              <w:t xml:space="preserve">1</w:t>
            </w:r>
          </w:p>
        </w:tc>
        <w:tc>
          <w:tcPr/>
          <w:p>
            <w:pPr>
              <w:pStyle w:val="Compact"/>
            </w:pPr>
          </w:p>
        </w:tc>
      </w:tr>
      <w:tr>
        <w:tc>
          <w:tcPr/>
          <w:p>
            <w:pPr>
              <w:pStyle w:val="Compact"/>
              <w:jc w:val="left"/>
            </w:pPr>
            <w:r>
              <w:t xml:space="preserve">(9) PolicyRate</w:t>
            </w:r>
          </w:p>
        </w:tc>
        <w:tc>
          <w:tcPr/>
          <w:p>
            <w:pPr>
              <w:pStyle w:val="Compact"/>
              <w:jc w:val="right"/>
            </w:pPr>
            <w:r>
              <w:t xml:space="preserve">-0.02</w:t>
            </w:r>
          </w:p>
        </w:tc>
        <w:tc>
          <w:tcPr/>
          <w:p>
            <w:pPr>
              <w:pStyle w:val="Compact"/>
              <w:jc w:val="right"/>
            </w:pPr>
            <w:r>
              <w:t xml:space="preserve">-0.06</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-0.09</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-0.14∗∗</w:t>
            </w:r>
          </w:p>
        </w:tc>
        <w:tc>
          <w:tcPr/>
          <w:p>
            <w:pPr>
              <w:pStyle w:val="Compact"/>
              <w:jc w:val="right"/>
            </w:pPr>
            <w:r>
              <w:t xml:space="preserve">1</w:t>
            </w:r>
          </w:p>
        </w:tc>
      </w:tr>
    </w:tbl>
    <w:p>
      <w:pPr>
        <w:pStyle w:val="BodyText"/>
      </w:pPr>
      <w:r>
        <w:rPr>
          <w:iCs/>
          <w:i/>
        </w:rPr>
        <w:t xml:space="preserve">Note:</w:t>
      </w:r>
      <w:r>
        <w:t xml:space="preserve"> </w:t>
      </w:r>
      <w:r>
        <w:t xml:space="preserve">Inflation and household spending growth are left out of Panel B to fit the page; they correlate 0.80 with the policy rate and 0.92 with GDP growth. The policy rate is missing for Kazakhstan and Nigeria, and some growth and macroeconomic values are missing for the first year of a platform or for 2025. Source: company filings; World Bank; Bank for International Settlements; author’s calculations. Exploratory.</w:t>
      </w:r>
    </w:p>
    <w:p>
      <w:pPr>
        <w:pStyle w:val="BodyText"/>
      </w:pPr>
      <w:r>
        <w:t xml:space="preserve">Across all platforms, revenue growth and transaction value growth have a correlation of 0.84 (Panel B). The wedge and transaction value correlate at 0.9994 in levels, as they must, because the wedge is transaction value minus revenue and revenue is a small part of it. So the test of H1 uses growth rates.</w:t>
      </w:r>
    </w:p>
    <w:p>
      <w:pPr>
        <w:pStyle w:val="BodyText"/>
      </w:pPr>
      <w:r>
        <w:t xml:space="preserve">Table 5.3 tests H1 in growth rates. Abroad, a rise of 1 percentage point in the growth of transaction value goes with a rise of 0.99 points in the growth of revenue (standard error 0.07), which cannot be told from the 1 that proportional growth requires (p = 0.84). The two growth rates correlate at 0.90. In Indonesia and the region the slope is 0.40 (standard error 0.16) and differs from 1 (p = 0.02). The correlation is 0.31, and the constant is 0.44: revenue grew by about 44 percent a year whatever transaction value did. In the regression on all platforms, the slope of the Indonesian and regional group is 0.59 below the foreign slope, and the two correlations differ (p &lt; 0.001). The Indonesian and regional result rests on 15 pairs from five platforms, so its standard errors are less reliable than those abroad.</w:t>
      </w:r>
    </w:p>
    <w:p>
      <w:pPr>
        <w:pStyle w:val="BodyText"/>
      </w:pPr>
      <w:r>
        <w:rPr>
          <w:bCs/>
          <w:b/>
        </w:rPr>
        <w:t xml:space="preserve">Table 5.3. Revenue growth and transaction value growth</w:t>
      </w:r>
    </w:p>
    <w:p>
      <w:pPr>
        <w:pStyle w:val="BodyText"/>
      </w:pPr>
      <w:r>
        <w:t xml:space="preserve">This table reports OLS estimates of equation (6). The dependent variable is the growth of revenue, g(R), the simple percentage change from the previous year. Column (1) uses all platforms, with an interaction between transaction value growth and the Indonesia and region dummy, so the coefficient on g(V) in that column is the slope of the foreign platforms. Column (2) uses the 26 foreign platforms with a pair of consecutive years, and column (3) the five Indonesian and regional platforms. Growth rates are capped at their 5th and 95th percentiles. Appendix A defines the variables. Standard errors (in parentheses) are clustered at the platform level. ∗∗∗, ∗∗ and ∗ correspond to statistical significance at the 1%, 5% and 10% levels.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iCs/>
                <w:i/>
              </w:rPr>
              <w:t xml:space="preserve">Dependent variable</w:t>
            </w:r>
          </w:p>
        </w:tc>
        <w:tc>
          <w:tcPr/>
          <w:p>
            <w:pPr>
              <w:pStyle w:val="Compact"/>
              <w:jc w:val="right"/>
            </w:pPr>
            <w:r>
              <w:t xml:space="preserve">g(R)</w:t>
            </w:r>
          </w:p>
        </w:tc>
        <w:tc>
          <w:tcPr/>
          <w:p>
            <w:pPr>
              <w:pStyle w:val="Compact"/>
              <w:jc w:val="right"/>
            </w:pPr>
            <w:r>
              <w:t xml:space="preserve">g(R)</w:t>
            </w:r>
          </w:p>
        </w:tc>
        <w:tc>
          <w:tcPr/>
          <w:p>
            <w:pPr>
              <w:pStyle w:val="Compact"/>
              <w:jc w:val="right"/>
            </w:pPr>
            <w:r>
              <w:t xml:space="preserve">g(R)</w:t>
            </w:r>
          </w:p>
        </w:tc>
      </w:tr>
      <w:tr>
        <w:tc>
          <w:tcPr/>
          <w:p>
            <w:pPr>
              <w:pStyle w:val="Compact"/>
              <w:jc w:val="left"/>
            </w:pPr>
            <w:r>
              <w:t xml:space="preserve">Sample</w:t>
            </w:r>
          </w:p>
        </w:tc>
        <w:tc>
          <w:tcPr/>
          <w:p>
            <w:pPr>
              <w:pStyle w:val="Compact"/>
              <w:jc w:val="right"/>
            </w:pPr>
            <w:r>
              <w:t xml:space="preserve">All platforms</w:t>
            </w:r>
          </w:p>
        </w:tc>
        <w:tc>
          <w:tcPr/>
          <w:p>
            <w:pPr>
              <w:pStyle w:val="Compact"/>
              <w:jc w:val="right"/>
            </w:pPr>
            <w:r>
              <w:t xml:space="preserve">Foreign</w:t>
            </w:r>
          </w:p>
        </w:tc>
        <w:tc>
          <w:tcPr/>
          <w:p>
            <w:pPr>
              <w:pStyle w:val="Compact"/>
              <w:jc w:val="right"/>
            </w:pPr>
            <w:r>
              <w:t xml:space="preserve">Indonesian and regional</w:t>
            </w:r>
          </w:p>
        </w:tc>
      </w:tr>
      <w:tr>
        <w:tc>
          <w:tcPr/>
          <w:p>
            <w:pPr>
              <w:pStyle w:val="Compact"/>
            </w:pP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r>
      <w:tr>
        <w:tc>
          <w:tcPr/>
          <w:p>
            <w:pPr>
              <w:pStyle w:val="Compact"/>
              <w:jc w:val="left"/>
            </w:pPr>
            <w:r>
              <w:t xml:space="preserve">g(V)</w:t>
            </w:r>
          </w:p>
        </w:tc>
        <w:tc>
          <w:tcPr/>
          <w:p>
            <w:pPr>
              <w:pStyle w:val="Compact"/>
              <w:jc w:val="right"/>
            </w:pPr>
            <w:r>
              <w:t xml:space="preserve">0.986∗∗∗</w:t>
            </w:r>
          </w:p>
        </w:tc>
        <w:tc>
          <w:tcPr/>
          <w:p>
            <w:pPr>
              <w:pStyle w:val="Compact"/>
              <w:jc w:val="right"/>
            </w:pPr>
            <w:r>
              <w:t xml:space="preserve">0.986∗∗∗</w:t>
            </w:r>
          </w:p>
        </w:tc>
        <w:tc>
          <w:tcPr/>
          <w:p>
            <w:pPr>
              <w:pStyle w:val="Compact"/>
              <w:jc w:val="right"/>
            </w:pPr>
            <w:r>
              <w:t xml:space="preserve">0.399∗</w:t>
            </w:r>
          </w:p>
        </w:tc>
      </w:tr>
      <w:tr>
        <w:tc>
          <w:tcPr/>
          <w:p>
            <w:pPr>
              <w:pStyle w:val="Compact"/>
            </w:pPr>
          </w:p>
        </w:tc>
        <w:tc>
          <w:tcPr/>
          <w:p>
            <w:pPr>
              <w:pStyle w:val="Compact"/>
              <w:jc w:val="right"/>
            </w:pPr>
            <w:r>
              <w:t xml:space="preserve">(0.072)</w:t>
            </w:r>
          </w:p>
        </w:tc>
        <w:tc>
          <w:tcPr/>
          <w:p>
            <w:pPr>
              <w:pStyle w:val="Compact"/>
              <w:jc w:val="right"/>
            </w:pPr>
            <w:r>
              <w:t xml:space="preserve">(0.072)</w:t>
            </w:r>
          </w:p>
        </w:tc>
        <w:tc>
          <w:tcPr/>
          <w:p>
            <w:pPr>
              <w:pStyle w:val="Compact"/>
              <w:jc w:val="right"/>
            </w:pPr>
            <w:r>
              <w:t xml:space="preserve">(0.159)</w:t>
            </w:r>
          </w:p>
        </w:tc>
      </w:tr>
      <w:tr>
        <w:tc>
          <w:tcPr/>
          <w:p>
            <w:pPr>
              <w:pStyle w:val="Compact"/>
              <w:jc w:val="left"/>
            </w:pPr>
            <w:r>
              <w:t xml:space="preserve">IndonesiaRegion</w:t>
            </w:r>
          </w:p>
        </w:tc>
        <w:tc>
          <w:tcPr/>
          <w:p>
            <w:pPr>
              <w:pStyle w:val="Compact"/>
              <w:jc w:val="right"/>
            </w:pPr>
            <w:r>
              <w:t xml:space="preserve">0.379∗∗∗</w:t>
            </w:r>
          </w:p>
        </w:tc>
        <w:tc>
          <w:tcPr/>
          <w:p>
            <w:pPr>
              <w:pStyle w:val="Compact"/>
            </w:pPr>
          </w:p>
        </w:tc>
        <w:tc>
          <w:tcPr/>
          <w:p>
            <w:pPr>
              <w:pStyle w:val="Compact"/>
            </w:pPr>
          </w:p>
        </w:tc>
      </w:tr>
      <w:tr>
        <w:tc>
          <w:tcPr/>
          <w:p>
            <w:pPr>
              <w:pStyle w:val="Compact"/>
            </w:pPr>
          </w:p>
        </w:tc>
        <w:tc>
          <w:tcPr/>
          <w:p>
            <w:pPr>
              <w:pStyle w:val="Compact"/>
              <w:jc w:val="right"/>
            </w:pPr>
            <w:r>
              <w:t xml:space="preserve">(0.060)</w:t>
            </w:r>
          </w:p>
        </w:tc>
        <w:tc>
          <w:tcPr/>
          <w:p>
            <w:pPr>
              <w:pStyle w:val="Compact"/>
            </w:pPr>
          </w:p>
        </w:tc>
        <w:tc>
          <w:tcPr/>
          <w:p>
            <w:pPr>
              <w:pStyle w:val="Compact"/>
            </w:pPr>
          </w:p>
        </w:tc>
      </w:tr>
      <w:tr>
        <w:tc>
          <w:tcPr/>
          <w:p>
            <w:pPr>
              <w:pStyle w:val="Compact"/>
              <w:jc w:val="left"/>
            </w:pPr>
            <w:r>
              <w:t xml:space="preserve">IndonesiaRegion × g(V)</w:t>
            </w:r>
          </w:p>
        </w:tc>
        <w:tc>
          <w:tcPr/>
          <w:p>
            <w:pPr>
              <w:pStyle w:val="Compact"/>
              <w:jc w:val="right"/>
            </w:pPr>
            <w:r>
              <w:t xml:space="preserve">-0.587∗∗∗</w:t>
            </w:r>
          </w:p>
        </w:tc>
        <w:tc>
          <w:tcPr/>
          <w:p>
            <w:pPr>
              <w:pStyle w:val="Compact"/>
            </w:pPr>
          </w:p>
        </w:tc>
        <w:tc>
          <w:tcPr/>
          <w:p>
            <w:pPr>
              <w:pStyle w:val="Compact"/>
            </w:pPr>
          </w:p>
        </w:tc>
      </w:tr>
      <w:tr>
        <w:tc>
          <w:tcPr/>
          <w:p>
            <w:pPr>
              <w:pStyle w:val="Compact"/>
            </w:pPr>
          </w:p>
        </w:tc>
        <w:tc>
          <w:tcPr/>
          <w:p>
            <w:pPr>
              <w:pStyle w:val="Compact"/>
              <w:jc w:val="right"/>
            </w:pPr>
            <w:r>
              <w:t xml:space="preserve">(0.158)</w:t>
            </w:r>
          </w:p>
        </w:tc>
        <w:tc>
          <w:tcPr/>
          <w:p>
            <w:pPr>
              <w:pStyle w:val="Compact"/>
            </w:pPr>
          </w:p>
        </w:tc>
        <w:tc>
          <w:tcPr/>
          <w:p>
            <w:pPr>
              <w:pStyle w:val="Compact"/>
            </w:pPr>
          </w:p>
        </w:tc>
      </w:tr>
      <w:tr>
        <w:tc>
          <w:tcPr/>
          <w:p>
            <w:pPr>
              <w:pStyle w:val="Compact"/>
              <w:jc w:val="left"/>
            </w:pPr>
            <w:r>
              <w:t xml:space="preserve">Constant</w:t>
            </w:r>
          </w:p>
        </w:tc>
        <w:tc>
          <w:tcPr/>
          <w:p>
            <w:pPr>
              <w:pStyle w:val="Compact"/>
              <w:jc w:val="right"/>
            </w:pPr>
            <w:r>
              <w:t xml:space="preserve">0.059∗∗∗</w:t>
            </w:r>
          </w:p>
        </w:tc>
        <w:tc>
          <w:tcPr/>
          <w:p>
            <w:pPr>
              <w:pStyle w:val="Compact"/>
              <w:jc w:val="right"/>
            </w:pPr>
            <w:r>
              <w:t xml:space="preserve">0.059∗∗∗</w:t>
            </w:r>
          </w:p>
        </w:tc>
        <w:tc>
          <w:tcPr/>
          <w:p>
            <w:pPr>
              <w:pStyle w:val="Compact"/>
              <w:jc w:val="right"/>
            </w:pPr>
            <w:r>
              <w:t xml:space="preserve">0.439∗∗∗</w:t>
            </w:r>
          </w:p>
        </w:tc>
      </w:tr>
      <w:tr>
        <w:tc>
          <w:tcPr/>
          <w:p>
            <w:pPr>
              <w:pStyle w:val="Compact"/>
            </w:pPr>
          </w:p>
        </w:tc>
        <w:tc>
          <w:tcPr/>
          <w:p>
            <w:pPr>
              <w:pStyle w:val="Compact"/>
              <w:jc w:val="right"/>
            </w:pPr>
            <w:r>
              <w:t xml:space="preserve">(0.019)</w:t>
            </w:r>
          </w:p>
        </w:tc>
        <w:tc>
          <w:tcPr/>
          <w:p>
            <w:pPr>
              <w:pStyle w:val="Compact"/>
              <w:jc w:val="right"/>
            </w:pPr>
            <w:r>
              <w:t xml:space="preserve">(0.019)</w:t>
            </w:r>
          </w:p>
        </w:tc>
        <w:tc>
          <w:tcPr/>
          <w:p>
            <w:pPr>
              <w:pStyle w:val="Compact"/>
              <w:jc w:val="right"/>
            </w:pPr>
            <w:r>
              <w:t xml:space="preserve">(0.065)</w:t>
            </w:r>
          </w:p>
        </w:tc>
      </w:tr>
      <w:tr>
        <w:tc>
          <w:tcPr/>
          <w:p>
            <w:pPr>
              <w:pStyle w:val="Compact"/>
              <w:jc w:val="left"/>
            </w:pPr>
            <w:r>
              <w:t xml:space="preserve">Observations</w:t>
            </w:r>
          </w:p>
        </w:tc>
        <w:tc>
          <w:tcPr/>
          <w:p>
            <w:pPr>
              <w:pStyle w:val="Compact"/>
              <w:jc w:val="right"/>
            </w:pPr>
            <w:r>
              <w:t xml:space="preserve">181</w:t>
            </w:r>
          </w:p>
        </w:tc>
        <w:tc>
          <w:tcPr/>
          <w:p>
            <w:pPr>
              <w:pStyle w:val="Compact"/>
              <w:jc w:val="right"/>
            </w:pPr>
            <w:r>
              <w:t xml:space="preserve">166</w:t>
            </w:r>
          </w:p>
        </w:tc>
        <w:tc>
          <w:tcPr/>
          <w:p>
            <w:pPr>
              <w:pStyle w:val="Compact"/>
              <w:jc w:val="right"/>
            </w:pPr>
            <w:r>
              <w:t xml:space="preserve">15</w:t>
            </w:r>
          </w:p>
        </w:tc>
      </w:tr>
      <w:tr>
        <w:tc>
          <w:tcPr/>
          <w:p>
            <w:pPr>
              <w:pStyle w:val="Compact"/>
              <w:jc w:val="left"/>
            </w:pPr>
            <w:r>
              <w:t xml:space="preserve">Platforms (clusters)</w:t>
            </w:r>
          </w:p>
        </w:tc>
        <w:tc>
          <w:tcPr/>
          <w:p>
            <w:pPr>
              <w:pStyle w:val="Compact"/>
              <w:jc w:val="right"/>
            </w:pPr>
            <w:r>
              <w:t xml:space="preserve">31</w:t>
            </w:r>
          </w:p>
        </w:tc>
        <w:tc>
          <w:tcPr/>
          <w:p>
            <w:pPr>
              <w:pStyle w:val="Compact"/>
              <w:jc w:val="right"/>
            </w:pPr>
            <w:r>
              <w:t xml:space="preserve">26</w:t>
            </w:r>
          </w:p>
        </w:tc>
        <w:tc>
          <w:tcPr/>
          <w:p>
            <w:pPr>
              <w:pStyle w:val="Compact"/>
              <w:jc w:val="right"/>
            </w:pPr>
            <w:r>
              <w:t xml:space="preserve">5</w:t>
            </w:r>
          </w:p>
        </w:tc>
      </w:tr>
      <w:tr>
        <w:tc>
          <w:tcPr/>
          <w:p>
            <w:pPr>
              <w:pStyle w:val="Compact"/>
              <w:jc w:val="left"/>
            </w:pPr>
            <w:r>
              <w:rPr>
                <w:iCs/>
                <w:i/>
              </w:rPr>
              <w:t xml:space="preserve">R</w:t>
            </w:r>
            <w:r>
              <w:rPr>
                <w:vertAlign w:val="superscript"/>
              </w:rPr>
              <w:t xml:space="preserve">2</w:t>
            </w:r>
          </w:p>
        </w:tc>
        <w:tc>
          <w:tcPr/>
          <w:p>
            <w:pPr>
              <w:pStyle w:val="Compact"/>
              <w:jc w:val="right"/>
            </w:pPr>
            <w:r>
              <w:t xml:space="preserve">0.750</w:t>
            </w:r>
          </w:p>
        </w:tc>
        <w:tc>
          <w:tcPr/>
          <w:p>
            <w:pPr>
              <w:pStyle w:val="Compact"/>
              <w:jc w:val="right"/>
            </w:pPr>
            <w:r>
              <w:t xml:space="preserve">0.802</w:t>
            </w:r>
          </w:p>
        </w:tc>
        <w:tc>
          <w:tcPr/>
          <w:p>
            <w:pPr>
              <w:pStyle w:val="Compact"/>
              <w:jc w:val="right"/>
            </w:pPr>
            <w:r>
              <w:t xml:space="preserve">0.094</w:t>
            </w:r>
          </w:p>
        </w:tc>
      </w:tr>
      <w:tr>
        <w:tc>
          <w:tcPr/>
          <w:p>
            <w:pPr>
              <w:pStyle w:val="Compact"/>
              <w:jc w:val="left"/>
            </w:pPr>
            <w:r>
              <w:rPr>
                <w:iCs/>
                <w:i/>
              </w:rPr>
              <w:t xml:space="preserve">p</w:t>
            </w:r>
            <w:r>
              <w:t xml:space="preserve">-value, slope on g(V) equal to 1</w:t>
            </w:r>
          </w:p>
        </w:tc>
        <w:tc>
          <w:tcPr/>
          <w:p>
            <w:pPr>
              <w:pStyle w:val="Compact"/>
              <w:jc w:val="right"/>
            </w:pPr>
            <w:r>
              <w:t xml:space="preserve">0.845</w:t>
            </w:r>
          </w:p>
        </w:tc>
        <w:tc>
          <w:tcPr/>
          <w:p>
            <w:pPr>
              <w:pStyle w:val="Compact"/>
              <w:jc w:val="right"/>
            </w:pPr>
            <w:r>
              <w:t xml:space="preserve">0.845</w:t>
            </w:r>
          </w:p>
        </w:tc>
        <w:tc>
          <w:tcPr/>
          <w:p>
            <w:pPr>
              <w:pStyle w:val="Compact"/>
              <w:jc w:val="right"/>
            </w:pPr>
            <w:r>
              <w:t xml:space="preserve">0.019</w:t>
            </w:r>
          </w:p>
        </w:tc>
      </w:tr>
      <w:tr>
        <w:tc>
          <w:tcPr/>
          <w:p>
            <w:pPr>
              <w:pStyle w:val="Compact"/>
              <w:jc w:val="left"/>
            </w:pPr>
            <w:r>
              <w:t xml:space="preserve">Pearson correlation, g(R) and g(V)</w:t>
            </w:r>
          </w:p>
        </w:tc>
        <w:tc>
          <w:tcPr/>
          <w:p>
            <w:pPr>
              <w:pStyle w:val="Compact"/>
              <w:jc w:val="right"/>
            </w:pPr>
            <w:r>
              <w:t xml:space="preserve">0.843</w:t>
            </w:r>
          </w:p>
        </w:tc>
        <w:tc>
          <w:tcPr/>
          <w:p>
            <w:pPr>
              <w:pStyle w:val="Compact"/>
              <w:jc w:val="right"/>
            </w:pPr>
            <w:r>
              <w:t xml:space="preserve">0.896</w:t>
            </w:r>
          </w:p>
        </w:tc>
        <w:tc>
          <w:tcPr/>
          <w:p>
            <w:pPr>
              <w:pStyle w:val="Compact"/>
              <w:jc w:val="right"/>
            </w:pPr>
            <w:r>
              <w:t xml:space="preserve">0.307</w:t>
            </w:r>
          </w:p>
        </w:tc>
      </w:tr>
    </w:tbl>
    <w:p>
      <w:pPr>
        <w:pStyle w:val="BodyText"/>
      </w:pPr>
      <w:r>
        <w:rPr>
          <w:iCs/>
          <w:i/>
        </w:rPr>
        <w:t xml:space="preserve">Note:</w:t>
      </w:r>
      <w:r>
        <w:t xml:space="preserve"> </w:t>
      </w:r>
      <w:r>
        <w:t xml:space="preserve">The slope on g(V) is 1 if revenue grows in proportion to transaction value. Source: company filings; author’s calculations. Exploratory.</w:t>
      </w:r>
    </w:p>
    <w:p>
      <w:pPr>
        <w:pStyle w:val="BodyText"/>
      </w:pPr>
      <w:r>
        <w:t xml:space="preserve">The earlier test of the size of take-rate moves points the same way. At the typical Indonesian and regional platform the take rate moved by 22 percent a year, up or down. At the typical foreign platform it moved by 6 percent, so the moves were about 3.6 times as large (Mann–Whitney p = 0.003; shuffling the group labels, p = 0.01). Measured in logs, as in an earlier version of this test, the medians are 0.20 and 0.06 (p = 0.004), and exact versions that list every possible split of the 32 platforms agree (p = 0.004 and 0.021). No single platform carries that result: dropping any one, or treating Tokopedia and GoTo as one company, keeps p at 0.016 or below. Dropping the two largest movers, Blibli and Tokopedia, weakens it to p = 0.058 (Appendix C).</w:t>
      </w:r>
    </w:p>
    <w:p>
      <w:pPr>
        <w:pStyle w:val="BodyText"/>
      </w:pPr>
      <w:r>
        <w:t xml:space="preserve">The test of the size of moves was set up after a first, narrower test, so it is exploratory. The narrower test, set before the wider one, compares the three Indonesian marketplaces with the eight foreign platforms chosen first. It points the same way. With one median per platform, the Mann–Whitney test rejects equal moves (p = 0.024). A shuffle of platform labels comes close without passing (p = 0.06), since three platforms give a test little power. In that sample, revenue growth and transaction value growth had a correlation of 0.10 in Indonesia and 0.98 abroad, excluding Sea.</w:t>
      </w:r>
    </w:p>
    <w:p>
      <w:pPr>
        <w:pStyle w:val="BodyText"/>
      </w:pPr>
      <w:r>
        <w:t xml:space="preserve">Both tests of the size of moves ask about their size, not their direction, and direction is less telling. Revenue grew faster than transaction value in 13 of the 15 Indonesian and regional pairs, and in two of them the two moved in opposite directions. Abroad, take rates also rose in about two thirds of pairs, but by much less. What sets the Indonesian and regional platforms apart is the size of the moves.</w:t>
      </w:r>
    </w:p>
    <w:p>
      <w:pPr>
        <w:pStyle w:val="BodyText"/>
      </w:pPr>
      <w:r>
        <w:t xml:space="preserve">Quarterly pairs do not reject H1 (p = 0.19), contrary to a prediction registered before the test was run. Most of the quarterly Indonesian pairs cover 2023 to 2026, after most of the repricing, while the large moves came between 2022 and 2024. So the rejection of H1 describes that period.</w:t>
      </w:r>
    </w:p>
    <w:p>
      <w:pPr>
        <w:pStyle w:val="BodyText"/>
      </w:pPr>
      <w:r>
        <w:t xml:space="preserve">Age does not explain the result. The Indonesian and regional platforms made their largest moves one or two years after listing on the stock market, but foreign platforms did not move their take rates more in their first three years after listing than later (median 0.07 against 0.08 in logs, p = 0.24, an exploratory check), and Table 5.4 shows that years since listing explains neither the wedge nor the ecosystem ratio.</w:t>
      </w:r>
    </w:p>
    <w:p>
      <w:pPr>
        <w:pStyle w:val="BodyText"/>
      </w:pPr>
      <w:r>
        <w:t xml:space="preserve">The thin take rate of Indonesian and regional platforms explains much of the threefold difference, an exploratory finding. Measured in percentage points, both groups changed their take rates by about 1 point a year, and the difference between them is nowhere near large enough to count (p = 0.65). The two groups differ in the take rate they start from. The typical Indonesian and regional platform keeps about 1.6 percent of each sale, against about 17 percent abroad. The thinnest take rates belong to the three marketplaces, while Grab and GoTo keep shares closer to those abroad. As Section 3.2 showed, the same 1-point rise then has very different effects. It lifts revenue by more than half at the thinner take rate and by about 6 percent at the thicker one. Figure 5.1 shows the measures side by side. The test shows that take rates moved, but not what the platforms changed to move them.</w:t>
      </w:r>
    </w:p>
    <w:p>
      <w:pPr>
        <w:pStyle w:val="BodyText"/>
      </w:pPr>
      <w:r>
        <w:drawing>
          <wp:inline>
            <wp:extent cx="5334000" cy="1954213"/>
            <wp:effectExtent b="0" l="0" r="0" t="0"/>
            <wp:docPr descr="" title="" id="54" name="Picture"/>
            <a:graphic>
              <a:graphicData uri="http://schemas.openxmlformats.org/drawingml/2006/picture">
                <pic:pic>
                  <pic:nvPicPr>
                    <pic:cNvPr descr="figures/fig5_1_thin_slice.png" id="55" name="Picture"/>
                    <pic:cNvPicPr>
                      <a:picLocks noChangeArrowheads="1" noChangeAspect="1"/>
                    </pic:cNvPicPr>
                  </pic:nvPicPr>
                  <pic:blipFill>
                    <a:blip r:embed="rId53"/>
                    <a:stretch>
                      <a:fillRect/>
                    </a:stretch>
                  </pic:blipFill>
                  <pic:spPr bwMode="auto">
                    <a:xfrm>
                      <a:off x="0" y="0"/>
                      <a:ext cx="5334000" cy="1954213"/>
                    </a:xfrm>
                    <a:prstGeom prst="rect">
                      <a:avLst/>
                    </a:prstGeom>
                    <a:noFill/>
                    <a:ln w="9525">
                      <a:noFill/>
                      <a:headEnd/>
                      <a:tailEnd/>
                    </a:ln>
                  </pic:spPr>
                </pic:pic>
              </a:graphicData>
            </a:graphic>
          </wp:inline>
        </w:drawing>
      </w:r>
    </w:p>
    <w:p>
      <w:pPr>
        <w:pStyle w:val="BodyText"/>
      </w:pPr>
      <w:r>
        <w:rPr>
          <w:bCs/>
          <w:b/>
        </w:rPr>
        <w:t xml:space="preserve">Figure 5.1. The thin take rate.</w:t>
      </w:r>
      <w:r>
        <w:t xml:space="preserve"> </w:t>
      </w:r>
      <w:r>
        <w:t xml:space="preserve">Each dot is one platform’s median over its years. Left: the share of each sale that the platform keeps, on a log scale. Middle: the yearly change in that share, in percentage points. Right: the same change relative to the share itself, as a log change in percent. Black bars mark group medians. The foreign group has 26 platforms here and 27 in the main test, because one platform has no pair of usable years for the change in points. Source: company filings; author’s calculations. Exploratory.</w:t>
      </w:r>
    </w:p>
    <w:bookmarkEnd w:id="56"/>
    <w:bookmarkStart w:id="60" w:name="X56de9ba7770ef3105b879e5bfcd70c78553d119"/>
    <w:p>
      <w:pPr>
        <w:pStyle w:val="Heading2"/>
      </w:pPr>
      <w:r>
        <w:t xml:space="preserve">5.3 What explains the wedge and the ecosystem ratio</w:t>
      </w:r>
    </w:p>
    <w:p>
      <w:pPr>
        <w:pStyle w:val="FirstParagraph"/>
      </w:pPr>
      <w:r>
        <w:t xml:space="preserve">Size explains the wedge, and pricing explains the ecosystem ratio. Table 5.4 regresses each on the features of the platform and of its home market.</w:t>
      </w:r>
    </w:p>
    <w:p>
      <w:pPr>
        <w:pStyle w:val="BodyText"/>
      </w:pPr>
      <w:r>
        <w:rPr>
          <w:bCs/>
          <w:b/>
        </w:rPr>
        <w:t xml:space="preserve">Table 5.4. What explains the wedge and the ecosystem ratio</w:t>
      </w:r>
    </w:p>
    <w:p>
      <w:pPr>
        <w:pStyle w:val="BodyText"/>
      </w:pPr>
      <w:r>
        <w:t xml:space="preserve">This table reports OLS estimates of equation (7). The dependent variable is the natural logarithm of the wedge in US dollars in columns (1) to (3) and the ecosystem ratio, capped at its 5th and 95th percentiles, in columns (4) to (6). IndonesiaRegion equals one for the Indonesian and regional platforms. Size is total assets in US dollars. The base type is marketplace. Columns (2), (3), (5) and (6) add the GDP growth, inflation, household spending growth and policy rate of the platform’s main market, and columns (3) and (6) add year dummies. Appendix A defines the variables. Standard errors (in parentheses) are clustered at the platform level. ∗∗∗, ∗∗ and ∗ correspond to statistical significance at the 1%, 5% and 10% levels. The last row gives the p-value of a wild cluster bootstrap with 2,999 replications for IndonesiaRegion.</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rPr>
                <w:iCs/>
                <w:i/>
              </w:rPr>
              <w:t xml:space="preserve">Dependent variable</w:t>
            </w:r>
          </w:p>
        </w:tc>
        <w:tc>
          <w:tcPr/>
          <w:p>
            <w:pPr>
              <w:pStyle w:val="Compact"/>
              <w:jc w:val="right"/>
            </w:pPr>
            <w:r>
              <w:t xml:space="preserve">ln(Wedge)</w:t>
            </w:r>
          </w:p>
        </w:tc>
        <w:tc>
          <w:tcPr/>
          <w:p>
            <w:pPr>
              <w:pStyle w:val="Compact"/>
              <w:jc w:val="right"/>
            </w:pPr>
            <w:r>
              <w:t xml:space="preserve">ln(Wedge)</w:t>
            </w:r>
          </w:p>
        </w:tc>
        <w:tc>
          <w:tcPr/>
          <w:p>
            <w:pPr>
              <w:pStyle w:val="Compact"/>
              <w:jc w:val="right"/>
            </w:pPr>
            <w:r>
              <w:t xml:space="preserve">ln(Wedge)</w:t>
            </w:r>
          </w:p>
        </w:tc>
        <w:tc>
          <w:tcPr/>
          <w:p>
            <w:pPr>
              <w:pStyle w:val="Compact"/>
              <w:jc w:val="right"/>
            </w:pPr>
            <w:r>
              <w:t xml:space="preserve">Ecosystem ratio</w:t>
            </w:r>
          </w:p>
        </w:tc>
        <w:tc>
          <w:tcPr/>
          <w:p>
            <w:pPr>
              <w:pStyle w:val="Compact"/>
              <w:jc w:val="right"/>
            </w:pPr>
            <w:r>
              <w:t xml:space="preserve">Ecosystem ratio</w:t>
            </w:r>
          </w:p>
        </w:tc>
        <w:tc>
          <w:tcPr/>
          <w:p>
            <w:pPr>
              <w:pStyle w:val="Compact"/>
              <w:jc w:val="right"/>
            </w:pPr>
            <w:r>
              <w:t xml:space="preserve">Ecosystem ratio</w:t>
            </w:r>
          </w:p>
        </w:tc>
      </w:tr>
      <w:tr>
        <w:tc>
          <w:tcPr/>
          <w:p>
            <w:pPr>
              <w:pStyle w:val="Compact"/>
            </w:pP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(6)</w:t>
            </w:r>
          </w:p>
        </w:tc>
      </w:tr>
      <w:tr>
        <w:tc>
          <w:tcPr/>
          <w:p>
            <w:pPr>
              <w:pStyle w:val="Compact"/>
              <w:jc w:val="left"/>
            </w:pPr>
            <w:r>
              <w:t xml:space="preserve">IndonesiaRegion</w:t>
            </w:r>
          </w:p>
        </w:tc>
        <w:tc>
          <w:tcPr/>
          <w:p>
            <w:pPr>
              <w:pStyle w:val="Compact"/>
              <w:jc w:val="right"/>
            </w:pPr>
            <w:r>
              <w:t xml:space="preserve">-0.075</w:t>
            </w:r>
          </w:p>
        </w:tc>
        <w:tc>
          <w:tcPr/>
          <w:p>
            <w:pPr>
              <w:pStyle w:val="Compact"/>
              <w:jc w:val="right"/>
            </w:pPr>
            <w:r>
              <w:t xml:space="preserve">-0.302</w:t>
            </w:r>
          </w:p>
        </w:tc>
        <w:tc>
          <w:tcPr/>
          <w:p>
            <w:pPr>
              <w:pStyle w:val="Compact"/>
              <w:jc w:val="right"/>
            </w:pPr>
            <w:r>
              <w:t xml:space="preserve">0.080</w:t>
            </w:r>
          </w:p>
        </w:tc>
        <w:tc>
          <w:tcPr/>
          <w:p>
            <w:pPr>
              <w:pStyle w:val="Compact"/>
              <w:jc w:val="right"/>
            </w:pPr>
            <w:r>
              <w:t xml:space="preserve">15.214∗∗∗</w:t>
            </w:r>
          </w:p>
        </w:tc>
        <w:tc>
          <w:tcPr/>
          <w:p>
            <w:pPr>
              <w:pStyle w:val="Compact"/>
              <w:jc w:val="right"/>
            </w:pPr>
            <w:r>
              <w:t xml:space="preserve">12.939∗∗∗</w:t>
            </w:r>
          </w:p>
        </w:tc>
        <w:tc>
          <w:tcPr/>
          <w:p>
            <w:pPr>
              <w:pStyle w:val="Compact"/>
              <w:jc w:val="right"/>
            </w:pPr>
            <w:r>
              <w:t xml:space="preserve">17.092∗∗∗</w:t>
            </w:r>
          </w:p>
        </w:tc>
      </w:tr>
      <w:tr>
        <w:tc>
          <w:tcPr/>
          <w:p>
            <w:pPr>
              <w:pStyle w:val="Compact"/>
            </w:pPr>
          </w:p>
        </w:tc>
        <w:tc>
          <w:tcPr/>
          <w:p>
            <w:pPr>
              <w:pStyle w:val="Compact"/>
              <w:jc w:val="right"/>
            </w:pPr>
            <w:r>
              <w:t xml:space="preserve">(0.361)</w:t>
            </w:r>
          </w:p>
        </w:tc>
        <w:tc>
          <w:tcPr/>
          <w:p>
            <w:pPr>
              <w:pStyle w:val="Compact"/>
              <w:jc w:val="right"/>
            </w:pPr>
            <w:r>
              <w:t xml:space="preserve">(0.349)</w:t>
            </w:r>
          </w:p>
        </w:tc>
        <w:tc>
          <w:tcPr/>
          <w:p>
            <w:pPr>
              <w:pStyle w:val="Compact"/>
              <w:jc w:val="right"/>
            </w:pPr>
            <w:r>
              <w:t xml:space="preserve">(0.396)</w:t>
            </w:r>
          </w:p>
        </w:tc>
        <w:tc>
          <w:tcPr/>
          <w:p>
            <w:pPr>
              <w:pStyle w:val="Compact"/>
              <w:jc w:val="right"/>
            </w:pPr>
            <w:r>
              <w:t xml:space="preserve">(3.857)</w:t>
            </w:r>
          </w:p>
        </w:tc>
        <w:tc>
          <w:tcPr/>
          <w:p>
            <w:pPr>
              <w:pStyle w:val="Compact"/>
              <w:jc w:val="right"/>
            </w:pPr>
            <w:r>
              <w:t xml:space="preserve">(3.290)</w:t>
            </w:r>
          </w:p>
        </w:tc>
        <w:tc>
          <w:tcPr/>
          <w:p>
            <w:pPr>
              <w:pStyle w:val="Compact"/>
              <w:jc w:val="right"/>
            </w:pPr>
            <w:r>
              <w:t xml:space="preserve">(3.168)</w:t>
            </w:r>
          </w:p>
        </w:tc>
      </w:tr>
      <w:tr>
        <w:tc>
          <w:tcPr/>
          <w:p>
            <w:pPr>
              <w:pStyle w:val="Compact"/>
              <w:jc w:val="left"/>
            </w:pPr>
            <w:r>
              <w:t xml:space="preserve">ln(1+YearsListed)</w:t>
            </w:r>
          </w:p>
        </w:tc>
        <w:tc>
          <w:tcPr/>
          <w:p>
            <w:pPr>
              <w:pStyle w:val="Compact"/>
              <w:jc w:val="right"/>
            </w:pPr>
            <w:r>
              <w:t xml:space="preserve">-0.066</w:t>
            </w:r>
          </w:p>
        </w:tc>
        <w:tc>
          <w:tcPr/>
          <w:p>
            <w:pPr>
              <w:pStyle w:val="Compact"/>
              <w:jc w:val="right"/>
            </w:pPr>
            <w:r>
              <w:t xml:space="preserve">-0.068</w:t>
            </w:r>
          </w:p>
        </w:tc>
        <w:tc>
          <w:tcPr/>
          <w:p>
            <w:pPr>
              <w:pStyle w:val="Compact"/>
              <w:jc w:val="right"/>
            </w:pPr>
            <w:r>
              <w:t xml:space="preserve">0.093</w:t>
            </w:r>
          </w:p>
        </w:tc>
        <w:tc>
          <w:tcPr/>
          <w:p>
            <w:pPr>
              <w:pStyle w:val="Compact"/>
              <w:jc w:val="right"/>
            </w:pPr>
            <w:r>
              <w:t xml:space="preserve">-2.722</w:t>
            </w:r>
          </w:p>
        </w:tc>
        <w:tc>
          <w:tcPr/>
          <w:p>
            <w:pPr>
              <w:pStyle w:val="Compact"/>
              <w:jc w:val="right"/>
            </w:pPr>
            <w:r>
              <w:t xml:space="preserve">-2.719∗</w:t>
            </w:r>
          </w:p>
        </w:tc>
        <w:tc>
          <w:tcPr/>
          <w:p>
            <w:pPr>
              <w:pStyle w:val="Compact"/>
              <w:jc w:val="right"/>
            </w:pPr>
            <w:r>
              <w:t xml:space="preserve">-1.274</w:t>
            </w:r>
          </w:p>
        </w:tc>
      </w:tr>
      <w:tr>
        <w:tc>
          <w:tcPr/>
          <w:p>
            <w:pPr>
              <w:pStyle w:val="Compact"/>
            </w:pPr>
          </w:p>
        </w:tc>
        <w:tc>
          <w:tcPr/>
          <w:p>
            <w:pPr>
              <w:pStyle w:val="Compact"/>
              <w:jc w:val="right"/>
            </w:pPr>
            <w:r>
              <w:t xml:space="preserve">(0.156)</w:t>
            </w:r>
          </w:p>
        </w:tc>
        <w:tc>
          <w:tcPr/>
          <w:p>
            <w:pPr>
              <w:pStyle w:val="Compact"/>
              <w:jc w:val="right"/>
            </w:pPr>
            <w:r>
              <w:t xml:space="preserve">(0.141)</w:t>
            </w:r>
          </w:p>
        </w:tc>
        <w:tc>
          <w:tcPr/>
          <w:p>
            <w:pPr>
              <w:pStyle w:val="Compact"/>
              <w:jc w:val="right"/>
            </w:pPr>
            <w:r>
              <w:t xml:space="preserve">(0.169)</w:t>
            </w:r>
          </w:p>
        </w:tc>
        <w:tc>
          <w:tcPr/>
          <w:p>
            <w:pPr>
              <w:pStyle w:val="Compact"/>
              <w:jc w:val="right"/>
            </w:pPr>
            <w:r>
              <w:t xml:space="preserve">(1.623)</w:t>
            </w:r>
          </w:p>
        </w:tc>
        <w:tc>
          <w:tcPr/>
          <w:p>
            <w:pPr>
              <w:pStyle w:val="Compact"/>
              <w:jc w:val="right"/>
            </w:pPr>
            <w:r>
              <w:t xml:space="preserve">(1.531)</w:t>
            </w:r>
          </w:p>
        </w:tc>
        <w:tc>
          <w:tcPr/>
          <w:p>
            <w:pPr>
              <w:pStyle w:val="Compact"/>
              <w:jc w:val="right"/>
            </w:pPr>
            <w:r>
              <w:t xml:space="preserve">(1.516)</w:t>
            </w:r>
          </w:p>
        </w:tc>
      </w:tr>
      <w:tr>
        <w:tc>
          <w:tcPr/>
          <w:p>
            <w:pPr>
              <w:pStyle w:val="Compact"/>
              <w:jc w:val="left"/>
            </w:pPr>
            <w:r>
              <w:t xml:space="preserve">ln(Assets)</w:t>
            </w:r>
          </w:p>
        </w:tc>
        <w:tc>
          <w:tcPr/>
          <w:p>
            <w:pPr>
              <w:pStyle w:val="Compact"/>
              <w:jc w:val="right"/>
            </w:pPr>
            <w:r>
              <w:t xml:space="preserve">0.898∗∗∗</w:t>
            </w:r>
          </w:p>
        </w:tc>
        <w:tc>
          <w:tcPr/>
          <w:p>
            <w:pPr>
              <w:pStyle w:val="Compact"/>
              <w:jc w:val="right"/>
            </w:pPr>
            <w:r>
              <w:t xml:space="preserve">0.917∗∗∗</w:t>
            </w:r>
          </w:p>
        </w:tc>
        <w:tc>
          <w:tcPr/>
          <w:p>
            <w:pPr>
              <w:pStyle w:val="Compact"/>
              <w:jc w:val="right"/>
            </w:pPr>
            <w:r>
              <w:t xml:space="preserve">0.900∗∗∗</w:t>
            </w:r>
          </w:p>
        </w:tc>
        <w:tc>
          <w:tcPr/>
          <w:p>
            <w:pPr>
              <w:pStyle w:val="Compact"/>
              <w:jc w:val="right"/>
            </w:pPr>
            <w:r>
              <w:t xml:space="preserve">0.016</w:t>
            </w:r>
          </w:p>
        </w:tc>
        <w:tc>
          <w:tcPr/>
          <w:p>
            <w:pPr>
              <w:pStyle w:val="Compact"/>
              <w:jc w:val="right"/>
            </w:pPr>
            <w:r>
              <w:t xml:space="preserve">-0.281</w:t>
            </w:r>
          </w:p>
        </w:tc>
        <w:tc>
          <w:tcPr/>
          <w:p>
            <w:pPr>
              <w:pStyle w:val="Compact"/>
              <w:jc w:val="right"/>
            </w:pPr>
            <w:r>
              <w:t xml:space="preserve">-0.621</w:t>
            </w:r>
          </w:p>
        </w:tc>
      </w:tr>
      <w:tr>
        <w:tc>
          <w:tcPr/>
          <w:p>
            <w:pPr>
              <w:pStyle w:val="Compact"/>
            </w:pPr>
          </w:p>
        </w:tc>
        <w:tc>
          <w:tcPr/>
          <w:p>
            <w:pPr>
              <w:pStyle w:val="Compact"/>
              <w:jc w:val="right"/>
            </w:pPr>
            <w:r>
              <w:t xml:space="preserve">(0.086)</w:t>
            </w:r>
          </w:p>
        </w:tc>
        <w:tc>
          <w:tcPr/>
          <w:p>
            <w:pPr>
              <w:pStyle w:val="Compact"/>
              <w:jc w:val="right"/>
            </w:pPr>
            <w:r>
              <w:t xml:space="preserve">(0.073)</w:t>
            </w:r>
          </w:p>
        </w:tc>
        <w:tc>
          <w:tcPr/>
          <w:p>
            <w:pPr>
              <w:pStyle w:val="Compact"/>
              <w:jc w:val="right"/>
            </w:pPr>
            <w:r>
              <w:t xml:space="preserve">(0.060)</w:t>
            </w:r>
          </w:p>
        </w:tc>
        <w:tc>
          <w:tcPr/>
          <w:p>
            <w:pPr>
              <w:pStyle w:val="Compact"/>
              <w:jc w:val="right"/>
            </w:pPr>
            <w:r>
              <w:t xml:space="preserve">(0.897)</w:t>
            </w:r>
          </w:p>
        </w:tc>
        <w:tc>
          <w:tcPr/>
          <w:p>
            <w:pPr>
              <w:pStyle w:val="Compact"/>
              <w:jc w:val="right"/>
            </w:pPr>
            <w:r>
              <w:t xml:space="preserve">(0.676)</w:t>
            </w:r>
          </w:p>
        </w:tc>
        <w:tc>
          <w:tcPr/>
          <w:p>
            <w:pPr>
              <w:pStyle w:val="Compact"/>
              <w:jc w:val="right"/>
            </w:pPr>
            <w:r>
              <w:t xml:space="preserve">(0.662)</w:t>
            </w:r>
          </w:p>
        </w:tc>
      </w:tr>
      <w:tr>
        <w:tc>
          <w:tcPr/>
          <w:p>
            <w:pPr>
              <w:pStyle w:val="Compact"/>
              <w:jc w:val="left"/>
            </w:pPr>
            <w:r>
              <w:t xml:space="preserve">OnDemand</w:t>
            </w:r>
          </w:p>
        </w:tc>
        <w:tc>
          <w:tcPr/>
          <w:p>
            <w:pPr>
              <w:pStyle w:val="Compact"/>
              <w:jc w:val="right"/>
            </w:pPr>
            <w:r>
              <w:t xml:space="preserve">-0.950∗∗∗</w:t>
            </w:r>
          </w:p>
        </w:tc>
        <w:tc>
          <w:tcPr/>
          <w:p>
            <w:pPr>
              <w:pStyle w:val="Compact"/>
              <w:jc w:val="right"/>
            </w:pPr>
            <w:r>
              <w:t xml:space="preserve">-0.975∗∗∗</w:t>
            </w:r>
          </w:p>
        </w:tc>
        <w:tc>
          <w:tcPr/>
          <w:p>
            <w:pPr>
              <w:pStyle w:val="Compact"/>
              <w:jc w:val="right"/>
            </w:pPr>
            <w:r>
              <w:t xml:space="preserve">-1.011∗∗∗</w:t>
            </w:r>
          </w:p>
        </w:tc>
        <w:tc>
          <w:tcPr/>
          <w:p>
            <w:pPr>
              <w:pStyle w:val="Compact"/>
              <w:jc w:val="right"/>
            </w:pPr>
            <w:r>
              <w:t xml:space="preserve">-16.597∗∗∗</w:t>
            </w:r>
          </w:p>
        </w:tc>
        <w:tc>
          <w:tcPr/>
          <w:p>
            <w:pPr>
              <w:pStyle w:val="Compact"/>
              <w:jc w:val="right"/>
            </w:pPr>
            <w:r>
              <w:t xml:space="preserve">-17.876∗∗∗</w:t>
            </w:r>
          </w:p>
        </w:tc>
        <w:tc>
          <w:tcPr/>
          <w:p>
            <w:pPr>
              <w:pStyle w:val="Compact"/>
              <w:jc w:val="right"/>
            </w:pPr>
            <w:r>
              <w:t xml:space="preserve">-19.787∗∗∗</w:t>
            </w:r>
          </w:p>
        </w:tc>
      </w:tr>
      <w:tr>
        <w:tc>
          <w:tcPr/>
          <w:p>
            <w:pPr>
              <w:pStyle w:val="Compact"/>
            </w:pPr>
          </w:p>
        </w:tc>
        <w:tc>
          <w:tcPr/>
          <w:p>
            <w:pPr>
              <w:pStyle w:val="Compact"/>
              <w:jc w:val="right"/>
            </w:pPr>
            <w:r>
              <w:t xml:space="preserve">(0.267)</w:t>
            </w:r>
          </w:p>
        </w:tc>
        <w:tc>
          <w:tcPr/>
          <w:p>
            <w:pPr>
              <w:pStyle w:val="Compact"/>
              <w:jc w:val="right"/>
            </w:pPr>
            <w:r>
              <w:t xml:space="preserve">(0.305)</w:t>
            </w:r>
          </w:p>
        </w:tc>
        <w:tc>
          <w:tcPr/>
          <w:p>
            <w:pPr>
              <w:pStyle w:val="Compact"/>
              <w:jc w:val="right"/>
            </w:pPr>
            <w:r>
              <w:t xml:space="preserve">(0.273)</w:t>
            </w:r>
          </w:p>
        </w:tc>
        <w:tc>
          <w:tcPr/>
          <w:p>
            <w:pPr>
              <w:pStyle w:val="Compact"/>
              <w:jc w:val="right"/>
            </w:pPr>
            <w:r>
              <w:t xml:space="preserve">(3.837)</w:t>
            </w:r>
          </w:p>
        </w:tc>
        <w:tc>
          <w:tcPr/>
          <w:p>
            <w:pPr>
              <w:pStyle w:val="Compact"/>
              <w:jc w:val="right"/>
            </w:pPr>
            <w:r>
              <w:t xml:space="preserve">(3.640)</w:t>
            </w:r>
          </w:p>
        </w:tc>
        <w:tc>
          <w:tcPr/>
          <w:p>
            <w:pPr>
              <w:pStyle w:val="Compact"/>
              <w:jc w:val="right"/>
            </w:pPr>
            <w:r>
              <w:t xml:space="preserve">(3.251)</w:t>
            </w:r>
          </w:p>
        </w:tc>
      </w:tr>
      <w:tr>
        <w:tc>
          <w:tcPr/>
          <w:p>
            <w:pPr>
              <w:pStyle w:val="Compact"/>
              <w:jc w:val="left"/>
            </w:pPr>
            <w:r>
              <w:t xml:space="preserve">Travel</w:t>
            </w:r>
          </w:p>
        </w:tc>
        <w:tc>
          <w:tcPr/>
          <w:p>
            <w:pPr>
              <w:pStyle w:val="Compact"/>
              <w:jc w:val="right"/>
            </w:pPr>
            <w:r>
              <w:t xml:space="preserve">-0.053</w:t>
            </w:r>
          </w:p>
        </w:tc>
        <w:tc>
          <w:tcPr/>
          <w:p>
            <w:pPr>
              <w:pStyle w:val="Compact"/>
              <w:jc w:val="right"/>
            </w:pPr>
            <w:r>
              <w:t xml:space="preserve">-0.261</w:t>
            </w:r>
          </w:p>
        </w:tc>
        <w:tc>
          <w:tcPr/>
          <w:p>
            <w:pPr>
              <w:pStyle w:val="Compact"/>
              <w:jc w:val="right"/>
            </w:pPr>
            <w:r>
              <w:t xml:space="preserve">-0.266</w:t>
            </w:r>
          </w:p>
        </w:tc>
        <w:tc>
          <w:tcPr/>
          <w:p>
            <w:pPr>
              <w:pStyle w:val="Compact"/>
              <w:jc w:val="right"/>
            </w:pPr>
            <w:r>
              <w:t xml:space="preserve">-7.313∗</w:t>
            </w:r>
          </w:p>
        </w:tc>
        <w:tc>
          <w:tcPr/>
          <w:p>
            <w:pPr>
              <w:pStyle w:val="Compact"/>
              <w:jc w:val="right"/>
            </w:pPr>
            <w:r>
              <w:t xml:space="preserve">-8.346∗∗</w:t>
            </w:r>
          </w:p>
        </w:tc>
        <w:tc>
          <w:tcPr/>
          <w:p>
            <w:pPr>
              <w:pStyle w:val="Compact"/>
              <w:jc w:val="right"/>
            </w:pPr>
            <w:r>
              <w:t xml:space="preserve">-9.250∗∗</w:t>
            </w:r>
          </w:p>
        </w:tc>
      </w:tr>
      <w:tr>
        <w:tc>
          <w:tcPr/>
          <w:p>
            <w:pPr>
              <w:pStyle w:val="Compact"/>
            </w:pPr>
          </w:p>
        </w:tc>
        <w:tc>
          <w:tcPr/>
          <w:p>
            <w:pPr>
              <w:pStyle w:val="Compact"/>
              <w:jc w:val="right"/>
            </w:pPr>
            <w:r>
              <w:t xml:space="preserve">(0.346)</w:t>
            </w:r>
          </w:p>
        </w:tc>
        <w:tc>
          <w:tcPr/>
          <w:p>
            <w:pPr>
              <w:pStyle w:val="Compact"/>
              <w:jc w:val="right"/>
            </w:pPr>
            <w:r>
              <w:t xml:space="preserve">(0.397)</w:t>
            </w:r>
          </w:p>
        </w:tc>
        <w:tc>
          <w:tcPr/>
          <w:p>
            <w:pPr>
              <w:pStyle w:val="Compact"/>
              <w:jc w:val="right"/>
            </w:pPr>
            <w:r>
              <w:t xml:space="preserve">(0.317)</w:t>
            </w:r>
          </w:p>
        </w:tc>
        <w:tc>
          <w:tcPr/>
          <w:p>
            <w:pPr>
              <w:pStyle w:val="Compact"/>
              <w:jc w:val="right"/>
            </w:pPr>
            <w:r>
              <w:t xml:space="preserve">(3.795)</w:t>
            </w:r>
          </w:p>
        </w:tc>
        <w:tc>
          <w:tcPr/>
          <w:p>
            <w:pPr>
              <w:pStyle w:val="Compact"/>
              <w:jc w:val="right"/>
            </w:pPr>
            <w:r>
              <w:t xml:space="preserve">(3.937)</w:t>
            </w:r>
          </w:p>
        </w:tc>
        <w:tc>
          <w:tcPr/>
          <w:p>
            <w:pPr>
              <w:pStyle w:val="Compact"/>
              <w:jc w:val="right"/>
            </w:pPr>
            <w:r>
              <w:t xml:space="preserve">(3.429)</w:t>
            </w:r>
          </w:p>
        </w:tc>
      </w:tr>
      <w:tr>
        <w:tc>
          <w:tcPr/>
          <w:p>
            <w:pPr>
              <w:pStyle w:val="Compact"/>
              <w:jc w:val="left"/>
            </w:pPr>
            <w:r>
              <w:t xml:space="preserve">Freelance</w:t>
            </w:r>
          </w:p>
        </w:tc>
        <w:tc>
          <w:tcPr/>
          <w:p>
            <w:pPr>
              <w:pStyle w:val="Compact"/>
              <w:jc w:val="right"/>
            </w:pPr>
            <w:r>
              <w:t xml:space="preserve">-0.822</w:t>
            </w:r>
          </w:p>
        </w:tc>
        <w:tc>
          <w:tcPr/>
          <w:p>
            <w:pPr>
              <w:pStyle w:val="Compact"/>
              <w:jc w:val="right"/>
            </w:pPr>
            <w:r>
              <w:t xml:space="preserve">-0.878</w:t>
            </w:r>
          </w:p>
        </w:tc>
        <w:tc>
          <w:tcPr/>
          <w:p>
            <w:pPr>
              <w:pStyle w:val="Compact"/>
              <w:jc w:val="right"/>
            </w:pPr>
            <w:r>
              <w:t xml:space="preserve">-0.741</w:t>
            </w:r>
          </w:p>
        </w:tc>
        <w:tc>
          <w:tcPr/>
          <w:p>
            <w:pPr>
              <w:pStyle w:val="Compact"/>
              <w:jc w:val="right"/>
            </w:pPr>
            <w:r>
              <w:t xml:space="preserve">-11.946∗∗∗</w:t>
            </w:r>
          </w:p>
        </w:tc>
        <w:tc>
          <w:tcPr/>
          <w:p>
            <w:pPr>
              <w:pStyle w:val="Compact"/>
              <w:jc w:val="right"/>
            </w:pPr>
            <w:r>
              <w:t xml:space="preserve">-14.088∗∗∗</w:t>
            </w:r>
          </w:p>
        </w:tc>
        <w:tc>
          <w:tcPr/>
          <w:p>
            <w:pPr>
              <w:pStyle w:val="Compact"/>
              <w:jc w:val="right"/>
            </w:pPr>
            <w:r>
              <w:t xml:space="preserve">-13.658∗∗∗</w:t>
            </w:r>
          </w:p>
        </w:tc>
      </w:tr>
      <w:tr>
        <w:tc>
          <w:tcPr/>
          <w:p>
            <w:pPr>
              <w:pStyle w:val="Compact"/>
            </w:pPr>
          </w:p>
        </w:tc>
        <w:tc>
          <w:tcPr/>
          <w:p>
            <w:pPr>
              <w:pStyle w:val="Compact"/>
              <w:jc w:val="right"/>
            </w:pPr>
            <w:r>
              <w:t xml:space="preserve">(0.540)</w:t>
            </w:r>
          </w:p>
        </w:tc>
        <w:tc>
          <w:tcPr/>
          <w:p>
            <w:pPr>
              <w:pStyle w:val="Compact"/>
              <w:jc w:val="right"/>
            </w:pPr>
            <w:r>
              <w:t xml:space="preserve">(0.576)</w:t>
            </w:r>
          </w:p>
        </w:tc>
        <w:tc>
          <w:tcPr/>
          <w:p>
            <w:pPr>
              <w:pStyle w:val="Compact"/>
              <w:jc w:val="right"/>
            </w:pPr>
            <w:r>
              <w:t xml:space="preserve">(0.580)</w:t>
            </w:r>
          </w:p>
        </w:tc>
        <w:tc>
          <w:tcPr/>
          <w:p>
            <w:pPr>
              <w:pStyle w:val="Compact"/>
              <w:jc w:val="right"/>
            </w:pPr>
            <w:r>
              <w:t xml:space="preserve">(3.706)</w:t>
            </w:r>
          </w:p>
        </w:tc>
        <w:tc>
          <w:tcPr/>
          <w:p>
            <w:pPr>
              <w:pStyle w:val="Compact"/>
              <w:jc w:val="right"/>
            </w:pPr>
            <w:r>
              <w:t xml:space="preserve">(3.599)</w:t>
            </w:r>
          </w:p>
        </w:tc>
        <w:tc>
          <w:tcPr/>
          <w:p>
            <w:pPr>
              <w:pStyle w:val="Compact"/>
              <w:jc w:val="right"/>
            </w:pPr>
            <w:r>
              <w:t xml:space="preserve">(3.581)</w:t>
            </w:r>
          </w:p>
        </w:tc>
      </w:tr>
      <w:tr>
        <w:tc>
          <w:tcPr/>
          <w:p>
            <w:pPr>
              <w:pStyle w:val="Compact"/>
              <w:jc w:val="left"/>
            </w:pPr>
            <w:r>
              <w:t xml:space="preserve">Resale</w:t>
            </w:r>
          </w:p>
        </w:tc>
        <w:tc>
          <w:tcPr/>
          <w:p>
            <w:pPr>
              <w:pStyle w:val="Compact"/>
              <w:jc w:val="right"/>
            </w:pPr>
            <w:r>
              <w:t xml:space="preserve">-0.444</w:t>
            </w:r>
          </w:p>
        </w:tc>
        <w:tc>
          <w:tcPr/>
          <w:p>
            <w:pPr>
              <w:pStyle w:val="Compact"/>
              <w:jc w:val="right"/>
            </w:pPr>
            <w:r>
              <w:t xml:space="preserve">-0.527</w:t>
            </w:r>
          </w:p>
        </w:tc>
        <w:tc>
          <w:tcPr/>
          <w:p>
            <w:pPr>
              <w:pStyle w:val="Compact"/>
              <w:jc w:val="right"/>
            </w:pPr>
            <w:r>
              <w:t xml:space="preserve">-0.477</w:t>
            </w:r>
          </w:p>
        </w:tc>
        <w:tc>
          <w:tcPr/>
          <w:p>
            <w:pPr>
              <w:pStyle w:val="Compact"/>
              <w:jc w:val="right"/>
            </w:pPr>
            <w:r>
              <w:t xml:space="preserve">-8.393∗</w:t>
            </w:r>
          </w:p>
        </w:tc>
        <w:tc>
          <w:tcPr/>
          <w:p>
            <w:pPr>
              <w:pStyle w:val="Compact"/>
              <w:jc w:val="right"/>
            </w:pPr>
            <w:r>
              <w:t xml:space="preserve">-10.223∗∗</w:t>
            </w:r>
          </w:p>
        </w:tc>
        <w:tc>
          <w:tcPr/>
          <w:p>
            <w:pPr>
              <w:pStyle w:val="Compact"/>
              <w:jc w:val="right"/>
            </w:pPr>
            <w:r>
              <w:t xml:space="preserve">-10.912∗∗</w:t>
            </w:r>
          </w:p>
        </w:tc>
      </w:tr>
      <w:tr>
        <w:tc>
          <w:tcPr/>
          <w:p>
            <w:pPr>
              <w:pStyle w:val="Compact"/>
            </w:pPr>
          </w:p>
        </w:tc>
        <w:tc>
          <w:tcPr/>
          <w:p>
            <w:pPr>
              <w:pStyle w:val="Compact"/>
              <w:jc w:val="right"/>
            </w:pPr>
            <w:r>
              <w:t xml:space="preserve">(0.367)</w:t>
            </w:r>
          </w:p>
        </w:tc>
        <w:tc>
          <w:tcPr/>
          <w:p>
            <w:pPr>
              <w:pStyle w:val="Compact"/>
              <w:jc w:val="right"/>
            </w:pPr>
            <w:r>
              <w:t xml:space="preserve">(0.402)</w:t>
            </w:r>
          </w:p>
        </w:tc>
        <w:tc>
          <w:tcPr/>
          <w:p>
            <w:pPr>
              <w:pStyle w:val="Compact"/>
              <w:jc w:val="right"/>
            </w:pPr>
            <w:r>
              <w:t xml:space="preserve">(0.484)</w:t>
            </w:r>
          </w:p>
        </w:tc>
        <w:tc>
          <w:tcPr/>
          <w:p>
            <w:pPr>
              <w:pStyle w:val="Compact"/>
              <w:jc w:val="right"/>
            </w:pPr>
            <w:r>
              <w:t xml:space="preserve">(4.385)</w:t>
            </w:r>
          </w:p>
        </w:tc>
        <w:tc>
          <w:tcPr/>
          <w:p>
            <w:pPr>
              <w:pStyle w:val="Compact"/>
              <w:jc w:val="right"/>
            </w:pPr>
            <w:r>
              <w:t xml:space="preserve">(4.491)</w:t>
            </w:r>
          </w:p>
        </w:tc>
        <w:tc>
          <w:tcPr/>
          <w:p>
            <w:pPr>
              <w:pStyle w:val="Compact"/>
              <w:jc w:val="right"/>
            </w:pPr>
            <w:r>
              <w:t xml:space="preserve">(4.700)</w:t>
            </w:r>
          </w:p>
        </w:tc>
      </w:tr>
      <w:tr>
        <w:tc>
          <w:tcPr/>
          <w:p>
            <w:pPr>
              <w:pStyle w:val="Compact"/>
              <w:jc w:val="left"/>
            </w:pPr>
            <w:r>
              <w:t xml:space="preserve">GDPGrowth</w:t>
            </w:r>
          </w:p>
        </w:tc>
        <w:tc>
          <w:tcPr/>
          <w:p>
            <w:pPr>
              <w:pStyle w:val="Compact"/>
            </w:pPr>
          </w:p>
        </w:tc>
        <w:tc>
          <w:tcPr/>
          <w:p>
            <w:pPr>
              <w:pStyle w:val="Compact"/>
              <w:jc w:val="right"/>
            </w:pPr>
            <w:r>
              <w:t xml:space="preserve">0.106∗</w:t>
            </w:r>
          </w:p>
        </w:tc>
        <w:tc>
          <w:tcPr/>
          <w:p>
            <w:pPr>
              <w:pStyle w:val="Compact"/>
              <w:jc w:val="right"/>
            </w:pPr>
            <w:r>
              <w:t xml:space="preserve">0.148∗∗</w:t>
            </w:r>
          </w:p>
        </w:tc>
        <w:tc>
          <w:tcPr/>
          <w:p>
            <w:pPr>
              <w:pStyle w:val="Compact"/>
            </w:pPr>
          </w:p>
        </w:tc>
        <w:tc>
          <w:tcPr/>
          <w:p>
            <w:pPr>
              <w:pStyle w:val="Compact"/>
              <w:jc w:val="right"/>
            </w:pPr>
            <w:r>
              <w:t xml:space="preserve">1.301∗∗</w:t>
            </w:r>
          </w:p>
        </w:tc>
        <w:tc>
          <w:tcPr/>
          <w:p>
            <w:pPr>
              <w:pStyle w:val="Compact"/>
              <w:jc w:val="right"/>
            </w:pPr>
            <w:r>
              <w:t xml:space="preserve">1.479∗∗</w:t>
            </w:r>
          </w:p>
        </w:tc>
      </w:tr>
      <w:tr>
        <w:tc>
          <w:tcPr/>
          <w:p>
            <w:pPr>
              <w:pStyle w:val="Compact"/>
            </w:pPr>
          </w:p>
        </w:tc>
        <w:tc>
          <w:tcPr/>
          <w:p>
            <w:pPr>
              <w:pStyle w:val="Compact"/>
            </w:pPr>
          </w:p>
        </w:tc>
        <w:tc>
          <w:tcPr/>
          <w:p>
            <w:pPr>
              <w:pStyle w:val="Compact"/>
              <w:jc w:val="right"/>
            </w:pPr>
            <w:r>
              <w:t xml:space="preserve">(0.057)</w:t>
            </w:r>
          </w:p>
        </w:tc>
        <w:tc>
          <w:tcPr/>
          <w:p>
            <w:pPr>
              <w:pStyle w:val="Compact"/>
              <w:jc w:val="right"/>
            </w:pPr>
            <w:r>
              <w:t xml:space="preserve">(0.067)</w:t>
            </w:r>
          </w:p>
        </w:tc>
        <w:tc>
          <w:tcPr/>
          <w:p>
            <w:pPr>
              <w:pStyle w:val="Compact"/>
            </w:pPr>
          </w:p>
        </w:tc>
        <w:tc>
          <w:tcPr/>
          <w:p>
            <w:pPr>
              <w:pStyle w:val="Compact"/>
              <w:jc w:val="right"/>
            </w:pPr>
            <w:r>
              <w:t xml:space="preserve">(0.573)</w:t>
            </w:r>
          </w:p>
        </w:tc>
        <w:tc>
          <w:tcPr/>
          <w:p>
            <w:pPr>
              <w:pStyle w:val="Compact"/>
              <w:jc w:val="right"/>
            </w:pPr>
            <w:r>
              <w:t xml:space="preserve">(0.552)</w:t>
            </w:r>
          </w:p>
        </w:tc>
      </w:tr>
      <w:tr>
        <w:tc>
          <w:tcPr/>
          <w:p>
            <w:pPr>
              <w:pStyle w:val="Compact"/>
              <w:jc w:val="left"/>
            </w:pPr>
            <w:r>
              <w:t xml:space="preserve">Inflation</w:t>
            </w:r>
          </w:p>
        </w:tc>
        <w:tc>
          <w:tcPr/>
          <w:p>
            <w:pPr>
              <w:pStyle w:val="Compact"/>
            </w:pPr>
          </w:p>
        </w:tc>
        <w:tc>
          <w:tcPr/>
          <w:p>
            <w:pPr>
              <w:pStyle w:val="Compact"/>
              <w:jc w:val="right"/>
            </w:pPr>
            <w:r>
              <w:t xml:space="preserve">-0.001</w:t>
            </w:r>
          </w:p>
        </w:tc>
        <w:tc>
          <w:tcPr/>
          <w:p>
            <w:pPr>
              <w:pStyle w:val="Compact"/>
              <w:jc w:val="right"/>
            </w:pPr>
            <w:r>
              <w:t xml:space="preserve">0.001</w:t>
            </w:r>
          </w:p>
        </w:tc>
        <w:tc>
          <w:tcPr/>
          <w:p>
            <w:pPr>
              <w:pStyle w:val="Compact"/>
            </w:pPr>
          </w:p>
        </w:tc>
        <w:tc>
          <w:tcPr/>
          <w:p>
            <w:pPr>
              <w:pStyle w:val="Compact"/>
              <w:jc w:val="right"/>
            </w:pPr>
            <w:r>
              <w:t xml:space="preserve">-0.018</w:t>
            </w:r>
          </w:p>
        </w:tc>
        <w:tc>
          <w:tcPr/>
          <w:p>
            <w:pPr>
              <w:pStyle w:val="Compact"/>
              <w:jc w:val="right"/>
            </w:pPr>
            <w:r>
              <w:t xml:space="preserve">-0.006</w:t>
            </w:r>
          </w:p>
        </w:tc>
      </w:tr>
      <w:tr>
        <w:tc>
          <w:tcPr/>
          <w:p>
            <w:pPr>
              <w:pStyle w:val="Compact"/>
            </w:pPr>
          </w:p>
        </w:tc>
        <w:tc>
          <w:tcPr/>
          <w:p>
            <w:pPr>
              <w:pStyle w:val="Compact"/>
            </w:pPr>
          </w:p>
        </w:tc>
        <w:tc>
          <w:tcPr/>
          <w:p>
            <w:pPr>
              <w:pStyle w:val="Compact"/>
              <w:jc w:val="right"/>
            </w:pPr>
            <w:r>
              <w:t xml:space="preserve">(0.003)</w:t>
            </w:r>
          </w:p>
        </w:tc>
        <w:tc>
          <w:tcPr/>
          <w:p>
            <w:pPr>
              <w:pStyle w:val="Compact"/>
              <w:jc w:val="right"/>
            </w:pPr>
            <w:r>
              <w:t xml:space="preserve">(0.003)</w:t>
            </w:r>
          </w:p>
        </w:tc>
        <w:tc>
          <w:tcPr/>
          <w:p>
            <w:pPr>
              <w:pStyle w:val="Compact"/>
            </w:pPr>
          </w:p>
        </w:tc>
        <w:tc>
          <w:tcPr/>
          <w:p>
            <w:pPr>
              <w:pStyle w:val="Compact"/>
              <w:jc w:val="right"/>
            </w:pPr>
            <w:r>
              <w:t xml:space="preserve">(0.024)</w:t>
            </w:r>
          </w:p>
        </w:tc>
        <w:tc>
          <w:tcPr/>
          <w:p>
            <w:pPr>
              <w:pStyle w:val="Compact"/>
              <w:jc w:val="right"/>
            </w:pPr>
            <w:r>
              <w:t xml:space="preserve">(0.027)</w:t>
            </w:r>
          </w:p>
        </w:tc>
      </w:tr>
      <w:tr>
        <w:tc>
          <w:tcPr/>
          <w:p>
            <w:pPr>
              <w:pStyle w:val="Compact"/>
              <w:jc w:val="left"/>
            </w:pPr>
            <w:r>
              <w:t xml:space="preserve">HouseholdGrowth</w:t>
            </w:r>
          </w:p>
        </w:tc>
        <w:tc>
          <w:tcPr/>
          <w:p>
            <w:pPr>
              <w:pStyle w:val="Compact"/>
            </w:pPr>
          </w:p>
        </w:tc>
        <w:tc>
          <w:tcPr/>
          <w:p>
            <w:pPr>
              <w:pStyle w:val="Compact"/>
              <w:jc w:val="right"/>
            </w:pPr>
            <w:r>
              <w:t xml:space="preserve">-0.053∗∗</w:t>
            </w:r>
          </w:p>
        </w:tc>
        <w:tc>
          <w:tcPr/>
          <w:p>
            <w:pPr>
              <w:pStyle w:val="Compact"/>
              <w:jc w:val="right"/>
            </w:pPr>
            <w:r>
              <w:t xml:space="preserve">-0.014</w:t>
            </w:r>
          </w:p>
        </w:tc>
        <w:tc>
          <w:tcPr/>
          <w:p>
            <w:pPr>
              <w:pStyle w:val="Compact"/>
            </w:pPr>
          </w:p>
        </w:tc>
        <w:tc>
          <w:tcPr/>
          <w:p>
            <w:pPr>
              <w:pStyle w:val="Compact"/>
              <w:jc w:val="right"/>
            </w:pPr>
            <w:r>
              <w:t xml:space="preserve">-0.785∗</w:t>
            </w:r>
          </w:p>
        </w:tc>
        <w:tc>
          <w:tcPr/>
          <w:p>
            <w:pPr>
              <w:pStyle w:val="Compact"/>
              <w:jc w:val="right"/>
            </w:pPr>
            <w:r>
              <w:t xml:space="preserve">-0.687</w:t>
            </w:r>
          </w:p>
        </w:tc>
      </w:tr>
      <w:tr>
        <w:tc>
          <w:tcPr/>
          <w:p>
            <w:pPr>
              <w:pStyle w:val="Compact"/>
            </w:pPr>
          </w:p>
        </w:tc>
        <w:tc>
          <w:tcPr/>
          <w:p>
            <w:pPr>
              <w:pStyle w:val="Compact"/>
            </w:pPr>
          </w:p>
        </w:tc>
        <w:tc>
          <w:tcPr/>
          <w:p>
            <w:pPr>
              <w:pStyle w:val="Compact"/>
              <w:jc w:val="right"/>
            </w:pPr>
            <w:r>
              <w:t xml:space="preserve">(0.025)</w:t>
            </w:r>
          </w:p>
        </w:tc>
        <w:tc>
          <w:tcPr/>
          <w:p>
            <w:pPr>
              <w:pStyle w:val="Compact"/>
              <w:jc w:val="right"/>
            </w:pPr>
            <w:r>
              <w:t xml:space="preserve">(0.031)</w:t>
            </w:r>
          </w:p>
        </w:tc>
        <w:tc>
          <w:tcPr/>
          <w:p>
            <w:pPr>
              <w:pStyle w:val="Compact"/>
            </w:pPr>
          </w:p>
        </w:tc>
        <w:tc>
          <w:tcPr/>
          <w:p>
            <w:pPr>
              <w:pStyle w:val="Compact"/>
              <w:jc w:val="right"/>
            </w:pPr>
            <w:r>
              <w:t xml:space="preserve">(0.452)</w:t>
            </w:r>
          </w:p>
        </w:tc>
        <w:tc>
          <w:tcPr/>
          <w:p>
            <w:pPr>
              <w:pStyle w:val="Compact"/>
              <w:jc w:val="right"/>
            </w:pPr>
            <w:r>
              <w:t xml:space="preserve">(0.490)</w:t>
            </w:r>
          </w:p>
        </w:tc>
      </w:tr>
      <w:tr>
        <w:tc>
          <w:tcPr/>
          <w:p>
            <w:pPr>
              <w:pStyle w:val="Compact"/>
              <w:jc w:val="left"/>
            </w:pPr>
            <w:r>
              <w:t xml:space="preserve">PolicyRate</w:t>
            </w:r>
          </w:p>
        </w:tc>
        <w:tc>
          <w:tcPr/>
          <w:p>
            <w:pPr>
              <w:pStyle w:val="Compact"/>
            </w:pPr>
          </w:p>
        </w:tc>
        <w:tc>
          <w:tcPr/>
          <w:p>
            <w:pPr>
              <w:pStyle w:val="Compact"/>
              <w:jc w:val="right"/>
            </w:pPr>
            <w:r>
              <w:t xml:space="preserve">0.008</w:t>
            </w:r>
          </w:p>
        </w:tc>
        <w:tc>
          <w:tcPr/>
          <w:p>
            <w:pPr>
              <w:pStyle w:val="Compact"/>
              <w:jc w:val="right"/>
            </w:pPr>
            <w:r>
              <w:t xml:space="preserve">0.011</w:t>
            </w:r>
          </w:p>
        </w:tc>
        <w:tc>
          <w:tcPr/>
          <w:p>
            <w:pPr>
              <w:pStyle w:val="Compact"/>
            </w:pPr>
          </w:p>
        </w:tc>
        <w:tc>
          <w:tcPr/>
          <w:p>
            <w:pPr>
              <w:pStyle w:val="Compact"/>
              <w:jc w:val="right"/>
            </w:pPr>
            <w:r>
              <w:t xml:space="preserve">-0.033</w:t>
            </w:r>
          </w:p>
        </w:tc>
        <w:tc>
          <w:tcPr/>
          <w:p>
            <w:pPr>
              <w:pStyle w:val="Compact"/>
              <w:jc w:val="right"/>
            </w:pPr>
            <w:r>
              <w:t xml:space="preserve">-0.005</w:t>
            </w:r>
          </w:p>
        </w:tc>
      </w:tr>
      <w:tr>
        <w:tc>
          <w:tcPr/>
          <w:p>
            <w:pPr>
              <w:pStyle w:val="Compact"/>
            </w:pPr>
          </w:p>
        </w:tc>
        <w:tc>
          <w:tcPr/>
          <w:p>
            <w:pPr>
              <w:pStyle w:val="Compact"/>
            </w:pPr>
          </w:p>
        </w:tc>
        <w:tc>
          <w:tcPr/>
          <w:p>
            <w:pPr>
              <w:pStyle w:val="Compact"/>
              <w:jc w:val="right"/>
            </w:pPr>
            <w:r>
              <w:t xml:space="preserve">(0.007)</w:t>
            </w:r>
          </w:p>
        </w:tc>
        <w:tc>
          <w:tcPr/>
          <w:p>
            <w:pPr>
              <w:pStyle w:val="Compact"/>
              <w:jc w:val="right"/>
            </w:pPr>
            <w:r>
              <w:t xml:space="preserve">(0.007)</w:t>
            </w:r>
          </w:p>
        </w:tc>
        <w:tc>
          <w:tcPr/>
          <w:p>
            <w:pPr>
              <w:pStyle w:val="Compact"/>
            </w:pPr>
          </w:p>
        </w:tc>
        <w:tc>
          <w:tcPr/>
          <w:p>
            <w:pPr>
              <w:pStyle w:val="Compact"/>
              <w:jc w:val="right"/>
            </w:pPr>
            <w:r>
              <w:t xml:space="preserve">(0.082)</w:t>
            </w:r>
          </w:p>
        </w:tc>
        <w:tc>
          <w:tcPr/>
          <w:p>
            <w:pPr>
              <w:pStyle w:val="Compact"/>
              <w:jc w:val="right"/>
            </w:pPr>
            <w:r>
              <w:t xml:space="preserve">(0.075)</w:t>
            </w:r>
          </w:p>
        </w:tc>
      </w:tr>
      <w:tr>
        <w:tc>
          <w:tcPr/>
          <w:p>
            <w:pPr>
              <w:pStyle w:val="Compact"/>
              <w:jc w:val="left"/>
            </w:pPr>
            <w:r>
              <w:t xml:space="preserve">Constant</w:t>
            </w:r>
          </w:p>
        </w:tc>
        <w:tc>
          <w:tcPr/>
          <w:p>
            <w:pPr>
              <w:pStyle w:val="Compact"/>
              <w:jc w:val="right"/>
            </w:pPr>
            <w:r>
              <w:t xml:space="preserve">2.148∗∗∗</w:t>
            </w:r>
          </w:p>
        </w:tc>
        <w:tc>
          <w:tcPr/>
          <w:p>
            <w:pPr>
              <w:pStyle w:val="Compact"/>
              <w:jc w:val="right"/>
            </w:pPr>
            <w:r>
              <w:t xml:space="preserve">1.962∗∗∗</w:t>
            </w:r>
          </w:p>
        </w:tc>
        <w:tc>
          <w:tcPr/>
          <w:p>
            <w:pPr>
              <w:pStyle w:val="Compact"/>
              <w:jc w:val="right"/>
            </w:pPr>
            <w:r>
              <w:t xml:space="preserve">2.108∗∗∗</w:t>
            </w:r>
          </w:p>
        </w:tc>
        <w:tc>
          <w:tcPr/>
          <w:p>
            <w:pPr>
              <w:pStyle w:val="Compact"/>
              <w:jc w:val="right"/>
            </w:pPr>
            <w:r>
              <w:t xml:space="preserve">18.840∗∗</w:t>
            </w:r>
          </w:p>
        </w:tc>
        <w:tc>
          <w:tcPr/>
          <w:p>
            <w:pPr>
              <w:pStyle w:val="Compact"/>
              <w:jc w:val="right"/>
            </w:pPr>
            <w:r>
              <w:t xml:space="preserve">21.744∗∗∗</w:t>
            </w:r>
          </w:p>
        </w:tc>
        <w:tc>
          <w:tcPr/>
          <w:p>
            <w:pPr>
              <w:pStyle w:val="Compact"/>
              <w:jc w:val="right"/>
            </w:pPr>
            <w:r>
              <w:t xml:space="preserve">27.343∗∗∗</w:t>
            </w:r>
          </w:p>
        </w:tc>
      </w:tr>
      <w:tr>
        <w:tc>
          <w:tcPr/>
          <w:p>
            <w:pPr>
              <w:pStyle w:val="Compact"/>
            </w:pPr>
          </w:p>
        </w:tc>
        <w:tc>
          <w:tcPr/>
          <w:p>
            <w:pPr>
              <w:pStyle w:val="Compact"/>
              <w:jc w:val="right"/>
            </w:pPr>
            <w:r>
              <w:t xml:space="preserve">(0.490)</w:t>
            </w:r>
          </w:p>
        </w:tc>
        <w:tc>
          <w:tcPr/>
          <w:p>
            <w:pPr>
              <w:pStyle w:val="Compact"/>
              <w:jc w:val="right"/>
            </w:pPr>
            <w:r>
              <w:t xml:space="preserve">(0.572)</w:t>
            </w:r>
          </w:p>
        </w:tc>
        <w:tc>
          <w:tcPr/>
          <w:p>
            <w:pPr>
              <w:pStyle w:val="Compact"/>
              <w:jc w:val="right"/>
            </w:pPr>
            <w:r>
              <w:t xml:space="preserve">(0.575)</w:t>
            </w:r>
          </w:p>
        </w:tc>
        <w:tc>
          <w:tcPr/>
          <w:p>
            <w:pPr>
              <w:pStyle w:val="Compact"/>
              <w:jc w:val="right"/>
            </w:pPr>
            <w:r>
              <w:t xml:space="preserve">(7.237)</w:t>
            </w:r>
          </w:p>
        </w:tc>
        <w:tc>
          <w:tcPr/>
          <w:p>
            <w:pPr>
              <w:pStyle w:val="Compact"/>
              <w:jc w:val="right"/>
            </w:pPr>
            <w:r>
              <w:t xml:space="preserve">(6.165)</w:t>
            </w:r>
          </w:p>
        </w:tc>
        <w:tc>
          <w:tcPr/>
          <w:p>
            <w:pPr>
              <w:pStyle w:val="Compact"/>
              <w:jc w:val="right"/>
            </w:pPr>
            <w:r>
              <w:t xml:space="preserve">(7.166)</w:t>
            </w:r>
          </w:p>
        </w:tc>
      </w:tr>
      <w:tr>
        <w:tc>
          <w:tcPr/>
          <w:p>
            <w:pPr>
              <w:pStyle w:val="Compact"/>
              <w:jc w:val="left"/>
            </w:pPr>
            <w:r>
              <w:t xml:space="preserve">Observations</w:t>
            </w:r>
          </w:p>
        </w:tc>
        <w:tc>
          <w:tcPr/>
          <w:p>
            <w:pPr>
              <w:pStyle w:val="Compact"/>
              <w:jc w:val="right"/>
            </w:pPr>
            <w:r>
              <w:t xml:space="preserve">202</w:t>
            </w:r>
          </w:p>
        </w:tc>
        <w:tc>
          <w:tcPr/>
          <w:p>
            <w:pPr>
              <w:pStyle w:val="Compact"/>
              <w:jc w:val="right"/>
            </w:pPr>
            <w:r>
              <w:t xml:space="preserve">178</w:t>
            </w:r>
          </w:p>
        </w:tc>
        <w:tc>
          <w:tcPr/>
          <w:p>
            <w:pPr>
              <w:pStyle w:val="Compact"/>
              <w:jc w:val="right"/>
            </w:pPr>
            <w:r>
              <w:t xml:space="preserve">178</w:t>
            </w:r>
          </w:p>
        </w:tc>
        <w:tc>
          <w:tcPr/>
          <w:p>
            <w:pPr>
              <w:pStyle w:val="Compact"/>
              <w:jc w:val="right"/>
            </w:pPr>
            <w:r>
              <w:t xml:space="preserve">202</w:t>
            </w:r>
          </w:p>
        </w:tc>
        <w:tc>
          <w:tcPr/>
          <w:p>
            <w:pPr>
              <w:pStyle w:val="Compact"/>
              <w:jc w:val="right"/>
            </w:pPr>
            <w:r>
              <w:t xml:space="preserve">178</w:t>
            </w:r>
          </w:p>
        </w:tc>
        <w:tc>
          <w:tcPr/>
          <w:p>
            <w:pPr>
              <w:pStyle w:val="Compact"/>
              <w:jc w:val="right"/>
            </w:pPr>
            <w:r>
              <w:t xml:space="preserve">178</w:t>
            </w:r>
          </w:p>
        </w:tc>
      </w:tr>
      <w:tr>
        <w:tc>
          <w:tcPr/>
          <w:p>
            <w:pPr>
              <w:pStyle w:val="Compact"/>
              <w:jc w:val="left"/>
            </w:pPr>
            <w:r>
              <w:t xml:space="preserve">Platforms (clusters)</w:t>
            </w:r>
          </w:p>
        </w:tc>
        <w:tc>
          <w:tcPr/>
          <w:p>
            <w:pPr>
              <w:pStyle w:val="Compact"/>
              <w:jc w:val="right"/>
            </w:pPr>
            <w:r>
              <w:t xml:space="preserve">32</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32</w:t>
            </w:r>
          </w:p>
        </w:tc>
        <w:tc>
          <w:tcPr/>
          <w:p>
            <w:pPr>
              <w:pStyle w:val="Compact"/>
              <w:jc w:val="right"/>
            </w:pPr>
            <w:r>
              <w:t xml:space="preserve">30</w:t>
            </w:r>
          </w:p>
        </w:tc>
        <w:tc>
          <w:tcPr/>
          <w:p>
            <w:pPr>
              <w:pStyle w:val="Compact"/>
              <w:jc w:val="right"/>
            </w:pPr>
            <w:r>
              <w:t xml:space="preserve">30</w:t>
            </w:r>
          </w:p>
        </w:tc>
      </w:tr>
      <w:tr>
        <w:tc>
          <w:tcPr/>
          <w:p>
            <w:pPr>
              <w:pStyle w:val="Compact"/>
              <w:jc w:val="left"/>
            </w:pPr>
            <w:r>
              <w:rPr>
                <w:iCs/>
                <w:i/>
              </w:rPr>
              <w:t xml:space="preserve">R</w:t>
            </w:r>
            <w:r>
              <w:rPr>
                <w:vertAlign w:val="superscript"/>
              </w:rPr>
              <w:t xml:space="preserve">2</w:t>
            </w:r>
          </w:p>
        </w:tc>
        <w:tc>
          <w:tcPr/>
          <w:p>
            <w:pPr>
              <w:pStyle w:val="Compact"/>
              <w:jc w:val="right"/>
            </w:pPr>
            <w:r>
              <w:t xml:space="preserve">0.808</w:t>
            </w:r>
          </w:p>
        </w:tc>
        <w:tc>
          <w:tcPr/>
          <w:p>
            <w:pPr>
              <w:pStyle w:val="Compact"/>
              <w:jc w:val="right"/>
            </w:pPr>
            <w:r>
              <w:t xml:space="preserve">0.842</w:t>
            </w:r>
          </w:p>
        </w:tc>
        <w:tc>
          <w:tcPr/>
          <w:p>
            <w:pPr>
              <w:pStyle w:val="Compact"/>
              <w:jc w:val="right"/>
            </w:pPr>
            <w:r>
              <w:t xml:space="preserve">0.867</w:t>
            </w:r>
          </w:p>
        </w:tc>
        <w:tc>
          <w:tcPr/>
          <w:p>
            <w:pPr>
              <w:pStyle w:val="Compact"/>
              <w:jc w:val="right"/>
            </w:pPr>
            <w:r>
              <w:t xml:space="preserve">0.438</w:t>
            </w:r>
          </w:p>
        </w:tc>
        <w:tc>
          <w:tcPr/>
          <w:p>
            <w:pPr>
              <w:pStyle w:val="Compact"/>
              <w:jc w:val="right"/>
            </w:pPr>
            <w:r>
              <w:t xml:space="preserve">0.515</w:t>
            </w:r>
          </w:p>
        </w:tc>
        <w:tc>
          <w:tcPr/>
          <w:p>
            <w:pPr>
              <w:pStyle w:val="Compact"/>
              <w:jc w:val="right"/>
            </w:pPr>
            <w:r>
              <w:t xml:space="preserve">0.571</w:t>
            </w:r>
          </w:p>
        </w:tc>
      </w:tr>
      <w:tr>
        <w:tc>
          <w:tcPr/>
          <w:p>
            <w:pPr>
              <w:pStyle w:val="Compact"/>
              <w:jc w:val="left"/>
            </w:pPr>
            <w:r>
              <w:t xml:space="preserve">Year dummies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Yes</w:t>
            </w:r>
          </w:p>
        </w:tc>
      </w:tr>
      <w:tr>
        <w:tc>
          <w:tcPr/>
          <w:p>
            <w:pPr>
              <w:pStyle w:val="Compact"/>
              <w:jc w:val="left"/>
            </w:pPr>
            <w:r>
              <w:t xml:space="preserve">Wild-bootstrap</w:t>
            </w:r>
            <w:r>
              <w:t xml:space="preserve"> </w:t>
            </w:r>
            <w:r>
              <w:rPr>
                <w:iCs/>
                <w:i/>
              </w:rPr>
              <w:t xml:space="preserve">p</w:t>
            </w:r>
            <w:r>
              <w:t xml:space="preserve">, IndonesiaRegion</w:t>
            </w:r>
          </w:p>
        </w:tc>
        <w:tc>
          <w:tcPr/>
          <w:p>
            <w:pPr>
              <w:pStyle w:val="Compact"/>
              <w:jc w:val="right"/>
            </w:pPr>
            <w:r>
              <w:t xml:space="preserve">0.848</w:t>
            </w:r>
          </w:p>
        </w:tc>
        <w:tc>
          <w:tcPr/>
          <w:p>
            <w:pPr>
              <w:pStyle w:val="Compact"/>
              <w:jc w:val="right"/>
            </w:pPr>
            <w:r>
              <w:t xml:space="preserve">0.475</w:t>
            </w:r>
          </w:p>
        </w:tc>
        <w:tc>
          <w:tcPr/>
          <w:p>
            <w:pPr>
              <w:pStyle w:val="Compact"/>
              <w:jc w:val="right"/>
            </w:pPr>
            <w:r>
              <w:t xml:space="preserve">0.866</w:t>
            </w:r>
          </w:p>
        </w:tc>
        <w:tc>
          <w:tcPr/>
          <w:p>
            <w:pPr>
              <w:pStyle w:val="Compact"/>
              <w:jc w:val="right"/>
            </w:pPr>
            <w:r>
              <w:t xml:space="preserve">0.031</w:t>
            </w:r>
          </w:p>
        </w:tc>
        <w:tc>
          <w:tcPr/>
          <w:p>
            <w:pPr>
              <w:pStyle w:val="Compact"/>
              <w:jc w:val="right"/>
            </w:pPr>
            <w:r>
              <w:t xml:space="preserve">0.039</w:t>
            </w:r>
          </w:p>
        </w:tc>
        <w:tc>
          <w:tcPr/>
          <w:p>
            <w:pPr>
              <w:pStyle w:val="Compact"/>
              <w:jc w:val="right"/>
            </w:pPr>
            <w:r>
              <w:t xml:space="preserve">0.005</w:t>
            </w:r>
          </w:p>
        </w:tc>
      </w:tr>
    </w:tbl>
    <w:p>
      <w:pPr>
        <w:pStyle w:val="BodyText"/>
      </w:pPr>
      <w:r>
        <w:rPr>
          <w:iCs/>
          <w:i/>
        </w:rPr>
        <w:t xml:space="preserve">Note:</w:t>
      </w:r>
      <w:r>
        <w:t xml:space="preserve"> </w:t>
      </w:r>
      <w:r>
        <w:t xml:space="preserve">The take rate and its parts are not regressors, because the ecosystem ratio is one divided by the take rate, minus one. Source: company filings; SEC filings; World Bank; Bank for International Settlements; author’s calculations. Exploratory.</w:t>
      </w:r>
    </w:p>
    <w:p>
      <w:pPr>
        <w:pStyle w:val="BodyText"/>
      </w:pPr>
      <w:r>
        <w:t xml:space="preserve">The wedge scales with the size of the platform. A 1 percent rise in total assets goes with a rise of about 0.9 percent in the wedge, and the regressors of column (1) explain 81 percent of its variation. Once size is held fixed, Indonesian and regional platforms do not carry a different wedge. The coefficient on IndonesiaRegion is −0.07 in column (1) and stays between −0.30 and 0.08 in the others, never close to significance. On-demand platforms carry about 60 percent less wedge for their assets than marketplaces do.</w:t>
      </w:r>
    </w:p>
    <w:p>
      <w:pPr>
        <w:pStyle w:val="BodyText"/>
      </w:pPr>
      <w:r>
        <w:t xml:space="preserve">The ecosystem ratio is different. The Indonesian and regional platforms have a ratio 13 to 17 points above foreign platforms of the same type, size and age, in markets with the same growth, inflation and interest rates (columns 4 to 6). The foreign mean is about 9. The wild-bootstrap p-values are between 0.005 and 0.04, so five platforms are enough to separate the two groups. Size and age explain little of the ratio. Type explains a good deal: on-demand platforms have ratios 17 to 20 points below marketplaces, which means that they keep a much larger share of each sale, and travel, freelance and resale platforms are 7 to 14 points below. A home market that grows faster has a higher ratio, by about 1.3 to 1.5 points for each point of GDP growth, an exploratory pattern that the thesis does not read as causal.</w:t>
      </w:r>
    </w:p>
    <w:p>
      <w:pPr>
        <w:pStyle w:val="BodyText"/>
      </w:pPr>
      <w:r>
        <w:t xml:space="preserve">The result for the Indonesian and regional platforms survives the checks of Appendix C. The coefficient stays between 15 and 18 when each of the five platforms is dropped in turn, and it is 21 without Alibaba, Pinduoduo, Rakuten and Shopify. It is 28.5 when the ratio is not capped (p = 0.008), and 17 when a dummy for emerging home markets is added, whose own coefficient is close to zero (0.4, p = 0.94). So the thin take rates of Indonesian and regional platforms are not a general emerging-market pattern. Total assets are those of the whole company, which is larger than the platform business at GoTo, Rakuten and Sea, so size is measured with error, and the result rests on five platforms.</w:t>
      </w:r>
    </w:p>
    <w:p>
      <w:pPr>
        <w:pStyle w:val="BodyText"/>
      </w:pPr>
      <w:r>
        <w:t xml:space="preserve">The regression does not say how a platform moved its take rate. Company reports do, for the seven windows traced in Appendix B, where the growth of revenue is split into more commerce, higher fees and lower incentives. Higher fees and lower incentives together outweighed more commerce in every window. Lower incentives were the larger of the two in four windows and higher fees in two. In the seventh, Grab from 2021 to 2024, the two were nearly equal. The windows of one platform overlap, so they are not seven independent cases. Blibli does not report incentives, so its split rests on a proxy, and part of its 2022–23 rise comes from travel and digital products. Bukalapak’s reports do not allow the parts to be separated.</w:t>
      </w:r>
    </w:p>
    <w:p>
      <w:pPr>
        <w:pStyle w:val="BodyText"/>
      </w:pPr>
      <w:r>
        <w:t xml:space="preserve">Tokopedia can be read in two ways, and both point to pricing. Its incentives fell by about a third in 2023. Counted line by line in its accounts, lower incentives gave about 60 percent of the extra revenue and higher gross fees about 40 percent. That count does not adjust for the fall in transaction value, which lowered both lines. Measured per unit of transaction value, higher fees account for more of the rise in the take rate. The two views differ only on which lever led (Figure 5.2).</w:t>
      </w:r>
    </w:p>
    <w:p>
      <w:pPr>
        <w:pStyle w:val="BodyText"/>
      </w:pPr>
      <w:r>
        <w:drawing>
          <wp:inline>
            <wp:extent cx="5334000" cy="1769806"/>
            <wp:effectExtent b="0" l="0" r="0" t="0"/>
            <wp:docPr descr="" title="" id="58" name="Picture"/>
            <a:graphic>
              <a:graphicData uri="http://schemas.openxmlformats.org/drawingml/2006/picture">
                <pic:pic>
                  <pic:nvPicPr>
                    <pic:cNvPr descr="figures/fig5_2_tokopedia_two_views.png" id="59" name="Picture"/>
                    <pic:cNvPicPr>
                      <a:picLocks noChangeArrowheads="1" noChangeAspect="1"/>
                    </pic:cNvPicPr>
                  </pic:nvPicPr>
                  <pic:blipFill>
                    <a:blip r:embed="rId57"/>
                    <a:stretch>
                      <a:fillRect/>
                    </a:stretch>
                  </pic:blipFill>
                  <pic:spPr bwMode="auto">
                    <a:xfrm>
                      <a:off x="0" y="0"/>
                      <a:ext cx="5334000" cy="1769806"/>
                    </a:xfrm>
                    <a:prstGeom prst="rect">
                      <a:avLst/>
                    </a:prstGeom>
                    <a:noFill/>
                    <a:ln w="9525">
                      <a:noFill/>
                      <a:headEnd/>
                      <a:tailEnd/>
                    </a:ln>
                  </pic:spPr>
                </pic:pic>
              </a:graphicData>
            </a:graphic>
          </wp:inline>
        </w:drawing>
      </w:r>
    </w:p>
    <w:p>
      <w:pPr>
        <w:pStyle w:val="BodyText"/>
      </w:pPr>
      <w:r>
        <w:rPr>
          <w:bCs/>
          <w:b/>
        </w:rPr>
        <w:t xml:space="preserve">Figure 5.2. Tokopedia, 2022 to 2023: two ways to split the rise in revenue.</w:t>
      </w:r>
      <w:r>
        <w:t xml:space="preserve"> </w:t>
      </w:r>
      <w:r>
        <w:t xml:space="preserve">Left: the change in net revenue split by the lines of the accounts. Right: the growth of revenue split per unit of transaction value, where a negative share pulled revenue down. Source: GoTo annual report 2023, segment note; author’s calculations.</w:t>
      </w:r>
    </w:p>
    <w:p>
      <w:pPr>
        <w:pStyle w:val="BodyText"/>
      </w:pPr>
      <w:r>
        <w:t xml:space="preserve">Tokopedia is not the only case of revenue rising while the commerce shrank. From 2024 to 2025, Blibli’s transaction value fell by about 2 percent while its revenue rose by about 12 percent. In the windows traced here, revenue growth was not a fair guide to the commerce the platforms carried. Whether markets treated it as one is a separate question.</w:t>
      </w:r>
    </w:p>
    <w:p>
      <w:pPr>
        <w:pStyle w:val="BodyText"/>
      </w:pPr>
      <w:r>
        <w:t xml:space="preserve">The ecosystem ratio matters for three groups. For investors, a high ratio means that small changes in fees or discounts produce large swings in revenue growth. At the typical Indonesian and regional ratio of 35, the platform keeps about 2.8 percent of each sale, and a rise of 1 point in the take rate lifts revenue by about 36 percent at constant volume. At the typical foreign ratio of 5.5, the same rise lifts it by 6.5 percent. A revenue multiple therefore means something different in the two groups, because each unit of revenue stands for 36 units of transaction value in one and 6.5 in the other. Growth that comes from the take rate cannot go on without end, and Section 5.4 shows that markets priced transaction value.</w:t>
      </w:r>
    </w:p>
    <w:p>
      <w:pPr>
        <w:pStyle w:val="BodyText"/>
      </w:pPr>
      <w:r>
        <w:t xml:space="preserve">For sellers and drivers, a high ratio means that most of each sale goes to them and not to the platform. A rising take rate means that the platform keeps more of each sale. The take rate rose in 87 percent of the Indonesian and regional pairs, against 65 percent abroad, and at Tokopedia part of the rise came from smaller discounts, which are paid to buyers. Whether that shows market power is a question the thesis cannot answer, because it holds no data on what sellers and drivers paid or could have chosen instead. The pattern is also consistent with platforms that listed in 2021 and 2022 moving from growth to earnings, since their largest moves came one or two years after listing.</w:t>
      </w:r>
    </w:p>
    <w:p>
      <w:pPr>
        <w:pStyle w:val="BodyText"/>
      </w:pPr>
      <w:r>
        <w:t xml:space="preserve">For policy, the wedge is the base that revenue-based rules do not reach. A rule that acts on platform revenue acts on about 3 percent of the commerce at a typical Indonesian or regional platform. A cap on commissions acts on the fee rate, and a limit on discounts acts on the incentive rate, the two parts of the take rate in equation (5). Chapter 6 sets each rule against the part it reaches.</w:t>
      </w:r>
    </w:p>
    <w:bookmarkEnd w:id="60"/>
    <w:bookmarkStart w:id="61" w:name="what-markets-valued"/>
    <w:p>
      <w:pPr>
        <w:pStyle w:val="Heading2"/>
      </w:pPr>
      <w:r>
        <w:t xml:space="preserve">5.4 What markets valued</w:t>
      </w:r>
    </w:p>
    <w:p>
      <w:pPr>
        <w:pStyle w:val="FirstParagraph"/>
      </w:pPr>
      <w:r>
        <w:t xml:space="preserve">Across 28 listed platforms and 138 platform-years, market value moved with transaction value, a registered result. A 1 percent rise in transaction value goes with a rise of about 0.6 percent in market value (β_V in equation (9), p = 0.002). Section 4.5 describes this sample, which differs from the 27 foreign platforms of H1.</w:t>
      </w:r>
    </w:p>
    <w:p>
      <w:pPr>
        <w:pStyle w:val="BodyText"/>
      </w:pPr>
      <w:r>
        <w:t xml:space="preserve">The second registered prediction does not hold in the main sample. It expected markets to value growth from a higher take rate less than growth from more commerce. A 1 percent rise in the take rate goes with a rise of about 0.3 percent (β_m), which is too uncertain to tell from zero. The gap between the two estimates is not large enough to count (p = 0.20, or 0.16 with extreme values capped). The test could reliably flag only a gap above about 0.8, so a failed prediction here means the data cannot tell, not that markets value the two sources alike.</w:t>
      </w:r>
    </w:p>
    <w:p>
      <w:pPr>
        <w:pStyle w:val="BodyText"/>
      </w:pPr>
      <w:r>
        <w:t xml:space="preserve">A second run adds five segment series, including Grab, GoTo and Sea, and Mercado Libre. There the gap counts (p = 0.004), with about 0.6 for transaction value against about 0.1 for the take rate. But that run sets segment figures against whole-company market values, as the registration warned, so the thesis does not rely on it. The answer depends on which platforms are in the sample.</w:t>
      </w:r>
    </w:p>
    <w:p>
      <w:pPr>
        <w:pStyle w:val="BodyText"/>
      </w:pPr>
      <w:r>
        <w:t xml:space="preserve">Market value follows the commerce a platform carries. Early studies found a similar link, with markets pricing measures of web activity beyond earnings (Trueman, Wong and Zhang 2000; Rajgopal, Venkatachalam and Kotha 2003). Here the measure of activity is transaction value, which the platforms report themselves.</w:t>
      </w:r>
    </w:p>
    <w:p>
      <w:pPr>
        <w:pStyle w:val="BodyText"/>
      </w:pPr>
      <w:r>
        <w:t xml:space="preserve">How a firm records revenue matters too. After the 2000 crash, revenue explained less of the prices of internet firms that booked the full sale amount as revenue (Davis 2002). The data do not show that markets valued growth from pricing any less. The national figures give a separate view of the same commerce.</w:t>
      </w:r>
    </w:p>
    <w:bookmarkEnd w:id="61"/>
    <w:bookmarkStart w:id="65" w:name="the-platforms-and-the-sellers-in-2023"/>
    <w:p>
      <w:pPr>
        <w:pStyle w:val="Heading2"/>
      </w:pPr>
      <w:r>
        <w:t xml:space="preserve">5.5 The platforms and the sellers in 2023</w:t>
      </w:r>
    </w:p>
    <w:p>
      <w:pPr>
        <w:pStyle w:val="FirstParagraph"/>
      </w:pPr>
      <w:r>
        <w:t xml:space="preserve">Buying through platforms did not boom in 2023. Household spending rose by about 9 percent in current prices that year. Of six measures of buying through platforms, five grew more slowly, and three fell. Blibli is the one exception. Figure 5.3 sets the measures side by side, each in its own unit.</w:t>
      </w:r>
    </w:p>
    <w:p>
      <w:pPr>
        <w:pStyle w:val="BodyText"/>
      </w:pPr>
      <w:r>
        <w:t xml:space="preserve">The figures that described a boom were of other kinds. Tokopedia’s revenue rose by 53 percent and BPS’s online sales value by 41 percent, while the buying that platforms carried grew slowly or fell. Figure 5.3 shows the two kinds in different colours.</w:t>
      </w:r>
    </w:p>
    <w:p>
      <w:pPr>
        <w:pStyle w:val="BodyText"/>
      </w:pPr>
      <w:r>
        <w:t xml:space="preserve">Sellers’ own accounts of their sales show no boom either, a registered result. BPS asks each business how its online sales changed. For businesses already selling, the registered prediction set an upper limit on the median change. The limit was about 10 percent, the published growth in sales per business. The median change was zero.</w:t>
      </w:r>
    </w:p>
    <w:p>
      <w:pPr>
        <w:pStyle w:val="BodyText"/>
      </w:pPr>
      <w:r>
        <w:drawing>
          <wp:inline>
            <wp:extent cx="5334000" cy="2854816"/>
            <wp:effectExtent b="0" l="0" r="0" t="0"/>
            <wp:docPr descr="" title="" id="63" name="Picture"/>
            <a:graphic>
              <a:graphicData uri="http://schemas.openxmlformats.org/drawingml/2006/picture">
                <pic:pic>
                  <pic:nvPicPr>
                    <pic:cNvPr descr="figures/fig5_3_growth_2023.png" id="64" name="Picture"/>
                    <pic:cNvPicPr>
                      <a:picLocks noChangeArrowheads="1" noChangeAspect="1"/>
                    </pic:cNvPicPr>
                  </pic:nvPicPr>
                  <pic:blipFill>
                    <a:blip r:embed="rId62"/>
                    <a:stretch>
                      <a:fillRect/>
                    </a:stretch>
                  </pic:blipFill>
                  <pic:spPr bwMode="auto">
                    <a:xfrm>
                      <a:off x="0" y="0"/>
                      <a:ext cx="5334000" cy="2854816"/>
                    </a:xfrm>
                    <a:prstGeom prst="rect">
                      <a:avLst/>
                    </a:prstGeom>
                    <a:noFill/>
                    <a:ln w="9525">
                      <a:noFill/>
                      <a:headEnd/>
                      <a:tailEnd/>
                    </a:ln>
                  </pic:spPr>
                </pic:pic>
              </a:graphicData>
            </a:graphic>
          </wp:inline>
        </w:drawing>
      </w:r>
    </w:p>
    <w:p>
      <w:pPr>
        <w:pStyle w:val="BodyText"/>
      </w:pPr>
      <w:r>
        <w:rPr>
          <w:bCs/>
          <w:b/>
        </w:rPr>
        <w:t xml:space="preserve">Figure 5.3. Growth in 2023 (percent).</w:t>
      </w:r>
      <w:r>
        <w:t xml:space="preserve"> </w:t>
      </w:r>
      <w:r>
        <w:t xml:space="preserve">Blue bars show measures of buying; orange bars show the figures that described a boom. Each measure is in its own unit. Sources: company reports, Bank Indonesia, Momentum Works and BPS; household spending from national accounts. GoTo’s change rests on an estimated 2022 value, and Momentum Works’ 3.5 is the author’s calculation from its published levels (its 2024 release states 3.7). Appendix E gives the values.</w:t>
      </w:r>
    </w:p>
    <w:p>
      <w:pPr>
        <w:pStyle w:val="BodyText"/>
      </w:pPr>
      <w:r>
        <w:t xml:space="preserve">Fewer sellers reported a rise than a year earlier. About a quarter reported a rise and about a third a fall. A year before, more than a third had reported a rise and a quarter a fall. The mean change was about −4 percent. Lack of demand became the main obstacle, named by 41 percent of sellers against 35 percent in 2022.</w:t>
      </w:r>
    </w:p>
    <w:p>
      <w:pPr>
        <w:pStyle w:val="BodyText"/>
      </w:pPr>
      <w:r>
        <w:t xml:space="preserve">The published count of online sellers nonetheless rose by 27 percent in 2023. A rise of that size, in a year without a boom in sales, needs explaining.</w:t>
      </w:r>
    </w:p>
    <w:bookmarkEnd w:id="65"/>
    <w:bookmarkStart w:id="66" w:name="h2-and-the-entry-test"/>
    <w:p>
      <w:pPr>
        <w:pStyle w:val="Heading2"/>
      </w:pPr>
      <w:r>
        <w:t xml:space="preserve">5.6 H2 and the entry test</w:t>
      </w:r>
    </w:p>
    <w:p>
      <w:pPr>
        <w:pStyle w:val="FirstParagraph"/>
      </w:pPr>
      <w:r>
        <w:t xml:space="preserve">H2 holds on BPS’s published figures, but the registered entry test shows that first-time entry cannot explain the whole rise in the count. From 2022 to 2023, online sales value grew by 41 percent. The number of businesses grew by 27 percent and sales per business by 10 percent, so more businesses account for most of the growth.</w:t>
      </w:r>
    </w:p>
    <w:p>
      <w:pPr>
        <w:pStyle w:val="BodyText"/>
      </w:pPr>
      <w:r>
        <w:t xml:space="preserve">H2 holds again from 2023 to 2024. Value grew by 17 percent, the number of businesses by 15 percent and sales per business by 1.5 percent, or by 12 and 4.7 percent on BPS’s other count for 2023. The split of equation (8) is arithmetic, and it cannot tell a new seller from one counted for the first time.</w:t>
      </w:r>
    </w:p>
    <w:p>
      <w:pPr>
        <w:pStyle w:val="BodyText"/>
      </w:pPr>
      <w:r>
        <w:t xml:space="preserve">The registered entry test separates new sellers from sellers counted for the first time, and it fails. In the survey for 2023 (the 2024 file), about 13 percent of sellers began selling online that year. The test required 21.5 percent. Even with no sellers stopping, that many new sellers would raise the count by at most about 16 percent, against a published rise of 27 percent.</w:t>
      </w:r>
    </w:p>
    <w:p>
      <w:pPr>
        <w:pStyle w:val="BodyText"/>
      </w:pPr>
      <w:r>
        <w:t xml:space="preserve">Recall error does not explain the shortfall. As Section 3.5 noted, sellers who report a start date later than the true one make new sellers look more numerous. Such errors push the share toward passing, so the shortfall is, if anything, understated. Part of the 2023 rise in the count is something other than first-time entry, and its size is the next result.</w:t>
      </w:r>
    </w:p>
    <w:bookmarkEnd w:id="66"/>
    <w:bookmarkStart w:id="67" w:name="what-the-rise-in-the-count-contains"/>
    <w:p>
      <w:pPr>
        <w:pStyle w:val="Heading2"/>
      </w:pPr>
      <w:r>
        <w:t xml:space="preserve">5.7 What the rise in the count contains</w:t>
      </w:r>
    </w:p>
    <w:p>
      <w:pPr>
        <w:pStyle w:val="FirstParagraph"/>
      </w:pPr>
      <w:r>
        <w:t xml:space="preserve">About half of the 2023 rise in the count is not explained by first-time entry, an exploratory result. Table 5.5 sets out the accounting. In the survey for 2023, sellers who began before 2023 outnumber the whole count for 2022 by about 306 thousand. They make up 37 percent of the rise if no seller stopped, and 56 percent if sellers stopped at about 5 percent a year.</w:t>
      </w:r>
    </w:p>
    <w:p>
      <w:pPr>
        <w:pStyle w:val="BodyText"/>
      </w:pPr>
      <w:r>
        <w:rPr>
          <w:bCs/>
          <w:b/>
        </w:rPr>
        <w:t xml:space="preserve">Table 5.5. The 2023 rise in the count of online sellers (thousands)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 of the rise</w:t>
            </w:r>
          </w:p>
        </w:tc>
        <w:tc>
          <w:tcPr/>
          <w:p>
            <w:pPr>
              <w:pStyle w:val="Compact"/>
              <w:jc w:val="left"/>
            </w:pPr>
            <w:r>
              <w:t xml:space="preserve">If no seller stopped</w:t>
            </w:r>
          </w:p>
        </w:tc>
        <w:tc>
          <w:tcPr/>
          <w:p>
            <w:pPr>
              <w:pStyle w:val="Compact"/>
              <w:jc w:val="left"/>
            </w:pPr>
            <w:r>
              <w:t xml:space="preserve">If sellers stopped at 5 percent a year</w:t>
            </w:r>
          </w:p>
        </w:tc>
      </w:tr>
      <w:tr>
        <w:tc>
          <w:tcPr/>
          <w:p>
            <w:pPr>
              <w:pStyle w:val="Compact"/>
              <w:jc w:val="left"/>
            </w:pPr>
            <w:r>
              <w:t xml:space="preserve">Rise between the weighted totals of the two files</w:t>
            </w:r>
          </w:p>
        </w:tc>
        <w:tc>
          <w:tcPr/>
          <w:p>
            <w:pPr>
              <w:pStyle w:val="Compact"/>
              <w:jc w:val="left"/>
            </w:pPr>
            <w:r>
              <w:t xml:space="preserve">819 (100%)</w:t>
            </w:r>
          </w:p>
        </w:tc>
        <w:tc>
          <w:tcPr/>
          <w:p>
            <w:pPr>
              <w:pStyle w:val="Compact"/>
              <w:jc w:val="left"/>
            </w:pPr>
            <w:r>
              <w:t xml:space="preserve">819 (100%)</w:t>
            </w:r>
          </w:p>
        </w:tc>
      </w:tr>
      <w:tr>
        <w:tc>
          <w:tcPr/>
          <w:p>
            <w:pPr>
              <w:pStyle w:val="Compact"/>
              <w:jc w:val="left"/>
            </w:pPr>
            <w:r>
              <w:t xml:space="preserve">Net entry: sellers who began in 2023, less those who stopped</w:t>
            </w:r>
          </w:p>
        </w:tc>
        <w:tc>
          <w:tcPr/>
          <w:p>
            <w:pPr>
              <w:pStyle w:val="Compact"/>
              <w:jc w:val="left"/>
            </w:pPr>
            <w:r>
              <w:t xml:space="preserve">513 (63%)</w:t>
            </w:r>
          </w:p>
        </w:tc>
        <w:tc>
          <w:tcPr/>
          <w:p>
            <w:pPr>
              <w:pStyle w:val="Compact"/>
              <w:jc w:val="left"/>
            </w:pPr>
            <w:r>
              <w:t xml:space="preserve">361 (44%)</w:t>
            </w:r>
          </w:p>
        </w:tc>
      </w:tr>
      <w:tr>
        <w:tc>
          <w:tcPr/>
          <w:p>
            <w:pPr>
              <w:pStyle w:val="Compact"/>
              <w:jc w:val="left"/>
            </w:pPr>
            <w:r>
              <w:t xml:space="preserve">Earlier sellers newly counted above the whole 2022 count</w:t>
            </w:r>
          </w:p>
        </w:tc>
        <w:tc>
          <w:tcPr/>
          <w:p>
            <w:pPr>
              <w:pStyle w:val="Compact"/>
              <w:jc w:val="left"/>
            </w:pPr>
            <w:r>
              <w:t xml:space="preserve">306 (37%)</w:t>
            </w:r>
          </w:p>
        </w:tc>
        <w:tc>
          <w:tcPr/>
          <w:p>
            <w:pPr>
              <w:pStyle w:val="Compact"/>
              <w:jc w:val="left"/>
            </w:pPr>
            <w:r>
              <w:t xml:space="preserve">458 (56%)</w:t>
            </w:r>
          </w:p>
        </w:tc>
      </w:tr>
    </w:tbl>
    <w:p>
      <w:pPr>
        <w:pStyle w:val="BodyText"/>
      </w:pPr>
      <w:r>
        <w:rPr>
          <w:iCs/>
          <w:i/>
        </w:rPr>
        <w:t xml:space="preserve">Note:</w:t>
      </w:r>
      <w:r>
        <w:t xml:space="preserve"> </w:t>
      </w:r>
      <w:r>
        <w:t xml:space="preserve">BPS’s published counts give a rise of 821 thousand (BPS 2025a). Source: BPS survey files, weighted; author’s calculations.</w:t>
      </w:r>
    </w:p>
    <w:p>
      <w:pPr>
        <w:pStyle w:val="BodyText"/>
      </w:pPr>
      <w:r>
        <w:t xml:space="preserve">The cohort counts show the break directly. A cohort should only shrink between surveys, and the cohorts did so in every interval except 2023. Sellers who began by 2020 fell by about 10 percent between the surveys for 2020 and 2022. In the survey for 2023 they rose by 6 percent.</w:t>
      </w:r>
    </w:p>
    <w:p>
      <w:pPr>
        <w:pStyle w:val="BodyText"/>
      </w:pPr>
      <w:r>
        <w:t xml:space="preserve">The count behaved normally again in BPS’s published table for 2024. The cohort that began before 2020 shrank by about 10 percent. At least 754 thousand new sellers appeared, more than the rise of 584 thousand.</w:t>
      </w:r>
    </w:p>
    <w:p>
      <w:pPr>
        <w:pStyle w:val="BodyText"/>
      </w:pPr>
      <w:r>
        <w:t xml:space="preserve">The break sat in chat and social selling. Among sellers who began by 2022, those using only chat or social media rose by 13 percent, and marketplace users by 0.3 percent. Across the 34 provinces, growth in the count had almost no link to the share of new sellers (a rank correlation of 0.10, on a scale from −1 to 1). It had only a weak link to growth in the sample (0.35).</w:t>
      </w:r>
    </w:p>
    <w:p>
      <w:pPr>
        <w:pStyle w:val="BodyText"/>
      </w:pPr>
      <w:r>
        <w:t xml:space="preserve">Sampling noise is very unlikely to explain the break. BPS’s published error rates put the usual size of the sampling noise in the national count at about 1.4 percent. The 306 thousand extra sellers are about 4.6 times that noise in the change between the two years. The calculation applies the 2024 edition’s error rates to both years and treats the two surveys as independent.</w:t>
      </w:r>
    </w:p>
    <w:p>
      <w:pPr>
        <w:pStyle w:val="BodyText"/>
      </w:pPr>
      <w:r>
        <w:t xml:space="preserve">Most of the 2023 rise in sales value cannot be traced to what sellers reported. BPS’s figure rose by 41 percent in rupiah, from about US$53 billion to about US$72 billion at each year’s exchange rate. The thesis asks how much of that rise the sellers’ own answers can account for, by giving each kind of seller its typical size in the 2022 file.</w:t>
      </w:r>
    </w:p>
    <w:p>
      <w:pPr>
        <w:pStyle w:val="BodyText"/>
      </w:pPr>
      <w:r>
        <w:t xml:space="preserve">New sellers, sized like those that began in 2022, account for 25 to 30 percent of the rise. The extra earlier sellers, sized like chat and social sellers, account for 15 to 17 percent. The typical seller already online reported no growth (a mean change of about −4 percent, counting each seller once). That leaves 53 to 59 percent with no source in the sellers’ answers. A few large sellers growing fast could account for it, but the files cannot show whether they did.</w:t>
      </w:r>
    </w:p>
    <w:p>
      <w:pPr>
        <w:pStyle w:val="BodyText"/>
      </w:pPr>
      <w:r>
        <w:t xml:space="preserve">H2 holds on the published series, but it sits right on its threshold once the extra count is read as coverage, an exploratory follow-up. H2’s split treats every seller in the count as having entered. Suppose instead that the sellers not explained by entry were reached by wider coverage, and that their sales came with them. With both taken out of the 2023 figures, the number of businesses grows by 17 percent if no seller stopped, against 14 to 15 percent for sales per business, so H2 holds narrowly. If sellers stopped at 5 percent a year, the number of businesses grows by 12 percent and sales per business by about 16 to 17 percent, so H2 fails by a few points. H2 requires the first growth rate to be the larger. Taking out the sellers but keeping their sales gives 17 against 20 percent, and 12 against 25 percent, but that version treats the count and the value unevenly.</w:t>
      </w:r>
    </w:p>
    <w:p>
      <w:pPr>
        <w:pStyle w:val="BodyText"/>
      </w:pPr>
      <w:r>
        <w:t xml:space="preserve">The checks point to a survey that reached more chat and social sellers in 2023, the kind of break that Section 3.5 described. The files cannot separate that reading from sellers returning after a pause. Who the extra sellers were helps decide between the two.</w:t>
      </w:r>
    </w:p>
    <w:bookmarkEnd w:id="67"/>
    <w:bookmarkStart w:id="71" w:name="who-the-extra-sellers-were"/>
    <w:p>
      <w:pPr>
        <w:pStyle w:val="Heading2"/>
      </w:pPr>
      <w:r>
        <w:t xml:space="preserve">5.8 Who the extra sellers were</w:t>
      </w:r>
    </w:p>
    <w:p>
      <w:pPr>
        <w:pStyle w:val="FirstParagraph"/>
      </w:pPr>
      <w:r>
        <w:t xml:space="preserve">The extra count leaned toward long-running businesses, older owners and places outside Java, an exploratory result. A group’s extra count is its 2023 count less its 2022 count grown at the group’s own yearly rate from 2020 to 2022 (Section 4.7). The extra sellers total about 450 thousand, close to the 458 thousand in Table 5.5. Figure 5.4 compares each group’s share of the extra count with its share of the 2022 count.</w:t>
      </w:r>
    </w:p>
    <w:p>
      <w:pPr>
        <w:pStyle w:val="BodyText"/>
      </w:pPr>
      <w:r>
        <w:drawing>
          <wp:inline>
            <wp:extent cx="5334000" cy="2104537"/>
            <wp:effectExtent b="0" l="0" r="0" t="0"/>
            <wp:docPr descr="" title="" id="69" name="Picture"/>
            <a:graphic>
              <a:graphicData uri="http://schemas.openxmlformats.org/drawingml/2006/picture">
                <pic:pic>
                  <pic:nvPicPr>
                    <pic:cNvPr descr="figures/fig5_4_extra_sellers.png" id="70" name="Picture"/>
                    <pic:cNvPicPr>
                      <a:picLocks noChangeArrowheads="1" noChangeAspect="1"/>
                    </pic:cNvPicPr>
                  </pic:nvPicPr>
                  <pic:blipFill>
                    <a:blip r:embed="rId68"/>
                    <a:stretch>
                      <a:fillRect/>
                    </a:stretch>
                  </pic:blipFill>
                  <pic:spPr bwMode="auto">
                    <a:xfrm>
                      <a:off x="0" y="0"/>
                      <a:ext cx="5334000" cy="2104537"/>
                    </a:xfrm>
                    <a:prstGeom prst="rect">
                      <a:avLst/>
                    </a:prstGeom>
                    <a:noFill/>
                    <a:ln w="9525">
                      <a:noFill/>
                      <a:headEnd/>
                      <a:tailEnd/>
                    </a:ln>
                  </pic:spPr>
                </pic:pic>
              </a:graphicData>
            </a:graphic>
          </wp:inline>
        </w:drawing>
      </w:r>
    </w:p>
    <w:p>
      <w:pPr>
        <w:pStyle w:val="BodyText"/>
      </w:pPr>
      <w:r>
        <w:rPr>
          <w:bCs/>
          <w:b/>
        </w:rPr>
        <w:t xml:space="preserve">Figure 5.4. Who the extra sellers were.</w:t>
      </w:r>
      <w:r>
        <w:t xml:space="preserve"> </w:t>
      </w:r>
      <w:r>
        <w:t xml:space="preserve">The extra sellers are the 2023 count above what each group’s normal yearly change in 2020 to 2022 would give, about 450 thousand in total. Source: BPS survey files, weighted; author’s calculations. Exploratory.</w:t>
      </w:r>
    </w:p>
    <w:p>
      <w:pPr>
        <w:pStyle w:val="BodyText"/>
      </w:pPr>
      <w:r>
        <w:t xml:space="preserve">The extra count did not lean toward young businesses. A lean toward men in the raw counts disappears once each group’s normal change is taken out. This profile helps test whether the extra sellers were returning after a pause.</w:t>
      </w:r>
    </w:p>
    <w:p>
      <w:pPr>
        <w:pStyle w:val="BodyText"/>
      </w:pPr>
      <w:r>
        <w:t xml:space="preserve">Part-year selling argues against returners. A returning seller would usually sell for only part of the year, unless it restarted in January, yet part-year selling fell in 2023. Among sellers who began by 2021, those selling for part of the year fell from about 470 thousand to about 320 thousand. The same fall appears for the groups that began by 2020 and by 2022.</w:t>
      </w:r>
    </w:p>
    <w:p>
      <w:pPr>
        <w:pStyle w:val="BodyText"/>
      </w:pPr>
      <w:r>
        <w:t xml:space="preserve">The age profile argues against returners as well. Small firms that stop are more often young firms with young owners (McKenzie and Paffhausen 2019). Returners would then make the extra count lean young. It leaned old.</w:t>
      </w:r>
    </w:p>
    <w:p>
      <w:pPr>
        <w:pStyle w:val="BodyText"/>
      </w:pPr>
      <w:r>
        <w:t xml:space="preserve">Returning sellers still cannot be ruled out. Returners equal to 10 to 15 percent of the 2022 count would remove the unexplained part, which is a scenario and not an estimate. The files carry no linked histories, and BPS changed how it asks about months between the rounds. Exits, or a move to full-year selling, could also offset part-year returners. The next two sections turn to where online sellers sell and what records they keep.</w:t>
      </w:r>
    </w:p>
    <w:bookmarkEnd w:id="71"/>
    <w:bookmarkStart w:id="75" w:name="channels-and-records"/>
    <w:p>
      <w:pPr>
        <w:pStyle w:val="Heading2"/>
      </w:pPr>
      <w:r>
        <w:t xml:space="preserve">5.9 Channels and records</w:t>
      </w:r>
    </w:p>
    <w:p>
      <w:pPr>
        <w:pStyle w:val="FirstParagraph"/>
      </w:pPr>
      <w:r>
        <w:t xml:space="preserve">Most online selling happens outside marketplaces, and records are thinner there. The path of marketplace use, the value held by sellers without financial statements and the World Bank results for Indonesia were registered. The comparison within the group that began before 2020 is exploratory.</w:t>
      </w:r>
    </w:p>
    <w:p>
      <w:pPr>
        <w:pStyle w:val="BodyText"/>
      </w:pPr>
      <w:r>
        <w:t xml:space="preserve">Nearly all online sellers, about 96 percent, use chat or social media. Marketplace use fell every time it was measured, from about 22 percent of sellers in 2020 to about 17 percent in 2024. BPS worded the question slightly differently for 2023 and 2024.</w:t>
      </w:r>
    </w:p>
    <w:p>
      <w:pPr>
        <w:pStyle w:val="BodyText"/>
      </w:pPr>
      <w:r>
        <w:t xml:space="preserve">Marketplaces carry only about a fifth of online sales value. The share was 23 to 26 percent in 2022 on the survey files. In BPS’s published figures it was 18 percent in 2023 and 16 percent in 2024.</w:t>
      </w:r>
    </w:p>
    <w:p>
      <w:pPr>
        <w:pStyle w:val="BodyText"/>
      </w:pPr>
      <w:r>
        <w:t xml:space="preserve">Almost all of the recent growth in value came from outside the marketplaces. From 2023 to 2024, BPS’s marketplace value grew by about 1.5 percent and other channels by about 21 percent. BPS’s marketplace category is itself broad: 43 percent of its sellers use only Gojek or Grab, and 47 percent use a shopping marketplace.</w:t>
      </w:r>
    </w:p>
    <w:p>
      <w:pPr>
        <w:pStyle w:val="BodyText"/>
      </w:pPr>
      <w:r>
        <w:t xml:space="preserve">Records are thinner outside the marketplaces. In 2023, about 29 percent of marketplace sellers kept complete financial statements, against about 12 percent of other sellers. Figure 5.5 shows the share of all sellers who keep them falling. The fall from 2020 to 2022 came while the survey appears to have counted the same kinds of seller. The fall in 2023 may partly reflect the chat-only sellers added to the count.</w:t>
      </w:r>
    </w:p>
    <w:p>
      <w:pPr>
        <w:pStyle w:val="BodyText"/>
      </w:pPr>
      <w:r>
        <w:drawing>
          <wp:inline>
            <wp:extent cx="5334000" cy="2445478"/>
            <wp:effectExtent b="0" l="0" r="0" t="0"/>
            <wp:docPr descr="" title="" id="73" name="Picture"/>
            <a:graphic>
              <a:graphicData uri="http://schemas.openxmlformats.org/drawingml/2006/picture">
                <pic:pic>
                  <pic:nvPicPr>
                    <pic:cNvPr descr="figures/fig5_5_marketplace_and_records.png" id="74" name="Picture"/>
                    <pic:cNvPicPr>
                      <a:picLocks noChangeArrowheads="1" noChangeAspect="1"/>
                    </pic:cNvPicPr>
                  </pic:nvPicPr>
                  <pic:blipFill>
                    <a:blip r:embed="rId72"/>
                    <a:stretch>
                      <a:fillRect/>
                    </a:stretch>
                  </pic:blipFill>
                  <pic:spPr bwMode="auto">
                    <a:xfrm>
                      <a:off x="0" y="0"/>
                      <a:ext cx="5334000" cy="2445478"/>
                    </a:xfrm>
                    <a:prstGeom prst="rect">
                      <a:avLst/>
                    </a:prstGeom>
                    <a:noFill/>
                    <a:ln w="9525">
                      <a:noFill/>
                      <a:headEnd/>
                      <a:tailEnd/>
                    </a:ln>
                  </pic:spPr>
                </pic:pic>
              </a:graphicData>
            </a:graphic>
          </wp:inline>
        </w:drawing>
      </w:r>
    </w:p>
    <w:p>
      <w:pPr>
        <w:pStyle w:val="BodyText"/>
      </w:pPr>
      <w:r>
        <w:rPr>
          <w:bCs/>
          <w:b/>
        </w:rPr>
        <w:t xml:space="preserve">Figure 5.5. Marketplace use and financial statements, 2020 to 2024.</w:t>
      </w:r>
      <w:r>
        <w:t xml:space="preserve"> </w:t>
      </w:r>
      <w:r>
        <w:t xml:space="preserve">Marketplace use for 2020, 2022 and 2023 comes from the survey files and for 2024 from BPS’s published figure. Financial statements come from the survey files. BPS worded the marketplace question slightly differently for 2023 and 2024, and the survey has no point for 2021. Source: BPS; author’s calculations.</w:t>
      </w:r>
    </w:p>
    <w:p>
      <w:pPr>
        <w:pStyle w:val="BodyText"/>
      </w:pPr>
      <w:r>
        <w:t xml:space="preserve">The fall reaches long-running sellers too, an exploratory finding. Among sellers who began before 2020, the share keeping complete statements fell from about 23 percent in 2022 to about 17 percent in 2023.</w:t>
      </w:r>
    </w:p>
    <w:p>
      <w:pPr>
        <w:pStyle w:val="BodyText"/>
      </w:pPr>
      <w:r>
        <w:t xml:space="preserve">Sellers without statements hold far less of the value than of the count. On the bracket scenarios of Section 4.8, they held 26 to 40 percent of online value in 2022, against 79 percent of the count.</w:t>
      </w:r>
    </w:p>
    <w:p>
      <w:pPr>
        <w:pStyle w:val="BodyText"/>
      </w:pPr>
      <w:r>
        <w:t xml:space="preserve">The validation rule asks the total built from the brackets to lie within half and double BPS’s total. The annual reading passes, just inside the limit at about twice BPS’s total, while the monthly reading gives about 23 times. The lower brackets alone exceed BPS’s total, so the shares are ranges.</w:t>
      </w:r>
    </w:p>
    <w:p>
      <w:pPr>
        <w:pStyle w:val="BodyText"/>
      </w:pPr>
      <w:r>
        <w:t xml:space="preserve">One registered prediction on value failed narrowly. It expected the value share of sellers without statements to fall by no more than 5 points between 2020 and 2022. The share fell by 5.8 points on the main version and by 3.3 points on a second version.</w:t>
      </w:r>
    </w:p>
    <w:p>
      <w:pPr>
        <w:pStyle w:val="BodyText"/>
      </w:pPr>
      <w:r>
        <w:t xml:space="preserve">World Bank surveys of Indonesian firms show the same thin records. In six Indonesian cities, 27 percent of unregistered firms use social media with their customers. Among those, 70 percent keep no written records, and their median sales are about US$4,000 a year. A registered prediction that their mean sales would stay below about US$6,600 failed, at about US$7,300.</w:t>
      </w:r>
    </w:p>
    <w:p>
      <w:pPr>
        <w:pStyle w:val="BodyText"/>
      </w:pPr>
      <w:r>
        <w:t xml:space="preserve">Among formal firms, about 40 percent in Indonesia have neither a website nor online tax filing. That is the highest share of seven countries, against about 9 percent in Malaysia and in Thailand, a descriptive comparison.</w:t>
      </w:r>
    </w:p>
    <w:p>
      <w:pPr>
        <w:pStyle w:val="BodyText"/>
      </w:pPr>
      <w:r>
        <w:t xml:space="preserve">The split by channel is the starting point for the third question of Section 2.4, because a rule built on platform records reaches only the marketplace part. Chapter 6 measures that reach. The same split also shows where the national figures disagree, which is the next section.</w:t>
      </w:r>
    </w:p>
    <w:bookmarkEnd w:id="75"/>
    <w:bookmarkStart w:id="76" w:name="why-the-national-figures-disagree"/>
    <w:p>
      <w:pPr>
        <w:pStyle w:val="Heading2"/>
      </w:pPr>
      <w:r>
        <w:t xml:space="preserve">5.10 Why the national figures disagree</w:t>
      </w:r>
    </w:p>
    <w:p>
      <w:pPr>
        <w:pStyle w:val="FirstParagraph"/>
      </w:pPr>
      <w:r>
        <w:t xml:space="preserve">The national figures agree that growth was small only where they cover the same sellers, and they do not agree on scale. In 2023, Bank Indonesia’s e-commerce figure fell by about 5 percent while BPS’s rose by about 41 percent. That is the disagreement Chapter 1 introduced, and the third objective asks what lies behind it.</w:t>
      </w:r>
    </w:p>
    <w:p>
      <w:pPr>
        <w:pStyle w:val="BodyText"/>
      </w:pPr>
      <w:r>
        <w:t xml:space="preserve">Where Bank Indonesia’s figure and BPS’s cover the same ground, the growth is small. From 2022 to 2023, BPS’s own marketplace slice grew by about 0.2 percent in the middle scenario, and by 0.2 to 13 percent across the scenarios. From 2023 to 2024 it grew by about 1.5 percent. Most of the disagreement sits outside the marketplaces, among the sellers that only BPS reaches.</w:t>
      </w:r>
    </w:p>
    <w:p>
      <w:pPr>
        <w:pStyle w:val="BodyText"/>
      </w:pPr>
      <w:r>
        <w:t xml:space="preserve">A registered test on size gives a mixed answer. It predicted that the part of BPS’s marketplace sales that went to final consumers in 2022 would fall below Bank Indonesia’s figure. The prediction holds in the low and middle scenarios, at 0.16 and 0.68 times Bank Indonesia’s figure. It fails in the high one, at 1.62 times.</w:t>
      </w:r>
    </w:p>
    <w:p>
      <w:pPr>
        <w:pStyle w:val="BodyText"/>
      </w:pPr>
      <w:r>
        <w:t xml:space="preserve">In 2024 the figures divide by coverage. Those that cover mainly platforms grew by 5 to 7 percent, and BPS’s grew by about 17 percent. The adjacent figures of Appendix A point the same way as BPS but do not measure Indonesian e-commerce. Parcels shipped in Southeast Asia grew by about 25 percent, and the tax on foreign digital services by about 25 percent.</w:t>
      </w:r>
    </w:p>
    <w:p>
      <w:pPr>
        <w:pStyle w:val="BodyText"/>
      </w:pPr>
      <w:r>
        <w:t xml:space="preserve">Payment figures grew faster than any of these from 2023 to 2024. E-money shopping grew by about 30 percent, mobile-banking purchases by 83 percent and payments through the Quick Response Code Indonesian Standard (QRIS) by 187 percent. They are context only, because they include in-person payments and the switch away from cash.</w:t>
      </w:r>
    </w:p>
    <w:p>
      <w:pPr>
        <w:pStyle w:val="BodyText"/>
      </w:pPr>
      <w:r>
        <w:t xml:space="preserve">Levels cannot be reconciled. In 2024, BPS put online sales at about US$81 billion and Bank Indonesia at about US$31 billion.</w:t>
      </w:r>
    </w:p>
    <w:p>
      <w:pPr>
        <w:pStyle w:val="BodyText"/>
      </w:pPr>
      <w:r>
        <w:t xml:space="preserve">In 2023, BPS’s marketplace slice was about US$13 billion, against about US$38 billion for Tokopedia and the Shopee estimate together. In 2024 it was less than a quarter of Momentum Works’ marketplace estimate of about US$57 billion (Setyowati 2025).</w:t>
      </w:r>
    </w:p>
    <w:p>
      <w:pPr>
        <w:pStyle w:val="BodyText"/>
      </w:pPr>
      <w:r>
        <w:t xml:space="preserve">Platform figures and the seller survey count different things. Platform transaction value includes shipping, digital goods, travel and offline sales that a seller survey does not count in the same way. The counts of sellers differ too. Tokopedia alone reported more than 14 million merchants in 2023 (GoTo Gojek Tokopedia 2024b). The survey files put marketplace sellers at about 0.7 million that year, on the author’s calculation.</w:t>
      </w:r>
    </w:p>
    <w:p>
      <w:pPr>
        <w:pStyle w:val="BodyText"/>
      </w:pPr>
      <w:r>
        <w:t xml:space="preserve">Platform commerce does not always keep pace with household spending. In each of the four quarters to mid-2026, GoTo’s on-demand transaction value grew more slowly than household spending. In the last, it grew by 2 percent against 8 percent, while its revenue grew by about 20 percent. Grab’s and Shopee’s figures grew faster, but they cover the region.</w:t>
      </w:r>
    </w:p>
    <w:p>
      <w:pPr>
        <w:pStyle w:val="BodyText"/>
      </w:pPr>
      <w:r>
        <w:t xml:space="preserve">The results answer the research question at two levels. On the inner link, revenue showed a small part of the commerce and stopped being a fair guide when the take rate moved. On the outer link, the 2023 rise in the count of sellers was only partly first-time entry. The figures disagree most where only the survey looks. Chapter 6 turns to the rules that Indonesia is writing.</w:t>
      </w:r>
    </w:p>
    <w:bookmarkEnd w:id="76"/>
    <w:bookmarkEnd w:id="77"/>
    <w:bookmarkStart w:id="84" w:name="Xac9ab56db9ced99e03f55956eafe7ff22a86ddc"/>
    <w:p>
      <w:pPr>
        <w:pStyle w:val="Heading1"/>
      </w:pPr>
      <w:r>
        <w:t xml:space="preserve">Chapter 6. Discussion and Policy Implications</w:t>
      </w:r>
    </w:p>
    <w:p>
      <w:pPr>
        <w:pStyle w:val="FirstParagraph"/>
      </w:pPr>
      <w:r>
        <w:t xml:space="preserve">Indonesia’s government is writing rules that act on the figures this thesis measures. In 2026 it capped a ride-hailing commission and limited discounts in online trade. Since October 2026, four marketplaces have collected a tax from their sellers. Platforms must also send data to BPS, and BPS has run a new economic census. Each rule acts on one part of what Chapter 5 measured, and each reaches only that part.</w:t>
      </w:r>
    </w:p>
    <w:p>
      <w:pPr>
        <w:pStyle w:val="BodyText"/>
      </w:pPr>
      <w:r>
        <w:t xml:space="preserve">The marketplace tax is the rule aimed most directly at online sellers. It can collect from at most about 1 in 20 online sellers and about a fifth of online sales value. It also gives the state a record of every seller on the four marketplaces, including those who pay nothing. This chapter measures what each rule can reach, using the data of Chapter 5. What each rule changes can be seen only after it takes effect, and Section 6.5 sets out the predictions that will be scored on those results.</w:t>
      </w:r>
    </w:p>
    <w:bookmarkStart w:id="78" w:name="the-rules-and-what-each-acts-on"/>
    <w:p>
      <w:pPr>
        <w:pStyle w:val="Heading2"/>
      </w:pPr>
      <w:r>
        <w:t xml:space="preserve">6.1 The rules and what each acts on</w:t>
      </w:r>
    </w:p>
    <w:p>
      <w:pPr>
        <w:pStyle w:val="FirstParagraph"/>
      </w:pPr>
      <w:r>
        <w:t xml:space="preserve">The recent rules act on three parts of the figures: the platforms’ take rate, the sales of sellers inside marketplaces, and BPS’s coverage. Table 6.1 lists each rule with the part it acts on and the section of Chapter 5 that measures that part.</w:t>
      </w:r>
    </w:p>
    <w:p>
      <w:pPr>
        <w:pStyle w:val="BodyText"/>
      </w:pPr>
      <w:r>
        <w:rPr>
          <w:bCs/>
          <w:b/>
        </w:rPr>
        <w:t xml:space="preserve">Table 6.1. Indonesia’s recent rules and what each acts 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Rule</w:t>
            </w:r>
          </w:p>
        </w:tc>
        <w:tc>
          <w:tcPr/>
          <w:p>
            <w:pPr>
              <w:pStyle w:val="Compact"/>
              <w:jc w:val="left"/>
            </w:pPr>
            <w:r>
              <w:t xml:space="preserve">What it does</w:t>
            </w:r>
          </w:p>
        </w:tc>
        <w:tc>
          <w:tcPr/>
          <w:p>
            <w:pPr>
              <w:pStyle w:val="Compact"/>
              <w:jc w:val="left"/>
            </w:pPr>
            <w:r>
              <w:t xml:space="preserve">What it acts on</w:t>
            </w:r>
          </w:p>
        </w:tc>
        <w:tc>
          <w:tcPr/>
          <w:p>
            <w:pPr>
              <w:pStyle w:val="Compact"/>
              <w:jc w:val="left"/>
            </w:pPr>
            <w:r>
              <w:t xml:space="preserve">Measured in</w:t>
            </w:r>
          </w:p>
        </w:tc>
        <w:tc>
          <w:tcPr/>
          <w:p>
            <w:pPr>
              <w:pStyle w:val="Compact"/>
              <w:jc w:val="left"/>
            </w:pPr>
            <w:r>
              <w:t xml:space="preserve">Status of the text</w:t>
            </w:r>
          </w:p>
        </w:tc>
      </w:tr>
      <w:tr>
        <w:tc>
          <w:tcPr/>
          <w:p>
            <w:pPr>
              <w:pStyle w:val="Compact"/>
              <w:jc w:val="left"/>
            </w:pPr>
            <w:r>
              <w:t xml:space="preserve">Commission cap (Transport Minister Decree KP-PHB 532/2026; Presidential Regulation 27/2026)</w:t>
            </w:r>
          </w:p>
        </w:tc>
        <w:tc>
          <w:tcPr/>
          <w:p>
            <w:pPr>
              <w:pStyle w:val="Compact"/>
              <w:jc w:val="left"/>
            </w:pPr>
            <w:r>
              <w:t xml:space="preserve">Caps the commission on two-wheel passenger trips at 8 percent from 1 July 2026</w:t>
            </w:r>
          </w:p>
        </w:tc>
        <w:tc>
          <w:tcPr/>
          <w:p>
            <w:pPr>
              <w:pStyle w:val="Compact"/>
              <w:jc w:val="left"/>
            </w:pPr>
            <w:r>
              <w:t xml:space="preserve">The fee rate, for one service</w:t>
            </w:r>
          </w:p>
        </w:tc>
        <w:tc>
          <w:tcPr/>
          <w:p>
            <w:pPr>
              <w:pStyle w:val="Compact"/>
              <w:jc w:val="left"/>
            </w:pPr>
            <w:r>
              <w:t xml:space="preserve">5.3</w:t>
            </w:r>
          </w:p>
        </w:tc>
        <w:tc>
          <w:tcPr/>
          <w:p>
            <w:pPr>
              <w:pStyle w:val="Compact"/>
              <w:jc w:val="left"/>
            </w:pPr>
            <w:r>
              <w:t xml:space="preserve">Decree in force from July 2026; presidential regulation released 8 October 2026; neither text public when this thesis was written</w:t>
            </w:r>
          </w:p>
        </w:tc>
      </w:tr>
      <w:tr>
        <w:tc>
          <w:tcPr/>
          <w:p>
            <w:pPr>
              <w:pStyle w:val="Compact"/>
              <w:jc w:val="left"/>
            </w:pPr>
            <w:r>
              <w:t xml:space="preserve">Discount rule (Trade Minister Regulation 19/2026, Art. 18)</w:t>
            </w:r>
          </w:p>
        </w:tc>
        <w:tc>
          <w:tcPr/>
          <w:p>
            <w:pPr>
              <w:pStyle w:val="Compact"/>
              <w:jc w:val="left"/>
            </w:pPr>
            <w:r>
              <w:t xml:space="preserve">Requires every online trade operator, including ride-hailing apps that sell goods, to prevent repeated price subsidies that hurt local products and endless below-cost discounts</w:t>
            </w:r>
          </w:p>
        </w:tc>
        <w:tc>
          <w:tcPr/>
          <w:p>
            <w:pPr>
              <w:pStyle w:val="Compact"/>
              <w:jc w:val="left"/>
            </w:pPr>
            <w:r>
              <w:t xml:space="preserve">The incentive rate</w:t>
            </w:r>
          </w:p>
        </w:tc>
        <w:tc>
          <w:tcPr/>
          <w:p>
            <w:pPr>
              <w:pStyle w:val="Compact"/>
              <w:jc w:val="left"/>
            </w:pPr>
            <w:r>
              <w:t xml:space="preserve">5.3</w:t>
            </w:r>
          </w:p>
        </w:tc>
        <w:tc>
          <w:tcPr/>
          <w:p>
            <w:pPr>
              <w:pStyle w:val="Compact"/>
              <w:jc w:val="left"/>
            </w:pPr>
            <w:r>
              <w:t xml:space="preserve">Primary text read</w:t>
            </w:r>
          </w:p>
        </w:tc>
      </w:tr>
      <w:tr>
        <w:tc>
          <w:tcPr/>
          <w:p>
            <w:pPr>
              <w:pStyle w:val="Compact"/>
              <w:jc w:val="left"/>
            </w:pPr>
            <w:r>
              <w:t xml:space="preserve">Marketplace tax (Finance Minister Regulation 37/2025)</w:t>
            </w:r>
          </w:p>
        </w:tc>
        <w:tc>
          <w:tcPr/>
          <w:p>
            <w:pPr>
              <w:pStyle w:val="Compact"/>
              <w:jc w:val="left"/>
            </w:pPr>
            <w:r>
              <w:t xml:space="preserve">Designated marketplaces collect 0.5 percent of domestic sellers’ gross sales; individuals with sales up to Rp500 million a year are exempt; every seller gives a tax number or national identity number</w:t>
            </w:r>
          </w:p>
        </w:tc>
        <w:tc>
          <w:tcPr/>
          <w:p>
            <w:pPr>
              <w:pStyle w:val="Compact"/>
              <w:jc w:val="left"/>
            </w:pPr>
            <w:r>
              <w:t xml:space="preserve">Sellers’ sales inside marketplaces</w:t>
            </w:r>
          </w:p>
        </w:tc>
        <w:tc>
          <w:tcPr/>
          <w:p>
            <w:pPr>
              <w:pStyle w:val="Compact"/>
              <w:jc w:val="left"/>
            </w:pPr>
            <w:r>
              <w:t xml:space="preserve">5.9</w:t>
            </w:r>
          </w:p>
        </w:tc>
        <w:tc>
          <w:tcPr/>
          <w:p>
            <w:pPr>
              <w:pStyle w:val="Compact"/>
              <w:jc w:val="left"/>
            </w:pPr>
            <w:r>
              <w:t xml:space="preserve">Primary text read; collected by Shopee, Tokopedia, Lazada and Blibli since 1 October 2026</w:t>
            </w:r>
          </w:p>
        </w:tc>
      </w:tr>
      <w:tr>
        <w:tc>
          <w:tcPr/>
          <w:p>
            <w:pPr>
              <w:pStyle w:val="Compact"/>
              <w:jc w:val="left"/>
            </w:pPr>
            <w:r>
              <w:t xml:space="preserve">Small-business final tax (Government Regulation 20/2026)</w:t>
            </w:r>
          </w:p>
        </w:tc>
        <w:tc>
          <w:tcPr/>
          <w:p>
            <w:pPr>
              <w:pStyle w:val="Compact"/>
              <w:jc w:val="left"/>
            </w:pPr>
            <w:r>
              <w:t xml:space="preserve">Keeps a 0.5 percent final tax on turnover up to Rp4.8 billion a year; excludes content creators</w:t>
            </w:r>
          </w:p>
        </w:tc>
        <w:tc>
          <w:tcPr/>
          <w:p>
            <w:pPr>
              <w:pStyle w:val="Compact"/>
              <w:jc w:val="left"/>
            </w:pPr>
            <w:r>
              <w:t xml:space="preserve">Small sellers in every channel</w:t>
            </w:r>
          </w:p>
        </w:tc>
        <w:tc>
          <w:tcPr/>
          <w:p>
            <w:pPr>
              <w:pStyle w:val="Compact"/>
              <w:jc w:val="left"/>
            </w:pPr>
            <w:r>
              <w:t xml:space="preserve">Not measured</w:t>
            </w:r>
          </w:p>
        </w:tc>
        <w:tc>
          <w:tcPr/>
          <w:p>
            <w:pPr>
              <w:pStyle w:val="Compact"/>
              <w:jc w:val="left"/>
            </w:pPr>
            <w:r>
              <w:t xml:space="preserve">Primary text read</w:t>
            </w:r>
          </w:p>
        </w:tc>
      </w:tr>
      <w:tr>
        <w:tc>
          <w:tcPr/>
          <w:p>
            <w:pPr>
              <w:pStyle w:val="Compact"/>
              <w:jc w:val="left"/>
            </w:pPr>
            <w:r>
              <w:t xml:space="preserve">Platform data to BPS (BPS Regulation 4/2023)</w:t>
            </w:r>
          </w:p>
        </w:tc>
        <w:tc>
          <w:tcPr/>
          <w:p>
            <w:pPr>
              <w:pStyle w:val="Compact"/>
              <w:jc w:val="left"/>
            </w:pPr>
            <w:r>
              <w:t xml:space="preserve">E-commerce operators must send BPS their revenue, transactions and numbers of sellers and buyers, with sanctions</w:t>
            </w:r>
          </w:p>
        </w:tc>
        <w:tc>
          <w:tcPr/>
          <w:p>
            <w:pPr>
              <w:pStyle w:val="Compact"/>
              <w:jc w:val="left"/>
            </w:pPr>
            <w:r>
              <w:t xml:space="preserve">BPS’s coverage</w:t>
            </w:r>
          </w:p>
        </w:tc>
        <w:tc>
          <w:tcPr/>
          <w:p>
            <w:pPr>
              <w:pStyle w:val="Compact"/>
              <w:jc w:val="left"/>
            </w:pPr>
            <w:r>
              <w:t xml:space="preserve">5.10</w:t>
            </w:r>
          </w:p>
        </w:tc>
        <w:tc>
          <w:tcPr/>
          <w:p>
            <w:pPr>
              <w:pStyle w:val="Compact"/>
              <w:jc w:val="left"/>
            </w:pPr>
            <w:r>
              <w:t xml:space="preserve">Primary text read</w:t>
            </w:r>
          </w:p>
        </w:tc>
      </w:tr>
      <w:tr>
        <w:tc>
          <w:tcPr/>
          <w:p>
            <w:pPr>
              <w:pStyle w:val="Compact"/>
              <w:jc w:val="left"/>
            </w:pPr>
            <w:r>
              <w:t xml:space="preserve">Economic census 2026</w:t>
            </w:r>
          </w:p>
        </w:tc>
        <w:tc>
          <w:tcPr/>
          <w:p>
            <w:pPr>
              <w:pStyle w:val="Compact"/>
              <w:jc w:val="left"/>
            </w:pPr>
            <w:r>
              <w:t xml:space="preserve">Door-to-door count of all businesses, including online selling, affiliates and influencers</w:t>
            </w:r>
          </w:p>
        </w:tc>
        <w:tc>
          <w:tcPr/>
          <w:p>
            <w:pPr>
              <w:pStyle w:val="Compact"/>
              <w:jc w:val="left"/>
            </w:pPr>
            <w:r>
              <w:t xml:space="preserve">BPS’s sampling frame</w:t>
            </w:r>
          </w:p>
        </w:tc>
        <w:tc>
          <w:tcPr/>
          <w:p>
            <w:pPr>
              <w:pStyle w:val="Compact"/>
              <w:jc w:val="left"/>
            </w:pPr>
            <w:r>
              <w:t xml:space="preserve">5.7</w:t>
            </w:r>
          </w:p>
        </w:tc>
        <w:tc>
          <w:tcPr/>
          <w:p>
            <w:pPr>
              <w:pStyle w:val="Compact"/>
              <w:jc w:val="left"/>
            </w:pPr>
            <w:r>
              <w:t xml:space="preserve">News reports; results not yet released</w:t>
            </w:r>
          </w:p>
        </w:tc>
      </w:tr>
      <w:tr>
        <w:tc>
          <w:tcPr/>
          <w:p>
            <w:pPr>
              <w:pStyle w:val="Compact"/>
              <w:jc w:val="left"/>
            </w:pPr>
            <w:r>
              <w:t xml:space="preserve">Ban on payments on social media (Trade Minister Regulation 31/2023, carried into Regulation 19/2026)</w:t>
            </w:r>
          </w:p>
        </w:tc>
        <w:tc>
          <w:tcPr/>
          <w:p>
            <w:pPr>
              <w:pStyle w:val="Compact"/>
              <w:jc w:val="left"/>
            </w:pPr>
            <w:r>
              <w:t xml:space="preserve">Bars social media platforms from handling payments for sales</w:t>
            </w:r>
          </w:p>
        </w:tc>
        <w:tc>
          <w:tcPr/>
          <w:p>
            <w:pPr>
              <w:pStyle w:val="Compact"/>
              <w:jc w:val="left"/>
            </w:pPr>
            <w:r>
              <w:t xml:space="preserve">Where online sales are paid</w:t>
            </w:r>
          </w:p>
        </w:tc>
        <w:tc>
          <w:tcPr/>
          <w:p>
            <w:pPr>
              <w:pStyle w:val="Compact"/>
              <w:jc w:val="left"/>
            </w:pPr>
            <w:r>
              <w:t xml:space="preserve">5.9</w:t>
            </w:r>
          </w:p>
        </w:tc>
        <w:tc>
          <w:tcPr/>
          <w:p>
            <w:pPr>
              <w:pStyle w:val="Compact"/>
              <w:jc w:val="left"/>
            </w:pPr>
            <w:r>
              <w:t xml:space="preserve">Primary text read</w:t>
            </w:r>
          </w:p>
        </w:tc>
      </w:tr>
    </w:tbl>
    <w:p>
      <w:pPr>
        <w:pStyle w:val="BodyText"/>
      </w:pPr>
      <w:r>
        <w:rPr>
          <w:iCs/>
          <w:i/>
        </w:rPr>
        <w:t xml:space="preserve">Note:</w:t>
      </w:r>
      <w:r>
        <w:t xml:space="preserve"> </w:t>
      </w:r>
      <w:r>
        <w:t xml:space="preserve">At the 2024 rate, Rp500 million is about US$32,000 and Rp4.8 billion about US$300,000. Section 4.8 converts the exemption at the 2022 rate, about US$34,000, to match the survey year. Sources: the legal texts (BPS-Statistics Indonesia 2023; Government of the Republic of Indonesia 2026; Ministry of Finance of the Republic of Indonesia 2025; Ministry of Trade of the Republic of Indonesia 2023, 2026). The texts behind the commission cap were not public; its terms come from GoTo Gojek Tokopedia (2026) and CNN Indonesia (2026b).</w:t>
      </w:r>
    </w:p>
    <w:p>
      <w:pPr>
        <w:pStyle w:val="BodyText"/>
      </w:pPr>
      <w:r>
        <w:t xml:space="preserve">Equation (5) shows where the first two rules act. The take rate is the fee rate less the incentive rate. A cap on a fee pushes the take rate down. A limit on incentives pushes it up. The two rules act on opposite sides of the same take rate.</w:t>
      </w:r>
    </w:p>
    <w:p>
      <w:pPr>
        <w:pStyle w:val="BodyText"/>
      </w:pPr>
      <w:r>
        <w:t xml:space="preserve">The marketplace tax acts further out, on the sales of sellers inside marketplaces. It leaves the take rate alone, but it depends on the marketplaces’ records of each sale. The platform-data rule and the census act on the national figure: the first on what BPS receives, the second on where BPS looks.</w:t>
      </w:r>
    </w:p>
    <w:p>
      <w:pPr>
        <w:pStyle w:val="BodyText"/>
      </w:pPr>
      <w:r>
        <w:t xml:space="preserve">Two rules serve as context. The first is the 2023 ban on payments on social media, the step Chapter 1 described. Selling through chat and social media remained the norm, and in 2023 about 96 percent of online sellers used them. The second is the small-business tax, which applies in every channel. The survey files cannot identify the content creators it excludes, so the thesis does not measure its reach.</w:t>
      </w:r>
    </w:p>
    <w:p>
      <w:pPr>
        <w:pStyle w:val="BodyText"/>
      </w:pPr>
      <w:r>
        <w:t xml:space="preserve">The sections that follow take the other rules in the order of Figure 3.1, from the take rate outward.</w:t>
      </w:r>
    </w:p>
    <w:bookmarkEnd w:id="78"/>
    <w:bookmarkStart w:id="79" w:name="X28b7fd3199e423b82cfc8b23ae379c54a934281"/>
    <w:p>
      <w:pPr>
        <w:pStyle w:val="Heading2"/>
      </w:pPr>
      <w:r>
        <w:t xml:space="preserve">6.2 What the commission cap and the discount rule can move</w:t>
      </w:r>
    </w:p>
    <w:p>
      <w:pPr>
        <w:pStyle w:val="FirstParagraph"/>
      </w:pPr>
      <w:r>
        <w:t xml:space="preserve">The commission cap reaches a small part of the take rates this thesis measures. It followed protests by ride-hailing drivers, who since 2025 had asked that platforms keep at most 10 percent of each fare, down from 20 (Ronal 2025). From July 2026, a platform may keep at most 8 percent of the fare on a two-wheel ride. The cap does not cover car rides, food delivery or marketplaces. The presidential regulation released in October 2026 asks another ministry to set delivery fees by the end of the year.</w:t>
      </w:r>
    </w:p>
    <w:p>
      <w:pPr>
        <w:pStyle w:val="BodyText"/>
      </w:pPr>
      <w:r>
        <w:t xml:space="preserve">The trips under the cap are a small share of each company’s business. At GoTo, the two-wheel ride service brings about 7 percent of group net revenue (GoTo Gojek Tokopedia 2026). At Grab, two-wheel rides in Indonesia are about 6 percent of the transaction value of its rides business across the region (Grab Holdings Limited 2026). That is about 2 percent of Grab’s on-demand transaction value. Both companies report rides and deliveries as one on-demand take rate, so the cap acts on a slice of the figure Chapter 5 measured.</w:t>
      </w:r>
    </w:p>
    <w:p>
      <w:pPr>
        <w:pStyle w:val="BodyText"/>
      </w:pPr>
      <w:r>
        <w:t xml:space="preserve">The arithmetic of the cap shows how small that slice is. At Grab, the cut from 20 to 8 percent applies to trips worth about 2 percent of on-demand transaction value. If nothing else changes, it lowers the on-demand take rate by at most about a quarter of a point. Grab’s on-demand take rate was about 13 percent in the second quarter of 2026. At GoTo, where two-wheel rides weigh more, the same arithmetic gives at most about 1.4 points on a take rate of about 22 percent. GoTo’s own cost estimate implies about 0.9 points. In both cases the wedge grows by the same amount. The cap moves money from the platform’s revenue to the drivers’ fares, inside the same transaction value.</w:t>
      </w:r>
    </w:p>
    <w:p>
      <w:pPr>
        <w:pStyle w:val="BodyText"/>
      </w:pPr>
      <w:r>
        <w:t xml:space="preserve">Drivers asked for the cap, and the President announced the limit at a May Day rally in 2026, saying the cut</w:t>
      </w:r>
      <w:r>
        <w:t xml:space="preserve"> </w:t>
      </w:r>
      <w:r>
        <w:t xml:space="preserve">“</w:t>
      </w:r>
      <w:r>
        <w:t xml:space="preserve">must be below 10 percent</w:t>
      </w:r>
      <w:r>
        <w:t xml:space="preserve">”</w:t>
      </w:r>
      <w:r>
        <w:t xml:space="preserve"> </w:t>
      </w:r>
      <w:r>
        <w:t xml:space="preserve">(CNN Indonesia 2026b). The platforms lose part of the commission unless they recover it elsewhere, for example by cutting incentives. The cap brings the state no revenue; its tax on online sellers works through the marketplaces instead (Section 6.3).</w:t>
      </w:r>
    </w:p>
    <w:p>
      <w:pPr>
        <w:pStyle w:val="BodyText"/>
      </w:pPr>
      <w:r>
        <w:t xml:space="preserve">A cap on one fee does not fix the take rate, because the platform still sets its incentives. At GoTo, on-demand revenue rose by about 20 percent in the second quarter of 2026 while transaction value grew by 2 percent. The company attributed the rise to its mix of services and to</w:t>
      </w:r>
      <w:r>
        <w:t xml:space="preserve"> </w:t>
      </w:r>
      <w:r>
        <w:t xml:space="preserve">“</w:t>
      </w:r>
      <w:r>
        <w:t xml:space="preserve">rationalization of incentives as we prepared for the implementation of the 8% commission rate</w:t>
      </w:r>
      <w:r>
        <w:t xml:space="preserve">”</w:t>
      </w:r>
      <w:r>
        <w:t xml:space="preserve"> </w:t>
      </w:r>
      <w:r>
        <w:t xml:space="preserve">(GoTo Gojek Tokopedia 2026). Its take rate rose to about 22 percent in that quarter, the last before the cap, from about 18 percent a year earlier.</w:t>
      </w:r>
    </w:p>
    <w:p>
      <w:pPr>
        <w:pStyle w:val="BodyText"/>
      </w:pPr>
      <w:r>
        <w:t xml:space="preserve">The discount rule acts on the lever that moved take rates most often. Lower incentives were the larger part of the rise in the take rate in four of the seven windows of Appendix B. The rule binds every online trade operator, including ride-hailing apps that sell food or goods. Whether it reaches ride fares, which the transport ministry sets, is unclear.</w:t>
      </w:r>
    </w:p>
    <w:p>
      <w:pPr>
        <w:pStyle w:val="BodyText"/>
      </w:pPr>
      <w:r>
        <w:t xml:space="preserve">Where incentives can be followed over time, much of that lever had been pulled before the rule came. Tokopedia, the only marketplace that reported its incentives, cut them by about a third in 2023, its last full year of separate reporting. At GoTo’s on-demand business, incentives fell from about 11 percent of transaction value in 2023 to about 4 percent in 2025. Grab still spent about 10 percent of on-demand transaction value on incentives in the four quarters to early 2026, across the region. The thesis did not register a test of the discount rule, because its effect on the take rate cannot be told apart from changes in fees.</w:t>
      </w:r>
    </w:p>
    <w:p>
      <w:pPr>
        <w:pStyle w:val="BodyText"/>
      </w:pPr>
      <w:r>
        <w:t xml:space="preserve">Marketplace fees moved the other way. Shopee, Tokopedia and TikTok Shop added a fixed fee to every order in mid-2025 (Islamiati 2025). In 2026, Shopee and TikTok Shop, which took over Tokopedia in 2024, raised their seller fees again (CNN Indonesia 2026a; Setyowati 2026). The government declined to cap these fees. It later required marketplaces to halve the service fee for small sellers of local products (Ayudiana 2026). The rules on the take rate cap one fee on one ride-hailing service and leave the largest marketplace fees free. What the companies’ take rates did after the cap is the subject of the predictions in Section 6.5.</w:t>
      </w:r>
    </w:p>
    <w:bookmarkEnd w:id="79"/>
    <w:bookmarkStart w:id="80" w:name="how-far-the-marketplace-tax-reaches"/>
    <w:p>
      <w:pPr>
        <w:pStyle w:val="Heading2"/>
      </w:pPr>
      <w:r>
        <w:t xml:space="preserve">6.3 How far the marketplace tax reaches</w:t>
      </w:r>
    </w:p>
    <w:p>
      <w:pPr>
        <w:pStyle w:val="FirstParagraph"/>
      </w:pPr>
      <w:r>
        <w:t xml:space="preserve">The marketplace tax can collect from few online sellers, but it gives the state a record of every seller on the four marketplaces that collect it. These marketplaces collect 0.5 percent of each domestic seller’s gross sales and pass it to the tax office. Individual sellers with sales up to about US$34,000 a year are exempt (Section 4.8). Collection started in October 2026 through Shopee, Tokopedia, Lazada and Blibli (Directorate General of Taxes 2026c). It had begun once in August 2026, then stopped, and the tax collected was returned (Directorate General of Taxes 2026a, 2026b).</w:t>
      </w:r>
    </w:p>
    <w:p>
      <w:pPr>
        <w:pStyle w:val="BodyText"/>
      </w:pPr>
      <w:r>
        <w:t xml:space="preserve">At most about 1 in 20 online sellers falls under the tax. In 2022, marketplace sellers with sales above BPS’s bracket line of about US$20,000 a year were about 5 percent of all online sellers. The exemption sits higher, at about US$34,000, so the true share is smaller.</w:t>
      </w:r>
    </w:p>
    <w:p>
      <w:pPr>
        <w:pStyle w:val="BodyText"/>
      </w:pPr>
      <w:r>
        <w:t xml:space="preserve">The value the tax reaches is larger, but it is still a minority of online sales. Marketplaces carried 23 to 26 percent of online sales value in 2022, and sellers above the bracket line held 77 to 94 percent of that. So the tax reaches at most about 18 to 24 percent of online sales value, about a fifth. Both figures use BPS’s marketplace category, which also counts food and ride apps. Those apps are not among the four collectors, so both figures are upper limits for a second reason.</w:t>
      </w:r>
    </w:p>
    <w:p>
      <w:pPr>
        <w:pStyle w:val="BodyText"/>
      </w:pPr>
      <w:r>
        <w:t xml:space="preserve">The record reaches further than the tax. Every domestic seller on a designated marketplace must give the marketplace a tax number or national identity number and an address before being paid. Exempt sellers file a statement as well. Tax research finds that records held by a third party improve compliance where they exist (Section 2.3).</w:t>
      </w:r>
    </w:p>
    <w:p>
      <w:pPr>
        <w:pStyle w:val="BodyText"/>
      </w:pPr>
      <w:r>
        <w:t xml:space="preserve">The record still covers a minority of sellers. Marketplace sellers were about 18 percent of online sellers in 2023. Only 47 percent of them used a shopping marketplace, and most of the rest sold only through Gojek or Grab. So the record covers at most about 8 percent of online sellers, including the many who pay nothing.</w:t>
      </w:r>
    </w:p>
    <w:p>
      <w:pPr>
        <w:pStyle w:val="BodyText"/>
      </w:pPr>
      <w:r>
        <w:t xml:space="preserve">The tax leaves most sellers where they were. Sellers off the marketplaces sell through chat, social media or their own websites, and they keep complete financial statements less often (Section 5.9). Few of them plan to move. In the survey for 2023, about 13 percent of sellers off the marketplaces wanted to join one.</w:t>
      </w:r>
    </w:p>
    <w:p>
      <w:pPr>
        <w:pStyle w:val="BodyText"/>
      </w:pPr>
      <w:r>
        <w:t xml:space="preserve">The revenue at stake is small. At 0.5 percent, the tax would raise about US$60 million a year on BPS’s marketplace sales for 2024, before exemptions. On e-Conomy’s estimate of e-commerce transaction value, about five times larger, it would raise about US$300 million. Even the larger amount is about 0.2 percent of the government’s tax target for 2026.</w:t>
      </w:r>
    </w:p>
    <w:p>
      <w:pPr>
        <w:pStyle w:val="BodyText"/>
      </w:pPr>
      <w:r>
        <w:t xml:space="preserve">The tax matters more for the record it creates than for the revenue it raises. Whether sellers move away from the four marketplaces now that collection has started will be known only from later data.</w:t>
      </w:r>
    </w:p>
    <w:bookmarkEnd w:id="80"/>
    <w:bookmarkStart w:id="81" w:name="what-the-statistics-rules-can-change"/>
    <w:p>
      <w:pPr>
        <w:pStyle w:val="Heading2"/>
      </w:pPr>
      <w:r>
        <w:t xml:space="preserve">6.4 What the statistics rules can change</w:t>
      </w:r>
    </w:p>
    <w:p>
      <w:pPr>
        <w:pStyle w:val="FirstParagraph"/>
      </w:pPr>
      <w:r>
        <w:t xml:space="preserve">The rules on statistics act on the outer link, where the national figures disagreed in 2023. Since 2023, e-commerce operators must send BPS their revenue, transactions and numbers of sellers and buyers. Operators that do not comply face sanctions. By late 2024, 61 operators had sent data and 75 registered operators had not (Risalah 2024). BPS’s publication for 2024 describes its figures as survey-based and does not mention the platform data.</w:t>
      </w:r>
    </w:p>
    <w:p>
      <w:pPr>
        <w:pStyle w:val="BodyText"/>
      </w:pPr>
      <w:r>
        <w:t xml:space="preserve">Full compliance would still leave most online selling to the survey. Platform data describe the marketplace slice, which holds about a fifth of online sales value and under a fifth of sellers (Section 5.9). The chat and social sellers, where the national figures disagree (Section 5.10), would still be counted only by BPS’s survey.</w:t>
      </w:r>
    </w:p>
    <w:p>
      <w:pPr>
        <w:pStyle w:val="BodyText"/>
      </w:pPr>
      <w:r>
        <w:t xml:space="preserve">The economic census of 2026 acts on where the survey looks. BPS’s e-commerce survey draws its areas from the economic census of 2016. The 2026 census visited homes and businesses from June to August 2026. It asked about online selling and counted affiliates and influencers. Its results had not been released when this thesis was written.</w:t>
      </w:r>
    </w:p>
    <w:p>
      <w:pPr>
        <w:pStyle w:val="BodyText"/>
      </w:pPr>
      <w:r>
        <w:t xml:space="preserve">A new frame can move the count of sellers without any change in selling. About half of the 2023 rise was not explained by first-time entry (Section 5.7). When BPS adopts a frame from the 2026 census, counts on either side of the change will need the same care. The entry test of Section 3.5 can be repeated on the first survey that uses the new frame.</w:t>
      </w:r>
    </w:p>
    <w:bookmarkEnd w:id="81"/>
    <w:bookmarkStart w:id="82" w:name="what-the-registered-predictions-test"/>
    <w:p>
      <w:pPr>
        <w:pStyle w:val="Heading2"/>
      </w:pPr>
      <w:r>
        <w:t xml:space="preserve">6.5 What the registered predictions test</w:t>
      </w:r>
    </w:p>
    <w:p>
      <w:pPr>
        <w:pStyle w:val="FirstParagraph"/>
      </w:pPr>
      <w:r>
        <w:t xml:space="preserve">Nine predictions on the rules and on what they act on were registered before any result for the third quarter of 2026 existed. Eight concern the third-quarter results of GoTo, Grab and Sea. Six of them concern the commission cap, one marketplace fees and one buying through platforms. The ninth concerns BPS’s next figure for the marketplace share. Table 6.2 lists them with the date each is scored.</w:t>
      </w:r>
    </w:p>
    <w:p>
      <w:pPr>
        <w:pStyle w:val="BodyText"/>
      </w:pPr>
      <w:r>
        <w:rPr>
          <w:bCs/>
          <w:b/>
        </w:rPr>
        <w:t xml:space="preserve">Table 6.2. Registered predictions on the 2026 rules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Prediction</w:t>
            </w:r>
          </w:p>
        </w:tc>
        <w:tc>
          <w:tcPr/>
          <w:p>
            <w:pPr>
              <w:pStyle w:val="Compact"/>
              <w:jc w:val="left"/>
            </w:pPr>
            <w:r>
              <w:t xml:space="preserve">What it expects</w:t>
            </w:r>
          </w:p>
        </w:tc>
        <w:tc>
          <w:tcPr/>
          <w:p>
            <w:pPr>
              <w:pStyle w:val="Compact"/>
              <w:jc w:val="left"/>
            </w:pPr>
            <w:r>
              <w:t xml:space="preserve">Bears on</w:t>
            </w:r>
          </w:p>
        </w:tc>
        <w:tc>
          <w:tcPr/>
          <w:p>
            <w:pPr>
              <w:pStyle w:val="Compact"/>
              <w:jc w:val="left"/>
            </w:pPr>
            <w:r>
              <w:t xml:space="preserve">Scored</w:t>
            </w:r>
          </w:p>
        </w:tc>
        <w:tc>
          <w:tcPr/>
          <w:p>
            <w:pPr>
              <w:pStyle w:val="Compact"/>
              <w:jc w:val="left"/>
            </w:pPr>
            <w:r>
              <w:t xml:space="preserve">Outcome</w:t>
            </w:r>
          </w:p>
        </w:tc>
      </w:tr>
      <w:tr>
        <w:tc>
          <w:tcPr/>
          <w:p>
            <w:pPr>
              <w:pStyle w:val="Compact"/>
              <w:jc w:val="left"/>
            </w:pPr>
            <w:r>
              <w:t xml:space="preserve">P1</w:t>
            </w:r>
          </w:p>
        </w:tc>
        <w:tc>
          <w:tcPr/>
          <w:p>
            <w:pPr>
              <w:pStyle w:val="Compact"/>
              <w:jc w:val="left"/>
            </w:pPr>
            <w:r>
              <w:t xml:space="preserve">GoTo’s on-demand take rate falls by 0.3 to 2.5 points from the second quarter of 2026</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P3</w:t>
            </w:r>
          </w:p>
        </w:tc>
        <w:tc>
          <w:tcPr/>
          <w:p>
            <w:pPr>
              <w:pStyle w:val="Compact"/>
              <w:jc w:val="left"/>
            </w:pPr>
            <w:r>
              <w:t xml:space="preserve">GoTo’s on-demand transaction value grows by 0 to 12 percent on a year earlier</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P5</w:t>
            </w:r>
          </w:p>
        </w:tc>
        <w:tc>
          <w:tcPr/>
          <w:p>
            <w:pPr>
              <w:pStyle w:val="Compact"/>
              <w:jc w:val="left"/>
            </w:pPr>
            <w:r>
              <w:t xml:space="preserve">GoTo’s on-demand transaction value grows by at least 5 percent; the prediction fails only below 2 percent</w:t>
            </w:r>
          </w:p>
        </w:tc>
        <w:tc>
          <w:tcPr/>
          <w:p>
            <w:pPr>
              <w:pStyle w:val="Compact"/>
              <w:jc w:val="left"/>
            </w:pPr>
            <w:r>
              <w:t xml:space="preserve">Commission cap, with spending on growth</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R1</w:t>
            </w:r>
          </w:p>
        </w:tc>
        <w:tc>
          <w:tcPr/>
          <w:p>
            <w:pPr>
              <w:pStyle w:val="Compact"/>
              <w:jc w:val="left"/>
            </w:pPr>
            <w:r>
              <w:t xml:space="preserve">GoTo’s on-demand revenue growth less transaction value growth lies between −0.5 and +12.5 points; it follows from P1 and P3</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R2</w:t>
            </w:r>
          </w:p>
        </w:tc>
        <w:tc>
          <w:tcPr/>
          <w:p>
            <w:pPr>
              <w:pStyle w:val="Compact"/>
              <w:jc w:val="left"/>
            </w:pPr>
            <w:r>
              <w:t xml:space="preserve">GoTo’s on-demand transaction value grows more slowly than household spending</w:t>
            </w:r>
          </w:p>
        </w:tc>
        <w:tc>
          <w:tcPr/>
          <w:p>
            <w:pPr>
              <w:pStyle w:val="Compact"/>
              <w:jc w:val="left"/>
            </w:pPr>
            <w:r>
              <w:t xml:space="preserve">Buying through platforms</w:t>
            </w:r>
          </w:p>
        </w:tc>
        <w:tc>
          <w:tcPr/>
          <w:p>
            <w:pPr>
              <w:pStyle w:val="Compact"/>
              <w:jc w:val="left"/>
            </w:pPr>
            <w:r>
              <w:t xml:space="preserve">Early November 2026</w:t>
            </w:r>
          </w:p>
        </w:tc>
        <w:tc>
          <w:tcPr/>
          <w:p>
            <w:pPr>
              <w:pStyle w:val="Compact"/>
              <w:jc w:val="left"/>
            </w:pPr>
            <w:r>
              <w:t xml:space="preserve">[to be filled]</w:t>
            </w:r>
          </w:p>
        </w:tc>
      </w:tr>
      <w:tr>
        <w:tc>
          <w:tcPr/>
          <w:p>
            <w:pPr>
              <w:pStyle w:val="Compact"/>
              <w:jc w:val="left"/>
            </w:pPr>
            <w:r>
              <w:t xml:space="preserve">P2</w:t>
            </w:r>
          </w:p>
        </w:tc>
        <w:tc>
          <w:tcPr/>
          <w:p>
            <w:pPr>
              <w:pStyle w:val="Compact"/>
              <w:jc w:val="left"/>
            </w:pPr>
            <w:r>
              <w:t xml:space="preserve">Grab’s on-demand take rate stays within −0.6 to +0.4 points of the second quarter</w:t>
            </w:r>
          </w:p>
        </w:tc>
        <w:tc>
          <w:tcPr/>
          <w:p>
            <w:pPr>
              <w:pStyle w:val="Compact"/>
              <w:jc w:val="left"/>
            </w:pPr>
            <w:r>
              <w:t xml:space="preserve">Commission cap</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P4</w:t>
            </w:r>
          </w:p>
        </w:tc>
        <w:tc>
          <w:tcPr/>
          <w:p>
            <w:pPr>
              <w:pStyle w:val="Compact"/>
              <w:jc w:val="left"/>
            </w:pPr>
            <w:r>
              <w:t xml:space="preserve">Grab’s change in the rides take rate, less its change in the deliveries take rate, is at most +0.3 points</w:t>
            </w:r>
          </w:p>
        </w:tc>
        <w:tc>
          <w:tcPr/>
          <w:p>
            <w:pPr>
              <w:pStyle w:val="Compact"/>
              <w:jc w:val="left"/>
            </w:pPr>
            <w:r>
              <w:t xml:space="preserve">Commission cap</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R3</w:t>
            </w:r>
          </w:p>
        </w:tc>
        <w:tc>
          <w:tcPr/>
          <w:p>
            <w:pPr>
              <w:pStyle w:val="Compact"/>
              <w:jc w:val="left"/>
            </w:pPr>
            <w:r>
              <w:t xml:space="preserve">Shopee’s revenue growth less its transaction value growth is at least +10 points</w:t>
            </w:r>
          </w:p>
        </w:tc>
        <w:tc>
          <w:tcPr/>
          <w:p>
            <w:pPr>
              <w:pStyle w:val="Compact"/>
              <w:jc w:val="left"/>
            </w:pPr>
            <w:r>
              <w:t xml:space="preserve">Marketplace fees</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Marketplace share</w:t>
            </w:r>
          </w:p>
        </w:tc>
        <w:tc>
          <w:tcPr/>
          <w:p>
            <w:pPr>
              <w:pStyle w:val="Compact"/>
              <w:jc w:val="left"/>
            </w:pPr>
            <w:r>
              <w:t xml:space="preserve">BPS’s next marketplace share of online sales value is at most 15.79 percent</w:t>
            </w:r>
          </w:p>
        </w:tc>
        <w:tc>
          <w:tcPr/>
          <w:p>
            <w:pPr>
              <w:pStyle w:val="Compact"/>
              <w:jc w:val="left"/>
            </w:pPr>
            <w:r>
              <w:t xml:space="preserve">Reach of marketplace rules</w:t>
            </w:r>
          </w:p>
        </w:tc>
        <w:tc>
          <w:tcPr/>
          <w:p>
            <w:pPr>
              <w:pStyle w:val="Compact"/>
              <w:jc w:val="left"/>
            </w:pPr>
            <w:r>
              <w:t xml:space="preserve">Next BPS release</w:t>
            </w:r>
          </w:p>
        </w:tc>
        <w:tc>
          <w:tcPr/>
          <w:p>
            <w:pPr>
              <w:pStyle w:val="Compact"/>
              <w:jc w:val="left"/>
            </w:pPr>
            <w:r>
              <w:t xml:space="preserve">[to be filled]</w:t>
            </w:r>
          </w:p>
        </w:tc>
      </w:tr>
    </w:tbl>
    <w:p>
      <w:pPr>
        <w:pStyle w:val="BodyText"/>
      </w:pPr>
      <w:r>
        <w:rPr>
          <w:iCs/>
          <w:i/>
        </w:rPr>
        <w:t xml:space="preserve">Note:</w:t>
      </w:r>
      <w:r>
        <w:t xml:space="preserve"> </w:t>
      </w:r>
      <w:r>
        <w:t xml:space="preserve">Ranges as registered; registration dates are in Appendix D. A tenth prediction, that the start of the marketplace tax would slip again, is withdrawn: collection had begun on 1 October 2026, a day before the prediction was registered. Sources for scoring: company results releases; BPS national accounts and e-commerce publication.</w:t>
      </w:r>
    </w:p>
    <w:p>
      <w:pPr>
        <w:pStyle w:val="BodyText"/>
      </w:pPr>
      <w:r>
        <w:t xml:space="preserve">The predictions describe company numbers, not the effect of the cap. Both companies report rides and deliveries together, so any effect of the cap is diluted in their figures. P1 and P5 are read together. If both hold, GoTo met the cap partly by spending more to grow. If P1 holds and P5 fails, GoTo let the lower commission show in its take rate without spending more to grow. P4 has limited power, because its range cannot separate the cap from ordinary quarter-to-quarter noise. R2 and R3 concern single companies, and Shopee’s figures cover Asia and Brazil.</w:t>
      </w:r>
    </w:p>
    <w:p>
      <w:pPr>
        <w:pStyle w:val="BlockText"/>
      </w:pPr>
      <w:r>
        <w:rPr>
          <w:bCs/>
          <w:b/>
        </w:rPr>
        <w:t xml:space="preserve">[Results slot]</w:t>
      </w:r>
      <w:r>
        <w:t xml:space="preserve"> </w:t>
      </w:r>
      <w:r>
        <w:t xml:space="preserve">To be written after the GoTo results (late October), the BPS national accounts (early November) and the Grab and Sea results (mid-November). For each outcome: the result against its range in Table 6.2 and Appendix D, then one paragraph on what the outcomes show about the cap and one on marketplace fees.</w:t>
      </w:r>
    </w:p>
    <w:p>
      <w:pPr>
        <w:pStyle w:val="FirstParagraph"/>
      </w:pPr>
      <w:r>
        <w:t xml:space="preserve">The outcomes will be reported whatever their direction, as the other registered tests are.</w:t>
      </w:r>
    </w:p>
    <w:bookmarkEnd w:id="82"/>
    <w:bookmarkStart w:id="83" w:name="beyond-indonesia"/>
    <w:p>
      <w:pPr>
        <w:pStyle w:val="Heading2"/>
      </w:pPr>
      <w:r>
        <w:t xml:space="preserve">6.6 Beyond Indonesia</w:t>
      </w:r>
    </w:p>
    <w:p>
      <w:pPr>
        <w:pStyle w:val="FirstParagraph"/>
      </w:pPr>
      <w:r>
        <w:t xml:space="preserve">Other countries are building rules on platform records too, and the same question of reach applies to them. The OECD’s model rules ask platforms to report what their sellers earn, and a later module added the sale of goods (OECD 2020, 2021). The European Union applies such rules through its DAC7 directive, with reports on activity from 2023 (European Union 2021). The Philippines has marketplaces and payment apps withhold tax from sellers’ payouts, with small sellers exempt (Bureau of Internal Revenue 2023). Viet Nam has had platforms with a payment function withhold tax for household sellers since 2025 (Government of Viet Nam 2025).</w:t>
      </w:r>
    </w:p>
    <w:p>
      <w:pPr>
        <w:pStyle w:val="BodyText"/>
      </w:pPr>
      <w:r>
        <w:t xml:space="preserve">Indonesia’s design goes further than reporting, because its marketplaces collect the tax as well as identify the seller. Every one of these rules reaches only the sales that pass through a platform. Where most selling runs through platforms, a rule built on their records reaches most sellers. Where it runs through chat and social media, as in Indonesia, it reaches a minority.</w:t>
      </w:r>
    </w:p>
    <w:p>
      <w:pPr>
        <w:pStyle w:val="BodyText"/>
      </w:pPr>
      <w:r>
        <w:t xml:space="preserve">Commission caps have been tried elsewhere as well. Fourteen US cities and states capped the commissions that delivery platforms charged independent restaurants. The platforms raised delivery fees for consumers and showed chain restaurants first more often. Independent restaurants lost orders and revenue, while chains gained (Li and Wang 2025). In the terms of equation (5), a cap on one fee left the platform free to change another. Indonesia’s cap also covers one fee on one service.</w:t>
      </w:r>
    </w:p>
    <w:p>
      <w:pPr>
        <w:pStyle w:val="BodyText"/>
      </w:pPr>
      <w:r>
        <w:t xml:space="preserve">The thesis does not measure the split between channels outside Indonesia. Any statistics office that asks sellers which channels they use can make the same count, and with it measure how far its own rules reach.</w:t>
      </w:r>
    </w:p>
    <w:bookmarkEnd w:id="83"/>
    <w:bookmarkEnd w:id="84"/>
    <w:bookmarkStart w:id="90" w:name="chapter-7.-conclusion"/>
    <w:p>
      <w:pPr>
        <w:pStyle w:val="Heading1"/>
      </w:pPr>
      <w:r>
        <w:t xml:space="preserve">Chapter 7. Conclusion</w:t>
      </w:r>
    </w:p>
    <w:p>
      <w:pPr>
        <w:pStyle w:val="FirstParagraph"/>
      </w:pPr>
      <w:r>
        <w:t xml:space="preserve">Each figure of Indonesia’s online economy is a fair guide to another only while a condition holds. Revenue follows transaction value while the take rate stays steady. A survey’s count of sellers follows entry while the survey’s reach stays steady. Between 2022 and 2024 the platforms’ take rates moved, and revenue moved away from the commerce it carried. In 2023 about half of the rise in BPS’s count of online sellers was not explained by first-time entry.</w:t>
      </w:r>
    </w:p>
    <w:p>
      <w:pPr>
        <w:pStyle w:val="BodyText"/>
      </w:pPr>
      <w:r>
        <w:t xml:space="preserve">This chapter answers the research question at both links of Figure 3.1. It then says what the answer adds for those who use the figures, reports the predictions that failed, states the limits of the evidence and sets out the next steps.</w:t>
      </w:r>
    </w:p>
    <w:bookmarkStart w:id="85" w:name="the-answer-to-the-research-question"/>
    <w:p>
      <w:pPr>
        <w:pStyle w:val="Heading2"/>
      </w:pPr>
      <w:r>
        <w:t xml:space="preserve">7.1 The answer to the research question</w:t>
      </w:r>
    </w:p>
    <w:p>
      <w:pPr>
        <w:pStyle w:val="FirstParagraph"/>
      </w:pPr>
      <w:r>
        <w:t xml:space="preserve">The research question asked how much economic activity remains invisible when digital platforms are measured through their reported revenue, and when that choice changes the conclusion about growth. The answer to the first half is that most of the activity remains outside revenue. In 2023, three major platforms in Indonesia kept about US$3 billion of the US$43 billion that passed through them. The invisible wedge was about US$40 billion, and it moved almost one for one with the commerce.</w:t>
      </w:r>
    </w:p>
    <w:p>
      <w:pPr>
        <w:pStyle w:val="BodyText"/>
      </w:pPr>
      <w:r>
        <w:t xml:space="preserve">Platform commerce is itself only part of online commerce. In BPS’s survey, marketplaces carry about a fifth of online sales value. Any measure built on platforms, whether revenue or transaction value, leaves out most online sales, which move through chat, social media and sellers’ own websites.</w:t>
      </w:r>
    </w:p>
    <w:p>
      <w:pPr>
        <w:pStyle w:val="BodyText"/>
      </w:pPr>
      <w:r>
        <w:t xml:space="preserve">The answer to the second half differs by link. On the inner link, the choice of revenue changed the conclusion, above all from 2022 to 2024. Abroad, revenue growth matched transaction value growth one for one, with a slope of 0.99, so revenue was a workable stand-in. In Indonesia and the region the slope was 0.40, and revenue grew by about 44 percent a year whatever transaction value did, so H1 is rejected there. The Indonesian and regional platforms changed their take rates about 3.6 times as much as platforms abroad. They also keep a much thinner share of each sale: their ecosystem ratio is 13 to 17 points above that of comparable foreign platforms, after the type, size and age of the platform and the conditions of its home market are held fixed. So price changes of a similar size in points moved their revenue far more. In the windows traced, pricing moved revenue more than commerce did. Market value, for its part, moved with transaction value, and the data do not show that markets valued growth from pricing any less.</w:t>
      </w:r>
    </w:p>
    <w:p>
      <w:pPr>
        <w:pStyle w:val="BodyText"/>
      </w:pPr>
      <w:r>
        <w:t xml:space="preserve">On the outer link, H2 holds on BPS’s published figures: more businesses account for most of the growth in online sales value. The registered entry test failed, and about half of the 2023 rise in the count is not explained by first-time entry. The extra count leaned toward long-running businesses. Read as wider coverage, an exploratory check, the extra count leaves H2 near its threshold: the number of businesses then grows by 12 to 17 percent and sales per business by 14 to 17 percent, so H2 holds narrowly in one reading and fails by a few points in the other.</w:t>
      </w:r>
    </w:p>
    <w:p>
      <w:pPr>
        <w:pStyle w:val="BodyText"/>
      </w:pPr>
      <w:r>
        <w:t xml:space="preserve">In the same year, five of six measures of buying through platforms grew more slowly than household spending, and the median seller already online reported no change in sales. Reading BPS’s 2023 figures as a boom in online selling overstates what sellers and platforms reported.</w:t>
      </w:r>
    </w:p>
    <w:p>
      <w:pPr>
        <w:pStyle w:val="BodyText"/>
      </w:pPr>
      <w:r>
        <w:t xml:space="preserve">Where the national figures cover the same sellers, they agree on small growth in two of three scenarios. They disagree outside the marketplaces, among the chat and social sellers that only BPS reaches. The figure a reader picks decides whether 2023 looks like a stall or a boom.</w:t>
      </w:r>
    </w:p>
    <w:bookmarkEnd w:id="85"/>
    <w:bookmarkStart w:id="86" w:name="what-the-thesis-adds"/>
    <w:p>
      <w:pPr>
        <w:pStyle w:val="Heading2"/>
      </w:pPr>
      <w:r>
        <w:t xml:space="preserve">7.2 What the thesis adds</w:t>
      </w:r>
    </w:p>
    <w:p>
      <w:pPr>
        <w:pStyle w:val="FirstParagraph"/>
      </w:pPr>
      <w:r>
        <w:t xml:space="preserve">For investors, the thesis adds a check that can be run on any platform that reports both amounts. Revenue growth splits into growth in transaction value and a change in the take rate with two public figures (equation (4)). At the Indonesian and regional platforms, revenue growth moved little with transaction value, while abroad it moved one for one. The thinner the take rate, the more a small change in fees or incentives moves revenue growth. At the typical Indonesian and regional ecosystem ratio of 35, a rise of 1 point in the take rate lifts revenue by about 36 percent at constant volume, against 6.5 percent at the typical foreign ratio of 5.5. A revenue multiple then stands for 36 units of transaction value per unit of revenue in one group and 6.5 in the other. Across 28 listed platforms, market value moved with transaction value, as a registered prediction stated. A 1 percent rise in transaction value went with about 0.6 percent more market value.</w:t>
      </w:r>
    </w:p>
    <w:p>
      <w:pPr>
        <w:pStyle w:val="BodyText"/>
      </w:pPr>
      <w:r>
        <w:t xml:space="preserve">For statistics offices, the thesis adds a test of what a count of sellers represents. The entry test needs no linked records, only a question on when each business began selling online. Applied to BPS’s survey, it showed that the 2023 rise in the count was only partly first-time entry. The same test can mark a break in any survey that asks the question.</w:t>
      </w:r>
    </w:p>
    <w:p>
      <w:pPr>
        <w:pStyle w:val="BodyText"/>
      </w:pPr>
      <w:r>
        <w:t xml:space="preserve">For tax authorities and regulators, the thesis measures how far rules built on platform records reach. In Indonesia, the marketplace tax can collect from at most about 1 in 20 online sellers and about a fifth of online sales value. It also gives the state a record of every seller on the four marketplaces that collect it, at most about 8 percent of online sellers. Each of the other recent rules acts on one part of the take rate or of the national figure, and Chapter 6 maps each to the part it reaches.</w:t>
      </w:r>
    </w:p>
    <w:p>
      <w:pPr>
        <w:pStyle w:val="BodyText"/>
      </w:pPr>
      <w:r>
        <w:t xml:space="preserve">For research, the thesis adds connected evidence for one country: the platforms’ accounts, the sellers’ own answers and the rules that act on both. It tracks the invisible wedge and growth divergence over time, and its ecosystem ratio is the author’s own measure. All three use only figures that platforms already publish, so they can be computed for any platform that reports transaction value.</w:t>
      </w:r>
    </w:p>
    <w:bookmarkEnd w:id="86"/>
    <w:bookmarkStart w:id="87" w:name="predictions-that-failed"/>
    <w:p>
      <w:pPr>
        <w:pStyle w:val="Heading2"/>
      </w:pPr>
      <w:r>
        <w:t xml:space="preserve">7.3 Predictions that failed</w:t>
      </w:r>
    </w:p>
    <w:p>
      <w:pPr>
        <w:pStyle w:val="FirstParagraph"/>
      </w:pPr>
      <w:r>
        <w:t xml:space="preserve">Several registered predictions failed, and the failures are part of the answer. The entry test is the clearest case. It required at least 21.5 percent of the sellers counted for 2023 to have begun that year, and the survey gave about 13 percent. That failure is the main result of the outer link.</w:t>
      </w:r>
    </w:p>
    <w:p>
      <w:pPr>
        <w:pStyle w:val="BodyText"/>
      </w:pPr>
      <w:r>
        <w:t xml:space="preserve">The test of H1 with quarterly pairs did not reject H1 (p = 0.19). The quarterly series cover mostly 2023 to 2026, after most of the repricing. So the rejection of H1 describes a period, 2022 to 2024, and not a lasting trait of Indonesian platforms.</w:t>
      </w:r>
    </w:p>
    <w:p>
      <w:pPr>
        <w:pStyle w:val="BodyText"/>
      </w:pPr>
      <w:r>
        <w:t xml:space="preserve">The second market-value prediction failed in the main sample (p = 0.20). It expected markets to value growth from pricing less than growth from more commerce. It held only in a second run that mixes segment figures with whole-company market values. Whether investors price the two sources of growth differently remains open.</w:t>
      </w:r>
    </w:p>
    <w:p>
      <w:pPr>
        <w:pStyle w:val="BodyText"/>
      </w:pPr>
      <w:r>
        <w:t xml:space="preserve">Three predictions on sellers’ records and sales failed narrowly or in part. The value share of sellers without financial statements fell by 5.8 points between 2020 and 2022, beyond the registered limit of 5. On a second version it fell by only 3.3 points. The mean sales of unregistered firms that use social media were about US$7,300 a year, above the registered limit of about US$6,600, while their median was about US$4,000. The comparison with Bank Indonesia’s figure held in two of three value scenarios and failed in the third.</w:t>
      </w:r>
    </w:p>
    <w:p>
      <w:pPr>
        <w:pStyle w:val="BodyText"/>
      </w:pPr>
      <w:r>
        <w:t xml:space="preserve">A registered rule on discounts gave only thin support. It expected large take-rate moves only where a platform’s incentives were at least as large as its revenue. Out of sample, the rule pointed the right way, but it rested on two cases and failed at its main threshold.</w:t>
      </w:r>
    </w:p>
    <w:p>
      <w:pPr>
        <w:pStyle w:val="BodyText"/>
      </w:pPr>
      <w:r>
        <w:t xml:space="preserve">Appendix D lists every registered test with its outcome. The predictions on the 2026 rules are listed in Section 6.5, with the date on which each is scored. One of them, that the start of the marketplace tax would slip again, was withdrawn, because the tax had started a day before the prediction was registered. A comparison of seven countries on firms’ digital records was withdrawn as a test for a similar reason. Published figures seen at registration already settled it, so it is reported as descriptive.</w:t>
      </w:r>
    </w:p>
    <w:bookmarkEnd w:id="87"/>
    <w:bookmarkStart w:id="88" w:name="limits-of-the-evidence"/>
    <w:p>
      <w:pPr>
        <w:pStyle w:val="Heading2"/>
      </w:pPr>
      <w:r>
        <w:t xml:space="preserve">7.4 Limits of the evidence</w:t>
      </w:r>
    </w:p>
    <w:p>
      <w:pPr>
        <w:pStyle w:val="FirstParagraph"/>
      </w:pPr>
      <w:r>
        <w:t xml:space="preserve">The invisible wedge is the part of each sale that a platform passes on to sellers, drivers and others. It is not missing output, unrecorded income or unpaid tax. The thesis does not find BPS’s figures wrong in general, nor that total online buying in Indonesia fell. It finds that one year’s count of sellers moved for reasons other than first-time entry, and that the figures disagree where they cover different sellers. The splits of Appendix B are accounting, not causes. Marketplace sellers keep financial statements more often, but the thesis does not show that marketplaces lead them to.</w:t>
      </w:r>
    </w:p>
    <w:p>
      <w:pPr>
        <w:pStyle w:val="BodyText"/>
      </w:pPr>
      <w:r>
        <w:t xml:space="preserve">The platform evidence rests on a small sample. Three Indonesian marketplaces report both revenue and transaction value. The main test of H1 adds the on-demand businesses of Grab and GoTo, which mix rides and deliveries, and Grab’s figures cover the whole region. That test was set up after a narrower first test, so it is exploratory.</w:t>
      </w:r>
    </w:p>
    <w:p>
      <w:pPr>
        <w:pStyle w:val="BodyText"/>
      </w:pPr>
      <w:r>
        <w:t xml:space="preserve">The tests of H1 are one-sided, because each asks whether the Indonesian and regional group moves more. A two-sided test would about double each p-value, and the main Mann–Whitney result would still be below 1 percent. The result depends on the larger movers. Dropping the two largest, Blibli and Tokopedia, leaves p = 0.058, and keeping only the first five years after each platform’s listing leaves p = 0.059 (Appendix C).</w:t>
      </w:r>
    </w:p>
    <w:p>
      <w:pPr>
        <w:pStyle w:val="BodyText"/>
      </w:pPr>
      <w:r>
        <w:t xml:space="preserve">The new regressions are exploratory and rest on few platforms. The growth test for Indonesia and the region has 15 pairs from five platforms, and the Indonesia coefficients of Table 5.4 are identified by the same five. A wild cluster bootstrap allows for the small number of clusters but cannot remove the limit. Total assets are those of the whole company, so size is overstated at GoTo, Rakuten and Sea. The home market of each platform is assigned by the author, and the policy rate is missing for Kazakhstan and Nigeria. The regressions describe how the wedge and the ecosystem ratio differ across platforms and do not show what causes the difference.</w:t>
      </w:r>
    </w:p>
    <w:p>
      <w:pPr>
        <w:pStyle w:val="BodyText"/>
      </w:pPr>
      <w:r>
        <w:t xml:space="preserve">The platform figures carry their own limits. Shopee’s and Grab’s Indonesian amounts come from an outside estimate, an assumed take rate or a company-wide ratio, and they stay out of the main tests. Grab revised some figures between filings. The thesis takes each year from the latest filing that reports it, so one series can mix filings from before and after a revision. Blibli’s incentives are a proxy, and Bukalapak’s reports do not allow the parts of a revenue move to be separated. Company explanations of why revenue moved are reported as statements and are not tested.</w:t>
      </w:r>
    </w:p>
    <w:p>
      <w:pPr>
        <w:pStyle w:val="BodyText"/>
      </w:pPr>
      <w:r>
        <w:t xml:space="preserve">Foreign platforms also differ in how they book shopper discounts. Eight of the 27 record them mainly as marketing costs, not as lower revenue, which could steady their take rates. Their take rates were not steadier, and without them the test of H1 still gives p = 0.004, an exploratory check (Appendix C).</w:t>
      </w:r>
    </w:p>
    <w:p>
      <w:pPr>
        <w:pStyle w:val="BodyText"/>
      </w:pPr>
      <w:r>
        <w:t xml:space="preserve">The survey files describe sellers in one year, not businesses followed over time. No business identifier links the files, so the thesis cannot follow a seller from one round to the next, and returning sellers cannot be ruled out. Revenue appears only in brackets, and only in the 2021 and 2023 files, which describe 2020 and 2022, so value shares are ranges. The 2024 file, which describes 2023, has no revenue amounts. At the top, sellers with sales above about US$3.4 million a year are only 19 sample rows in the survey for 2022. Yet they hold 18 to 39 percent of the marketplace value.</w:t>
      </w:r>
    </w:p>
    <w:p>
      <w:pPr>
        <w:pStyle w:val="BodyText"/>
      </w:pPr>
      <w:r>
        <w:t xml:space="preserve">Two changes in the questions also limit the survey checks. BPS changed how it asks about the months of selling between the rounds, which affects the check on part-year sellers. The education codes of the survey for 2023 were matched to the earlier groups by their shares, so education there is an inferred grouping.</w:t>
      </w:r>
    </w:p>
    <w:p>
      <w:pPr>
        <w:pStyle w:val="BodyText"/>
      </w:pPr>
      <w:r>
        <w:t xml:space="preserve">The accounting of the 2023 rise is exploratory, because it was designed after the files were opened. Its range depends on how many sellers stopped, and it assumes that no seller returned after a pause. Returners equal to 10 to 15 percent of the 2022 count would remove the unexplained part. The check on sampling noise applies one year’s published error rates to both years and treats the two surveys as independent. The files carry no sampling-area or design variables, and the thesis did not contact BPS. So a change in BPS’s frame cannot be told apart from other changes in coverage, and the break covers a single year.</w:t>
      </w:r>
    </w:p>
    <w:p>
      <w:pPr>
        <w:pStyle w:val="BodyText"/>
      </w:pPr>
      <w:r>
        <w:t xml:space="preserve">The national figures are read as published. Bank Indonesia does not publish its method. Momentum Works and e-Conomy publish estimates, not counts. Payment figures include payments made in person. The World Bank’s survey of unregistered firms covers six cities, not the whole country.</w:t>
      </w:r>
    </w:p>
    <w:p>
      <w:pPr>
        <w:pStyle w:val="BodyText"/>
      </w:pPr>
      <w:r>
        <w:t xml:space="preserve">The market-value result is an association across 28 listed platforms. Market value also changes when a company issues shares, so the result is not a stock return. The thesis does not claim that transaction value causes market value to move.</w:t>
      </w:r>
    </w:p>
    <w:p>
      <w:pPr>
        <w:pStyle w:val="BodyText"/>
      </w:pPr>
      <w:r>
        <w:t xml:space="preserve">The rules are mapped, not evaluated. The legal texts behind the commission cap were not public when the thesis was written, so its terms come from official statements, news reports and GoTo’s earnings call. The reach of the marketplace tax is an upper limit, because BPS’s bracket line sits below the exemption and BPS’s marketplace category also counts food and ride apps. The thesis measures what each rule can reach and makes no claim about its effects.</w:t>
      </w:r>
    </w:p>
    <w:p>
      <w:pPr>
        <w:pStyle w:val="BodyText"/>
      </w:pPr>
      <w:r>
        <w:t xml:space="preserve">The licensed files stay outside the repository, which holds the code and national totals (Section 4.10). The evidence concerns Indonesia, with regional series labelled as such.</w:t>
      </w:r>
    </w:p>
    <w:bookmarkEnd w:id="88"/>
    <w:bookmarkStart w:id="89" w:name="further-research"/>
    <w:p>
      <w:pPr>
        <w:pStyle w:val="Heading2"/>
      </w:pPr>
      <w:r>
        <w:t xml:space="preserve">7.5 Further research</w:t>
      </w:r>
    </w:p>
    <w:p>
      <w:pPr>
        <w:pStyle w:val="FirstParagraph"/>
      </w:pPr>
      <w:r>
        <w:t xml:space="preserve">Five extensions follow from the limits above. The first is to reconcile the levels of BPS’s and the platforms’ figures. It needs common definitions of what counts as a sale, including shipping, digital goods, travel and offline sales. The platform data that BPS now collects could supply the platform side, if BPS publishes them.</w:t>
      </w:r>
    </w:p>
    <w:p>
      <w:pPr>
        <w:pStyle w:val="BodyText"/>
      </w:pPr>
      <w:r>
        <w:t xml:space="preserve">The 2026 economic census gives a second. When BPS adopts a frame from it, the entry test can be repeated on the first survey that uses the new frame. A business identifier that links survey rounds would settle the question of returning sellers.</w:t>
      </w:r>
    </w:p>
    <w:p>
      <w:pPr>
        <w:pStyle w:val="BodyText"/>
      </w:pPr>
      <w:r>
        <w:t xml:space="preserve">A third is a stock-return extension. A test of share prices around results announcements would ask whether investors react differently to growth from commerce and growth from pricing. It needs announcement timing and raw prices that can be reproduced.</w:t>
      </w:r>
    </w:p>
    <w:p>
      <w:pPr>
        <w:pStyle w:val="BodyText"/>
      </w:pPr>
      <w:r>
        <w:t xml:space="preserve">The platform sample can also grow, and the channel count can go abroad. Lazada and TikTok Shop can join the test of H1 once they report Indonesian figures. Any country whose statistics office asks sellers which channels they use can measure how much online selling its platform rules reach.</w:t>
      </w:r>
    </w:p>
    <w:p>
      <w:pPr>
        <w:pStyle w:val="BodyText"/>
      </w:pPr>
      <w:r>
        <w:t xml:space="preserve">The thesis started from figures that moved apart in 2023. BPS’s online sales rose by about 41 percent while Bank Indonesia’s measure fell by about 5 percent, and Tokopedia’s revenue rose while its transaction value fell. Each number counts something different. Revenue is what a platform keeps. Bank Indonesia’s number comes from large e-commerce firms. BPS’s comes from the sellers its survey reaches. They stop matching when a platform changes its take rate or a survey changes who it reaches. A reader who asks which of those happened can still use all three.</w:t>
      </w:r>
    </w:p>
    <w:bookmarkEnd w:id="89"/>
    <w:bookmarkEnd w:id="90"/>
    <w:bookmarkStart w:id="106" w:name="appendices"/>
    <w:p>
      <w:pPr>
        <w:pStyle w:val="Heading1"/>
      </w:pPr>
      <w:r>
        <w:t xml:space="preserve">Appendices</w:t>
      </w:r>
    </w:p>
    <w:p>
      <w:pPr>
        <w:pStyle w:val="FirstParagraph"/>
      </w:pPr>
      <w:r>
        <w:t xml:space="preserve">These appendices hold the detail that the main text points to. Every number comes from a table in the project’s repository, named in the notes in small type. Nothing here changes a result in Chapter 5.</w:t>
      </w:r>
    </w:p>
    <w:bookmarkStart w:id="93" w:name="appendix-a.-definition-of-variables"/>
    <w:p>
      <w:pPr>
        <w:pStyle w:val="Heading2"/>
      </w:pPr>
      <w:r>
        <w:t xml:space="preserve">Appendix A. Definition of variables</w:t>
      </w:r>
    </w:p>
    <w:bookmarkStart w:id="91" w:name="a.1-variables"/>
    <w:p>
      <w:pPr>
        <w:pStyle w:val="Heading3"/>
      </w:pPr>
      <w:r>
        <w:t xml:space="preserve">A.1 Variables</w:t>
      </w:r>
    </w:p>
    <w:p>
      <w:pPr>
        <w:pStyle w:val="FirstParagraph"/>
      </w:pPr>
      <w:r>
        <w:t xml:space="preserve">Every variable and symbol used in the empirical analyses is listed with its definition and data source. The subscripts i and t mark the platform and the year. Amounts in the text are in US dollars, at the World Bank’s average rate for the year (World Bank 2026). Growth is the simple percentage change, g(X), defined in Panel 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Source</w:t>
            </w:r>
          </w:p>
        </w:tc>
      </w:tr>
      <w:tr>
        <w:tc>
          <w:tcPr/>
          <w:p>
            <w:pPr>
              <w:pStyle w:val="Compact"/>
              <w:jc w:val="left"/>
            </w:pPr>
            <w:r>
              <w:rPr>
                <w:iCs/>
                <w:i/>
              </w:rPr>
              <w:t xml:space="preserve">Panel A: Platform measures</w:t>
            </w:r>
          </w:p>
        </w:tc>
        <w:tc>
          <w:tcPr/>
          <w:p>
            <w:pPr>
              <w:pStyle w:val="Compact"/>
            </w:pPr>
          </w:p>
        </w:tc>
        <w:tc>
          <w:tcPr/>
          <w:p>
            <w:pPr>
              <w:pStyle w:val="Compact"/>
            </w:pPr>
          </w:p>
        </w:tc>
      </w:tr>
      <w:tr>
        <w:tc>
          <w:tcPr/>
          <w:p>
            <w:pPr>
              <w:pStyle w:val="Compact"/>
              <w:jc w:val="left"/>
            </w:pPr>
            <w:r>
              <w:t xml:space="preserve">V</w:t>
            </w:r>
            <w:r>
              <w:rPr>
                <w:vertAlign w:val="subscript"/>
              </w:rPr>
              <w:t xml:space="preserve">it</w:t>
            </w:r>
          </w:p>
        </w:tc>
        <w:tc>
          <w:tcPr/>
          <w:p>
            <w:pPr>
              <w:pStyle w:val="Compact"/>
              <w:jc w:val="left"/>
            </w:pPr>
            <w:r>
              <w:t xml:space="preserve">Transaction value: everything bought through platform i in year t, in the company’s own currency. Companies also call it gross merchandise value (GMV), gross transaction value (GTV) or total payment volume (TPV).</w:t>
            </w:r>
          </w:p>
        </w:tc>
        <w:tc>
          <w:tcPr/>
          <w:p>
            <w:pPr>
              <w:pStyle w:val="Compact"/>
              <w:jc w:val="left"/>
            </w:pPr>
            <w:r>
              <w:t xml:space="preserve">Company annual reports, annual filings (Form 20-F) and investor releases; Appendix B lists each series</w:t>
            </w:r>
          </w:p>
        </w:tc>
      </w:tr>
      <w:tr>
        <w:tc>
          <w:tcPr/>
          <w:p>
            <w:pPr>
              <w:pStyle w:val="Compact"/>
              <w:jc w:val="left"/>
            </w:pPr>
            <w:r>
              <w:t xml:space="preserve">R</w:t>
            </w:r>
            <w:r>
              <w:rPr>
                <w:vertAlign w:val="subscript"/>
              </w:rPr>
              <w:t xml:space="preserve">it</w:t>
            </w:r>
          </w:p>
        </w:tc>
        <w:tc>
          <w:tcPr/>
          <w:p>
            <w:pPr>
              <w:pStyle w:val="Compact"/>
              <w:jc w:val="left"/>
            </w:pPr>
            <w:r>
              <w:t xml:space="preserve">Revenue: what the platform recognizes as its own income in its accounts, for the same business and period as V</w:t>
            </w:r>
            <w:r>
              <w:rPr>
                <w:vertAlign w:val="subscript"/>
              </w:rPr>
              <w:t xml:space="preserve">it</w:t>
            </w:r>
            <w:r>
              <w:t xml:space="preserve">.</w:t>
            </w:r>
          </w:p>
        </w:tc>
        <w:tc>
          <w:tcPr/>
          <w:p>
            <w:pPr>
              <w:pStyle w:val="Compact"/>
              <w:jc w:val="left"/>
            </w:pPr>
            <w:r>
              <w:t xml:space="preserve">Same as V</w:t>
            </w:r>
            <w:r>
              <w:rPr>
                <w:vertAlign w:val="subscript"/>
              </w:rPr>
              <w:t xml:space="preserve">it</w:t>
            </w:r>
          </w:p>
        </w:tc>
      </w:tr>
      <w:tr>
        <w:tc>
          <w:tcPr/>
          <w:p>
            <w:pPr>
              <w:pStyle w:val="Compact"/>
              <w:jc w:val="left"/>
            </w:pPr>
            <w:r>
              <w:t xml:space="preserve">m</w:t>
            </w:r>
            <w:r>
              <w:rPr>
                <w:vertAlign w:val="subscript"/>
              </w:rPr>
              <w:t xml:space="preserve">it</w:t>
            </w:r>
          </w:p>
        </w:tc>
        <w:tc>
          <w:tcPr/>
          <w:p>
            <w:pPr>
              <w:pStyle w:val="Compact"/>
              <w:jc w:val="left"/>
            </w:pPr>
            <w:r>
              <w:t xml:space="preserve">Take rate: R</w:t>
            </w:r>
            <w:r>
              <w:rPr>
                <w:vertAlign w:val="subscript"/>
              </w:rPr>
              <w:t xml:space="preserve">it</w:t>
            </w:r>
            <w:r>
              <w:t xml:space="preserve"> </w:t>
            </w:r>
            <w:r>
              <w:t xml:space="preserve">divided by V</w:t>
            </w:r>
            <w:r>
              <w:rPr>
                <w:vertAlign w:val="subscript"/>
              </w:rPr>
              <w:t xml:space="preserve">it</w:t>
            </w:r>
            <w:r>
              <w:t xml:space="preserve">, the share of each sale that the platform keeps.</w:t>
            </w:r>
          </w:p>
        </w:tc>
        <w:tc>
          <w:tcPr/>
          <w:p>
            <w:pPr>
              <w:pStyle w:val="Compact"/>
              <w:jc w:val="left"/>
            </w:pPr>
            <w:r>
              <w:t xml:space="preserve">Author’s calculation</w:t>
            </w:r>
          </w:p>
        </w:tc>
      </w:tr>
      <w:tr>
        <w:tc>
          <w:tcPr/>
          <w:p>
            <w:pPr>
              <w:pStyle w:val="Compact"/>
              <w:jc w:val="left"/>
            </w:pPr>
            <w:r>
              <w:t xml:space="preserve">f</w:t>
            </w:r>
            <w:r>
              <w:rPr>
                <w:vertAlign w:val="subscript"/>
              </w:rPr>
              <w:t xml:space="preserve">it</w:t>
            </w:r>
          </w:p>
        </w:tc>
        <w:tc>
          <w:tcPr/>
          <w:p>
            <w:pPr>
              <w:pStyle w:val="Compact"/>
              <w:jc w:val="left"/>
            </w:pPr>
            <w:r>
              <w:t xml:space="preserve">Fee rate: the platform’s revenue before customer incentives, divided by V</w:t>
            </w:r>
            <w:r>
              <w:rPr>
                <w:vertAlign w:val="subscript"/>
              </w:rPr>
              <w:t xml:space="preserve">it</w:t>
            </w:r>
            <w:r>
              <w:t xml:space="preserve">.</w:t>
            </w:r>
          </w:p>
        </w:tc>
        <w:tc>
          <w:tcPr/>
          <w:p>
            <w:pPr>
              <w:pStyle w:val="Compact"/>
              <w:jc w:val="left"/>
            </w:pPr>
            <w:r>
              <w:t xml:space="preserve">Company reports; author’s calculation</w:t>
            </w:r>
          </w:p>
        </w:tc>
      </w:tr>
      <w:tr>
        <w:tc>
          <w:tcPr/>
          <w:p>
            <w:pPr>
              <w:pStyle w:val="Compact"/>
              <w:jc w:val="left"/>
            </w:pPr>
            <w:r>
              <w:t xml:space="preserve">s</w:t>
            </w:r>
            <w:r>
              <w:rPr>
                <w:vertAlign w:val="subscript"/>
              </w:rPr>
              <w:t xml:space="preserve">it</w:t>
            </w:r>
          </w:p>
        </w:tc>
        <w:tc>
          <w:tcPr/>
          <w:p>
            <w:pPr>
              <w:pStyle w:val="Compact"/>
              <w:jc w:val="left"/>
            </w:pPr>
            <w:r>
              <w:t xml:space="preserve">Incentive rate: customer incentives divided by V</w:t>
            </w:r>
            <w:r>
              <w:rPr>
                <w:vertAlign w:val="subscript"/>
              </w:rPr>
              <w:t xml:space="preserve">it</w:t>
            </w:r>
            <w:r>
              <w:t xml:space="preserve">. Customer incentives are the discounts, vouchers and other promotions that a platform pays for, which accounting rules normally deduct from revenue.</w:t>
            </w:r>
          </w:p>
        </w:tc>
        <w:tc>
          <w:tcPr/>
          <w:p>
            <w:pPr>
              <w:pStyle w:val="Compact"/>
              <w:jc w:val="left"/>
            </w:pPr>
            <w:r>
              <w:t xml:space="preserve">Company reports; author’s calculation. Blibli’s incentives are a proxy (Appendix B)</w:t>
            </w:r>
          </w:p>
        </w:tc>
      </w:tr>
      <w:tr>
        <w:tc>
          <w:tcPr/>
          <w:p>
            <w:pPr>
              <w:pStyle w:val="Compact"/>
              <w:jc w:val="left"/>
            </w:pPr>
            <w:r>
              <w:t xml:space="preserve">W</w:t>
            </w:r>
            <w:r>
              <w:rPr>
                <w:vertAlign w:val="subscript"/>
              </w:rPr>
              <w:t xml:space="preserve">it</w:t>
            </w:r>
          </w:p>
        </w:tc>
        <w:tc>
          <w:tcPr/>
          <w:p>
            <w:pPr>
              <w:pStyle w:val="Compact"/>
              <w:jc w:val="left"/>
            </w:pPr>
            <w:r>
              <w:t xml:space="preserve">Invisible wedge: V</w:t>
            </w:r>
            <w:r>
              <w:rPr>
                <w:vertAlign w:val="subscript"/>
              </w:rPr>
              <w:t xml:space="preserve">it</w:t>
            </w:r>
            <w:r>
              <w:t xml:space="preserve"> </w:t>
            </w:r>
            <w:r>
              <w:t xml:space="preserve">minus R</w:t>
            </w:r>
            <w:r>
              <w:rPr>
                <w:vertAlign w:val="subscript"/>
              </w:rPr>
              <w:t xml:space="preserve">it</w:t>
            </w:r>
            <w:r>
              <w:t xml:space="preserve">, the part of transaction value that lies outside revenue, in currency.</w:t>
            </w:r>
          </w:p>
        </w:tc>
        <w:tc>
          <w:tcPr/>
          <w:p>
            <w:pPr>
              <w:pStyle w:val="Compact"/>
              <w:jc w:val="left"/>
            </w:pPr>
            <w:r>
              <w:t xml:space="preserve">Author’s calculation</w:t>
            </w:r>
          </w:p>
        </w:tc>
      </w:tr>
      <w:tr>
        <w:tc>
          <w:tcPr/>
          <w:p>
            <w:pPr>
              <w:pStyle w:val="Compact"/>
              <w:jc w:val="left"/>
            </w:pPr>
            <w:r>
              <w:t xml:space="preserve">E</w:t>
            </w:r>
            <w:r>
              <w:rPr>
                <w:vertAlign w:val="subscript"/>
              </w:rPr>
              <w:t xml:space="preserve">it</w:t>
            </w:r>
          </w:p>
        </w:tc>
        <w:tc>
          <w:tcPr/>
          <w:p>
            <w:pPr>
              <w:pStyle w:val="Compact"/>
              <w:jc w:val="left"/>
            </w:pPr>
            <w:r>
              <w:t xml:space="preserve">Ecosystem ratio: W</w:t>
            </w:r>
            <w:r>
              <w:rPr>
                <w:vertAlign w:val="subscript"/>
              </w:rPr>
              <w:t xml:space="preserve">it</w:t>
            </w:r>
            <w:r>
              <w:t xml:space="preserve"> </w:t>
            </w:r>
            <w:r>
              <w:t xml:space="preserve">divided by R</w:t>
            </w:r>
            <w:r>
              <w:rPr>
                <w:vertAlign w:val="subscript"/>
              </w:rPr>
              <w:t xml:space="preserve">it</w:t>
            </w:r>
            <w:r>
              <w:t xml:space="preserve">, equal to one divided by m</w:t>
            </w:r>
            <w:r>
              <w:rPr>
                <w:vertAlign w:val="subscript"/>
              </w:rPr>
              <w:t xml:space="preserve">it</w:t>
            </w:r>
            <w:r>
              <w:t xml:space="preserve">, minus one. The author’s own measure.</w:t>
            </w:r>
          </w:p>
        </w:tc>
        <w:tc>
          <w:tcPr/>
          <w:p>
            <w:pPr>
              <w:pStyle w:val="Compact"/>
              <w:jc w:val="left"/>
            </w:pPr>
            <w:r>
              <w:t xml:space="preserve">Author’s calculation</w:t>
            </w:r>
          </w:p>
        </w:tc>
      </w:tr>
      <w:tr>
        <w:tc>
          <w:tcPr/>
          <w:p>
            <w:pPr>
              <w:pStyle w:val="Compact"/>
              <w:jc w:val="left"/>
            </w:pPr>
            <w:r>
              <w:t xml:space="preserve">g(X</w:t>
            </w:r>
            <w:r>
              <w:rPr>
                <w:vertAlign w:val="subscript"/>
              </w:rPr>
              <w:t xml:space="preserve">t</w:t>
            </w:r>
            <w:r>
              <w:t xml:space="preserve">)</w:t>
            </w:r>
          </w:p>
        </w:tc>
        <w:tc>
          <w:tcPr/>
          <w:p>
            <w:pPr>
              <w:pStyle w:val="Compact"/>
              <w:jc w:val="left"/>
            </w:pPr>
            <w:r>
              <w:t xml:space="preserve">Growth of X from one year to the next as a share of the first year: (X</w:t>
            </w:r>
            <w:r>
              <w:rPr>
                <w:vertAlign w:val="subscript"/>
              </w:rPr>
              <w:t xml:space="preserve">t</w:t>
            </w:r>
            <w:r>
              <w:t xml:space="preserve"> </w:t>
            </w:r>
            <w:r>
              <w:t xml:space="preserve">− X</w:t>
            </w:r>
            <w:r>
              <w:rPr>
                <w:vertAlign w:val="subscript"/>
              </w:rPr>
              <w:t xml:space="preserve">t−1</w:t>
            </w:r>
            <w:r>
              <w:t xml:space="preserve">) divided by X</w:t>
            </w:r>
            <w:r>
              <w:rPr>
                <w:vertAlign w:val="subscript"/>
              </w:rPr>
              <w:t xml:space="preserve">t−1</w:t>
            </w:r>
            <w:r>
              <w:t xml:space="preserve">. A value of 0.09 means 9 percent.</w:t>
            </w:r>
          </w:p>
        </w:tc>
        <w:tc>
          <w:tcPr/>
          <w:p>
            <w:pPr>
              <w:pStyle w:val="Compact"/>
              <w:jc w:val="left"/>
            </w:pPr>
            <w:r>
              <w:t xml:space="preserve">Author’s calculation</w:t>
            </w:r>
          </w:p>
        </w:tc>
      </w:tr>
      <w:tr>
        <w:tc>
          <w:tcPr/>
          <w:p>
            <w:pPr>
              <w:pStyle w:val="Compact"/>
              <w:jc w:val="left"/>
            </w:pPr>
            <w:r>
              <w:t xml:space="preserve">D</w:t>
            </w:r>
            <w:r>
              <w:rPr>
                <w:vertAlign w:val="subscript"/>
              </w:rPr>
              <w:t xml:space="preserve">it</w:t>
            </w:r>
          </w:p>
        </w:tc>
        <w:tc>
          <w:tcPr/>
          <w:p>
            <w:pPr>
              <w:pStyle w:val="Compact"/>
              <w:jc w:val="left"/>
            </w:pPr>
            <w:r>
              <w:t xml:space="preserve">Growth divergence: g(R</w:t>
            </w:r>
            <w:r>
              <w:rPr>
                <w:vertAlign w:val="subscript"/>
              </w:rPr>
              <w:t xml:space="preserve">it</w:t>
            </w:r>
            <w:r>
              <w:t xml:space="preserve">) minus g(V</w:t>
            </w:r>
            <w:r>
              <w:rPr>
                <w:vertAlign w:val="subscript"/>
              </w:rPr>
              <w:t xml:space="preserve">it</w:t>
            </w:r>
            <w:r>
              <w:t xml:space="preserve">). A value of 0.62 means 62 percentage points.</w:t>
            </w:r>
          </w:p>
        </w:tc>
        <w:tc>
          <w:tcPr/>
          <w:p>
            <w:pPr>
              <w:pStyle w:val="Compact"/>
              <w:jc w:val="left"/>
            </w:pPr>
            <w:r>
              <w:t xml:space="preserve">Author’s calculation</w:t>
            </w:r>
          </w:p>
        </w:tc>
      </w:tr>
      <w:tr>
        <w:tc>
          <w:tcPr/>
          <w:p>
            <w:pPr>
              <w:pStyle w:val="Compact"/>
              <w:jc w:val="left"/>
            </w:pPr>
            <w:r>
              <w:t xml:space="preserve">Δln X</w:t>
            </w:r>
            <w:r>
              <w:rPr>
                <w:vertAlign w:val="subscript"/>
              </w:rPr>
              <w:t xml:space="preserve">t</w:t>
            </w:r>
          </w:p>
        </w:tc>
        <w:tc>
          <w:tcPr/>
          <w:p>
            <w:pPr>
              <w:pStyle w:val="Compact"/>
              <w:jc w:val="left"/>
            </w:pPr>
            <w:r>
              <w:t xml:space="preserve">Change in the natural logarithm of X from one year to the next. Used only where a registered test defined it so (equation (9)); everywhere else the change is g(X).</w:t>
            </w:r>
          </w:p>
        </w:tc>
        <w:tc>
          <w:tcPr/>
          <w:p>
            <w:pPr>
              <w:pStyle w:val="Compact"/>
              <w:jc w:val="left"/>
            </w:pPr>
            <w:r>
              <w:t xml:space="preserve">Author’s calculation</w:t>
            </w:r>
          </w:p>
        </w:tc>
      </w:tr>
      <w:tr>
        <w:tc>
          <w:tcPr/>
          <w:p>
            <w:pPr>
              <w:pStyle w:val="Compact"/>
              <w:jc w:val="left"/>
            </w:pPr>
            <w:r>
              <w:rPr>
                <w:iCs/>
                <w:i/>
              </w:rPr>
              <w:t xml:space="preserve">Panel B: National and survey measures</w:t>
            </w:r>
          </w:p>
        </w:tc>
        <w:tc>
          <w:tcPr/>
          <w:p>
            <w:pPr>
              <w:pStyle w:val="Compact"/>
            </w:pPr>
          </w:p>
        </w:tc>
        <w:tc>
          <w:tcPr/>
          <w:p>
            <w:pPr>
              <w:pStyle w:val="Compact"/>
            </w:pPr>
          </w:p>
        </w:tc>
      </w:tr>
      <w:tr>
        <w:tc>
          <w:tcPr/>
          <w:p>
            <w:pPr>
              <w:pStyle w:val="Compact"/>
              <w:jc w:val="left"/>
            </w:pPr>
            <w:r>
              <w:t xml:space="preserve">N</w:t>
            </w:r>
            <w:r>
              <w:rPr>
                <w:vertAlign w:val="subscript"/>
              </w:rPr>
              <w:t xml:space="preserve">t</w:t>
            </w:r>
          </w:p>
        </w:tc>
        <w:tc>
          <w:tcPr/>
          <w:p>
            <w:pPr>
              <w:pStyle w:val="Compact"/>
              <w:jc w:val="left"/>
            </w:pPr>
            <w:r>
              <w:t xml:space="preserve">Count of online sellers: BPS’s estimate of the number of businesses selling online in year t.</w:t>
            </w:r>
          </w:p>
        </w:tc>
        <w:tc>
          <w:tcPr/>
          <w:p>
            <w:pPr>
              <w:pStyle w:val="Compact"/>
              <w:jc w:val="left"/>
            </w:pPr>
            <w:r>
              <w:t xml:space="preserve">BPS-Statistics Indonesia (2025a, 2025b); BPS e-commerce survey files for 2020, 2022 and 2023 (licensed)</w:t>
            </w:r>
          </w:p>
        </w:tc>
      </w:tr>
      <w:tr>
        <w:tc>
          <w:tcPr/>
          <w:p>
            <w:pPr>
              <w:pStyle w:val="Compact"/>
              <w:jc w:val="left"/>
            </w:pPr>
            <w:r>
              <w:t xml:space="preserve">Y</w:t>
            </w:r>
            <w:r>
              <w:rPr>
                <w:vertAlign w:val="subscript"/>
              </w:rPr>
              <w:t xml:space="preserve">t</w:t>
            </w:r>
          </w:p>
        </w:tc>
        <w:tc>
          <w:tcPr/>
          <w:p>
            <w:pPr>
              <w:pStyle w:val="Compact"/>
              <w:jc w:val="left"/>
            </w:pPr>
            <w:r>
              <w:t xml:space="preserve">Total online sales value: BPS’s published value of online sales in year t.</w:t>
            </w:r>
          </w:p>
        </w:tc>
        <w:tc>
          <w:tcPr/>
          <w:p>
            <w:pPr>
              <w:pStyle w:val="Compact"/>
              <w:jc w:val="left"/>
            </w:pPr>
            <w:r>
              <w:t xml:space="preserve">BPS-Statistics Indonesia (2025a, 2025b)</w:t>
            </w:r>
          </w:p>
        </w:tc>
      </w:tr>
      <w:tr>
        <w:tc>
          <w:tcPr/>
          <w:p>
            <w:pPr>
              <w:pStyle w:val="Compact"/>
              <w:jc w:val="left"/>
            </w:pPr>
            <w:r>
              <w:t xml:space="preserve">Y</w:t>
            </w:r>
            <w:r>
              <w:rPr>
                <w:vertAlign w:val="subscript"/>
              </w:rPr>
              <w:t xml:space="preserve">t</w:t>
            </w:r>
            <w:r>
              <w:t xml:space="preserve"> </w:t>
            </w:r>
            <w:r>
              <w:t xml:space="preserve">/ N</w:t>
            </w:r>
            <w:r>
              <w:rPr>
                <w:vertAlign w:val="subscript"/>
              </w:rPr>
              <w:t xml:space="preserve">t</w:t>
            </w:r>
          </w:p>
        </w:tc>
        <w:tc>
          <w:tcPr/>
          <w:p>
            <w:pPr>
              <w:pStyle w:val="Compact"/>
              <w:jc w:val="left"/>
            </w:pPr>
            <w:r>
              <w:t xml:space="preserve">Sales per business: Y</w:t>
            </w:r>
            <w:r>
              <w:rPr>
                <w:vertAlign w:val="subscript"/>
              </w:rPr>
              <w:t xml:space="preserve">t</w:t>
            </w:r>
            <w:r>
              <w:t xml:space="preserve"> </w:t>
            </w:r>
            <w:r>
              <w:t xml:space="preserve">divided by N</w:t>
            </w:r>
            <w:r>
              <w:rPr>
                <w:vertAlign w:val="subscript"/>
              </w:rPr>
              <w:t xml:space="preserve">t</w:t>
            </w:r>
            <w:r>
              <w:t xml:space="preserve">.</w:t>
            </w:r>
          </w:p>
        </w:tc>
        <w:tc>
          <w:tcPr/>
          <w:p>
            <w:pPr>
              <w:pStyle w:val="Compact"/>
              <w:jc w:val="left"/>
            </w:pPr>
            <w:r>
              <w:t xml:space="preserve">Author’s calculation</w:t>
            </w:r>
          </w:p>
        </w:tc>
      </w:tr>
      <w:tr>
        <w:tc>
          <w:tcPr/>
          <w:p>
            <w:pPr>
              <w:pStyle w:val="Compact"/>
              <w:jc w:val="left"/>
            </w:pPr>
            <w:r>
              <w:t xml:space="preserve">First-time entry</w:t>
            </w:r>
          </w:p>
        </w:tc>
        <w:tc>
          <w:tcPr/>
          <w:p>
            <w:pPr>
              <w:pStyle w:val="Compact"/>
              <w:jc w:val="left"/>
            </w:pPr>
            <w:r>
              <w:t xml:space="preserve">A seller that reports beginning to sell online in the year being measured. The entry test uses the share of such sellers among the sellers of 2023.</w:t>
            </w:r>
          </w:p>
        </w:tc>
        <w:tc>
          <w:tcPr/>
          <w:p>
            <w:pPr>
              <w:pStyle w:val="Compact"/>
              <w:jc w:val="left"/>
            </w:pPr>
            <w:r>
              <w:t xml:space="preserve">BPS e-commerce survey file for 2023 (licensed)</w:t>
            </w:r>
          </w:p>
        </w:tc>
      </w:tr>
      <w:tr>
        <w:tc>
          <w:tcPr/>
          <w:p>
            <w:pPr>
              <w:pStyle w:val="Compact"/>
              <w:jc w:val="left"/>
            </w:pPr>
            <w:r>
              <w:rPr>
                <w:iCs/>
                <w:i/>
              </w:rPr>
              <w:t xml:space="preserve">Panel C: Market variables</w:t>
            </w:r>
          </w:p>
        </w:tc>
        <w:tc>
          <w:tcPr/>
          <w:p>
            <w:pPr>
              <w:pStyle w:val="Compact"/>
            </w:pPr>
          </w:p>
        </w:tc>
        <w:tc>
          <w:tcPr/>
          <w:p>
            <w:pPr>
              <w:pStyle w:val="Compact"/>
            </w:pPr>
          </w:p>
        </w:tc>
      </w:tr>
      <w:tr>
        <w:tc>
          <w:tcPr/>
          <w:p>
            <w:pPr>
              <w:pStyle w:val="Compact"/>
              <w:jc w:val="left"/>
            </w:pPr>
            <w:r>
              <w:t xml:space="preserve">MV</w:t>
            </w:r>
            <w:r>
              <w:rPr>
                <w:vertAlign w:val="subscript"/>
              </w:rPr>
              <w:t xml:space="preserve">it</w:t>
            </w:r>
          </w:p>
        </w:tc>
        <w:tc>
          <w:tcPr/>
          <w:p>
            <w:pPr>
              <w:pStyle w:val="Compact"/>
              <w:jc w:val="left"/>
            </w:pPr>
            <w:r>
              <w:t xml:space="preserve">Market value: the year-end market value of listed platform i.</w:t>
            </w:r>
          </w:p>
        </w:tc>
        <w:tc>
          <w:tcPr/>
          <w:p>
            <w:pPr>
              <w:pStyle w:val="Compact"/>
              <w:jc w:val="left"/>
            </w:pPr>
            <w:r>
              <w:t xml:space="preserve">London Stock Exchange Group (LSEG) data (licensed)</w:t>
            </w:r>
          </w:p>
        </w:tc>
      </w:tr>
      <w:tr>
        <w:tc>
          <w:tcPr/>
          <w:p>
            <w:pPr>
              <w:pStyle w:val="Compact"/>
              <w:jc w:val="left"/>
            </w:pPr>
            <w:r>
              <w:t xml:space="preserve">β</w:t>
            </w:r>
            <w:r>
              <w:rPr>
                <w:vertAlign w:val="subscript"/>
              </w:rPr>
              <w:t xml:space="preserve">V</w:t>
            </w:r>
            <w:r>
              <w:t xml:space="preserve">, β</w:t>
            </w:r>
            <w:r>
              <w:rPr>
                <w:vertAlign w:val="subscript"/>
              </w:rPr>
              <w:t xml:space="preserve">m</w:t>
            </w:r>
          </w:p>
        </w:tc>
        <w:tc>
          <w:tcPr/>
          <w:p>
            <w:pPr>
              <w:pStyle w:val="Compact"/>
              <w:jc w:val="left"/>
            </w:pPr>
            <w:r>
              <w:t xml:space="preserve">Coefficients in equation (8): how the change in market value moves with the change in transaction value and with the change in the take rate.</w:t>
            </w:r>
          </w:p>
        </w:tc>
        <w:tc>
          <w:tcPr/>
          <w:p>
            <w:pPr>
              <w:pStyle w:val="Compact"/>
              <w:jc w:val="left"/>
            </w:pPr>
            <w:r>
              <w:t xml:space="preserve">Author’s estimate</w:t>
            </w:r>
          </w:p>
        </w:tc>
      </w:tr>
      <w:tr>
        <w:tc>
          <w:tcPr/>
          <w:p>
            <w:pPr>
              <w:pStyle w:val="Compact"/>
              <w:jc w:val="left"/>
            </w:pPr>
            <w:r>
              <w:rPr>
                <w:iCs/>
                <w:i/>
              </w:rPr>
              <w:t xml:space="preserve">Panel D: Labels</w:t>
            </w:r>
          </w:p>
        </w:tc>
        <w:tc>
          <w:tcPr/>
          <w:p>
            <w:pPr>
              <w:pStyle w:val="Compact"/>
            </w:pPr>
          </w:p>
        </w:tc>
        <w:tc>
          <w:tcPr/>
          <w:p>
            <w:pPr>
              <w:pStyle w:val="Compact"/>
            </w:pPr>
          </w:p>
        </w:tc>
      </w:tr>
      <w:tr>
        <w:tc>
          <w:tcPr/>
          <w:p>
            <w:pPr>
              <w:pStyle w:val="Compact"/>
              <w:jc w:val="left"/>
            </w:pPr>
            <w:r>
              <w:t xml:space="preserve">H1, H2</w:t>
            </w:r>
          </w:p>
        </w:tc>
        <w:tc>
          <w:tcPr/>
          <w:p>
            <w:pPr>
              <w:pStyle w:val="Compact"/>
              <w:jc w:val="left"/>
            </w:pPr>
            <w:r>
              <w:t xml:space="preserve">The two hypotheses of Section 3.4.</w:t>
            </w:r>
          </w:p>
        </w:tc>
        <w:tc>
          <w:tcPr/>
          <w:p>
            <w:pPr>
              <w:pStyle w:val="Compact"/>
              <w:jc w:val="left"/>
            </w:pPr>
            <w:r>
              <w:t xml:space="preserve">Author’s definition</w:t>
            </w:r>
          </w:p>
        </w:tc>
      </w:tr>
      <w:tr>
        <w:tc>
          <w:tcPr/>
          <w:p>
            <w:pPr>
              <w:pStyle w:val="Compact"/>
              <w:jc w:val="left"/>
            </w:pPr>
            <w:r>
              <w:rPr>
                <w:iCs/>
                <w:i/>
              </w:rPr>
              <w:t xml:space="preserve">Panel E: Variables of the regressions (Chapter 5)</w:t>
            </w:r>
          </w:p>
        </w:tc>
        <w:tc>
          <w:tcPr/>
          <w:p>
            <w:pPr>
              <w:pStyle w:val="Compact"/>
            </w:pPr>
          </w:p>
        </w:tc>
        <w:tc>
          <w:tcPr/>
          <w:p>
            <w:pPr>
              <w:pStyle w:val="Compact"/>
            </w:pPr>
          </w:p>
        </w:tc>
      </w:tr>
      <w:tr>
        <w:tc>
          <w:tcPr/>
          <w:p>
            <w:pPr>
              <w:pStyle w:val="Compact"/>
              <w:jc w:val="left"/>
            </w:pPr>
            <w:r>
              <w:t xml:space="preserve">Wedge in US dollars, and its natural logarithm</w:t>
            </w:r>
          </w:p>
        </w:tc>
        <w:tc>
          <w:tcPr/>
          <w:p>
            <w:pPr>
              <w:pStyle w:val="Compact"/>
              <w:jc w:val="left"/>
            </w:pPr>
            <w:r>
              <w:t xml:space="preserve">The invisible wedge W</w:t>
            </w:r>
            <w:r>
              <w:rPr>
                <w:vertAlign w:val="subscript"/>
              </w:rPr>
              <w:t xml:space="preserve">it</w:t>
            </w:r>
            <w:r>
              <w:t xml:space="preserve"> </w:t>
            </w:r>
            <w:r>
              <w:t xml:space="preserve">converted to US dollars at the period-average official exchange rate of the reporting currency, in US$ million. The regressions use its natural logarithm.</w:t>
            </w:r>
          </w:p>
        </w:tc>
        <w:tc>
          <w:tcPr/>
          <w:p>
            <w:pPr>
              <w:pStyle w:val="Compact"/>
              <w:jc w:val="left"/>
            </w:pPr>
            <w:r>
              <w:t xml:space="preserve">Company reports; World Bank (2026); author’s calculation</w:t>
            </w:r>
          </w:p>
        </w:tc>
      </w:tr>
      <w:tr>
        <w:tc>
          <w:tcPr/>
          <w:p>
            <w:pPr>
              <w:pStyle w:val="Compact"/>
              <w:jc w:val="left"/>
            </w:pPr>
            <w:r>
              <w:t xml:space="preserve">Ecosystem ratio, capped</w:t>
            </w:r>
          </w:p>
        </w:tc>
        <w:tc>
          <w:tcPr/>
          <w:p>
            <w:pPr>
              <w:pStyle w:val="Compact"/>
              <w:jc w:val="left"/>
            </w:pPr>
            <w:r>
              <w:t xml:space="preserve">E</w:t>
            </w:r>
            <w:r>
              <w:rPr>
                <w:vertAlign w:val="subscript"/>
              </w:rPr>
              <w:t xml:space="preserve">it</w:t>
            </w:r>
            <w:r>
              <w:t xml:space="preserve">, set to its 5th percentile below that value and to its 95th percentile above that value, across all platform-years.</w:t>
            </w:r>
          </w:p>
        </w:tc>
        <w:tc>
          <w:tcPr/>
          <w:p>
            <w:pPr>
              <w:pStyle w:val="Compact"/>
              <w:jc w:val="left"/>
            </w:pPr>
            <w:r>
              <w:t xml:space="preserve">Author’s calculation</w:t>
            </w:r>
          </w:p>
        </w:tc>
      </w:tr>
      <w:tr>
        <w:tc>
          <w:tcPr/>
          <w:p>
            <w:pPr>
              <w:pStyle w:val="Compact"/>
              <w:jc w:val="left"/>
            </w:pPr>
            <w:r>
              <w:t xml:space="preserve">g(R</w:t>
            </w:r>
            <w:r>
              <w:rPr>
                <w:vertAlign w:val="subscript"/>
              </w:rPr>
              <w:t xml:space="preserve">it</w:t>
            </w:r>
            <w:r>
              <w:t xml:space="preserve">), g(V</w:t>
            </w:r>
            <w:r>
              <w:rPr>
                <w:vertAlign w:val="subscript"/>
              </w:rPr>
              <w:t xml:space="preserve">it</w:t>
            </w:r>
            <w:r>
              <w:t xml:space="preserve">), capped</w:t>
            </w:r>
          </w:p>
        </w:tc>
        <w:tc>
          <w:tcPr/>
          <w:p>
            <w:pPr>
              <w:pStyle w:val="Compact"/>
              <w:jc w:val="left"/>
            </w:pPr>
            <w:r>
              <w:t xml:space="preserve">Growth of revenue and of transaction value as defined in Panel A, for consecutive years of one platform only, set to the 5th and 95th percentiles across all platforms.</w:t>
            </w:r>
          </w:p>
        </w:tc>
        <w:tc>
          <w:tcPr/>
          <w:p>
            <w:pPr>
              <w:pStyle w:val="Compact"/>
              <w:jc w:val="left"/>
            </w:pPr>
            <w:r>
              <w:t xml:space="preserve">Company reports; author’s calculation</w:t>
            </w:r>
          </w:p>
        </w:tc>
      </w:tr>
      <w:tr>
        <w:tc>
          <w:tcPr/>
          <w:p>
            <w:pPr>
              <w:pStyle w:val="Compact"/>
              <w:jc w:val="left"/>
            </w:pPr>
            <w:r>
              <w:t xml:space="preserve">IndonesiaRegion</w:t>
            </w:r>
          </w:p>
        </w:tc>
        <w:tc>
          <w:tcPr/>
          <w:p>
            <w:pPr>
              <w:pStyle w:val="Compact"/>
              <w:jc w:val="left"/>
            </w:pPr>
            <w:r>
              <w:t xml:space="preserve">A dummy variable that equals one for Tokopedia, Blibli, Bukalapak and the on-demand businesses of Grab and GoTo, and zero for the 27 foreign platforms.</w:t>
            </w:r>
          </w:p>
        </w:tc>
        <w:tc>
          <w:tcPr/>
          <w:p>
            <w:pPr>
              <w:pStyle w:val="Compact"/>
              <w:jc w:val="left"/>
            </w:pPr>
            <w:r>
              <w:t xml:space="preserve">Author’s classification (Appendix B)</w:t>
            </w:r>
          </w:p>
        </w:tc>
      </w:tr>
      <w:tr>
        <w:tc>
          <w:tcPr/>
          <w:p>
            <w:pPr>
              <w:pStyle w:val="Compact"/>
              <w:jc w:val="left"/>
            </w:pPr>
            <w:r>
              <w:t xml:space="preserve">ln(1+YearsListed)</w:t>
            </w:r>
          </w:p>
        </w:tc>
        <w:tc>
          <w:tcPr/>
          <w:p>
            <w:pPr>
              <w:pStyle w:val="Compact"/>
              <w:jc w:val="left"/>
            </w:pPr>
            <w:r>
              <w:t xml:space="preserve">Natural logarithm of one plus the number of years since the platform listed on a stock exchange; zero before listing.</w:t>
            </w:r>
          </w:p>
        </w:tc>
        <w:tc>
          <w:tcPr/>
          <w:p>
            <w:pPr>
              <w:pStyle w:val="Compact"/>
              <w:jc w:val="left"/>
            </w:pPr>
            <w:r>
              <w:t xml:space="preserve">Listing years from public record; author’s calculation</w:t>
            </w:r>
          </w:p>
        </w:tc>
      </w:tr>
      <w:tr>
        <w:tc>
          <w:tcPr/>
          <w:p>
            <w:pPr>
              <w:pStyle w:val="Compact"/>
              <w:jc w:val="left"/>
            </w:pPr>
            <w:r>
              <w:t xml:space="preserve">ln(Assets)</w:t>
            </w:r>
          </w:p>
        </w:tc>
        <w:tc>
          <w:tcPr/>
          <w:p>
            <w:pPr>
              <w:pStyle w:val="Compact"/>
              <w:jc w:val="left"/>
            </w:pPr>
            <w:r>
              <w:t xml:space="preserve">Natural logarithm of the company’s total assets in US dollars, converted at the period-average official exchange rate of the reporting currency.</w:t>
            </w:r>
          </w:p>
        </w:tc>
        <w:tc>
          <w:tcPr/>
          <w:p>
            <w:pPr>
              <w:pStyle w:val="Compact"/>
              <w:jc w:val="left"/>
            </w:pPr>
            <w:r>
              <w:t xml:space="preserve">SEC filings (U.S. Securities and Exchange Commission 2026) for 26 platforms; published financial statements for Tokopedia and GoTo, Blibli, Bukalapak, Rakuten and Zalando</w:t>
            </w:r>
          </w:p>
        </w:tc>
      </w:tr>
      <w:tr>
        <w:tc>
          <w:tcPr/>
          <w:p>
            <w:pPr>
              <w:pStyle w:val="Compact"/>
              <w:jc w:val="left"/>
            </w:pPr>
            <w:r>
              <w:t xml:space="preserve">OnDemand, Travel, Freelance, Resale</w:t>
            </w:r>
          </w:p>
        </w:tc>
        <w:tc>
          <w:tcPr/>
          <w:p>
            <w:pPr>
              <w:pStyle w:val="Compact"/>
              <w:jc w:val="left"/>
            </w:pPr>
            <w:r>
              <w:t xml:space="preserve">Dummy variables that equal one if the platform is of that type and zero otherwise. The base category is marketplace.</w:t>
            </w:r>
          </w:p>
        </w:tc>
        <w:tc>
          <w:tcPr/>
          <w:p>
            <w:pPr>
              <w:pStyle w:val="Compact"/>
              <w:jc w:val="left"/>
            </w:pPr>
            <w:r>
              <w:t xml:space="preserve">Author’s classification (Appendix B)</w:t>
            </w:r>
          </w:p>
        </w:tc>
      </w:tr>
      <w:tr>
        <w:tc>
          <w:tcPr/>
          <w:p>
            <w:pPr>
              <w:pStyle w:val="Compact"/>
              <w:jc w:val="left"/>
            </w:pPr>
            <w:r>
              <w:t xml:space="preserve">EmergingMarket</w:t>
            </w:r>
          </w:p>
        </w:tc>
        <w:tc>
          <w:tcPr/>
          <w:p>
            <w:pPr>
              <w:pStyle w:val="Compact"/>
              <w:jc w:val="left"/>
            </w:pPr>
            <w:r>
              <w:t xml:space="preserve">A dummy variable that equals one if the platform’s main market is Argentina, Brazil, China, India, Indonesia, Kazakhstan, Nigeria, Russia or Turkey, and zero otherwise.</w:t>
            </w:r>
          </w:p>
        </w:tc>
        <w:tc>
          <w:tcPr/>
          <w:p>
            <w:pPr>
              <w:pStyle w:val="Compact"/>
              <w:jc w:val="left"/>
            </w:pPr>
            <w:r>
              <w:t xml:space="preserve">Author’s classification (Appendix B)</w:t>
            </w:r>
          </w:p>
        </w:tc>
      </w:tr>
      <w:tr>
        <w:tc>
          <w:tcPr/>
          <w:p>
            <w:pPr>
              <w:pStyle w:val="Compact"/>
              <w:jc w:val="left"/>
            </w:pPr>
            <w:r>
              <w:t xml:space="preserve">GDPGrowth</w:t>
            </w:r>
          </w:p>
        </w:tc>
        <w:tc>
          <w:tcPr/>
          <w:p>
            <w:pPr>
              <w:pStyle w:val="Compact"/>
              <w:jc w:val="left"/>
            </w:pPr>
            <w:r>
              <w:t xml:space="preserve">Growth of real gross domestic product of the platform’s main market in year t, in percent.</w:t>
            </w:r>
          </w:p>
        </w:tc>
        <w:tc>
          <w:tcPr/>
          <w:p>
            <w:pPr>
              <w:pStyle w:val="Compact"/>
              <w:jc w:val="left"/>
            </w:pPr>
            <w:r>
              <w:t xml:space="preserve">World Bank (2026)</w:t>
            </w:r>
          </w:p>
        </w:tc>
      </w:tr>
      <w:tr>
        <w:tc>
          <w:tcPr/>
          <w:p>
            <w:pPr>
              <w:pStyle w:val="Compact"/>
              <w:jc w:val="left"/>
            </w:pPr>
            <w:r>
              <w:t xml:space="preserve">Inflation</w:t>
            </w:r>
          </w:p>
        </w:tc>
        <w:tc>
          <w:tcPr/>
          <w:p>
            <w:pPr>
              <w:pStyle w:val="Compact"/>
              <w:jc w:val="left"/>
            </w:pPr>
            <w:r>
              <w:t xml:space="preserve">Growth of consumer prices of the platform’s main market in year t, in percent.</w:t>
            </w:r>
          </w:p>
        </w:tc>
        <w:tc>
          <w:tcPr/>
          <w:p>
            <w:pPr>
              <w:pStyle w:val="Compact"/>
              <w:jc w:val="left"/>
            </w:pPr>
            <w:r>
              <w:t xml:space="preserve">World Bank (2026)</w:t>
            </w:r>
          </w:p>
        </w:tc>
      </w:tr>
      <w:tr>
        <w:tc>
          <w:tcPr/>
          <w:p>
            <w:pPr>
              <w:pStyle w:val="Compact"/>
              <w:jc w:val="left"/>
            </w:pPr>
            <w:r>
              <w:t xml:space="preserve">HouseholdGrowth</w:t>
            </w:r>
          </w:p>
        </w:tc>
        <w:tc>
          <w:tcPr/>
          <w:p>
            <w:pPr>
              <w:pStyle w:val="Compact"/>
              <w:jc w:val="left"/>
            </w:pPr>
            <w:r>
              <w:t xml:space="preserve">Growth of real household final consumption expenditure of the platform’s main market in year t, in percent.</w:t>
            </w:r>
          </w:p>
        </w:tc>
        <w:tc>
          <w:tcPr/>
          <w:p>
            <w:pPr>
              <w:pStyle w:val="Compact"/>
              <w:jc w:val="left"/>
            </w:pPr>
            <w:r>
              <w:t xml:space="preserve">World Bank (2026)</w:t>
            </w:r>
          </w:p>
        </w:tc>
      </w:tr>
      <w:tr>
        <w:tc>
          <w:tcPr/>
          <w:p>
            <w:pPr>
              <w:pStyle w:val="Compact"/>
              <w:jc w:val="left"/>
            </w:pPr>
            <w:r>
              <w:t xml:space="preserve">PolicyRate</w:t>
            </w:r>
          </w:p>
        </w:tc>
        <w:tc>
          <w:tcPr/>
          <w:p>
            <w:pPr>
              <w:pStyle w:val="Compact"/>
              <w:jc w:val="left"/>
            </w:pPr>
            <w:r>
              <w:t xml:space="preserve">The central bank’s policy rate in the platform’s main market, mean of the monthly values in year t, in percent. The euro-area rate is used for Germany.</w:t>
            </w:r>
          </w:p>
        </w:tc>
        <w:tc>
          <w:tcPr/>
          <w:p>
            <w:pPr>
              <w:pStyle w:val="Compact"/>
              <w:jc w:val="left"/>
            </w:pPr>
            <w:r>
              <w:t xml:space="preserve">Bank for International Settlements (2026)</w:t>
            </w:r>
          </w:p>
        </w:tc>
      </w:tr>
    </w:tbl>
    <w:bookmarkEnd w:id="91"/>
    <w:bookmarkStart w:id="92" w:name="a.2-sources-compared-in-objective-3"/>
    <w:p>
      <w:pPr>
        <w:pStyle w:val="Heading3"/>
      </w:pPr>
      <w:r>
        <w:t xml:space="preserve">A.2 Sources compared in Objective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What it covers</w:t>
            </w:r>
          </w:p>
        </w:tc>
        <w:tc>
          <w:tcPr/>
          <w:p>
            <w:pPr>
              <w:pStyle w:val="Compact"/>
              <w:jc w:val="left"/>
            </w:pPr>
            <w:r>
              <w:t xml:space="preserve">How it counts</w:t>
            </w:r>
          </w:p>
        </w:tc>
      </w:tr>
      <w:tr>
        <w:tc>
          <w:tcPr/>
          <w:p>
            <w:pPr>
              <w:pStyle w:val="Compact"/>
              <w:jc w:val="left"/>
            </w:pPr>
            <w:r>
              <w:t xml:space="preserve">Platform reports</w:t>
            </w:r>
          </w:p>
        </w:tc>
        <w:tc>
          <w:tcPr/>
          <w:p>
            <w:pPr>
              <w:pStyle w:val="Compact"/>
              <w:jc w:val="left"/>
            </w:pPr>
            <w:r>
              <w:t xml:space="preserve">Everything bought through one platform</w:t>
            </w:r>
          </w:p>
        </w:tc>
        <w:tc>
          <w:tcPr/>
          <w:p>
            <w:pPr>
              <w:pStyle w:val="Compact"/>
              <w:jc w:val="left"/>
            </w:pPr>
            <w:r>
              <w:t xml:space="preserve">The platform’s own records</w:t>
            </w:r>
          </w:p>
        </w:tc>
      </w:tr>
      <w:tr>
        <w:tc>
          <w:tcPr/>
          <w:p>
            <w:pPr>
              <w:pStyle w:val="Compact"/>
              <w:jc w:val="left"/>
            </w:pPr>
            <w:r>
              <w:t xml:space="preserve">BPS online-seller survey</w:t>
            </w:r>
          </w:p>
        </w:tc>
        <w:tc>
          <w:tcPr/>
          <w:p>
            <w:pPr>
              <w:pStyle w:val="Compact"/>
              <w:jc w:val="left"/>
            </w:pPr>
            <w:r>
              <w:t xml:space="preserve">Every business that sold online, including chat and social media</w:t>
            </w:r>
          </w:p>
        </w:tc>
        <w:tc>
          <w:tcPr/>
          <w:p>
            <w:pPr>
              <w:pStyle w:val="Compact"/>
              <w:jc w:val="left"/>
            </w:pPr>
            <w:r>
              <w:t xml:space="preserve">Listing in sampled areas, scaled up by survey weights</w:t>
            </w:r>
          </w:p>
        </w:tc>
      </w:tr>
      <w:tr>
        <w:tc>
          <w:tcPr/>
          <w:p>
            <w:pPr>
              <w:pStyle w:val="Compact"/>
              <w:jc w:val="left"/>
            </w:pPr>
            <w:r>
              <w:t xml:space="preserve">Bank Indonesia e-commerce statistics</w:t>
            </w:r>
          </w:p>
        </w:tc>
        <w:tc>
          <w:tcPr/>
          <w:p>
            <w:pPr>
              <w:pStyle w:val="Compact"/>
              <w:jc w:val="left"/>
            </w:pPr>
            <w:r>
              <w:t xml:space="preserve">Transactions of large e-commerce firms (Bank Indonesia 2025)</w:t>
            </w:r>
          </w:p>
        </w:tc>
        <w:tc>
          <w:tcPr/>
          <w:p>
            <w:pPr>
              <w:pStyle w:val="Compact"/>
              <w:jc w:val="left"/>
            </w:pPr>
            <w:r>
              <w:t xml:space="preserve">Data sent to the central bank; the method is not public</w:t>
            </w:r>
          </w:p>
        </w:tc>
      </w:tr>
      <w:tr>
        <w:tc>
          <w:tcPr/>
          <w:p>
            <w:pPr>
              <w:pStyle w:val="Compact"/>
              <w:jc w:val="left"/>
            </w:pPr>
            <w:r>
              <w:t xml:space="preserve">Industry estimates</w:t>
            </w:r>
          </w:p>
        </w:tc>
        <w:tc>
          <w:tcPr/>
          <w:p>
            <w:pPr>
              <w:pStyle w:val="Compact"/>
              <w:jc w:val="left"/>
            </w:pPr>
            <w:r>
              <w:t xml:space="preserve">Shopping marketplaces in Indonesia or Southeast Asia, from the research firm Momentum Works (2024), as quoted by Setyowati (2024), and the e-Conomy report (Google, Temasek and Bain 2024)</w:t>
            </w:r>
          </w:p>
        </w:tc>
        <w:tc>
          <w:tcPr/>
          <w:p>
            <w:pPr>
              <w:pStyle w:val="Compact"/>
              <w:jc w:val="left"/>
            </w:pPr>
            <w:r>
              <w:t xml:space="preserve">Outside estimates</w:t>
            </w:r>
          </w:p>
        </w:tc>
      </w:tr>
      <w:tr>
        <w:tc>
          <w:tcPr/>
          <w:p>
            <w:pPr>
              <w:pStyle w:val="Compact"/>
              <w:jc w:val="left"/>
            </w:pPr>
            <w:r>
              <w:t xml:space="preserve">Household spending</w:t>
            </w:r>
          </w:p>
        </w:tc>
        <w:tc>
          <w:tcPr/>
          <w:p>
            <w:pPr>
              <w:pStyle w:val="Compact"/>
              <w:jc w:val="left"/>
            </w:pPr>
            <w:r>
              <w:t xml:space="preserve">All household purchases</w:t>
            </w:r>
          </w:p>
        </w:tc>
        <w:tc>
          <w:tcPr/>
          <w:p>
            <w:pPr>
              <w:pStyle w:val="Compact"/>
              <w:jc w:val="left"/>
            </w:pPr>
            <w:r>
              <w:t xml:space="preserve">BPS national accounts</w:t>
            </w:r>
          </w:p>
        </w:tc>
      </w:tr>
      <w:tr>
        <w:tc>
          <w:tcPr/>
          <w:p>
            <w:pPr>
              <w:pStyle w:val="Compact"/>
              <w:jc w:val="left"/>
            </w:pPr>
            <w:r>
              <w:t xml:space="preserve">Payment figures</w:t>
            </w:r>
          </w:p>
        </w:tc>
        <w:tc>
          <w:tcPr/>
          <w:p>
            <w:pPr>
              <w:pStyle w:val="Compact"/>
              <w:jc w:val="left"/>
            </w:pPr>
            <w:r>
              <w:t xml:space="preserve">Payments made through systems such as QRIS, the national QR-code system</w:t>
            </w:r>
          </w:p>
        </w:tc>
        <w:tc>
          <w:tcPr/>
          <w:p>
            <w:pPr>
              <w:pStyle w:val="Compact"/>
              <w:jc w:val="left"/>
            </w:pPr>
            <w:r>
              <w:t xml:space="preserve">Payment records, in person and online</w:t>
            </w:r>
          </w:p>
        </w:tc>
      </w:tr>
      <w:tr>
        <w:tc>
          <w:tcPr/>
          <w:p>
            <w:pPr>
              <w:pStyle w:val="Compact"/>
              <w:jc w:val="left"/>
            </w:pPr>
            <w:r>
              <w:t xml:space="preserve">Adjacent figures</w:t>
            </w:r>
          </w:p>
        </w:tc>
        <w:tc>
          <w:tcPr/>
          <w:p>
            <w:pPr>
              <w:pStyle w:val="Compact"/>
              <w:jc w:val="left"/>
            </w:pPr>
            <w:r>
              <w:t xml:space="preserve">Parcels shipped in Southeast Asia, the value-added tax collected on foreign digital services (Directorate General of Taxes 2025), and the number of merchants a company reports</w:t>
            </w:r>
          </w:p>
        </w:tc>
        <w:tc>
          <w:tcPr/>
          <w:p>
            <w:pPr>
              <w:pStyle w:val="Compact"/>
              <w:jc w:val="left"/>
            </w:pPr>
            <w:r>
              <w:t xml:space="preserve">Used as context only, since none measures Indonesian e-commerce</w:t>
            </w:r>
          </w:p>
        </w:tc>
      </w:tr>
    </w:tbl>
    <w:bookmarkEnd w:id="92"/>
    <w:bookmarkEnd w:id="93"/>
    <w:bookmarkStart w:id="99" w:name="X79811c47d513cf7a901c7befb1cc5335d4073b3"/>
    <w:p>
      <w:pPr>
        <w:pStyle w:val="Heading2"/>
      </w:pPr>
      <w:r>
        <w:t xml:space="preserve">Appendix B. Platforms, windows and the wedge by year</w:t>
      </w:r>
    </w:p>
    <w:bookmarkStart w:id="94" w:name="b.1-the-foreign-group-27-platforms"/>
    <w:p>
      <w:pPr>
        <w:pStyle w:val="Heading3"/>
      </w:pPr>
      <w:r>
        <w:t xml:space="preserve">B.1 The foreign group (27 platforms)</w:t>
      </w:r>
    </w:p>
    <w:p>
      <w:pPr>
        <w:pStyle w:val="FirstParagraph"/>
      </w:pPr>
      <w:r>
        <w:t xml:space="preserve">Pairs are consecutive years that pass the rules of Chapter 4, section 4.1: for the platforms added, the later year is not one in which own goods exceed half of revenue; for the eight chosen first, the reporting scope did not change. Ozon’s one pair starts in a year that fails the own-goods rule (Appendix C). The median is the platform’s median size of yearly change in log take rate. Source:</w:t>
      </w:r>
      <w:r>
        <w:t xml:space="preserve"> </w:t>
      </w:r>
      <w:r>
        <w:rPr>
          <w:rStyle w:val="VerbatimChar"/>
        </w:rPr>
        <w:t xml:space="preserve">tables/spinoff_panel.csv</w:t>
      </w:r>
      <w:r>
        <w:t xml:space="preserve">,</w:t>
      </w:r>
      <w:r>
        <w:t xml:space="preserve"> </w:t>
      </w:r>
      <w:r>
        <w:rPr>
          <w:rStyle w:val="VerbatimChar"/>
        </w:rPr>
        <w:t xml:space="preserve">tables/transitions_master.csv</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Chosen first or added</w:t>
            </w:r>
          </w:p>
        </w:tc>
        <w:tc>
          <w:tcPr/>
          <w:p>
            <w:pPr>
              <w:pStyle w:val="Compact"/>
              <w:jc w:val="left"/>
            </w:pPr>
            <w:r>
              <w:t xml:space="preserve">Pairs</w:t>
            </w:r>
          </w:p>
        </w:tc>
        <w:tc>
          <w:tcPr/>
          <w:p>
            <w:pPr>
              <w:pStyle w:val="Compact"/>
              <w:jc w:val="left"/>
            </w:pPr>
            <w:r>
              <w:t xml:space="preserve">Median size of yearly change in log take rate</w:t>
            </w:r>
          </w:p>
        </w:tc>
      </w:tr>
      <w:tr>
        <w:tc>
          <w:tcPr/>
          <w:p>
            <w:pPr>
              <w:pStyle w:val="Compact"/>
              <w:jc w:val="left"/>
            </w:pPr>
            <w:r>
              <w:t xml:space="preserve">ACV Auctions</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0.15</w:t>
            </w:r>
          </w:p>
        </w:tc>
      </w:tr>
      <w:tr>
        <w:tc>
          <w:tcPr/>
          <w:p>
            <w:pPr>
              <w:pStyle w:val="Compact"/>
              <w:jc w:val="left"/>
            </w:pPr>
            <w:r>
              <w:t xml:space="preserve">Waitr</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0.10</w:t>
            </w:r>
          </w:p>
        </w:tc>
      </w:tr>
      <w:tr>
        <w:tc>
          <w:tcPr/>
          <w:p>
            <w:pPr>
              <w:pStyle w:val="Compact"/>
              <w:jc w:val="left"/>
            </w:pPr>
            <w:r>
              <w:t xml:space="preserve">Alibaba</w:t>
            </w:r>
          </w:p>
        </w:tc>
        <w:tc>
          <w:tcPr/>
          <w:p>
            <w:pPr>
              <w:pStyle w:val="Compact"/>
              <w:jc w:val="left"/>
            </w:pPr>
            <w:r>
              <w:t xml:space="preserve">Added</w:t>
            </w:r>
          </w:p>
        </w:tc>
        <w:tc>
          <w:tcPr/>
          <w:p>
            <w:pPr>
              <w:pStyle w:val="Compact"/>
              <w:jc w:val="left"/>
            </w:pPr>
            <w:r>
              <w:t xml:space="preserve">7</w:t>
            </w:r>
          </w:p>
        </w:tc>
        <w:tc>
          <w:tcPr/>
          <w:p>
            <w:pPr>
              <w:pStyle w:val="Compact"/>
              <w:jc w:val="left"/>
            </w:pPr>
            <w:r>
              <w:t xml:space="preserve">0.21</w:t>
            </w:r>
          </w:p>
        </w:tc>
      </w:tr>
      <w:tr>
        <w:tc>
          <w:tcPr/>
          <w:p>
            <w:pPr>
              <w:pStyle w:val="Compact"/>
              <w:jc w:val="left"/>
            </w:pPr>
            <w:r>
              <w:t xml:space="preserve">Despegar</w:t>
            </w:r>
          </w:p>
        </w:tc>
        <w:tc>
          <w:tcPr/>
          <w:p>
            <w:pPr>
              <w:pStyle w:val="Compact"/>
              <w:jc w:val="left"/>
            </w:pPr>
            <w:r>
              <w:t xml:space="preserve">Added</w:t>
            </w:r>
          </w:p>
        </w:tc>
        <w:tc>
          <w:tcPr/>
          <w:p>
            <w:pPr>
              <w:pStyle w:val="Compact"/>
              <w:jc w:val="left"/>
            </w:pPr>
            <w:r>
              <w:t xml:space="preserve">9</w:t>
            </w:r>
          </w:p>
        </w:tc>
        <w:tc>
          <w:tcPr/>
          <w:p>
            <w:pPr>
              <w:pStyle w:val="Compact"/>
              <w:jc w:val="left"/>
            </w:pPr>
            <w:r>
              <w:t xml:space="preserve">0.07</w:t>
            </w:r>
          </w:p>
        </w:tc>
      </w:tr>
      <w:tr>
        <w:tc>
          <w:tcPr/>
          <w:p>
            <w:pPr>
              <w:pStyle w:val="Compact"/>
              <w:jc w:val="left"/>
            </w:pPr>
            <w:r>
              <w:t xml:space="preserve">1stDibs</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0.03</w:t>
            </w:r>
          </w:p>
        </w:tc>
      </w:tr>
      <w:tr>
        <w:tc>
          <w:tcPr/>
          <w:p>
            <w:pPr>
              <w:pStyle w:val="Compact"/>
              <w:jc w:val="left"/>
            </w:pPr>
            <w:r>
              <w:t xml:space="preserve">Expedia</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0.03</w:t>
            </w:r>
          </w:p>
        </w:tc>
      </w:tr>
      <w:tr>
        <w:tc>
          <w:tcPr/>
          <w:p>
            <w:pPr>
              <w:pStyle w:val="Compact"/>
              <w:jc w:val="left"/>
            </w:pPr>
            <w:r>
              <w:t xml:space="preserve">Fiverr</w:t>
            </w:r>
          </w:p>
        </w:tc>
        <w:tc>
          <w:tcPr/>
          <w:p>
            <w:pPr>
              <w:pStyle w:val="Compact"/>
              <w:jc w:val="left"/>
            </w:pPr>
            <w:r>
              <w:t xml:space="preserve">Added</w:t>
            </w:r>
          </w:p>
        </w:tc>
        <w:tc>
          <w:tcPr/>
          <w:p>
            <w:pPr>
              <w:pStyle w:val="Compact"/>
              <w:jc w:val="left"/>
            </w:pPr>
            <w:r>
              <w:t xml:space="preserve">7</w:t>
            </w:r>
          </w:p>
        </w:tc>
        <w:tc>
          <w:tcPr/>
          <w:p>
            <w:pPr>
              <w:pStyle w:val="Compact"/>
              <w:jc w:val="left"/>
            </w:pPr>
            <w:r>
              <w:t xml:space="preserve">0.05</w:t>
            </w:r>
          </w:p>
        </w:tc>
      </w:tr>
      <w:tr>
        <w:tc>
          <w:tcPr/>
          <w:p>
            <w:pPr>
              <w:pStyle w:val="Compact"/>
              <w:jc w:val="left"/>
            </w:pPr>
            <w:r>
              <w:t xml:space="preserve">Grubhub</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0.09</w:t>
            </w:r>
          </w:p>
        </w:tc>
      </w:tr>
      <w:tr>
        <w:tc>
          <w:tcPr/>
          <w:p>
            <w:pPr>
              <w:pStyle w:val="Compact"/>
              <w:jc w:val="left"/>
            </w:pPr>
            <w:r>
              <w:t xml:space="preserve">Hepsiburada</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0.03</w:t>
            </w:r>
          </w:p>
        </w:tc>
      </w:tr>
      <w:tr>
        <w:tc>
          <w:tcPr/>
          <w:p>
            <w:pPr>
              <w:pStyle w:val="Compact"/>
              <w:jc w:val="left"/>
            </w:pPr>
            <w:r>
              <w:t xml:space="preserve">Kaspi.kz</w:t>
            </w:r>
          </w:p>
        </w:tc>
        <w:tc>
          <w:tcPr/>
          <w:p>
            <w:pPr>
              <w:pStyle w:val="Compact"/>
              <w:jc w:val="left"/>
            </w:pPr>
            <w:r>
              <w:t xml:space="preserve">Added</w:t>
            </w:r>
          </w:p>
        </w:tc>
        <w:tc>
          <w:tcPr/>
          <w:p>
            <w:pPr>
              <w:pStyle w:val="Compact"/>
              <w:jc w:val="left"/>
            </w:pPr>
            <w:r>
              <w:t xml:space="preserve">4</w:t>
            </w:r>
          </w:p>
        </w:tc>
        <w:tc>
          <w:tcPr/>
          <w:p>
            <w:pPr>
              <w:pStyle w:val="Compact"/>
              <w:jc w:val="left"/>
            </w:pPr>
            <w:r>
              <w:t xml:space="preserve">0.08</w:t>
            </w:r>
          </w:p>
        </w:tc>
      </w:tr>
      <w:tr>
        <w:tc>
          <w:tcPr/>
          <w:p>
            <w:pPr>
              <w:pStyle w:val="Compact"/>
              <w:jc w:val="left"/>
            </w:pPr>
            <w:r>
              <w:t xml:space="preserve">Mogu</w:t>
            </w:r>
          </w:p>
        </w:tc>
        <w:tc>
          <w:tcPr/>
          <w:p>
            <w:pPr>
              <w:pStyle w:val="Compact"/>
              <w:jc w:val="left"/>
            </w:pPr>
            <w:r>
              <w:t xml:space="preserve">Added</w:t>
            </w:r>
          </w:p>
        </w:tc>
        <w:tc>
          <w:tcPr/>
          <w:p>
            <w:pPr>
              <w:pStyle w:val="Compact"/>
              <w:jc w:val="left"/>
            </w:pPr>
            <w:r>
              <w:t xml:space="preserve">9</w:t>
            </w:r>
          </w:p>
        </w:tc>
        <w:tc>
          <w:tcPr/>
          <w:p>
            <w:pPr>
              <w:pStyle w:val="Compact"/>
              <w:jc w:val="left"/>
            </w:pPr>
            <w:r>
              <w:t xml:space="preserve">0.21</w:t>
            </w:r>
          </w:p>
        </w:tc>
      </w:tr>
      <w:tr>
        <w:tc>
          <w:tcPr/>
          <w:p>
            <w:pPr>
              <w:pStyle w:val="Compact"/>
              <w:jc w:val="left"/>
            </w:pPr>
            <w:r>
              <w:t xml:space="preserve">Ozon</w:t>
            </w:r>
          </w:p>
        </w:tc>
        <w:tc>
          <w:tcPr/>
          <w:p>
            <w:pPr>
              <w:pStyle w:val="Compact"/>
              <w:jc w:val="left"/>
            </w:pPr>
            <w:r>
              <w:t xml:space="preserve">Added</w:t>
            </w:r>
          </w:p>
        </w:tc>
        <w:tc>
          <w:tcPr/>
          <w:p>
            <w:pPr>
              <w:pStyle w:val="Compact"/>
              <w:jc w:val="left"/>
            </w:pPr>
            <w:r>
              <w:t xml:space="preserve">1</w:t>
            </w:r>
          </w:p>
        </w:tc>
        <w:tc>
          <w:tcPr/>
          <w:p>
            <w:pPr>
              <w:pStyle w:val="Compact"/>
              <w:jc w:val="left"/>
            </w:pPr>
            <w:r>
              <w:t xml:space="preserve">0.18</w:t>
            </w:r>
          </w:p>
        </w:tc>
      </w:tr>
      <w:tr>
        <w:tc>
          <w:tcPr/>
          <w:p>
            <w:pPr>
              <w:pStyle w:val="Compact"/>
              <w:jc w:val="left"/>
            </w:pPr>
            <w:r>
              <w:t xml:space="preserve">PDD Holdings</w:t>
            </w:r>
          </w:p>
        </w:tc>
        <w:tc>
          <w:tcPr/>
          <w:p>
            <w:pPr>
              <w:pStyle w:val="Compact"/>
              <w:jc w:val="left"/>
            </w:pPr>
            <w:r>
              <w:t xml:space="preserve">Added</w:t>
            </w:r>
          </w:p>
        </w:tc>
        <w:tc>
          <w:tcPr/>
          <w:p>
            <w:pPr>
              <w:pStyle w:val="Compact"/>
              <w:jc w:val="left"/>
            </w:pPr>
            <w:r>
              <w:t xml:space="preserve">4</w:t>
            </w:r>
          </w:p>
        </w:tc>
        <w:tc>
          <w:tcPr/>
          <w:p>
            <w:pPr>
              <w:pStyle w:val="Compact"/>
              <w:jc w:val="left"/>
            </w:pPr>
            <w:r>
              <w:t xml:space="preserve">0.13</w:t>
            </w:r>
          </w:p>
        </w:tc>
      </w:tr>
      <w:tr>
        <w:tc>
          <w:tcPr/>
          <w:p>
            <w:pPr>
              <w:pStyle w:val="Compact"/>
              <w:jc w:val="left"/>
            </w:pPr>
            <w:r>
              <w:t xml:space="preserve">RB Global</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0.06</w:t>
            </w:r>
          </w:p>
        </w:tc>
      </w:tr>
      <w:tr>
        <w:tc>
          <w:tcPr/>
          <w:p>
            <w:pPr>
              <w:pStyle w:val="Compact"/>
              <w:jc w:val="left"/>
            </w:pPr>
            <w:r>
              <w:t xml:space="preserve">The RealReal</w:t>
            </w:r>
          </w:p>
        </w:tc>
        <w:tc>
          <w:tcPr/>
          <w:p>
            <w:pPr>
              <w:pStyle w:val="Compact"/>
              <w:jc w:val="left"/>
            </w:pPr>
            <w:r>
              <w:t xml:space="preserve">Added</w:t>
            </w:r>
          </w:p>
        </w:tc>
        <w:tc>
          <w:tcPr/>
          <w:p>
            <w:pPr>
              <w:pStyle w:val="Compact"/>
              <w:jc w:val="left"/>
            </w:pPr>
            <w:r>
              <w:t xml:space="preserve">8</w:t>
            </w:r>
          </w:p>
        </w:tc>
        <w:tc>
          <w:tcPr/>
          <w:p>
            <w:pPr>
              <w:pStyle w:val="Compact"/>
              <w:jc w:val="left"/>
            </w:pPr>
            <w:r>
              <w:t xml:space="preserve">0.04</w:t>
            </w:r>
          </w:p>
        </w:tc>
      </w:tr>
      <w:tr>
        <w:tc>
          <w:tcPr/>
          <w:p>
            <w:pPr>
              <w:pStyle w:val="Compact"/>
              <w:jc w:val="left"/>
            </w:pPr>
            <w:r>
              <w:t xml:space="preserve">Vivid Seats</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0.07</w:t>
            </w:r>
          </w:p>
        </w:tc>
      </w:tr>
      <w:tr>
        <w:tc>
          <w:tcPr/>
          <w:p>
            <w:pPr>
              <w:pStyle w:val="Compact"/>
              <w:jc w:val="left"/>
            </w:pPr>
            <w:r>
              <w:t xml:space="preserve">Upwork</w:t>
            </w:r>
          </w:p>
        </w:tc>
        <w:tc>
          <w:tcPr/>
          <w:p>
            <w:pPr>
              <w:pStyle w:val="Compact"/>
              <w:jc w:val="left"/>
            </w:pPr>
            <w:r>
              <w:t xml:space="preserve">Added</w:t>
            </w:r>
          </w:p>
        </w:tc>
        <w:tc>
          <w:tcPr/>
          <w:p>
            <w:pPr>
              <w:pStyle w:val="Compact"/>
              <w:jc w:val="left"/>
            </w:pPr>
            <w:r>
              <w:t xml:space="preserve">8</w:t>
            </w:r>
          </w:p>
        </w:tc>
        <w:tc>
          <w:tcPr/>
          <w:p>
            <w:pPr>
              <w:pStyle w:val="Compact"/>
              <w:jc w:val="left"/>
            </w:pPr>
            <w:r>
              <w:t xml:space="preserve">0.04</w:t>
            </w:r>
          </w:p>
        </w:tc>
      </w:tr>
      <w:tr>
        <w:tc>
          <w:tcPr/>
          <w:p>
            <w:pPr>
              <w:pStyle w:val="Compact"/>
              <w:jc w:val="left"/>
            </w:pPr>
            <w:r>
              <w:t xml:space="preserve">Vacasa</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0.03</w:t>
            </w:r>
          </w:p>
        </w:tc>
      </w:tr>
      <w:tr>
        <w:tc>
          <w:tcPr/>
          <w:p>
            <w:pPr>
              <w:pStyle w:val="Compact"/>
              <w:jc w:val="left"/>
            </w:pPr>
            <w:r>
              <w:t xml:space="preserve">Yatra</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0.03</w:t>
            </w:r>
          </w:p>
        </w:tc>
      </w:tr>
      <w:tr>
        <w:tc>
          <w:tcPr/>
          <w:p>
            <w:pPr>
              <w:pStyle w:val="Compact"/>
              <w:jc w:val="left"/>
            </w:pPr>
            <w:r>
              <w:t xml:space="preserve">Etsy</w:t>
            </w:r>
          </w:p>
        </w:tc>
        <w:tc>
          <w:tcPr/>
          <w:p>
            <w:pPr>
              <w:pStyle w:val="Compact"/>
              <w:jc w:val="left"/>
            </w:pPr>
            <w:r>
              <w:t xml:space="preserve">Chosen first</w:t>
            </w:r>
          </w:p>
        </w:tc>
        <w:tc>
          <w:tcPr/>
          <w:p>
            <w:pPr>
              <w:pStyle w:val="Compact"/>
              <w:jc w:val="left"/>
            </w:pPr>
            <w:r>
              <w:t xml:space="preserve">3</w:t>
            </w:r>
          </w:p>
        </w:tc>
        <w:tc>
          <w:tcPr/>
          <w:p>
            <w:pPr>
              <w:pStyle w:val="Compact"/>
              <w:jc w:val="left"/>
            </w:pPr>
            <w:r>
              <w:t xml:space="preserve">0.07</w:t>
            </w:r>
          </w:p>
        </w:tc>
      </w:tr>
      <w:tr>
        <w:tc>
          <w:tcPr/>
          <w:p>
            <w:pPr>
              <w:pStyle w:val="Compact"/>
              <w:jc w:val="left"/>
            </w:pPr>
            <w:r>
              <w:t xml:space="preserve">Jumia</w:t>
            </w:r>
          </w:p>
        </w:tc>
        <w:tc>
          <w:tcPr/>
          <w:p>
            <w:pPr>
              <w:pStyle w:val="Compact"/>
              <w:jc w:val="left"/>
            </w:pPr>
            <w:r>
              <w:t xml:space="preserve">Chosen first</w:t>
            </w:r>
          </w:p>
        </w:tc>
        <w:tc>
          <w:tcPr/>
          <w:p>
            <w:pPr>
              <w:pStyle w:val="Compact"/>
              <w:jc w:val="left"/>
            </w:pPr>
            <w:r>
              <w:t xml:space="preserve">3</w:t>
            </w:r>
          </w:p>
        </w:tc>
        <w:tc>
          <w:tcPr/>
          <w:p>
            <w:pPr>
              <w:pStyle w:val="Compact"/>
              <w:jc w:val="left"/>
            </w:pPr>
            <w:r>
              <w:t xml:space="preserve">0.16</w:t>
            </w:r>
          </w:p>
        </w:tc>
      </w:tr>
      <w:tr>
        <w:tc>
          <w:tcPr/>
          <w:p>
            <w:pPr>
              <w:pStyle w:val="Compact"/>
              <w:jc w:val="left"/>
            </w:pPr>
            <w:r>
              <w:t xml:space="preserve">Mercado Libre</w:t>
            </w:r>
          </w:p>
        </w:tc>
        <w:tc>
          <w:tcPr/>
          <w:p>
            <w:pPr>
              <w:pStyle w:val="Compact"/>
              <w:jc w:val="left"/>
            </w:pPr>
            <w:r>
              <w:t xml:space="preserve">Chosen first</w:t>
            </w:r>
          </w:p>
        </w:tc>
        <w:tc>
          <w:tcPr/>
          <w:p>
            <w:pPr>
              <w:pStyle w:val="Compact"/>
              <w:jc w:val="left"/>
            </w:pPr>
            <w:r>
              <w:t xml:space="preserve">2</w:t>
            </w:r>
          </w:p>
        </w:tc>
        <w:tc>
          <w:tcPr/>
          <w:p>
            <w:pPr>
              <w:pStyle w:val="Compact"/>
              <w:jc w:val="left"/>
            </w:pPr>
            <w:r>
              <w:t xml:space="preserve">0.06</w:t>
            </w:r>
          </w:p>
        </w:tc>
      </w:tr>
      <w:tr>
        <w:tc>
          <w:tcPr/>
          <w:p>
            <w:pPr>
              <w:pStyle w:val="Compact"/>
              <w:jc w:val="left"/>
            </w:pPr>
            <w:r>
              <w:t xml:space="preserve">Rakuten</w:t>
            </w:r>
          </w:p>
        </w:tc>
        <w:tc>
          <w:tcPr/>
          <w:p>
            <w:pPr>
              <w:pStyle w:val="Compact"/>
              <w:jc w:val="left"/>
            </w:pPr>
            <w:r>
              <w:t xml:space="preserve">Chosen first</w:t>
            </w:r>
          </w:p>
        </w:tc>
        <w:tc>
          <w:tcPr/>
          <w:p>
            <w:pPr>
              <w:pStyle w:val="Compact"/>
              <w:jc w:val="left"/>
            </w:pPr>
            <w:r>
              <w:t xml:space="preserve">1</w:t>
            </w:r>
          </w:p>
        </w:tc>
        <w:tc>
          <w:tcPr/>
          <w:p>
            <w:pPr>
              <w:pStyle w:val="Compact"/>
              <w:jc w:val="left"/>
            </w:pPr>
            <w:r>
              <w:t xml:space="preserve">0.02</w:t>
            </w:r>
          </w:p>
        </w:tc>
      </w:tr>
      <w:tr>
        <w:tc>
          <w:tcPr/>
          <w:p>
            <w:pPr>
              <w:pStyle w:val="Compact"/>
              <w:jc w:val="left"/>
            </w:pPr>
            <w:r>
              <w:t xml:space="preserve">Sea / Shopee</w:t>
            </w:r>
          </w:p>
        </w:tc>
        <w:tc>
          <w:tcPr/>
          <w:p>
            <w:pPr>
              <w:pStyle w:val="Compact"/>
              <w:jc w:val="left"/>
            </w:pPr>
            <w:r>
              <w:t xml:space="preserve">Chosen first</w:t>
            </w:r>
          </w:p>
        </w:tc>
        <w:tc>
          <w:tcPr/>
          <w:p>
            <w:pPr>
              <w:pStyle w:val="Compact"/>
              <w:jc w:val="left"/>
            </w:pPr>
            <w:r>
              <w:t xml:space="preserve">7</w:t>
            </w:r>
          </w:p>
        </w:tc>
        <w:tc>
          <w:tcPr/>
          <w:p>
            <w:pPr>
              <w:pStyle w:val="Compact"/>
              <w:jc w:val="left"/>
            </w:pPr>
            <w:r>
              <w:t xml:space="preserve">0.25</w:t>
            </w:r>
          </w:p>
        </w:tc>
      </w:tr>
      <w:tr>
        <w:tc>
          <w:tcPr/>
          <w:p>
            <w:pPr>
              <w:pStyle w:val="Compact"/>
              <w:jc w:val="left"/>
            </w:pPr>
            <w:r>
              <w:t xml:space="preserve">Shopify</w:t>
            </w:r>
          </w:p>
        </w:tc>
        <w:tc>
          <w:tcPr/>
          <w:p>
            <w:pPr>
              <w:pStyle w:val="Compact"/>
              <w:jc w:val="left"/>
            </w:pPr>
            <w:r>
              <w:t xml:space="preserve">Chosen first</w:t>
            </w:r>
          </w:p>
        </w:tc>
        <w:tc>
          <w:tcPr/>
          <w:p>
            <w:pPr>
              <w:pStyle w:val="Compact"/>
              <w:jc w:val="left"/>
            </w:pPr>
            <w:r>
              <w:t xml:space="preserve">5</w:t>
            </w:r>
          </w:p>
        </w:tc>
        <w:tc>
          <w:tcPr/>
          <w:p>
            <w:pPr>
              <w:pStyle w:val="Compact"/>
              <w:jc w:val="left"/>
            </w:pPr>
            <w:r>
              <w:t xml:space="preserve">0.05</w:t>
            </w:r>
          </w:p>
        </w:tc>
      </w:tr>
      <w:tr>
        <w:tc>
          <w:tcPr/>
          <w:p>
            <w:pPr>
              <w:pStyle w:val="Compact"/>
              <w:jc w:val="left"/>
            </w:pPr>
            <w:r>
              <w:t xml:space="preserve">Zalando</w:t>
            </w:r>
          </w:p>
        </w:tc>
        <w:tc>
          <w:tcPr/>
          <w:p>
            <w:pPr>
              <w:pStyle w:val="Compact"/>
              <w:jc w:val="left"/>
            </w:pPr>
            <w:r>
              <w:t xml:space="preserve">Chosen first</w:t>
            </w:r>
          </w:p>
        </w:tc>
        <w:tc>
          <w:tcPr/>
          <w:p>
            <w:pPr>
              <w:pStyle w:val="Compact"/>
              <w:jc w:val="left"/>
            </w:pPr>
            <w:r>
              <w:t xml:space="preserve">4</w:t>
            </w:r>
          </w:p>
        </w:tc>
        <w:tc>
          <w:tcPr/>
          <w:p>
            <w:pPr>
              <w:pStyle w:val="Compact"/>
              <w:jc w:val="left"/>
            </w:pPr>
            <w:r>
              <w:t xml:space="preserve">0.02</w:t>
            </w:r>
          </w:p>
        </w:tc>
      </w:tr>
      <w:tr>
        <w:tc>
          <w:tcPr/>
          <w:p>
            <w:pPr>
              <w:pStyle w:val="Compact"/>
              <w:jc w:val="left"/>
            </w:pPr>
            <w:r>
              <w:t xml:space="preserve">eBay</w:t>
            </w:r>
          </w:p>
        </w:tc>
        <w:tc>
          <w:tcPr/>
          <w:p>
            <w:pPr>
              <w:pStyle w:val="Compact"/>
              <w:jc w:val="left"/>
            </w:pPr>
            <w:r>
              <w:t xml:space="preserve">Chosen first</w:t>
            </w:r>
          </w:p>
        </w:tc>
        <w:tc>
          <w:tcPr/>
          <w:p>
            <w:pPr>
              <w:pStyle w:val="Compact"/>
              <w:jc w:val="left"/>
            </w:pPr>
            <w:r>
              <w:t xml:space="preserve">4</w:t>
            </w:r>
          </w:p>
        </w:tc>
        <w:tc>
          <w:tcPr/>
          <w:p>
            <w:pPr>
              <w:pStyle w:val="Compact"/>
              <w:jc w:val="left"/>
            </w:pPr>
            <w:r>
              <w:t xml:space="preserve">0.03</w:t>
            </w:r>
          </w:p>
        </w:tc>
      </w:tr>
    </w:tbl>
    <w:p>
      <w:pPr>
        <w:pStyle w:val="BodyText"/>
      </w:pPr>
      <w:r>
        <w:t xml:space="preserve">Left out after examination: Dingdong, JD.com, Jumei, Liquidity Services, Newegg and Vipshop, because their own goods are most of revenue in every year; and four platforms that disclose no transaction value (Nebius Group, formerly Yandex; Trip.com; Tuniu; and Uxin).</w:t>
      </w:r>
    </w:p>
    <w:bookmarkEnd w:id="94"/>
    <w:bookmarkStart w:id="95" w:name="b.2-the-indonesian-and-regional-group"/>
    <w:p>
      <w:pPr>
        <w:pStyle w:val="Heading3"/>
      </w:pPr>
      <w:r>
        <w:t xml:space="preserve">B.2 The Indonesian and regional group</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Platform series</w:t>
            </w:r>
          </w:p>
        </w:tc>
        <w:tc>
          <w:tcPr/>
          <w:p>
            <w:pPr>
              <w:pStyle w:val="Compact"/>
              <w:jc w:val="left"/>
            </w:pPr>
            <w:r>
              <w:t xml:space="preserve">What it covers</w:t>
            </w:r>
          </w:p>
        </w:tc>
        <w:tc>
          <w:tcPr/>
          <w:p>
            <w:pPr>
              <w:pStyle w:val="Compact"/>
              <w:jc w:val="left"/>
            </w:pPr>
            <w:r>
              <w:t xml:space="preserve">Years</w:t>
            </w:r>
          </w:p>
        </w:tc>
        <w:tc>
          <w:tcPr/>
          <w:p>
            <w:pPr>
              <w:pStyle w:val="Compact"/>
              <w:jc w:val="left"/>
            </w:pPr>
            <w:r>
              <w:t xml:space="preserve">Yearly pairs</w:t>
            </w:r>
          </w:p>
        </w:tc>
        <w:tc>
          <w:tcPr/>
          <w:p>
            <w:pPr>
              <w:pStyle w:val="Compact"/>
              <w:jc w:val="left"/>
            </w:pPr>
            <w:r>
              <w:t xml:space="preserve">How it is labelled</w:t>
            </w:r>
          </w:p>
        </w:tc>
      </w:tr>
      <w:tr>
        <w:tc>
          <w:tcPr/>
          <w:p>
            <w:pPr>
              <w:pStyle w:val="Compact"/>
              <w:jc w:val="left"/>
            </w:pPr>
            <w:r>
              <w:t xml:space="preserve">Tokopedia</w:t>
            </w:r>
          </w:p>
        </w:tc>
        <w:tc>
          <w:tcPr/>
          <w:p>
            <w:pPr>
              <w:pStyle w:val="Compact"/>
              <w:jc w:val="left"/>
            </w:pPr>
            <w:r>
              <w:t xml:space="preserve">The e-commerce segment of GoTo, an Indonesian marketplace</w:t>
            </w:r>
          </w:p>
        </w:tc>
        <w:tc>
          <w:tcPr/>
          <w:p>
            <w:pPr>
              <w:pStyle w:val="Compact"/>
              <w:jc w:val="left"/>
            </w:pPr>
            <w:r>
              <w:t xml:space="preserve">2022–2023</w:t>
            </w:r>
          </w:p>
        </w:tc>
        <w:tc>
          <w:tcPr/>
          <w:p>
            <w:pPr>
              <w:pStyle w:val="Compact"/>
              <w:jc w:val="left"/>
            </w:pPr>
            <w:r>
              <w:t xml:space="preserve">1</w:t>
            </w:r>
          </w:p>
        </w:tc>
        <w:tc>
          <w:tcPr/>
          <w:p>
            <w:pPr>
              <w:pStyle w:val="Compact"/>
              <w:jc w:val="left"/>
            </w:pPr>
            <w:r>
              <w:t xml:space="preserve">Direct segment disclosure</w:t>
            </w:r>
          </w:p>
        </w:tc>
      </w:tr>
      <w:tr>
        <w:tc>
          <w:tcPr/>
          <w:p>
            <w:pPr>
              <w:pStyle w:val="Compact"/>
              <w:jc w:val="left"/>
            </w:pPr>
            <w:r>
              <w:t xml:space="preserve">Blibli</w:t>
            </w:r>
          </w:p>
        </w:tc>
        <w:tc>
          <w:tcPr/>
          <w:p>
            <w:pPr>
              <w:pStyle w:val="Compact"/>
              <w:jc w:val="left"/>
            </w:pPr>
            <w:r>
              <w:t xml:space="preserve">Blibli’s third-party retail segment, which includes online travel</w:t>
            </w:r>
          </w:p>
        </w:tc>
        <w:tc>
          <w:tcPr/>
          <w:p>
            <w:pPr>
              <w:pStyle w:val="Compact"/>
              <w:jc w:val="left"/>
            </w:pPr>
            <w:r>
              <w:t xml:space="preserve">2021–2025</w:t>
            </w:r>
          </w:p>
        </w:tc>
        <w:tc>
          <w:tcPr/>
          <w:p>
            <w:pPr>
              <w:pStyle w:val="Compact"/>
              <w:jc w:val="left"/>
            </w:pPr>
            <w:r>
              <w:t xml:space="preserve">4</w:t>
            </w:r>
          </w:p>
        </w:tc>
        <w:tc>
          <w:tcPr/>
          <w:p>
            <w:pPr>
              <w:pStyle w:val="Compact"/>
              <w:jc w:val="left"/>
            </w:pPr>
            <w:r>
              <w:t xml:space="preserve">Direct segment disclosure</w:t>
            </w:r>
          </w:p>
        </w:tc>
      </w:tr>
      <w:tr>
        <w:tc>
          <w:tcPr/>
          <w:p>
            <w:pPr>
              <w:pStyle w:val="Compact"/>
              <w:jc w:val="left"/>
            </w:pPr>
            <w:r>
              <w:t xml:space="preserve">Bukalapak</w:t>
            </w:r>
          </w:p>
        </w:tc>
        <w:tc>
          <w:tcPr/>
          <w:p>
            <w:pPr>
              <w:pStyle w:val="Compact"/>
              <w:jc w:val="left"/>
            </w:pPr>
            <w:r>
              <w:t xml:space="preserve">The whole Bukalapak group, mainly in Indonesia, including Mitra, its online-to-offline business</w:t>
            </w:r>
          </w:p>
        </w:tc>
        <w:tc>
          <w:tcPr/>
          <w:p>
            <w:pPr>
              <w:pStyle w:val="Compact"/>
              <w:jc w:val="left"/>
            </w:pPr>
            <w:r>
              <w:t xml:space="preserve">2020–2023</w:t>
            </w:r>
          </w:p>
        </w:tc>
        <w:tc>
          <w:tcPr/>
          <w:p>
            <w:pPr>
              <w:pStyle w:val="Compact"/>
              <w:jc w:val="left"/>
            </w:pPr>
            <w:r>
              <w:t xml:space="preserve">3</w:t>
            </w:r>
          </w:p>
        </w:tc>
        <w:tc>
          <w:tcPr/>
          <w:p>
            <w:pPr>
              <w:pStyle w:val="Compact"/>
              <w:jc w:val="left"/>
            </w:pPr>
            <w:r>
              <w:t xml:space="preserve">Direct company disclosure</w:t>
            </w:r>
          </w:p>
        </w:tc>
      </w:tr>
      <w:tr>
        <w:tc>
          <w:tcPr/>
          <w:p>
            <w:pPr>
              <w:pStyle w:val="Compact"/>
              <w:jc w:val="left"/>
            </w:pPr>
            <w:r>
              <w:t xml:space="preserve">Grab on-demand</w:t>
            </w:r>
          </w:p>
        </w:tc>
        <w:tc>
          <w:tcPr/>
          <w:p>
            <w:pPr>
              <w:pStyle w:val="Compact"/>
              <w:jc w:val="left"/>
            </w:pPr>
            <w:r>
              <w:t xml:space="preserve">Grab’s rides and deliveries across Southeast Asia, not Indonesia alone</w:t>
            </w:r>
          </w:p>
        </w:tc>
        <w:tc>
          <w:tcPr/>
          <w:p>
            <w:pPr>
              <w:pStyle w:val="Compact"/>
              <w:jc w:val="left"/>
            </w:pPr>
            <w:r>
              <w:t xml:space="preserve">2020–2024</w:t>
            </w:r>
          </w:p>
        </w:tc>
        <w:tc>
          <w:tcPr/>
          <w:p>
            <w:pPr>
              <w:pStyle w:val="Compact"/>
              <w:jc w:val="left"/>
            </w:pPr>
            <w:r>
              <w:t xml:space="preserve">4</w:t>
            </w:r>
          </w:p>
        </w:tc>
        <w:tc>
          <w:tcPr/>
          <w:p>
            <w:pPr>
              <w:pStyle w:val="Compact"/>
              <w:jc w:val="left"/>
            </w:pPr>
            <w:r>
              <w:t xml:space="preserve">Direct segment disclosure</w:t>
            </w:r>
          </w:p>
        </w:tc>
      </w:tr>
      <w:tr>
        <w:tc>
          <w:tcPr/>
          <w:p>
            <w:pPr>
              <w:pStyle w:val="Compact"/>
              <w:jc w:val="left"/>
            </w:pPr>
            <w:r>
              <w:t xml:space="preserve">GoTo on-demand</w:t>
            </w:r>
          </w:p>
        </w:tc>
        <w:tc>
          <w:tcPr/>
          <w:p>
            <w:pPr>
              <w:pStyle w:val="Compact"/>
              <w:jc w:val="left"/>
            </w:pPr>
            <w:r>
              <w:t xml:space="preserve">GoTo’s rides and deliveries segment, in Indonesia and Vietnam to 2024</w:t>
            </w:r>
          </w:p>
        </w:tc>
        <w:tc>
          <w:tcPr/>
          <w:p>
            <w:pPr>
              <w:pStyle w:val="Compact"/>
              <w:jc w:val="left"/>
            </w:pPr>
            <w:r>
              <w:t xml:space="preserve">2022–2025</w:t>
            </w:r>
          </w:p>
        </w:tc>
        <w:tc>
          <w:tcPr/>
          <w:p>
            <w:pPr>
              <w:pStyle w:val="Compact"/>
              <w:jc w:val="left"/>
            </w:pPr>
            <w:r>
              <w:t xml:space="preserve">3</w:t>
            </w:r>
          </w:p>
        </w:tc>
        <w:tc>
          <w:tcPr/>
          <w:p>
            <w:pPr>
              <w:pStyle w:val="Compact"/>
              <w:jc w:val="left"/>
            </w:pPr>
            <w:r>
              <w:t xml:space="preserve">Direct segment disclosure; the 2022 transaction value is an estimate</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Pairs</w:t>
            </w:r>
          </w:p>
        </w:tc>
        <w:tc>
          <w:tcPr/>
          <w:p>
            <w:pPr>
              <w:pStyle w:val="Compact"/>
              <w:jc w:val="left"/>
            </w:pPr>
            <w:r>
              <w:t xml:space="preserve">Median size of yearly change in log take rate</w:t>
            </w:r>
          </w:p>
        </w:tc>
        <w:tc>
          <w:tcPr/>
          <w:p>
            <w:pPr>
              <w:pStyle w:val="Compact"/>
              <w:jc w:val="left"/>
            </w:pPr>
            <w:r>
              <w:t xml:space="preserve">Share of pairs with a change of 0.10 or less</w:t>
            </w:r>
          </w:p>
        </w:tc>
      </w:tr>
      <w:tr>
        <w:tc>
          <w:tcPr/>
          <w:p>
            <w:pPr>
              <w:pStyle w:val="Compact"/>
              <w:jc w:val="left"/>
            </w:pPr>
            <w:r>
              <w:t xml:space="preserve">Blibli third-party retail</w:t>
            </w:r>
          </w:p>
        </w:tc>
        <w:tc>
          <w:tcPr/>
          <w:p>
            <w:pPr>
              <w:pStyle w:val="Compact"/>
              <w:jc w:val="left"/>
            </w:pPr>
            <w:r>
              <w:t xml:space="preserve">4</w:t>
            </w:r>
          </w:p>
        </w:tc>
        <w:tc>
          <w:tcPr/>
          <w:p>
            <w:pPr>
              <w:pStyle w:val="Compact"/>
              <w:jc w:val="left"/>
            </w:pPr>
            <w:r>
              <w:t xml:space="preserve">0.25</w:t>
            </w:r>
          </w:p>
        </w:tc>
        <w:tc>
          <w:tcPr/>
          <w:p>
            <w:pPr>
              <w:pStyle w:val="Compact"/>
              <w:jc w:val="left"/>
            </w:pPr>
            <w:r>
              <w:t xml:space="preserve">0.00</w:t>
            </w:r>
          </w:p>
        </w:tc>
      </w:tr>
      <w:tr>
        <w:tc>
          <w:tcPr/>
          <w:p>
            <w:pPr>
              <w:pStyle w:val="Compact"/>
              <w:jc w:val="left"/>
            </w:pPr>
            <w:r>
              <w:t xml:space="preserve">Bukalapak Group</w:t>
            </w:r>
          </w:p>
        </w:tc>
        <w:tc>
          <w:tcPr/>
          <w:p>
            <w:pPr>
              <w:pStyle w:val="Compact"/>
              <w:jc w:val="left"/>
            </w:pPr>
            <w:r>
              <w:t xml:space="preserve">3</w:t>
            </w:r>
          </w:p>
        </w:tc>
        <w:tc>
          <w:tcPr/>
          <w:p>
            <w:pPr>
              <w:pStyle w:val="Compact"/>
              <w:jc w:val="left"/>
            </w:pPr>
            <w:r>
              <w:t xml:space="preserve">0.14</w:t>
            </w:r>
          </w:p>
        </w:tc>
        <w:tc>
          <w:tcPr/>
          <w:p>
            <w:pPr>
              <w:pStyle w:val="Compact"/>
              <w:jc w:val="left"/>
            </w:pPr>
            <w:r>
              <w:t xml:space="preserve">0.33</w:t>
            </w:r>
          </w:p>
        </w:tc>
      </w:tr>
      <w:tr>
        <w:tc>
          <w:tcPr/>
          <w:p>
            <w:pPr>
              <w:pStyle w:val="Compact"/>
              <w:jc w:val="left"/>
            </w:pPr>
            <w:r>
              <w:t xml:space="preserve">GoTo on-demand</w:t>
            </w:r>
          </w:p>
        </w:tc>
        <w:tc>
          <w:tcPr/>
          <w:p>
            <w:pPr>
              <w:pStyle w:val="Compact"/>
              <w:jc w:val="left"/>
            </w:pPr>
            <w:r>
              <w:t xml:space="preserve">3</w:t>
            </w:r>
          </w:p>
        </w:tc>
        <w:tc>
          <w:tcPr/>
          <w:p>
            <w:pPr>
              <w:pStyle w:val="Compact"/>
              <w:jc w:val="left"/>
            </w:pPr>
            <w:r>
              <w:t xml:space="preserve">0.09</w:t>
            </w:r>
          </w:p>
        </w:tc>
        <w:tc>
          <w:tcPr/>
          <w:p>
            <w:pPr>
              <w:pStyle w:val="Compact"/>
              <w:jc w:val="left"/>
            </w:pPr>
            <w:r>
              <w:t xml:space="preserve">0.67</w:t>
            </w:r>
          </w:p>
        </w:tc>
      </w:tr>
      <w:tr>
        <w:tc>
          <w:tcPr/>
          <w:p>
            <w:pPr>
              <w:pStyle w:val="Compact"/>
              <w:jc w:val="left"/>
            </w:pPr>
            <w:r>
              <w:t xml:space="preserve">Grab on-demand</w:t>
            </w:r>
          </w:p>
        </w:tc>
        <w:tc>
          <w:tcPr/>
          <w:p>
            <w:pPr>
              <w:pStyle w:val="Compact"/>
              <w:jc w:val="left"/>
            </w:pPr>
            <w:r>
              <w:t xml:space="preserve">4</w:t>
            </w:r>
          </w:p>
        </w:tc>
        <w:tc>
          <w:tcPr/>
          <w:p>
            <w:pPr>
              <w:pStyle w:val="Compact"/>
              <w:jc w:val="left"/>
            </w:pPr>
            <w:r>
              <w:t xml:space="preserve">0.20</w:t>
            </w:r>
          </w:p>
        </w:tc>
        <w:tc>
          <w:tcPr/>
          <w:p>
            <w:pPr>
              <w:pStyle w:val="Compact"/>
              <w:jc w:val="left"/>
            </w:pPr>
            <w:r>
              <w:t xml:space="preserve">0.50</w:t>
            </w:r>
          </w:p>
        </w:tc>
      </w:tr>
      <w:tr>
        <w:tc>
          <w:tcPr/>
          <w:p>
            <w:pPr>
              <w:pStyle w:val="Compact"/>
              <w:jc w:val="left"/>
            </w:pPr>
            <w:r>
              <w:t xml:space="preserve">Tokopedia</w:t>
            </w:r>
          </w:p>
        </w:tc>
        <w:tc>
          <w:tcPr/>
          <w:p>
            <w:pPr>
              <w:pStyle w:val="Compact"/>
              <w:jc w:val="left"/>
            </w:pPr>
            <w:r>
              <w:t xml:space="preserve">1</w:t>
            </w:r>
          </w:p>
        </w:tc>
        <w:tc>
          <w:tcPr/>
          <w:p>
            <w:pPr>
              <w:pStyle w:val="Compact"/>
              <w:jc w:val="left"/>
            </w:pPr>
            <w:r>
              <w:t xml:space="preserve">0.52</w:t>
            </w:r>
          </w:p>
        </w:tc>
        <w:tc>
          <w:tcPr/>
          <w:p>
            <w:pPr>
              <w:pStyle w:val="Compact"/>
              <w:jc w:val="left"/>
            </w:pPr>
            <w:r>
              <w:t xml:space="preserve">0.00</w:t>
            </w:r>
          </w:p>
        </w:tc>
      </w:tr>
    </w:tbl>
    <w:bookmarkEnd w:id="95"/>
    <w:bookmarkStart w:id="96" w:name="b.3-the-seven-windows-traced"/>
    <w:p>
      <w:pPr>
        <w:pStyle w:val="Heading3"/>
      </w:pPr>
      <w:r>
        <w:t xml:space="preserve">B.3 The seven windows traced</w:t>
      </w:r>
    </w:p>
    <w:p>
      <w:pPr>
        <w:pStyle w:val="FirstParagraph"/>
      </w:pPr>
      <w:r>
        <w:t xml:space="preserve">Shares are of the log growth of revenue, because the split into more commerce, higher fees and lower incentives is exact only in logs. Source:</w:t>
      </w:r>
      <w:r>
        <w:t xml:space="preserve"> </w:t>
      </w:r>
      <w:r>
        <w:rPr>
          <w:rStyle w:val="VerbatimChar"/>
        </w:rPr>
        <w:t xml:space="preserve">tables/growth_decomposition.csv</w:t>
      </w:r>
      <w:r>
        <w:t xml:space="preserve">, built from</w:t>
      </w:r>
      <w:r>
        <w:t xml:space="preserve"> </w:t>
      </w:r>
      <w:r>
        <w:rPr>
          <w:rStyle w:val="VerbatimChar"/>
        </w:rPr>
        <w:t xml:space="preserve">tables/l_panel.csv</w:t>
      </w:r>
      <w:r>
        <w:t xml:space="preserve"> </w:t>
      </w:r>
      <w:r>
        <w:t xml:space="preserve">by</w:t>
      </w:r>
      <w:r>
        <w:t xml:space="preserve"> </w:t>
      </w:r>
      <w:r>
        <w:rPr>
          <w:rStyle w:val="VerbatimChar"/>
        </w:rPr>
        <w:t xml:space="preserve">growth_decomposition.py</w:t>
      </w:r>
      <w:r>
        <w:t xml:space="preserve">. Tokopedia, GoTo: audited statements. Grab: annual filings, summed over mobility and deliveries. Blibli: incentives are a proxy (gross profit before discounts less net revenue) and stay out of the main sample. GoTo’s 2022 transaction value is an estimate (2022 first and second quarters backed out of 2023 year-on-year comparisons).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Platform and window</w:t>
            </w:r>
          </w:p>
        </w:tc>
        <w:tc>
          <w:tcPr/>
          <w:p>
            <w:pPr>
              <w:pStyle w:val="Compact"/>
              <w:jc w:val="left"/>
            </w:pPr>
            <w:r>
              <w:t xml:space="preserve">Growth of revenue (%)</w:t>
            </w:r>
          </w:p>
        </w:tc>
        <w:tc>
          <w:tcPr/>
          <w:p>
            <w:pPr>
              <w:pStyle w:val="Compact"/>
              <w:jc w:val="left"/>
            </w:pPr>
            <w:r>
              <w:t xml:space="preserve">Growth of transaction value (%)</w:t>
            </w:r>
          </w:p>
        </w:tc>
        <w:tc>
          <w:tcPr/>
          <w:p>
            <w:pPr>
              <w:pStyle w:val="Compact"/>
              <w:jc w:val="left"/>
            </w:pPr>
            <w:r>
              <w:t xml:space="preserve">Take rate, start (%)</w:t>
            </w:r>
          </w:p>
        </w:tc>
        <w:tc>
          <w:tcPr/>
          <w:p>
            <w:pPr>
              <w:pStyle w:val="Compact"/>
              <w:jc w:val="left"/>
            </w:pPr>
            <w:r>
              <w:t xml:space="preserve">Take rate, end (%)</w:t>
            </w:r>
          </w:p>
        </w:tc>
        <w:tc>
          <w:tcPr/>
          <w:p>
            <w:pPr>
              <w:pStyle w:val="Compact"/>
              <w:jc w:val="left"/>
            </w:pPr>
            <w:r>
              <w:t xml:space="preserve">More commerce</w:t>
            </w:r>
          </w:p>
        </w:tc>
        <w:tc>
          <w:tcPr/>
          <w:p>
            <w:pPr>
              <w:pStyle w:val="Compact"/>
              <w:jc w:val="left"/>
            </w:pPr>
            <w:r>
              <w:t xml:space="preserve">Higher fees</w:t>
            </w:r>
          </w:p>
        </w:tc>
        <w:tc>
          <w:tcPr/>
          <w:p>
            <w:pPr>
              <w:pStyle w:val="Compact"/>
              <w:jc w:val="left"/>
            </w:pPr>
            <w:r>
              <w:t xml:space="preserve">Lower incentives</w:t>
            </w:r>
          </w:p>
        </w:tc>
      </w:tr>
      <w:tr>
        <w:tc>
          <w:tcPr/>
          <w:p>
            <w:pPr>
              <w:pStyle w:val="Compact"/>
              <w:jc w:val="left"/>
            </w:pPr>
            <w:r>
              <w:t xml:space="preserve">Grab on-demand, 2021–24</w:t>
            </w:r>
          </w:p>
        </w:tc>
        <w:tc>
          <w:tcPr/>
          <w:p>
            <w:pPr>
              <w:pStyle w:val="Compact"/>
              <w:jc w:val="left"/>
            </w:pPr>
            <w:r>
              <w:t xml:space="preserve">320.5</w:t>
            </w:r>
          </w:p>
        </w:tc>
        <w:tc>
          <w:tcPr/>
          <w:p>
            <w:pPr>
              <w:pStyle w:val="Compact"/>
              <w:jc w:val="left"/>
            </w:pPr>
            <w:r>
              <w:t xml:space="preserve">62.3</w:t>
            </w:r>
          </w:p>
        </w:tc>
        <w:tc>
          <w:tcPr/>
          <w:p>
            <w:pPr>
              <w:pStyle w:val="Compact"/>
              <w:jc w:val="left"/>
            </w:pPr>
            <w:r>
              <w:t xml:space="preserve">5.34</w:t>
            </w:r>
          </w:p>
        </w:tc>
        <w:tc>
          <w:tcPr/>
          <w:p>
            <w:pPr>
              <w:pStyle w:val="Compact"/>
              <w:jc w:val="left"/>
            </w:pPr>
            <w:r>
              <w:t xml:space="preserve">13.83</w:t>
            </w:r>
          </w:p>
        </w:tc>
        <w:tc>
          <w:tcPr/>
          <w:p>
            <w:pPr>
              <w:pStyle w:val="Compact"/>
              <w:jc w:val="left"/>
            </w:pPr>
            <w:r>
              <w:t xml:space="preserve">33.7</w:t>
            </w:r>
          </w:p>
        </w:tc>
        <w:tc>
          <w:tcPr/>
          <w:p>
            <w:pPr>
              <w:pStyle w:val="Compact"/>
              <w:jc w:val="left"/>
            </w:pPr>
            <w:r>
              <w:t xml:space="preserve">33.8</w:t>
            </w:r>
          </w:p>
        </w:tc>
        <w:tc>
          <w:tcPr/>
          <w:p>
            <w:pPr>
              <w:pStyle w:val="Compact"/>
              <w:jc w:val="left"/>
            </w:pPr>
            <w:r>
              <w:t xml:space="preserve">32.5</w:t>
            </w:r>
          </w:p>
        </w:tc>
      </w:tr>
      <w:tr>
        <w:tc>
          <w:tcPr/>
          <w:p>
            <w:pPr>
              <w:pStyle w:val="Compact"/>
              <w:jc w:val="left"/>
            </w:pPr>
            <w:r>
              <w:t xml:space="preserve">Grab on-demand, 2022–24</w:t>
            </w:r>
          </w:p>
        </w:tc>
        <w:tc>
          <w:tcPr/>
          <w:p>
            <w:pPr>
              <w:pStyle w:val="Compact"/>
              <w:jc w:val="left"/>
            </w:pPr>
            <w:r>
              <w:t xml:space="preserve">85.8</w:t>
            </w:r>
          </w:p>
        </w:tc>
        <w:tc>
          <w:tcPr/>
          <w:p>
            <w:pPr>
              <w:pStyle w:val="Compact"/>
              <w:jc w:val="left"/>
            </w:pPr>
            <w:r>
              <w:t xml:space="preserve">30.1</w:t>
            </w:r>
          </w:p>
        </w:tc>
        <w:tc>
          <w:tcPr/>
          <w:p>
            <w:pPr>
              <w:pStyle w:val="Compact"/>
              <w:jc w:val="left"/>
            </w:pPr>
            <w:r>
              <w:t xml:space="preserve">9.69</w:t>
            </w:r>
          </w:p>
        </w:tc>
        <w:tc>
          <w:tcPr/>
          <w:p>
            <w:pPr>
              <w:pStyle w:val="Compact"/>
              <w:jc w:val="left"/>
            </w:pPr>
            <w:r>
              <w:t xml:space="preserve">13.83</w:t>
            </w:r>
          </w:p>
        </w:tc>
        <w:tc>
          <w:tcPr/>
          <w:p>
            <w:pPr>
              <w:pStyle w:val="Compact"/>
              <w:jc w:val="left"/>
            </w:pPr>
            <w:r>
              <w:t xml:space="preserve">42.5</w:t>
            </w:r>
          </w:p>
        </w:tc>
        <w:tc>
          <w:tcPr/>
          <w:p>
            <w:pPr>
              <w:pStyle w:val="Compact"/>
              <w:jc w:val="left"/>
            </w:pPr>
            <w:r>
              <w:t xml:space="preserve">10.6</w:t>
            </w:r>
          </w:p>
        </w:tc>
        <w:tc>
          <w:tcPr/>
          <w:p>
            <w:pPr>
              <w:pStyle w:val="Compact"/>
              <w:jc w:val="left"/>
            </w:pPr>
            <w:r>
              <w:t xml:space="preserve">46.9</w:t>
            </w:r>
          </w:p>
        </w:tc>
      </w:tr>
      <w:tr>
        <w:tc>
          <w:tcPr/>
          <w:p>
            <w:pPr>
              <w:pStyle w:val="Compact"/>
              <w:jc w:val="left"/>
            </w:pPr>
            <w:r>
              <w:t xml:space="preserve">GoTo on-demand, 2023–25</w:t>
            </w:r>
          </w:p>
        </w:tc>
        <w:tc>
          <w:tcPr/>
          <w:p>
            <w:pPr>
              <w:pStyle w:val="Compact"/>
              <w:jc w:val="left"/>
            </w:pPr>
            <w:r>
              <w:t xml:space="preserve">114.2</w:t>
            </w:r>
          </w:p>
        </w:tc>
        <w:tc>
          <w:tcPr/>
          <w:p>
            <w:pPr>
              <w:pStyle w:val="Compact"/>
              <w:jc w:val="left"/>
            </w:pPr>
            <w:r>
              <w:t xml:space="preserve">22.4</w:t>
            </w:r>
          </w:p>
        </w:tc>
        <w:tc>
          <w:tcPr/>
          <w:p>
            <w:pPr>
              <w:pStyle w:val="Compact"/>
              <w:jc w:val="left"/>
            </w:pPr>
            <w:r>
              <w:t xml:space="preserve">10.62</w:t>
            </w:r>
          </w:p>
        </w:tc>
        <w:tc>
          <w:tcPr/>
          <w:p>
            <w:pPr>
              <w:pStyle w:val="Compact"/>
              <w:jc w:val="left"/>
            </w:pPr>
            <w:r>
              <w:t xml:space="preserve">18.58</w:t>
            </w:r>
          </w:p>
        </w:tc>
        <w:tc>
          <w:tcPr/>
          <w:p>
            <w:pPr>
              <w:pStyle w:val="Compact"/>
              <w:jc w:val="left"/>
            </w:pPr>
            <w:r>
              <w:t xml:space="preserve">26.6</w:t>
            </w:r>
          </w:p>
        </w:tc>
        <w:tc>
          <w:tcPr/>
          <w:p>
            <w:pPr>
              <w:pStyle w:val="Compact"/>
              <w:jc w:val="left"/>
            </w:pPr>
            <w:r>
              <w:t xml:space="preserve">6.1</w:t>
            </w:r>
          </w:p>
        </w:tc>
        <w:tc>
          <w:tcPr/>
          <w:p>
            <w:pPr>
              <w:pStyle w:val="Compact"/>
              <w:jc w:val="left"/>
            </w:pPr>
            <w:r>
              <w:t xml:space="preserve">67.3</w:t>
            </w:r>
          </w:p>
        </w:tc>
      </w:tr>
      <w:tr>
        <w:tc>
          <w:tcPr/>
          <w:p>
            <w:pPr>
              <w:pStyle w:val="Compact"/>
              <w:jc w:val="left"/>
            </w:pPr>
            <w:r>
              <w:t xml:space="preserve">GoTo on-demand, 2022–25</w:t>
            </w:r>
          </w:p>
        </w:tc>
        <w:tc>
          <w:tcPr/>
          <w:p>
            <w:pPr>
              <w:pStyle w:val="Compact"/>
              <w:jc w:val="left"/>
            </w:pPr>
            <w:r>
              <w:t xml:space="preserve">110.7</w:t>
            </w:r>
          </w:p>
        </w:tc>
        <w:tc>
          <w:tcPr/>
          <w:p>
            <w:pPr>
              <w:pStyle w:val="Compact"/>
              <w:jc w:val="left"/>
            </w:pPr>
            <w:r>
              <w:t xml:space="preserve">9.6</w:t>
            </w:r>
          </w:p>
        </w:tc>
        <w:tc>
          <w:tcPr/>
          <w:p>
            <w:pPr>
              <w:pStyle w:val="Compact"/>
              <w:jc w:val="left"/>
            </w:pPr>
            <w:r>
              <w:t xml:space="preserve">9.66</w:t>
            </w:r>
          </w:p>
        </w:tc>
        <w:tc>
          <w:tcPr/>
          <w:p>
            <w:pPr>
              <w:pStyle w:val="Compact"/>
              <w:jc w:val="left"/>
            </w:pPr>
            <w:r>
              <w:t xml:space="preserve">18.58</w:t>
            </w:r>
          </w:p>
        </w:tc>
        <w:tc>
          <w:tcPr/>
          <w:p>
            <w:pPr>
              <w:pStyle w:val="Compact"/>
              <w:jc w:val="left"/>
            </w:pPr>
            <w:r>
              <w:t xml:space="preserve">12.3</w:t>
            </w:r>
          </w:p>
        </w:tc>
        <w:tc>
          <w:tcPr/>
          <w:p>
            <w:pPr>
              <w:pStyle w:val="Compact"/>
              <w:jc w:val="left"/>
            </w:pPr>
            <w:r>
              <w:t xml:space="preserve">36.1</w:t>
            </w:r>
          </w:p>
        </w:tc>
        <w:tc>
          <w:tcPr/>
          <w:p>
            <w:pPr>
              <w:pStyle w:val="Compact"/>
              <w:jc w:val="left"/>
            </w:pPr>
            <w:r>
              <w:t xml:space="preserve">51.7</w:t>
            </w:r>
          </w:p>
        </w:tc>
      </w:tr>
      <w:tr>
        <w:tc>
          <w:tcPr/>
          <w:p>
            <w:pPr>
              <w:pStyle w:val="Compact"/>
              <w:jc w:val="left"/>
            </w:pPr>
            <w:r>
              <w:t xml:space="preserve">Tokopedia, 2022–23</w:t>
            </w:r>
          </w:p>
        </w:tc>
        <w:tc>
          <w:tcPr/>
          <w:p>
            <w:pPr>
              <w:pStyle w:val="Compact"/>
              <w:jc w:val="left"/>
            </w:pPr>
            <w:r>
              <w:t xml:space="preserve">53.2</w:t>
            </w:r>
          </w:p>
        </w:tc>
        <w:tc>
          <w:tcPr/>
          <w:p>
            <w:pPr>
              <w:pStyle w:val="Compact"/>
              <w:jc w:val="left"/>
            </w:pPr>
            <w:r>
              <w:t xml:space="preserve">-8.9</w:t>
            </w:r>
          </w:p>
        </w:tc>
        <w:tc>
          <w:tcPr/>
          <w:p>
            <w:pPr>
              <w:pStyle w:val="Compact"/>
              <w:jc w:val="left"/>
            </w:pPr>
            <w:r>
              <w:t xml:space="preserve">1.48</w:t>
            </w:r>
          </w:p>
        </w:tc>
        <w:tc>
          <w:tcPr/>
          <w:p>
            <w:pPr>
              <w:pStyle w:val="Compact"/>
              <w:jc w:val="left"/>
            </w:pPr>
            <w:r>
              <w:t xml:space="preserve">2.48</w:t>
            </w:r>
          </w:p>
        </w:tc>
        <w:tc>
          <w:tcPr/>
          <w:p>
            <w:pPr>
              <w:pStyle w:val="Compact"/>
              <w:jc w:val="left"/>
            </w:pPr>
            <w:r>
              <w:t xml:space="preserve">-21.9</w:t>
            </w:r>
          </w:p>
        </w:tc>
        <w:tc>
          <w:tcPr/>
          <w:p>
            <w:pPr>
              <w:pStyle w:val="Compact"/>
              <w:jc w:val="left"/>
            </w:pPr>
            <w:r>
              <w:t xml:space="preserve">76.5</w:t>
            </w:r>
          </w:p>
        </w:tc>
        <w:tc>
          <w:tcPr/>
          <w:p>
            <w:pPr>
              <w:pStyle w:val="Compact"/>
              <w:jc w:val="left"/>
            </w:pPr>
            <w:r>
              <w:t xml:space="preserve">45.4</w:t>
            </w:r>
          </w:p>
        </w:tc>
      </w:tr>
      <w:tr>
        <w:tc>
          <w:tcPr/>
          <w:p>
            <w:pPr>
              <w:pStyle w:val="Compact"/>
              <w:jc w:val="left"/>
            </w:pPr>
            <w:r>
              <w:t xml:space="preserve">Blibli third-party retail, 2022–25</w:t>
            </w:r>
          </w:p>
        </w:tc>
        <w:tc>
          <w:tcPr/>
          <w:p>
            <w:pPr>
              <w:pStyle w:val="Compact"/>
              <w:jc w:val="left"/>
            </w:pPr>
            <w:r>
              <w:t xml:space="preserve">679.4</w:t>
            </w:r>
          </w:p>
        </w:tc>
        <w:tc>
          <w:tcPr/>
          <w:p>
            <w:pPr>
              <w:pStyle w:val="Compact"/>
              <w:jc w:val="left"/>
            </w:pPr>
            <w:r>
              <w:t xml:space="preserve">43.6</w:t>
            </w:r>
          </w:p>
        </w:tc>
        <w:tc>
          <w:tcPr/>
          <w:p>
            <w:pPr>
              <w:pStyle w:val="Compact"/>
              <w:jc w:val="left"/>
            </w:pPr>
            <w:r>
              <w:t xml:space="preserve">0.54</w:t>
            </w:r>
          </w:p>
        </w:tc>
        <w:tc>
          <w:tcPr/>
          <w:p>
            <w:pPr>
              <w:pStyle w:val="Compact"/>
              <w:jc w:val="left"/>
            </w:pPr>
            <w:r>
              <w:t xml:space="preserve">2.92</w:t>
            </w:r>
          </w:p>
        </w:tc>
        <w:tc>
          <w:tcPr/>
          <w:p>
            <w:pPr>
              <w:pStyle w:val="Compact"/>
              <w:jc w:val="left"/>
            </w:pPr>
            <w:r>
              <w:t xml:space="preserve">17.6</w:t>
            </w:r>
          </w:p>
        </w:tc>
        <w:tc>
          <w:tcPr/>
          <w:p>
            <w:pPr>
              <w:pStyle w:val="Compact"/>
              <w:jc w:val="left"/>
            </w:pPr>
            <w:r>
              <w:t xml:space="preserve">62.6</w:t>
            </w:r>
          </w:p>
        </w:tc>
        <w:tc>
          <w:tcPr/>
          <w:p>
            <w:pPr>
              <w:pStyle w:val="Compact"/>
              <w:jc w:val="left"/>
            </w:pPr>
            <w:r>
              <w:t xml:space="preserve">19.8</w:t>
            </w:r>
          </w:p>
        </w:tc>
      </w:tr>
      <w:tr>
        <w:tc>
          <w:tcPr/>
          <w:p>
            <w:pPr>
              <w:pStyle w:val="Compact"/>
              <w:jc w:val="left"/>
            </w:pPr>
            <w:r>
              <w:t xml:space="preserve">Blibli third-party retail, 2022–23</w:t>
            </w:r>
          </w:p>
        </w:tc>
        <w:tc>
          <w:tcPr/>
          <w:p>
            <w:pPr>
              <w:pStyle w:val="Compact"/>
              <w:jc w:val="left"/>
            </w:pPr>
            <w:r>
              <w:t xml:space="preserve">465.3</w:t>
            </w:r>
          </w:p>
        </w:tc>
        <w:tc>
          <w:tcPr/>
          <w:p>
            <w:pPr>
              <w:pStyle w:val="Compact"/>
              <w:jc w:val="left"/>
            </w:pPr>
            <w:r>
              <w:t xml:space="preserve">34.7</w:t>
            </w:r>
          </w:p>
        </w:tc>
        <w:tc>
          <w:tcPr/>
          <w:p>
            <w:pPr>
              <w:pStyle w:val="Compact"/>
              <w:jc w:val="left"/>
            </w:pPr>
            <w:r>
              <w:t xml:space="preserve">0.54</w:t>
            </w:r>
          </w:p>
        </w:tc>
        <w:tc>
          <w:tcPr/>
          <w:p>
            <w:pPr>
              <w:pStyle w:val="Compact"/>
              <w:jc w:val="left"/>
            </w:pPr>
            <w:r>
              <w:t xml:space="preserve">2.25</w:t>
            </w:r>
          </w:p>
        </w:tc>
        <w:tc>
          <w:tcPr/>
          <w:p>
            <w:pPr>
              <w:pStyle w:val="Compact"/>
              <w:jc w:val="left"/>
            </w:pPr>
            <w:r>
              <w:t xml:space="preserve">17.2</w:t>
            </w:r>
          </w:p>
        </w:tc>
        <w:tc>
          <w:tcPr/>
          <w:p>
            <w:pPr>
              <w:pStyle w:val="Compact"/>
              <w:jc w:val="left"/>
            </w:pPr>
            <w:r>
              <w:t xml:space="preserve">20.1</w:t>
            </w:r>
          </w:p>
        </w:tc>
        <w:tc>
          <w:tcPr/>
          <w:p>
            <w:pPr>
              <w:pStyle w:val="Compact"/>
              <w:jc w:val="left"/>
            </w:pPr>
            <w:r>
              <w:t xml:space="preserve">62.7</w:t>
            </w:r>
          </w:p>
        </w:tc>
      </w:tr>
    </w:tbl>
    <w:p>
      <w:pPr>
        <w:pStyle w:val="BodyText"/>
      </w:pPr>
      <w:r>
        <w:t xml:space="preserve">Tokopedia, 2022–23, line by line (Rp million,</w:t>
      </w:r>
      <w:r>
        <w:t xml:space="preserve"> </w:t>
      </w:r>
      <w:r>
        <w:rPr>
          <w:rStyle w:val="VerbatimChar"/>
        </w:rPr>
        <w:t xml:space="preserve">tables/tokopedia_segment.csv</w:t>
      </w:r>
      <w:r>
        <w:t xml:space="preserve">): gross revenue 8,143,239 to 8,988,909; incentives 4,112,320 to 2,813,719; net revenue 4,030,919 to 6,175,190. Net revenue rose by 2,144,271, of which lower incentives account for 60.6 percent and higher gross revenue for 39.4 percent (about 60 and 40 percent in the text).</w:t>
      </w:r>
    </w:p>
    <w:bookmarkEnd w:id="96"/>
    <w:bookmarkStart w:id="97" w:name="X75544a8ad0934688286d8f5d2201fe8649ec4f8"/>
    <w:p>
      <w:pPr>
        <w:pStyle w:val="Heading3"/>
      </w:pPr>
      <w:r>
        <w:t xml:space="preserve">B.4 Wedge and ecosystem ratio by platform-year, Indonesian series</w:t>
      </w:r>
    </w:p>
    <w:p>
      <w:pPr>
        <w:pStyle w:val="FirstParagraph"/>
      </w:pPr>
      <w:r>
        <w:t xml:space="preserve">Original currency and units, as in the filings: Rp million for Tokopedia and Bukalapak, Rp billion for Blibli, and US$ billion for Grab and Shopee, whose Indonesian amounts are derived or estimated. Shopee’s revenue assumes a take rate of 8.4 percent in 2022, 10 percent in 2023 and 10.8 percent in 2024. Table 5.2 converts Tokopedia’s 2023 rupiah amounts to US dollars. Take rate and ecosystem ratio carry no currency. Each label names the source of the transaction value and of the revenue in that row. Source:</w:t>
      </w:r>
      <w:r>
        <w:t xml:space="preserve"> </w:t>
      </w:r>
      <w:r>
        <w:rPr>
          <w:rStyle w:val="VerbatimChar"/>
        </w:rPr>
        <w:t xml:space="preserve">tables/take_rate_levels.csv</w:t>
      </w:r>
      <w:r>
        <w:t xml:space="preserv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Series</w:t>
            </w:r>
          </w:p>
        </w:tc>
        <w:tc>
          <w:tcPr/>
          <w:p>
            <w:pPr>
              <w:pStyle w:val="Compact"/>
              <w:jc w:val="left"/>
            </w:pPr>
            <w:r>
              <w:t xml:space="preserve">Year</w:t>
            </w:r>
          </w:p>
        </w:tc>
        <w:tc>
          <w:tcPr/>
          <w:p>
            <w:pPr>
              <w:pStyle w:val="Compact"/>
              <w:jc w:val="left"/>
            </w:pPr>
            <w:r>
              <w:t xml:space="preserve">Transaction value</w:t>
            </w:r>
          </w:p>
        </w:tc>
        <w:tc>
          <w:tcPr/>
          <w:p>
            <w:pPr>
              <w:pStyle w:val="Compact"/>
              <w:jc w:val="left"/>
            </w:pPr>
            <w:r>
              <w:t xml:space="preserve">Revenue</w:t>
            </w:r>
          </w:p>
        </w:tc>
        <w:tc>
          <w:tcPr/>
          <w:p>
            <w:pPr>
              <w:pStyle w:val="Compact"/>
              <w:jc w:val="left"/>
            </w:pPr>
            <w:r>
              <w:t xml:space="preserve">Wedge</w:t>
            </w:r>
          </w:p>
        </w:tc>
        <w:tc>
          <w:tcPr/>
          <w:p>
            <w:pPr>
              <w:pStyle w:val="Compact"/>
              <w:jc w:val="left"/>
            </w:pPr>
            <w:r>
              <w:t xml:space="preserve">Take rate (%)</w:t>
            </w:r>
          </w:p>
        </w:tc>
        <w:tc>
          <w:tcPr/>
          <w:p>
            <w:pPr>
              <w:pStyle w:val="Compact"/>
              <w:jc w:val="left"/>
            </w:pPr>
            <w:r>
              <w:t xml:space="preserve">Ecosystem ratio</w:t>
            </w:r>
          </w:p>
        </w:tc>
        <w:tc>
          <w:tcPr/>
          <w:p>
            <w:pPr>
              <w:pStyle w:val="Compact"/>
              <w:jc w:val="left"/>
            </w:pPr>
            <w:r>
              <w:t xml:space="preserve">Label</w:t>
            </w:r>
          </w:p>
        </w:tc>
      </w:tr>
      <w:tr>
        <w:tc>
          <w:tcPr/>
          <w:p>
            <w:pPr>
              <w:pStyle w:val="Compact"/>
              <w:jc w:val="left"/>
            </w:pPr>
            <w:r>
              <w:t xml:space="preserve">Grab</w:t>
            </w:r>
          </w:p>
        </w:tc>
        <w:tc>
          <w:tcPr/>
          <w:p>
            <w:pPr>
              <w:pStyle w:val="Compact"/>
              <w:jc w:val="left"/>
            </w:pPr>
            <w:r>
              <w:t xml:space="preserve">2021</w:t>
            </w:r>
          </w:p>
        </w:tc>
        <w:tc>
          <w:tcPr/>
          <w:p>
            <w:pPr>
              <w:pStyle w:val="Compact"/>
              <w:jc w:val="left"/>
            </w:pPr>
            <w:r>
              <w:t xml:space="preserve">1.88</w:t>
            </w:r>
          </w:p>
        </w:tc>
        <w:tc>
          <w:tcPr/>
          <w:p>
            <w:pPr>
              <w:pStyle w:val="Compact"/>
              <w:jc w:val="left"/>
            </w:pPr>
            <w:r>
              <w:t xml:space="preserve">0.08</w:t>
            </w:r>
          </w:p>
        </w:tc>
        <w:tc>
          <w:tcPr/>
          <w:p>
            <w:pPr>
              <w:pStyle w:val="Compact"/>
              <w:jc w:val="left"/>
            </w:pPr>
            <w:r>
              <w:t xml:space="preserve">1.80</w:t>
            </w:r>
          </w:p>
        </w:tc>
        <w:tc>
          <w:tcPr/>
          <w:p>
            <w:pPr>
              <w:pStyle w:val="Compact"/>
              <w:jc w:val="left"/>
            </w:pPr>
            <w:r>
              <w:t xml:space="preserve">4.20</w:t>
            </w:r>
          </w:p>
        </w:tc>
        <w:tc>
          <w:tcPr/>
          <w:p>
            <w:pPr>
              <w:pStyle w:val="Compact"/>
              <w:jc w:val="left"/>
            </w:pPr>
            <w:r>
              <w:t xml:space="preserve">22.8</w:t>
            </w:r>
          </w:p>
        </w:tc>
        <w:tc>
          <w:tcPr/>
          <w:p>
            <w:pPr>
              <w:pStyle w:val="Compact"/>
              <w:jc w:val="left"/>
            </w:pPr>
            <w:r>
              <w:t xml:space="preserve">Revenue: country disclosure; value: derived</w:t>
            </w:r>
          </w:p>
        </w:tc>
      </w:tr>
      <w:tr>
        <w:tc>
          <w:tcPr/>
          <w:p>
            <w:pPr>
              <w:pStyle w:val="Compact"/>
              <w:jc w:val="left"/>
            </w:pPr>
            <w:r>
              <w:t xml:space="preserve">Grab</w:t>
            </w:r>
          </w:p>
        </w:tc>
        <w:tc>
          <w:tcPr/>
          <w:p>
            <w:pPr>
              <w:pStyle w:val="Compact"/>
              <w:jc w:val="left"/>
            </w:pPr>
            <w:r>
              <w:t xml:space="preserve">2022</w:t>
            </w:r>
          </w:p>
        </w:tc>
        <w:tc>
          <w:tcPr/>
          <w:p>
            <w:pPr>
              <w:pStyle w:val="Compact"/>
              <w:jc w:val="left"/>
            </w:pPr>
            <w:r>
              <w:t xml:space="preserve">3.83</w:t>
            </w:r>
          </w:p>
        </w:tc>
        <w:tc>
          <w:tcPr/>
          <w:p>
            <w:pPr>
              <w:pStyle w:val="Compact"/>
              <w:jc w:val="left"/>
            </w:pPr>
            <w:r>
              <w:t xml:space="preserve">0.28</w:t>
            </w:r>
          </w:p>
        </w:tc>
        <w:tc>
          <w:tcPr/>
          <w:p>
            <w:pPr>
              <w:pStyle w:val="Compact"/>
              <w:jc w:val="left"/>
            </w:pPr>
            <w:r>
              <w:t xml:space="preserve">3.55</w:t>
            </w:r>
          </w:p>
        </w:tc>
        <w:tc>
          <w:tcPr/>
          <w:p>
            <w:pPr>
              <w:pStyle w:val="Compact"/>
              <w:jc w:val="left"/>
            </w:pPr>
            <w:r>
              <w:t xml:space="preserve">7.19</w:t>
            </w:r>
          </w:p>
        </w:tc>
        <w:tc>
          <w:tcPr/>
          <w:p>
            <w:pPr>
              <w:pStyle w:val="Compact"/>
              <w:jc w:val="left"/>
            </w:pPr>
            <w:r>
              <w:t xml:space="preserve">12.9</w:t>
            </w:r>
          </w:p>
        </w:tc>
        <w:tc>
          <w:tcPr/>
          <w:p>
            <w:pPr>
              <w:pStyle w:val="Compact"/>
              <w:jc w:val="left"/>
            </w:pPr>
            <w:r>
              <w:t xml:space="preserve">Revenue: country disclosure; value: derived</w:t>
            </w:r>
          </w:p>
        </w:tc>
      </w:tr>
      <w:tr>
        <w:tc>
          <w:tcPr/>
          <w:p>
            <w:pPr>
              <w:pStyle w:val="Compact"/>
              <w:jc w:val="left"/>
            </w:pPr>
            <w:r>
              <w:t xml:space="preserve">Grab</w:t>
            </w:r>
          </w:p>
        </w:tc>
        <w:tc>
          <w:tcPr/>
          <w:p>
            <w:pPr>
              <w:pStyle w:val="Compact"/>
              <w:jc w:val="left"/>
            </w:pPr>
            <w:r>
              <w:t xml:space="preserve">2023</w:t>
            </w:r>
          </w:p>
        </w:tc>
        <w:tc>
          <w:tcPr/>
          <w:p>
            <w:pPr>
              <w:pStyle w:val="Compact"/>
              <w:jc w:val="left"/>
            </w:pPr>
            <w:r>
              <w:t xml:space="preserve">5.38</w:t>
            </w:r>
          </w:p>
        </w:tc>
        <w:tc>
          <w:tcPr/>
          <w:p>
            <w:pPr>
              <w:pStyle w:val="Compact"/>
              <w:jc w:val="left"/>
            </w:pPr>
            <w:r>
              <w:t xml:space="preserve">0.60</w:t>
            </w:r>
          </w:p>
        </w:tc>
        <w:tc>
          <w:tcPr/>
          <w:p>
            <w:pPr>
              <w:pStyle w:val="Compact"/>
              <w:jc w:val="left"/>
            </w:pPr>
            <w:r>
              <w:t xml:space="preserve">4.78</w:t>
            </w:r>
          </w:p>
        </w:tc>
        <w:tc>
          <w:tcPr/>
          <w:p>
            <w:pPr>
              <w:pStyle w:val="Compact"/>
              <w:jc w:val="left"/>
            </w:pPr>
            <w:r>
              <w:t xml:space="preserve">11.24</w:t>
            </w:r>
          </w:p>
        </w:tc>
        <w:tc>
          <w:tcPr/>
          <w:p>
            <w:pPr>
              <w:pStyle w:val="Compact"/>
              <w:jc w:val="left"/>
            </w:pPr>
            <w:r>
              <w:t xml:space="preserve">7.9</w:t>
            </w:r>
          </w:p>
        </w:tc>
        <w:tc>
          <w:tcPr/>
          <w:p>
            <w:pPr>
              <w:pStyle w:val="Compact"/>
              <w:jc w:val="left"/>
            </w:pPr>
            <w:r>
              <w:t xml:space="preserve">Revenue: country disclosure; value: derived</w:t>
            </w:r>
          </w:p>
        </w:tc>
      </w:tr>
      <w:tr>
        <w:tc>
          <w:tcPr/>
          <w:p>
            <w:pPr>
              <w:pStyle w:val="Compact"/>
              <w:jc w:val="left"/>
            </w:pPr>
            <w:r>
              <w:t xml:space="preserve">Shopee</w:t>
            </w:r>
          </w:p>
        </w:tc>
        <w:tc>
          <w:tcPr/>
          <w:p>
            <w:pPr>
              <w:pStyle w:val="Compact"/>
              <w:jc w:val="left"/>
            </w:pPr>
            <w:r>
              <w:t xml:space="preserve">2022</w:t>
            </w:r>
          </w:p>
        </w:tc>
        <w:tc>
          <w:tcPr/>
          <w:p>
            <w:pPr>
              <w:pStyle w:val="Compact"/>
              <w:jc w:val="left"/>
            </w:pPr>
            <w:r>
              <w:t xml:space="preserve">18.68</w:t>
            </w:r>
          </w:p>
        </w:tc>
        <w:tc>
          <w:tcPr/>
          <w:p>
            <w:pPr>
              <w:pStyle w:val="Compact"/>
              <w:jc w:val="left"/>
            </w:pPr>
            <w:r>
              <w:t xml:space="preserve">1.57</w:t>
            </w:r>
          </w:p>
        </w:tc>
        <w:tc>
          <w:tcPr/>
          <w:p>
            <w:pPr>
              <w:pStyle w:val="Compact"/>
              <w:jc w:val="left"/>
            </w:pPr>
            <w:r>
              <w:t xml:space="preserve">17.11</w:t>
            </w:r>
          </w:p>
        </w:tc>
        <w:tc>
          <w:tcPr/>
          <w:p>
            <w:pPr>
              <w:pStyle w:val="Compact"/>
              <w:jc w:val="left"/>
            </w:pPr>
            <w:r>
              <w:t xml:space="preserve">8.40</w:t>
            </w:r>
          </w:p>
        </w:tc>
        <w:tc>
          <w:tcPr/>
          <w:p>
            <w:pPr>
              <w:pStyle w:val="Compact"/>
              <w:jc w:val="left"/>
            </w:pPr>
            <w:r>
              <w:t xml:space="preserve">10.9</w:t>
            </w:r>
          </w:p>
        </w:tc>
        <w:tc>
          <w:tcPr/>
          <w:p>
            <w:pPr>
              <w:pStyle w:val="Compact"/>
              <w:jc w:val="left"/>
            </w:pPr>
            <w:r>
              <w:t xml:space="preserve">Value: outside estimate; revenue: scenario</w:t>
            </w:r>
          </w:p>
        </w:tc>
      </w:tr>
      <w:tr>
        <w:tc>
          <w:tcPr/>
          <w:p>
            <w:pPr>
              <w:pStyle w:val="Compact"/>
              <w:jc w:val="left"/>
            </w:pPr>
            <w:r>
              <w:t xml:space="preserve">Shopee</w:t>
            </w:r>
          </w:p>
        </w:tc>
        <w:tc>
          <w:tcPr/>
          <w:p>
            <w:pPr>
              <w:pStyle w:val="Compact"/>
              <w:jc w:val="left"/>
            </w:pPr>
            <w:r>
              <w:t xml:space="preserve">2023</w:t>
            </w:r>
          </w:p>
        </w:tc>
        <w:tc>
          <w:tcPr/>
          <w:p>
            <w:pPr>
              <w:pStyle w:val="Compact"/>
              <w:jc w:val="left"/>
            </w:pPr>
            <w:r>
              <w:t xml:space="preserve">21.52</w:t>
            </w:r>
          </w:p>
        </w:tc>
        <w:tc>
          <w:tcPr/>
          <w:p>
            <w:pPr>
              <w:pStyle w:val="Compact"/>
              <w:jc w:val="left"/>
            </w:pPr>
            <w:r>
              <w:t xml:space="preserve">2.15</w:t>
            </w:r>
          </w:p>
        </w:tc>
        <w:tc>
          <w:tcPr/>
          <w:p>
            <w:pPr>
              <w:pStyle w:val="Compact"/>
              <w:jc w:val="left"/>
            </w:pPr>
            <w:r>
              <w:t xml:space="preserve">19.37</w:t>
            </w:r>
          </w:p>
        </w:tc>
        <w:tc>
          <w:tcPr/>
          <w:p>
            <w:pPr>
              <w:pStyle w:val="Compact"/>
              <w:jc w:val="left"/>
            </w:pPr>
            <w:r>
              <w:t xml:space="preserve">10.00</w:t>
            </w:r>
          </w:p>
        </w:tc>
        <w:tc>
          <w:tcPr/>
          <w:p>
            <w:pPr>
              <w:pStyle w:val="Compact"/>
              <w:jc w:val="left"/>
            </w:pPr>
            <w:r>
              <w:t xml:space="preserve">9.0</w:t>
            </w:r>
          </w:p>
        </w:tc>
        <w:tc>
          <w:tcPr/>
          <w:p>
            <w:pPr>
              <w:pStyle w:val="Compact"/>
              <w:jc w:val="left"/>
            </w:pPr>
            <w:r>
              <w:t xml:space="preserve">Value: outside estimate; revenue: scenario</w:t>
            </w:r>
          </w:p>
        </w:tc>
      </w:tr>
      <w:tr>
        <w:tc>
          <w:tcPr/>
          <w:p>
            <w:pPr>
              <w:pStyle w:val="Compact"/>
              <w:jc w:val="left"/>
            </w:pPr>
            <w:r>
              <w:t xml:space="preserve">Shopee</w:t>
            </w:r>
          </w:p>
        </w:tc>
        <w:tc>
          <w:tcPr/>
          <w:p>
            <w:pPr>
              <w:pStyle w:val="Compact"/>
              <w:jc w:val="left"/>
            </w:pPr>
            <w:r>
              <w:t xml:space="preserve">2024</w:t>
            </w:r>
          </w:p>
        </w:tc>
        <w:tc>
          <w:tcPr/>
          <w:p>
            <w:pPr>
              <w:pStyle w:val="Compact"/>
              <w:jc w:val="left"/>
            </w:pPr>
            <w:r>
              <w:t xml:space="preserve">25.99</w:t>
            </w:r>
          </w:p>
        </w:tc>
        <w:tc>
          <w:tcPr/>
          <w:p>
            <w:pPr>
              <w:pStyle w:val="Compact"/>
              <w:jc w:val="left"/>
            </w:pPr>
            <w:r>
              <w:t xml:space="preserve">2.81</w:t>
            </w:r>
          </w:p>
        </w:tc>
        <w:tc>
          <w:tcPr/>
          <w:p>
            <w:pPr>
              <w:pStyle w:val="Compact"/>
              <w:jc w:val="left"/>
            </w:pPr>
            <w:r>
              <w:t xml:space="preserve">23.18</w:t>
            </w:r>
          </w:p>
        </w:tc>
        <w:tc>
          <w:tcPr/>
          <w:p>
            <w:pPr>
              <w:pStyle w:val="Compact"/>
              <w:jc w:val="left"/>
            </w:pPr>
            <w:r>
              <w:t xml:space="preserve">10.80</w:t>
            </w:r>
          </w:p>
        </w:tc>
        <w:tc>
          <w:tcPr/>
          <w:p>
            <w:pPr>
              <w:pStyle w:val="Compact"/>
              <w:jc w:val="left"/>
            </w:pPr>
            <w:r>
              <w:t xml:space="preserve">8.3</w:t>
            </w:r>
          </w:p>
        </w:tc>
        <w:tc>
          <w:tcPr/>
          <w:p>
            <w:pPr>
              <w:pStyle w:val="Compact"/>
              <w:jc w:val="left"/>
            </w:pPr>
            <w:r>
              <w:t xml:space="preserve">Value: outside estimate; revenue: scenario</w:t>
            </w:r>
          </w:p>
        </w:tc>
      </w:tr>
      <w:tr>
        <w:tc>
          <w:tcPr/>
          <w:p>
            <w:pPr>
              <w:pStyle w:val="Compact"/>
              <w:jc w:val="left"/>
            </w:pPr>
            <w:r>
              <w:t xml:space="preserve">Tokopedia</w:t>
            </w:r>
          </w:p>
        </w:tc>
        <w:tc>
          <w:tcPr/>
          <w:p>
            <w:pPr>
              <w:pStyle w:val="Compact"/>
              <w:jc w:val="left"/>
            </w:pPr>
            <w:r>
              <w:t xml:space="preserve">2022</w:t>
            </w:r>
          </w:p>
        </w:tc>
        <w:tc>
          <w:tcPr/>
          <w:p>
            <w:pPr>
              <w:pStyle w:val="Compact"/>
              <w:jc w:val="left"/>
            </w:pPr>
            <w:r>
              <w:t xml:space="preserve">273,146,166</w:t>
            </w:r>
          </w:p>
        </w:tc>
        <w:tc>
          <w:tcPr/>
          <w:p>
            <w:pPr>
              <w:pStyle w:val="Compact"/>
              <w:jc w:val="left"/>
            </w:pPr>
            <w:r>
              <w:t xml:space="preserve">4,030,919</w:t>
            </w:r>
          </w:p>
        </w:tc>
        <w:tc>
          <w:tcPr/>
          <w:p>
            <w:pPr>
              <w:pStyle w:val="Compact"/>
              <w:jc w:val="left"/>
            </w:pPr>
            <w:r>
              <w:t xml:space="preserve">269,115,247</w:t>
            </w:r>
          </w:p>
        </w:tc>
        <w:tc>
          <w:tcPr/>
          <w:p>
            <w:pPr>
              <w:pStyle w:val="Compact"/>
              <w:jc w:val="left"/>
            </w:pPr>
            <w:r>
              <w:t xml:space="preserve">1.48</w:t>
            </w:r>
          </w:p>
        </w:tc>
        <w:tc>
          <w:tcPr/>
          <w:p>
            <w:pPr>
              <w:pStyle w:val="Compact"/>
              <w:jc w:val="left"/>
            </w:pPr>
            <w:r>
              <w:t xml:space="preserve">66.8</w:t>
            </w:r>
          </w:p>
        </w:tc>
        <w:tc>
          <w:tcPr/>
          <w:p>
            <w:pPr>
              <w:pStyle w:val="Compact"/>
              <w:jc w:val="left"/>
            </w:pPr>
            <w:r>
              <w:t xml:space="preserve">Direct segment disclosure</w:t>
            </w:r>
          </w:p>
        </w:tc>
      </w:tr>
      <w:tr>
        <w:tc>
          <w:tcPr/>
          <w:p>
            <w:pPr>
              <w:pStyle w:val="Compact"/>
              <w:jc w:val="left"/>
            </w:pPr>
            <w:r>
              <w:t xml:space="preserve">Tokopedia</w:t>
            </w:r>
          </w:p>
        </w:tc>
        <w:tc>
          <w:tcPr/>
          <w:p>
            <w:pPr>
              <w:pStyle w:val="Compact"/>
              <w:jc w:val="left"/>
            </w:pPr>
            <w:r>
              <w:t xml:space="preserve">2023</w:t>
            </w:r>
          </w:p>
        </w:tc>
        <w:tc>
          <w:tcPr/>
          <w:p>
            <w:pPr>
              <w:pStyle w:val="Compact"/>
              <w:jc w:val="left"/>
            </w:pPr>
            <w:r>
              <w:t xml:space="preserve">248,836,156</w:t>
            </w:r>
          </w:p>
        </w:tc>
        <w:tc>
          <w:tcPr/>
          <w:p>
            <w:pPr>
              <w:pStyle w:val="Compact"/>
              <w:jc w:val="left"/>
            </w:pPr>
            <w:r>
              <w:t xml:space="preserve">6,175,190</w:t>
            </w:r>
          </w:p>
        </w:tc>
        <w:tc>
          <w:tcPr/>
          <w:p>
            <w:pPr>
              <w:pStyle w:val="Compact"/>
              <w:jc w:val="left"/>
            </w:pPr>
            <w:r>
              <w:t xml:space="preserve">242,660,966</w:t>
            </w:r>
          </w:p>
        </w:tc>
        <w:tc>
          <w:tcPr/>
          <w:p>
            <w:pPr>
              <w:pStyle w:val="Compact"/>
              <w:jc w:val="left"/>
            </w:pPr>
            <w:r>
              <w:t xml:space="preserve">2.48</w:t>
            </w:r>
          </w:p>
        </w:tc>
        <w:tc>
          <w:tcPr/>
          <w:p>
            <w:pPr>
              <w:pStyle w:val="Compact"/>
              <w:jc w:val="left"/>
            </w:pPr>
            <w:r>
              <w:t xml:space="preserve">39.3</w:t>
            </w:r>
          </w:p>
        </w:tc>
        <w:tc>
          <w:tcPr/>
          <w:p>
            <w:pPr>
              <w:pStyle w:val="Compact"/>
              <w:jc w:val="left"/>
            </w:pPr>
            <w:r>
              <w:t xml:space="preserve">Direct segment disclosure</w:t>
            </w:r>
          </w:p>
        </w:tc>
      </w:tr>
      <w:tr>
        <w:tc>
          <w:tcPr/>
          <w:p>
            <w:pPr>
              <w:pStyle w:val="Compact"/>
              <w:jc w:val="left"/>
            </w:pPr>
            <w:r>
              <w:t xml:space="preserve">Blibli third-party retail</w:t>
            </w:r>
          </w:p>
        </w:tc>
        <w:tc>
          <w:tcPr/>
          <w:p>
            <w:pPr>
              <w:pStyle w:val="Compact"/>
              <w:jc w:val="left"/>
            </w:pPr>
            <w:r>
              <w:t xml:space="preserve">2021</w:t>
            </w:r>
          </w:p>
        </w:tc>
        <w:tc>
          <w:tcPr/>
          <w:p>
            <w:pPr>
              <w:pStyle w:val="Compact"/>
              <w:jc w:val="left"/>
            </w:pPr>
            <w:r>
              <w:t xml:space="preserve">15,746</w:t>
            </w:r>
          </w:p>
        </w:tc>
        <w:tc>
          <w:tcPr/>
          <w:p>
            <w:pPr>
              <w:pStyle w:val="Compact"/>
              <w:jc w:val="left"/>
            </w:pPr>
            <w:r>
              <w:t xml:space="preserve">122</w:t>
            </w:r>
          </w:p>
        </w:tc>
        <w:tc>
          <w:tcPr/>
          <w:p>
            <w:pPr>
              <w:pStyle w:val="Compact"/>
              <w:jc w:val="left"/>
            </w:pPr>
            <w:r>
              <w:t xml:space="preserve">15,624</w:t>
            </w:r>
          </w:p>
        </w:tc>
        <w:tc>
          <w:tcPr/>
          <w:p>
            <w:pPr>
              <w:pStyle w:val="Compact"/>
              <w:jc w:val="left"/>
            </w:pPr>
            <w:r>
              <w:t xml:space="preserve">0.77</w:t>
            </w:r>
          </w:p>
        </w:tc>
        <w:tc>
          <w:tcPr/>
          <w:p>
            <w:pPr>
              <w:pStyle w:val="Compact"/>
              <w:jc w:val="left"/>
            </w:pPr>
            <w:r>
              <w:t xml:space="preserve">128.1</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2022</w:t>
            </w:r>
          </w:p>
        </w:tc>
        <w:tc>
          <w:tcPr/>
          <w:p>
            <w:pPr>
              <w:pStyle w:val="Compact"/>
              <w:jc w:val="left"/>
            </w:pPr>
            <w:r>
              <w:t xml:space="preserve">37,050</w:t>
            </w:r>
          </w:p>
        </w:tc>
        <w:tc>
          <w:tcPr/>
          <w:p>
            <w:pPr>
              <w:pStyle w:val="Compact"/>
              <w:jc w:val="left"/>
            </w:pPr>
            <w:r>
              <w:t xml:space="preserve">199</w:t>
            </w:r>
          </w:p>
        </w:tc>
        <w:tc>
          <w:tcPr/>
          <w:p>
            <w:pPr>
              <w:pStyle w:val="Compact"/>
              <w:jc w:val="left"/>
            </w:pPr>
            <w:r>
              <w:t xml:space="preserve">36,851</w:t>
            </w:r>
          </w:p>
        </w:tc>
        <w:tc>
          <w:tcPr/>
          <w:p>
            <w:pPr>
              <w:pStyle w:val="Compact"/>
              <w:jc w:val="left"/>
            </w:pPr>
            <w:r>
              <w:t xml:space="preserve">0.54</w:t>
            </w:r>
          </w:p>
        </w:tc>
        <w:tc>
          <w:tcPr/>
          <w:p>
            <w:pPr>
              <w:pStyle w:val="Compact"/>
              <w:jc w:val="left"/>
            </w:pPr>
            <w:r>
              <w:t xml:space="preserve">185.2</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2023</w:t>
            </w:r>
          </w:p>
        </w:tc>
        <w:tc>
          <w:tcPr/>
          <w:p>
            <w:pPr>
              <w:pStyle w:val="Compact"/>
              <w:jc w:val="left"/>
            </w:pPr>
            <w:r>
              <w:t xml:space="preserve">49,912</w:t>
            </w:r>
          </w:p>
        </w:tc>
        <w:tc>
          <w:tcPr/>
          <w:p>
            <w:pPr>
              <w:pStyle w:val="Compact"/>
              <w:jc w:val="left"/>
            </w:pPr>
            <w:r>
              <w:t xml:space="preserve">1,125</w:t>
            </w:r>
          </w:p>
        </w:tc>
        <w:tc>
          <w:tcPr/>
          <w:p>
            <w:pPr>
              <w:pStyle w:val="Compact"/>
              <w:jc w:val="left"/>
            </w:pPr>
            <w:r>
              <w:t xml:space="preserve">48,787</w:t>
            </w:r>
          </w:p>
        </w:tc>
        <w:tc>
          <w:tcPr/>
          <w:p>
            <w:pPr>
              <w:pStyle w:val="Compact"/>
              <w:jc w:val="left"/>
            </w:pPr>
            <w:r>
              <w:t xml:space="preserve">2.25</w:t>
            </w:r>
          </w:p>
        </w:tc>
        <w:tc>
          <w:tcPr/>
          <w:p>
            <w:pPr>
              <w:pStyle w:val="Compact"/>
              <w:jc w:val="left"/>
            </w:pPr>
            <w:r>
              <w:t xml:space="preserve">43.4</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2024</w:t>
            </w:r>
          </w:p>
        </w:tc>
        <w:tc>
          <w:tcPr/>
          <w:p>
            <w:pPr>
              <w:pStyle w:val="Compact"/>
              <w:jc w:val="left"/>
            </w:pPr>
            <w:r>
              <w:t xml:space="preserve">54,210</w:t>
            </w:r>
          </w:p>
        </w:tc>
        <w:tc>
          <w:tcPr/>
          <w:p>
            <w:pPr>
              <w:pStyle w:val="Compact"/>
              <w:jc w:val="left"/>
            </w:pPr>
            <w:r>
              <w:t xml:space="preserve">1,384</w:t>
            </w:r>
          </w:p>
        </w:tc>
        <w:tc>
          <w:tcPr/>
          <w:p>
            <w:pPr>
              <w:pStyle w:val="Compact"/>
              <w:jc w:val="left"/>
            </w:pPr>
            <w:r>
              <w:t xml:space="preserve">52,826</w:t>
            </w:r>
          </w:p>
        </w:tc>
        <w:tc>
          <w:tcPr/>
          <w:p>
            <w:pPr>
              <w:pStyle w:val="Compact"/>
              <w:jc w:val="left"/>
            </w:pPr>
            <w:r>
              <w:t xml:space="preserve">2.55</w:t>
            </w:r>
          </w:p>
        </w:tc>
        <w:tc>
          <w:tcPr/>
          <w:p>
            <w:pPr>
              <w:pStyle w:val="Compact"/>
              <w:jc w:val="left"/>
            </w:pPr>
            <w:r>
              <w:t xml:space="preserve">38.2</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2025</w:t>
            </w:r>
          </w:p>
        </w:tc>
        <w:tc>
          <w:tcPr/>
          <w:p>
            <w:pPr>
              <w:pStyle w:val="Compact"/>
              <w:jc w:val="left"/>
            </w:pPr>
            <w:r>
              <w:t xml:space="preserve">53,187</w:t>
            </w:r>
          </w:p>
        </w:tc>
        <w:tc>
          <w:tcPr/>
          <w:p>
            <w:pPr>
              <w:pStyle w:val="Compact"/>
              <w:jc w:val="left"/>
            </w:pPr>
            <w:r>
              <w:t xml:space="preserve">1,551</w:t>
            </w:r>
          </w:p>
        </w:tc>
        <w:tc>
          <w:tcPr/>
          <w:p>
            <w:pPr>
              <w:pStyle w:val="Compact"/>
              <w:jc w:val="left"/>
            </w:pPr>
            <w:r>
              <w:t xml:space="preserve">51,636</w:t>
            </w:r>
          </w:p>
        </w:tc>
        <w:tc>
          <w:tcPr/>
          <w:p>
            <w:pPr>
              <w:pStyle w:val="Compact"/>
              <w:jc w:val="left"/>
            </w:pPr>
            <w:r>
              <w:t xml:space="preserve">2.92</w:t>
            </w:r>
          </w:p>
        </w:tc>
        <w:tc>
          <w:tcPr/>
          <w:p>
            <w:pPr>
              <w:pStyle w:val="Compact"/>
              <w:jc w:val="left"/>
            </w:pPr>
            <w:r>
              <w:t xml:space="preserve">33.3</w:t>
            </w:r>
          </w:p>
        </w:tc>
        <w:tc>
          <w:tcPr/>
          <w:p>
            <w:pPr>
              <w:pStyle w:val="Compact"/>
              <w:jc w:val="left"/>
            </w:pPr>
            <w:r>
              <w:t xml:space="preserve">Segment disclosure, includes travel</w:t>
            </w:r>
          </w:p>
        </w:tc>
      </w:tr>
      <w:tr>
        <w:tc>
          <w:tcPr/>
          <w:p>
            <w:pPr>
              <w:pStyle w:val="Compact"/>
              <w:jc w:val="left"/>
            </w:pPr>
            <w:r>
              <w:t xml:space="preserve">Bukalapak Group</w:t>
            </w:r>
          </w:p>
        </w:tc>
        <w:tc>
          <w:tcPr/>
          <w:p>
            <w:pPr>
              <w:pStyle w:val="Compact"/>
              <w:jc w:val="left"/>
            </w:pPr>
            <w:r>
              <w:t xml:space="preserve">2020</w:t>
            </w:r>
          </w:p>
        </w:tc>
        <w:tc>
          <w:tcPr/>
          <w:p>
            <w:pPr>
              <w:pStyle w:val="Compact"/>
              <w:jc w:val="left"/>
            </w:pPr>
            <w:r>
              <w:t xml:space="preserve">85,081,843</w:t>
            </w:r>
          </w:p>
        </w:tc>
        <w:tc>
          <w:tcPr/>
          <w:p>
            <w:pPr>
              <w:pStyle w:val="Compact"/>
              <w:jc w:val="left"/>
            </w:pPr>
            <w:r>
              <w:t xml:space="preserve">1,351,664</w:t>
            </w:r>
          </w:p>
        </w:tc>
        <w:tc>
          <w:tcPr/>
          <w:p>
            <w:pPr>
              <w:pStyle w:val="Compact"/>
              <w:jc w:val="left"/>
            </w:pPr>
            <w:r>
              <w:t xml:space="preserve">83,730,179</w:t>
            </w:r>
          </w:p>
        </w:tc>
        <w:tc>
          <w:tcPr/>
          <w:p>
            <w:pPr>
              <w:pStyle w:val="Compact"/>
              <w:jc w:val="left"/>
            </w:pPr>
            <w:r>
              <w:t xml:space="preserve">1.59</w:t>
            </w:r>
          </w:p>
        </w:tc>
        <w:tc>
          <w:tcPr/>
          <w:p>
            <w:pPr>
              <w:pStyle w:val="Compact"/>
              <w:jc w:val="left"/>
            </w:pPr>
            <w:r>
              <w:t xml:space="preserve">61.9</w:t>
            </w:r>
          </w:p>
        </w:tc>
        <w:tc>
          <w:tcPr/>
          <w:p>
            <w:pPr>
              <w:pStyle w:val="Compact"/>
              <w:jc w:val="left"/>
            </w:pPr>
            <w:r>
              <w:t xml:space="preserve">Company-wide disclosure</w:t>
            </w:r>
          </w:p>
        </w:tc>
      </w:tr>
      <w:tr>
        <w:tc>
          <w:tcPr/>
          <w:p>
            <w:pPr>
              <w:pStyle w:val="Compact"/>
              <w:jc w:val="left"/>
            </w:pPr>
            <w:r>
              <w:t xml:space="preserve">Bukalapak Group</w:t>
            </w:r>
          </w:p>
        </w:tc>
        <w:tc>
          <w:tcPr/>
          <w:p>
            <w:pPr>
              <w:pStyle w:val="Compact"/>
              <w:jc w:val="left"/>
            </w:pPr>
            <w:r>
              <w:t xml:space="preserve">2021</w:t>
            </w:r>
          </w:p>
        </w:tc>
        <w:tc>
          <w:tcPr/>
          <w:p>
            <w:pPr>
              <w:pStyle w:val="Compact"/>
              <w:jc w:val="left"/>
            </w:pPr>
            <w:r>
              <w:t xml:space="preserve">122,618,794</w:t>
            </w:r>
          </w:p>
        </w:tc>
        <w:tc>
          <w:tcPr/>
          <w:p>
            <w:pPr>
              <w:pStyle w:val="Compact"/>
              <w:jc w:val="left"/>
            </w:pPr>
            <w:r>
              <w:t xml:space="preserve">1,869,122</w:t>
            </w:r>
          </w:p>
        </w:tc>
        <w:tc>
          <w:tcPr/>
          <w:p>
            <w:pPr>
              <w:pStyle w:val="Compact"/>
              <w:jc w:val="left"/>
            </w:pPr>
            <w:r>
              <w:t xml:space="preserve">120,749,672</w:t>
            </w:r>
          </w:p>
        </w:tc>
        <w:tc>
          <w:tcPr/>
          <w:p>
            <w:pPr>
              <w:pStyle w:val="Compact"/>
              <w:jc w:val="left"/>
            </w:pPr>
            <w:r>
              <w:t xml:space="preserve">1.52</w:t>
            </w:r>
          </w:p>
        </w:tc>
        <w:tc>
          <w:tcPr/>
          <w:p>
            <w:pPr>
              <w:pStyle w:val="Compact"/>
              <w:jc w:val="left"/>
            </w:pPr>
            <w:r>
              <w:t xml:space="preserve">64.6</w:t>
            </w:r>
          </w:p>
        </w:tc>
        <w:tc>
          <w:tcPr/>
          <w:p>
            <w:pPr>
              <w:pStyle w:val="Compact"/>
              <w:jc w:val="left"/>
            </w:pPr>
            <w:r>
              <w:t xml:space="preserve">Company-wide disclosure</w:t>
            </w:r>
          </w:p>
        </w:tc>
      </w:tr>
      <w:tr>
        <w:tc>
          <w:tcPr/>
          <w:p>
            <w:pPr>
              <w:pStyle w:val="Compact"/>
              <w:jc w:val="left"/>
            </w:pPr>
            <w:r>
              <w:t xml:space="preserve">Bukalapak Group</w:t>
            </w:r>
          </w:p>
        </w:tc>
        <w:tc>
          <w:tcPr/>
          <w:p>
            <w:pPr>
              <w:pStyle w:val="Compact"/>
              <w:jc w:val="left"/>
            </w:pPr>
            <w:r>
              <w:t xml:space="preserve">2022</w:t>
            </w:r>
          </w:p>
        </w:tc>
        <w:tc>
          <w:tcPr/>
          <w:p>
            <w:pPr>
              <w:pStyle w:val="Compact"/>
              <w:jc w:val="left"/>
            </w:pPr>
            <w:r>
              <w:t xml:space="preserve">153,738,958</w:t>
            </w:r>
          </w:p>
        </w:tc>
        <w:tc>
          <w:tcPr/>
          <w:p>
            <w:pPr>
              <w:pStyle w:val="Compact"/>
              <w:jc w:val="left"/>
            </w:pPr>
            <w:r>
              <w:t xml:space="preserve">3,618,366</w:t>
            </w:r>
          </w:p>
        </w:tc>
        <w:tc>
          <w:tcPr/>
          <w:p>
            <w:pPr>
              <w:pStyle w:val="Compact"/>
              <w:jc w:val="left"/>
            </w:pPr>
            <w:r>
              <w:t xml:space="preserve">150,120,592</w:t>
            </w:r>
          </w:p>
        </w:tc>
        <w:tc>
          <w:tcPr/>
          <w:p>
            <w:pPr>
              <w:pStyle w:val="Compact"/>
              <w:jc w:val="left"/>
            </w:pPr>
            <w:r>
              <w:t xml:space="preserve">2.35</w:t>
            </w:r>
          </w:p>
        </w:tc>
        <w:tc>
          <w:tcPr/>
          <w:p>
            <w:pPr>
              <w:pStyle w:val="Compact"/>
              <w:jc w:val="left"/>
            </w:pPr>
            <w:r>
              <w:t xml:space="preserve">41.5</w:t>
            </w:r>
          </w:p>
        </w:tc>
        <w:tc>
          <w:tcPr/>
          <w:p>
            <w:pPr>
              <w:pStyle w:val="Compact"/>
              <w:jc w:val="left"/>
            </w:pPr>
            <w:r>
              <w:t xml:space="preserve">Company-wide disclosure</w:t>
            </w:r>
          </w:p>
        </w:tc>
      </w:tr>
      <w:tr>
        <w:tc>
          <w:tcPr/>
          <w:p>
            <w:pPr>
              <w:pStyle w:val="Compact"/>
              <w:jc w:val="left"/>
            </w:pPr>
            <w:r>
              <w:t xml:space="preserve">Bukalapak Group</w:t>
            </w:r>
          </w:p>
        </w:tc>
        <w:tc>
          <w:tcPr/>
          <w:p>
            <w:pPr>
              <w:pStyle w:val="Compact"/>
              <w:jc w:val="left"/>
            </w:pPr>
            <w:r>
              <w:t xml:space="preserve">2023</w:t>
            </w:r>
          </w:p>
        </w:tc>
        <w:tc>
          <w:tcPr/>
          <w:p>
            <w:pPr>
              <w:pStyle w:val="Compact"/>
              <w:jc w:val="left"/>
            </w:pPr>
            <w:r>
              <w:t xml:space="preserve">164,380,065</w:t>
            </w:r>
          </w:p>
        </w:tc>
        <w:tc>
          <w:tcPr/>
          <w:p>
            <w:pPr>
              <w:pStyle w:val="Compact"/>
              <w:jc w:val="left"/>
            </w:pPr>
            <w:r>
              <w:t xml:space="preserve">4,438,269</w:t>
            </w:r>
          </w:p>
        </w:tc>
        <w:tc>
          <w:tcPr/>
          <w:p>
            <w:pPr>
              <w:pStyle w:val="Compact"/>
              <w:jc w:val="left"/>
            </w:pPr>
            <w:r>
              <w:t xml:space="preserve">159,941,796</w:t>
            </w:r>
          </w:p>
        </w:tc>
        <w:tc>
          <w:tcPr/>
          <w:p>
            <w:pPr>
              <w:pStyle w:val="Compact"/>
              <w:jc w:val="left"/>
            </w:pPr>
            <w:r>
              <w:t xml:space="preserve">2.70</w:t>
            </w:r>
          </w:p>
        </w:tc>
        <w:tc>
          <w:tcPr/>
          <w:p>
            <w:pPr>
              <w:pStyle w:val="Compact"/>
              <w:jc w:val="left"/>
            </w:pPr>
            <w:r>
              <w:t xml:space="preserve">36.0</w:t>
            </w:r>
          </w:p>
        </w:tc>
        <w:tc>
          <w:tcPr/>
          <w:p>
            <w:pPr>
              <w:pStyle w:val="Compact"/>
              <w:jc w:val="left"/>
            </w:pPr>
            <w:r>
              <w:t xml:space="preserve">Company-wide disclosure</w:t>
            </w:r>
          </w:p>
        </w:tc>
      </w:tr>
    </w:tbl>
    <w:bookmarkEnd w:id="97"/>
    <w:bookmarkStart w:id="98" w:name="X01999f6a932e4fa967dcf7ad72cb6416da995a8"/>
    <w:p>
      <w:pPr>
        <w:pStyle w:val="Heading3"/>
      </w:pPr>
      <w:r>
        <w:t xml:space="preserve">B.5 Classification of the platforms in the regressions</w:t>
      </w:r>
    </w:p>
    <w:p>
      <w:pPr>
        <w:pStyle w:val="FirstParagraph"/>
      </w:pPr>
      <w:r>
        <w:t xml:space="preserve">The type, the main market and the listing year are the author’s classification from public record. The main market is the country whose macroeconomic conditions are attached to the platform: the United States for most US-listed platforms, Indonesia for Sea (Shopee), Nigeria for Jumia, Brazil for Mercado Libre and Argentina for Despegar. Source:</w:t>
      </w:r>
      <w:r>
        <w:t xml:space="preserve"> </w:t>
      </w:r>
      <w:r>
        <w:rPr>
          <w:rStyle w:val="VerbatimChar"/>
        </w:rPr>
        <w:t xml:space="preserve">tables/platform_attributes.csv</w:t>
      </w:r>
      <w:r>
        <w:t xml:space="preserve">.</w:t>
      </w:r>
    </w:p>
    <w:tbl>
      <w:tblPr>
        <w:tblStyle w:val="Table"/>
        <w:tblW w:type="pct" w:w="5000"/>
        <w:tblLook w:firstRow="1" w:lastRow="0" w:firstColumn="0" w:lastColumn="0" w:noHBand="0" w:noVBand="0" w:val="0020"/>
        <w:jc w:val="start"/>
      </w:tblPr>
      <w:tblGrid>
        <w:gridCol w:w="1250"/>
        <w:gridCol w:w="1250"/>
        <w:gridCol w:w="1250"/>
        <w:gridCol w:w="1250"/>
        <w:gridCol w:w="1250"/>
        <w:gridCol w:w="1667"/>
      </w:tblGrid>
      <w:tr>
        <w:trPr>
          <w:tblHeader w:val="true"/>
        </w:trPr>
        <w:tc>
          <w:tcPr/>
          <w:p>
            <w:pPr>
              <w:pStyle w:val="Compact"/>
              <w:jc w:val="left"/>
            </w:pPr>
            <w:r>
              <w:t xml:space="preserve">Platform</w:t>
            </w:r>
          </w:p>
        </w:tc>
        <w:tc>
          <w:tcPr/>
          <w:p>
            <w:pPr>
              <w:pStyle w:val="Compact"/>
              <w:jc w:val="left"/>
            </w:pPr>
            <w:r>
              <w:t xml:space="preserve">Group</w:t>
            </w:r>
          </w:p>
        </w:tc>
        <w:tc>
          <w:tcPr/>
          <w:p>
            <w:pPr>
              <w:pStyle w:val="Compact"/>
              <w:jc w:val="left"/>
            </w:pPr>
            <w:r>
              <w:t xml:space="preserve">Type</w:t>
            </w:r>
          </w:p>
        </w:tc>
        <w:tc>
          <w:tcPr/>
          <w:p>
            <w:pPr>
              <w:pStyle w:val="Compact"/>
              <w:jc w:val="left"/>
            </w:pPr>
            <w:r>
              <w:t xml:space="preserve">Main market</w:t>
            </w:r>
          </w:p>
        </w:tc>
        <w:tc>
          <w:tcPr/>
          <w:p>
            <w:pPr>
              <w:pStyle w:val="Compact"/>
              <w:jc w:val="left"/>
            </w:pPr>
            <w:r>
              <w:t xml:space="preserve">Reporting currency</w:t>
            </w:r>
          </w:p>
        </w:tc>
        <w:tc>
          <w:tcPr/>
          <w:p>
            <w:pPr>
              <w:pStyle w:val="Compact"/>
              <w:jc w:val="right"/>
            </w:pPr>
            <w:r>
              <w:t xml:space="preserve">Listed</w:t>
            </w:r>
          </w:p>
        </w:tc>
      </w:tr>
      <w:tr>
        <w:tc>
          <w:tcPr/>
          <w:p>
            <w:pPr>
              <w:pStyle w:val="Compact"/>
              <w:jc w:val="left"/>
            </w:pPr>
            <w:r>
              <w:t xml:space="preserve">Tokopedia</w:t>
            </w:r>
          </w:p>
        </w:tc>
        <w:tc>
          <w:tcPr/>
          <w:p>
            <w:pPr>
              <w:pStyle w:val="Compact"/>
              <w:jc w:val="left"/>
            </w:pPr>
            <w:r>
              <w:t xml:space="preserve">Indonesian and regional</w:t>
            </w:r>
          </w:p>
        </w:tc>
        <w:tc>
          <w:tcPr/>
          <w:p>
            <w:pPr>
              <w:pStyle w:val="Compact"/>
              <w:jc w:val="left"/>
            </w:pPr>
            <w:r>
              <w:t xml:space="preserve">Marketplace</w:t>
            </w:r>
          </w:p>
        </w:tc>
        <w:tc>
          <w:tcPr/>
          <w:p>
            <w:pPr>
              <w:pStyle w:val="Compact"/>
              <w:jc w:val="left"/>
            </w:pPr>
            <w:r>
              <w:t xml:space="preserve">ID</w:t>
            </w:r>
          </w:p>
        </w:tc>
        <w:tc>
          <w:tcPr/>
          <w:p>
            <w:pPr>
              <w:pStyle w:val="Compact"/>
              <w:jc w:val="left"/>
            </w:pPr>
            <w:r>
              <w:t xml:space="preserve">IDR</w:t>
            </w:r>
          </w:p>
        </w:tc>
        <w:tc>
          <w:tcPr/>
          <w:p>
            <w:pPr>
              <w:pStyle w:val="Compact"/>
              <w:jc w:val="right"/>
            </w:pPr>
            <w:r>
              <w:t xml:space="preserve">2022</w:t>
            </w:r>
          </w:p>
        </w:tc>
      </w:tr>
      <w:tr>
        <w:tc>
          <w:tcPr/>
          <w:p>
            <w:pPr>
              <w:pStyle w:val="Compact"/>
              <w:jc w:val="left"/>
            </w:pPr>
            <w:r>
              <w:t xml:space="preserve">Blibli</w:t>
            </w:r>
          </w:p>
        </w:tc>
        <w:tc>
          <w:tcPr/>
          <w:p>
            <w:pPr>
              <w:pStyle w:val="Compact"/>
              <w:jc w:val="left"/>
            </w:pPr>
            <w:r>
              <w:t xml:space="preserve">Indonesian and regional</w:t>
            </w:r>
          </w:p>
        </w:tc>
        <w:tc>
          <w:tcPr/>
          <w:p>
            <w:pPr>
              <w:pStyle w:val="Compact"/>
              <w:jc w:val="left"/>
            </w:pPr>
            <w:r>
              <w:t xml:space="preserve">Marketplace</w:t>
            </w:r>
          </w:p>
        </w:tc>
        <w:tc>
          <w:tcPr/>
          <w:p>
            <w:pPr>
              <w:pStyle w:val="Compact"/>
              <w:jc w:val="left"/>
            </w:pPr>
            <w:r>
              <w:t xml:space="preserve">ID</w:t>
            </w:r>
          </w:p>
        </w:tc>
        <w:tc>
          <w:tcPr/>
          <w:p>
            <w:pPr>
              <w:pStyle w:val="Compact"/>
              <w:jc w:val="left"/>
            </w:pPr>
            <w:r>
              <w:t xml:space="preserve">IDR</w:t>
            </w:r>
          </w:p>
        </w:tc>
        <w:tc>
          <w:tcPr/>
          <w:p>
            <w:pPr>
              <w:pStyle w:val="Compact"/>
              <w:jc w:val="right"/>
            </w:pPr>
            <w:r>
              <w:t xml:space="preserve">2022</w:t>
            </w:r>
          </w:p>
        </w:tc>
      </w:tr>
      <w:tr>
        <w:tc>
          <w:tcPr/>
          <w:p>
            <w:pPr>
              <w:pStyle w:val="Compact"/>
              <w:jc w:val="left"/>
            </w:pPr>
            <w:r>
              <w:t xml:space="preserve">Bukalapak</w:t>
            </w:r>
          </w:p>
        </w:tc>
        <w:tc>
          <w:tcPr/>
          <w:p>
            <w:pPr>
              <w:pStyle w:val="Compact"/>
              <w:jc w:val="left"/>
            </w:pPr>
            <w:r>
              <w:t xml:space="preserve">Indonesian and regional</w:t>
            </w:r>
          </w:p>
        </w:tc>
        <w:tc>
          <w:tcPr/>
          <w:p>
            <w:pPr>
              <w:pStyle w:val="Compact"/>
              <w:jc w:val="left"/>
            </w:pPr>
            <w:r>
              <w:t xml:space="preserve">Marketplace</w:t>
            </w:r>
          </w:p>
        </w:tc>
        <w:tc>
          <w:tcPr/>
          <w:p>
            <w:pPr>
              <w:pStyle w:val="Compact"/>
              <w:jc w:val="left"/>
            </w:pPr>
            <w:r>
              <w:t xml:space="preserve">ID</w:t>
            </w:r>
          </w:p>
        </w:tc>
        <w:tc>
          <w:tcPr/>
          <w:p>
            <w:pPr>
              <w:pStyle w:val="Compact"/>
              <w:jc w:val="left"/>
            </w:pPr>
            <w:r>
              <w:t xml:space="preserve">IDR</w:t>
            </w:r>
          </w:p>
        </w:tc>
        <w:tc>
          <w:tcPr/>
          <w:p>
            <w:pPr>
              <w:pStyle w:val="Compact"/>
              <w:jc w:val="right"/>
            </w:pPr>
            <w:r>
              <w:t xml:space="preserve">2021</w:t>
            </w:r>
          </w:p>
        </w:tc>
      </w:tr>
      <w:tr>
        <w:tc>
          <w:tcPr/>
          <w:p>
            <w:pPr>
              <w:pStyle w:val="Compact"/>
              <w:jc w:val="left"/>
            </w:pPr>
            <w:r>
              <w:t xml:space="preserve">Grab (on-demand)</w:t>
            </w:r>
          </w:p>
        </w:tc>
        <w:tc>
          <w:tcPr/>
          <w:p>
            <w:pPr>
              <w:pStyle w:val="Compact"/>
              <w:jc w:val="left"/>
            </w:pPr>
            <w:r>
              <w:t xml:space="preserve">Indonesian and regional</w:t>
            </w:r>
          </w:p>
        </w:tc>
        <w:tc>
          <w:tcPr/>
          <w:p>
            <w:pPr>
              <w:pStyle w:val="Compact"/>
              <w:jc w:val="left"/>
            </w:pPr>
            <w:r>
              <w:t xml:space="preserve">On-demand</w:t>
            </w:r>
          </w:p>
        </w:tc>
        <w:tc>
          <w:tcPr/>
          <w:p>
            <w:pPr>
              <w:pStyle w:val="Compact"/>
              <w:jc w:val="left"/>
            </w:pPr>
            <w:r>
              <w:t xml:space="preserve">ID</w:t>
            </w:r>
          </w:p>
        </w:tc>
        <w:tc>
          <w:tcPr/>
          <w:p>
            <w:pPr>
              <w:pStyle w:val="Compact"/>
              <w:jc w:val="left"/>
            </w:pPr>
            <w:r>
              <w:t xml:space="preserve">USD</w:t>
            </w:r>
          </w:p>
        </w:tc>
        <w:tc>
          <w:tcPr/>
          <w:p>
            <w:pPr>
              <w:pStyle w:val="Compact"/>
              <w:jc w:val="right"/>
            </w:pPr>
            <w:r>
              <w:t xml:space="preserve">2021</w:t>
            </w:r>
          </w:p>
        </w:tc>
      </w:tr>
      <w:tr>
        <w:tc>
          <w:tcPr/>
          <w:p>
            <w:pPr>
              <w:pStyle w:val="Compact"/>
              <w:jc w:val="left"/>
            </w:pPr>
            <w:r>
              <w:t xml:space="preserve">GoTo (on-demand)</w:t>
            </w:r>
          </w:p>
        </w:tc>
        <w:tc>
          <w:tcPr/>
          <w:p>
            <w:pPr>
              <w:pStyle w:val="Compact"/>
              <w:jc w:val="left"/>
            </w:pPr>
            <w:r>
              <w:t xml:space="preserve">Indonesian and regional</w:t>
            </w:r>
          </w:p>
        </w:tc>
        <w:tc>
          <w:tcPr/>
          <w:p>
            <w:pPr>
              <w:pStyle w:val="Compact"/>
              <w:jc w:val="left"/>
            </w:pPr>
            <w:r>
              <w:t xml:space="preserve">On-demand</w:t>
            </w:r>
          </w:p>
        </w:tc>
        <w:tc>
          <w:tcPr/>
          <w:p>
            <w:pPr>
              <w:pStyle w:val="Compact"/>
              <w:jc w:val="left"/>
            </w:pPr>
            <w:r>
              <w:t xml:space="preserve">ID</w:t>
            </w:r>
          </w:p>
        </w:tc>
        <w:tc>
          <w:tcPr/>
          <w:p>
            <w:pPr>
              <w:pStyle w:val="Compact"/>
              <w:jc w:val="left"/>
            </w:pPr>
            <w:r>
              <w:t xml:space="preserve">IDR</w:t>
            </w:r>
          </w:p>
        </w:tc>
        <w:tc>
          <w:tcPr/>
          <w:p>
            <w:pPr>
              <w:pStyle w:val="Compact"/>
              <w:jc w:val="right"/>
            </w:pPr>
            <w:r>
              <w:t xml:space="preserve">2022</w:t>
            </w:r>
          </w:p>
        </w:tc>
      </w:tr>
      <w:tr>
        <w:tc>
          <w:tcPr/>
          <w:p>
            <w:pPr>
              <w:pStyle w:val="Compact"/>
              <w:jc w:val="left"/>
            </w:pPr>
            <w:r>
              <w:t xml:space="preserve">Etsy</w:t>
            </w:r>
          </w:p>
        </w:tc>
        <w:tc>
          <w:tcPr/>
          <w:p>
            <w:pPr>
              <w:pStyle w:val="Compact"/>
              <w:jc w:val="left"/>
            </w:pPr>
            <w:r>
              <w:t xml:space="preserve">Foreign</w:t>
            </w:r>
          </w:p>
        </w:tc>
        <w:tc>
          <w:tcPr/>
          <w:p>
            <w:pPr>
              <w:pStyle w:val="Compact"/>
              <w:jc w:val="left"/>
            </w:pPr>
            <w:r>
              <w:t xml:space="preserve">Marketplace</w:t>
            </w:r>
          </w:p>
        </w:tc>
        <w:tc>
          <w:tcPr/>
          <w:p>
            <w:pPr>
              <w:pStyle w:val="Compact"/>
              <w:jc w:val="left"/>
            </w:pPr>
            <w:r>
              <w:t xml:space="preserve">US</w:t>
            </w:r>
          </w:p>
        </w:tc>
        <w:tc>
          <w:tcPr/>
          <w:p>
            <w:pPr>
              <w:pStyle w:val="Compact"/>
              <w:jc w:val="left"/>
            </w:pPr>
            <w:r>
              <w:t xml:space="preserve">USD</w:t>
            </w:r>
          </w:p>
        </w:tc>
        <w:tc>
          <w:tcPr/>
          <w:p>
            <w:pPr>
              <w:pStyle w:val="Compact"/>
              <w:jc w:val="right"/>
            </w:pPr>
            <w:r>
              <w:t xml:space="preserve">2015</w:t>
            </w:r>
          </w:p>
        </w:tc>
      </w:tr>
      <w:tr>
        <w:tc>
          <w:tcPr/>
          <w:p>
            <w:pPr>
              <w:pStyle w:val="Compact"/>
              <w:jc w:val="left"/>
            </w:pPr>
            <w:r>
              <w:t xml:space="preserve">eBay</w:t>
            </w:r>
          </w:p>
        </w:tc>
        <w:tc>
          <w:tcPr/>
          <w:p>
            <w:pPr>
              <w:pStyle w:val="Compact"/>
              <w:jc w:val="left"/>
            </w:pPr>
            <w:r>
              <w:t xml:space="preserve">Foreign</w:t>
            </w:r>
          </w:p>
        </w:tc>
        <w:tc>
          <w:tcPr/>
          <w:p>
            <w:pPr>
              <w:pStyle w:val="Compact"/>
              <w:jc w:val="left"/>
            </w:pPr>
            <w:r>
              <w:t xml:space="preserve">Marketplace</w:t>
            </w:r>
          </w:p>
        </w:tc>
        <w:tc>
          <w:tcPr/>
          <w:p>
            <w:pPr>
              <w:pStyle w:val="Compact"/>
              <w:jc w:val="left"/>
            </w:pPr>
            <w:r>
              <w:t xml:space="preserve">US</w:t>
            </w:r>
          </w:p>
        </w:tc>
        <w:tc>
          <w:tcPr/>
          <w:p>
            <w:pPr>
              <w:pStyle w:val="Compact"/>
              <w:jc w:val="left"/>
            </w:pPr>
            <w:r>
              <w:t xml:space="preserve">USD</w:t>
            </w:r>
          </w:p>
        </w:tc>
        <w:tc>
          <w:tcPr/>
          <w:p>
            <w:pPr>
              <w:pStyle w:val="Compact"/>
              <w:jc w:val="right"/>
            </w:pPr>
            <w:r>
              <w:t xml:space="preserve">1998</w:t>
            </w:r>
          </w:p>
        </w:tc>
      </w:tr>
      <w:tr>
        <w:tc>
          <w:tcPr/>
          <w:p>
            <w:pPr>
              <w:pStyle w:val="Compact"/>
              <w:jc w:val="left"/>
            </w:pPr>
            <w:r>
              <w:t xml:space="preserve">Jumia</w:t>
            </w:r>
          </w:p>
        </w:tc>
        <w:tc>
          <w:tcPr/>
          <w:p>
            <w:pPr>
              <w:pStyle w:val="Compact"/>
              <w:jc w:val="left"/>
            </w:pPr>
            <w:r>
              <w:t xml:space="preserve">Foreign</w:t>
            </w:r>
          </w:p>
        </w:tc>
        <w:tc>
          <w:tcPr/>
          <w:p>
            <w:pPr>
              <w:pStyle w:val="Compact"/>
              <w:jc w:val="left"/>
            </w:pPr>
            <w:r>
              <w:t xml:space="preserve">Marketplace</w:t>
            </w:r>
          </w:p>
        </w:tc>
        <w:tc>
          <w:tcPr/>
          <w:p>
            <w:pPr>
              <w:pStyle w:val="Compact"/>
              <w:jc w:val="left"/>
            </w:pPr>
            <w:r>
              <w:t xml:space="preserve">NG</w:t>
            </w:r>
          </w:p>
        </w:tc>
        <w:tc>
          <w:tcPr/>
          <w:p>
            <w:pPr>
              <w:pStyle w:val="Compact"/>
              <w:jc w:val="left"/>
            </w:pPr>
            <w:r>
              <w:t xml:space="preserve">USD</w:t>
            </w:r>
          </w:p>
        </w:tc>
        <w:tc>
          <w:tcPr/>
          <w:p>
            <w:pPr>
              <w:pStyle w:val="Compact"/>
              <w:jc w:val="right"/>
            </w:pPr>
            <w:r>
              <w:t xml:space="preserve">2019</w:t>
            </w:r>
          </w:p>
        </w:tc>
      </w:tr>
      <w:tr>
        <w:tc>
          <w:tcPr/>
          <w:p>
            <w:pPr>
              <w:pStyle w:val="Compact"/>
              <w:jc w:val="left"/>
            </w:pPr>
            <w:r>
              <w:t xml:space="preserve">Mercado Libre</w:t>
            </w:r>
          </w:p>
        </w:tc>
        <w:tc>
          <w:tcPr/>
          <w:p>
            <w:pPr>
              <w:pStyle w:val="Compact"/>
              <w:jc w:val="left"/>
            </w:pPr>
            <w:r>
              <w:t xml:space="preserve">Foreign</w:t>
            </w:r>
          </w:p>
        </w:tc>
        <w:tc>
          <w:tcPr/>
          <w:p>
            <w:pPr>
              <w:pStyle w:val="Compact"/>
              <w:jc w:val="left"/>
            </w:pPr>
            <w:r>
              <w:t xml:space="preserve">Marketplace</w:t>
            </w:r>
          </w:p>
        </w:tc>
        <w:tc>
          <w:tcPr/>
          <w:p>
            <w:pPr>
              <w:pStyle w:val="Compact"/>
              <w:jc w:val="left"/>
            </w:pPr>
            <w:r>
              <w:t xml:space="preserve">BR</w:t>
            </w:r>
          </w:p>
        </w:tc>
        <w:tc>
          <w:tcPr/>
          <w:p>
            <w:pPr>
              <w:pStyle w:val="Compact"/>
              <w:jc w:val="left"/>
            </w:pPr>
            <w:r>
              <w:t xml:space="preserve">USD</w:t>
            </w:r>
          </w:p>
        </w:tc>
        <w:tc>
          <w:tcPr/>
          <w:p>
            <w:pPr>
              <w:pStyle w:val="Compact"/>
              <w:jc w:val="right"/>
            </w:pPr>
            <w:r>
              <w:t xml:space="preserve">2007</w:t>
            </w:r>
          </w:p>
        </w:tc>
      </w:tr>
      <w:tr>
        <w:tc>
          <w:tcPr/>
          <w:p>
            <w:pPr>
              <w:pStyle w:val="Compact"/>
              <w:jc w:val="left"/>
            </w:pPr>
            <w:r>
              <w:t xml:space="preserve">Rakuten</w:t>
            </w:r>
          </w:p>
        </w:tc>
        <w:tc>
          <w:tcPr/>
          <w:p>
            <w:pPr>
              <w:pStyle w:val="Compact"/>
              <w:jc w:val="left"/>
            </w:pPr>
            <w:r>
              <w:t xml:space="preserve">Foreign</w:t>
            </w:r>
          </w:p>
        </w:tc>
        <w:tc>
          <w:tcPr/>
          <w:p>
            <w:pPr>
              <w:pStyle w:val="Compact"/>
              <w:jc w:val="left"/>
            </w:pPr>
            <w:r>
              <w:t xml:space="preserve">Marketplace</w:t>
            </w:r>
          </w:p>
        </w:tc>
        <w:tc>
          <w:tcPr/>
          <w:p>
            <w:pPr>
              <w:pStyle w:val="Compact"/>
              <w:jc w:val="left"/>
            </w:pPr>
            <w:r>
              <w:t xml:space="preserve">JP</w:t>
            </w:r>
          </w:p>
        </w:tc>
        <w:tc>
          <w:tcPr/>
          <w:p>
            <w:pPr>
              <w:pStyle w:val="Compact"/>
              <w:jc w:val="left"/>
            </w:pPr>
            <w:r>
              <w:t xml:space="preserve">JPY</w:t>
            </w:r>
          </w:p>
        </w:tc>
        <w:tc>
          <w:tcPr/>
          <w:p>
            <w:pPr>
              <w:pStyle w:val="Compact"/>
              <w:jc w:val="right"/>
            </w:pPr>
            <w:r>
              <w:t xml:space="preserve">2000</w:t>
            </w:r>
          </w:p>
        </w:tc>
      </w:tr>
      <w:tr>
        <w:tc>
          <w:tcPr/>
          <w:p>
            <w:pPr>
              <w:pStyle w:val="Compact"/>
              <w:jc w:val="left"/>
            </w:pPr>
            <w:r>
              <w:t xml:space="preserve">Sea (Shopee)</w:t>
            </w:r>
          </w:p>
        </w:tc>
        <w:tc>
          <w:tcPr/>
          <w:p>
            <w:pPr>
              <w:pStyle w:val="Compact"/>
              <w:jc w:val="left"/>
            </w:pPr>
            <w:r>
              <w:t xml:space="preserve">Foreign</w:t>
            </w:r>
          </w:p>
        </w:tc>
        <w:tc>
          <w:tcPr/>
          <w:p>
            <w:pPr>
              <w:pStyle w:val="Compact"/>
              <w:jc w:val="left"/>
            </w:pPr>
            <w:r>
              <w:t xml:space="preserve">Marketplace</w:t>
            </w:r>
          </w:p>
        </w:tc>
        <w:tc>
          <w:tcPr/>
          <w:p>
            <w:pPr>
              <w:pStyle w:val="Compact"/>
              <w:jc w:val="left"/>
            </w:pPr>
            <w:r>
              <w:t xml:space="preserve">ID</w:t>
            </w:r>
          </w:p>
        </w:tc>
        <w:tc>
          <w:tcPr/>
          <w:p>
            <w:pPr>
              <w:pStyle w:val="Compact"/>
              <w:jc w:val="left"/>
            </w:pPr>
            <w:r>
              <w:t xml:space="preserve">USD</w:t>
            </w:r>
          </w:p>
        </w:tc>
        <w:tc>
          <w:tcPr/>
          <w:p>
            <w:pPr>
              <w:pStyle w:val="Compact"/>
              <w:jc w:val="right"/>
            </w:pPr>
            <w:r>
              <w:t xml:space="preserve">2017</w:t>
            </w:r>
          </w:p>
        </w:tc>
      </w:tr>
      <w:tr>
        <w:tc>
          <w:tcPr/>
          <w:p>
            <w:pPr>
              <w:pStyle w:val="Compact"/>
              <w:jc w:val="left"/>
            </w:pPr>
            <w:r>
              <w:t xml:space="preserve">Shopify</w:t>
            </w:r>
          </w:p>
        </w:tc>
        <w:tc>
          <w:tcPr/>
          <w:p>
            <w:pPr>
              <w:pStyle w:val="Compact"/>
              <w:jc w:val="left"/>
            </w:pPr>
            <w:r>
              <w:t xml:space="preserve">Foreign</w:t>
            </w:r>
          </w:p>
        </w:tc>
        <w:tc>
          <w:tcPr/>
          <w:p>
            <w:pPr>
              <w:pStyle w:val="Compact"/>
              <w:jc w:val="left"/>
            </w:pPr>
            <w:r>
              <w:t xml:space="preserve">Marketplace</w:t>
            </w:r>
          </w:p>
        </w:tc>
        <w:tc>
          <w:tcPr/>
          <w:p>
            <w:pPr>
              <w:pStyle w:val="Compact"/>
              <w:jc w:val="left"/>
            </w:pPr>
            <w:r>
              <w:t xml:space="preserve">US</w:t>
            </w:r>
          </w:p>
        </w:tc>
        <w:tc>
          <w:tcPr/>
          <w:p>
            <w:pPr>
              <w:pStyle w:val="Compact"/>
              <w:jc w:val="left"/>
            </w:pPr>
            <w:r>
              <w:t xml:space="preserve">USD</w:t>
            </w:r>
          </w:p>
        </w:tc>
        <w:tc>
          <w:tcPr/>
          <w:p>
            <w:pPr>
              <w:pStyle w:val="Compact"/>
              <w:jc w:val="right"/>
            </w:pPr>
            <w:r>
              <w:t xml:space="preserve">2015</w:t>
            </w:r>
          </w:p>
        </w:tc>
      </w:tr>
      <w:tr>
        <w:tc>
          <w:tcPr/>
          <w:p>
            <w:pPr>
              <w:pStyle w:val="Compact"/>
              <w:jc w:val="left"/>
            </w:pPr>
            <w:r>
              <w:t xml:space="preserve">Zalando</w:t>
            </w:r>
          </w:p>
        </w:tc>
        <w:tc>
          <w:tcPr/>
          <w:p>
            <w:pPr>
              <w:pStyle w:val="Compact"/>
              <w:jc w:val="left"/>
            </w:pPr>
            <w:r>
              <w:t xml:space="preserve">Foreign</w:t>
            </w:r>
          </w:p>
        </w:tc>
        <w:tc>
          <w:tcPr/>
          <w:p>
            <w:pPr>
              <w:pStyle w:val="Compact"/>
              <w:jc w:val="left"/>
            </w:pPr>
            <w:r>
              <w:t xml:space="preserve">Marketplace</w:t>
            </w:r>
          </w:p>
        </w:tc>
        <w:tc>
          <w:tcPr/>
          <w:p>
            <w:pPr>
              <w:pStyle w:val="Compact"/>
              <w:jc w:val="left"/>
            </w:pPr>
            <w:r>
              <w:t xml:space="preserve">DE</w:t>
            </w:r>
          </w:p>
        </w:tc>
        <w:tc>
          <w:tcPr/>
          <w:p>
            <w:pPr>
              <w:pStyle w:val="Compact"/>
              <w:jc w:val="left"/>
            </w:pPr>
            <w:r>
              <w:t xml:space="preserve">EUR</w:t>
            </w:r>
          </w:p>
        </w:tc>
        <w:tc>
          <w:tcPr/>
          <w:p>
            <w:pPr>
              <w:pStyle w:val="Compact"/>
              <w:jc w:val="right"/>
            </w:pPr>
            <w:r>
              <w:t xml:space="preserve">2014</w:t>
            </w:r>
          </w:p>
        </w:tc>
      </w:tr>
      <w:tr>
        <w:tc>
          <w:tcPr/>
          <w:p>
            <w:pPr>
              <w:pStyle w:val="Compact"/>
              <w:jc w:val="left"/>
            </w:pPr>
            <w:r>
              <w:t xml:space="preserve">ACV Auctions</w:t>
            </w:r>
          </w:p>
        </w:tc>
        <w:tc>
          <w:tcPr/>
          <w:p>
            <w:pPr>
              <w:pStyle w:val="Compact"/>
              <w:jc w:val="left"/>
            </w:pPr>
            <w:r>
              <w:t xml:space="preserve">Foreign</w:t>
            </w:r>
          </w:p>
        </w:tc>
        <w:tc>
          <w:tcPr/>
          <w:p>
            <w:pPr>
              <w:pStyle w:val="Compact"/>
              <w:jc w:val="left"/>
            </w:pPr>
            <w:r>
              <w:t xml:space="preserve">Resale and auctions</w:t>
            </w:r>
          </w:p>
        </w:tc>
        <w:tc>
          <w:tcPr/>
          <w:p>
            <w:pPr>
              <w:pStyle w:val="Compact"/>
              <w:jc w:val="left"/>
            </w:pPr>
            <w:r>
              <w:t xml:space="preserve">US</w:t>
            </w:r>
          </w:p>
        </w:tc>
        <w:tc>
          <w:tcPr/>
          <w:p>
            <w:pPr>
              <w:pStyle w:val="Compact"/>
              <w:jc w:val="left"/>
            </w:pPr>
            <w:r>
              <w:t xml:space="preserve">USD</w:t>
            </w:r>
          </w:p>
        </w:tc>
        <w:tc>
          <w:tcPr/>
          <w:p>
            <w:pPr>
              <w:pStyle w:val="Compact"/>
              <w:jc w:val="right"/>
            </w:pPr>
            <w:r>
              <w:t xml:space="preserve">2021</w:t>
            </w:r>
          </w:p>
        </w:tc>
      </w:tr>
      <w:tr>
        <w:tc>
          <w:tcPr/>
          <w:p>
            <w:pPr>
              <w:pStyle w:val="Compact"/>
              <w:jc w:val="left"/>
            </w:pPr>
            <w:r>
              <w:t xml:space="preserve">Waitr</w:t>
            </w:r>
          </w:p>
        </w:tc>
        <w:tc>
          <w:tcPr/>
          <w:p>
            <w:pPr>
              <w:pStyle w:val="Compact"/>
              <w:jc w:val="left"/>
            </w:pPr>
            <w:r>
              <w:t xml:space="preserve">Foreign</w:t>
            </w:r>
          </w:p>
        </w:tc>
        <w:tc>
          <w:tcPr/>
          <w:p>
            <w:pPr>
              <w:pStyle w:val="Compact"/>
              <w:jc w:val="left"/>
            </w:pPr>
            <w:r>
              <w:t xml:space="preserve">On-demand</w:t>
            </w:r>
          </w:p>
        </w:tc>
        <w:tc>
          <w:tcPr/>
          <w:p>
            <w:pPr>
              <w:pStyle w:val="Compact"/>
              <w:jc w:val="left"/>
            </w:pPr>
            <w:r>
              <w:t xml:space="preserve">US</w:t>
            </w:r>
          </w:p>
        </w:tc>
        <w:tc>
          <w:tcPr/>
          <w:p>
            <w:pPr>
              <w:pStyle w:val="Compact"/>
              <w:jc w:val="left"/>
            </w:pPr>
            <w:r>
              <w:t xml:space="preserve">USD</w:t>
            </w:r>
          </w:p>
        </w:tc>
        <w:tc>
          <w:tcPr/>
          <w:p>
            <w:pPr>
              <w:pStyle w:val="Compact"/>
              <w:jc w:val="right"/>
            </w:pPr>
            <w:r>
              <w:t xml:space="preserve">2018</w:t>
            </w:r>
          </w:p>
        </w:tc>
      </w:tr>
      <w:tr>
        <w:tc>
          <w:tcPr/>
          <w:p>
            <w:pPr>
              <w:pStyle w:val="Compact"/>
              <w:jc w:val="left"/>
            </w:pPr>
            <w:r>
              <w:t xml:space="preserve">Alibaba</w:t>
            </w:r>
          </w:p>
        </w:tc>
        <w:tc>
          <w:tcPr/>
          <w:p>
            <w:pPr>
              <w:pStyle w:val="Compact"/>
              <w:jc w:val="left"/>
            </w:pPr>
            <w:r>
              <w:t xml:space="preserve">Foreign</w:t>
            </w:r>
          </w:p>
        </w:tc>
        <w:tc>
          <w:tcPr/>
          <w:p>
            <w:pPr>
              <w:pStyle w:val="Compact"/>
              <w:jc w:val="left"/>
            </w:pPr>
            <w:r>
              <w:t xml:space="preserve">Marketplace</w:t>
            </w:r>
          </w:p>
        </w:tc>
        <w:tc>
          <w:tcPr/>
          <w:p>
            <w:pPr>
              <w:pStyle w:val="Compact"/>
              <w:jc w:val="left"/>
            </w:pPr>
            <w:r>
              <w:t xml:space="preserve">CN</w:t>
            </w:r>
          </w:p>
        </w:tc>
        <w:tc>
          <w:tcPr/>
          <w:p>
            <w:pPr>
              <w:pStyle w:val="Compact"/>
              <w:jc w:val="left"/>
            </w:pPr>
            <w:r>
              <w:t xml:space="preserve">CNY</w:t>
            </w:r>
          </w:p>
        </w:tc>
        <w:tc>
          <w:tcPr/>
          <w:p>
            <w:pPr>
              <w:pStyle w:val="Compact"/>
              <w:jc w:val="right"/>
            </w:pPr>
            <w:r>
              <w:t xml:space="preserve">2014</w:t>
            </w:r>
          </w:p>
        </w:tc>
      </w:tr>
      <w:tr>
        <w:tc>
          <w:tcPr/>
          <w:p>
            <w:pPr>
              <w:pStyle w:val="Compact"/>
              <w:jc w:val="left"/>
            </w:pPr>
            <w:r>
              <w:t xml:space="preserve">Despegar</w:t>
            </w:r>
          </w:p>
        </w:tc>
        <w:tc>
          <w:tcPr/>
          <w:p>
            <w:pPr>
              <w:pStyle w:val="Compact"/>
              <w:jc w:val="left"/>
            </w:pPr>
            <w:r>
              <w:t xml:space="preserve">Foreign</w:t>
            </w:r>
          </w:p>
        </w:tc>
        <w:tc>
          <w:tcPr/>
          <w:p>
            <w:pPr>
              <w:pStyle w:val="Compact"/>
              <w:jc w:val="left"/>
            </w:pPr>
            <w:r>
              <w:t xml:space="preserve">Travel and ticketing</w:t>
            </w:r>
          </w:p>
        </w:tc>
        <w:tc>
          <w:tcPr/>
          <w:p>
            <w:pPr>
              <w:pStyle w:val="Compact"/>
              <w:jc w:val="left"/>
            </w:pPr>
            <w:r>
              <w:t xml:space="preserve">AR</w:t>
            </w:r>
          </w:p>
        </w:tc>
        <w:tc>
          <w:tcPr/>
          <w:p>
            <w:pPr>
              <w:pStyle w:val="Compact"/>
              <w:jc w:val="left"/>
            </w:pPr>
            <w:r>
              <w:t xml:space="preserve">USD</w:t>
            </w:r>
          </w:p>
        </w:tc>
        <w:tc>
          <w:tcPr/>
          <w:p>
            <w:pPr>
              <w:pStyle w:val="Compact"/>
              <w:jc w:val="right"/>
            </w:pPr>
            <w:r>
              <w:t xml:space="preserve">2017</w:t>
            </w:r>
          </w:p>
        </w:tc>
      </w:tr>
      <w:tr>
        <w:tc>
          <w:tcPr/>
          <w:p>
            <w:pPr>
              <w:pStyle w:val="Compact"/>
              <w:jc w:val="left"/>
            </w:pPr>
            <w:r>
              <w:t xml:space="preserve">1stDibs</w:t>
            </w:r>
          </w:p>
        </w:tc>
        <w:tc>
          <w:tcPr/>
          <w:p>
            <w:pPr>
              <w:pStyle w:val="Compact"/>
              <w:jc w:val="left"/>
            </w:pPr>
            <w:r>
              <w:t xml:space="preserve">Foreign</w:t>
            </w:r>
          </w:p>
        </w:tc>
        <w:tc>
          <w:tcPr/>
          <w:p>
            <w:pPr>
              <w:pStyle w:val="Compact"/>
              <w:jc w:val="left"/>
            </w:pPr>
            <w:r>
              <w:t xml:space="preserve">Resale and auctions</w:t>
            </w:r>
          </w:p>
        </w:tc>
        <w:tc>
          <w:tcPr/>
          <w:p>
            <w:pPr>
              <w:pStyle w:val="Compact"/>
              <w:jc w:val="left"/>
            </w:pPr>
            <w:r>
              <w:t xml:space="preserve">US</w:t>
            </w:r>
          </w:p>
        </w:tc>
        <w:tc>
          <w:tcPr/>
          <w:p>
            <w:pPr>
              <w:pStyle w:val="Compact"/>
              <w:jc w:val="left"/>
            </w:pPr>
            <w:r>
              <w:t xml:space="preserve">USD</w:t>
            </w:r>
          </w:p>
        </w:tc>
        <w:tc>
          <w:tcPr/>
          <w:p>
            <w:pPr>
              <w:pStyle w:val="Compact"/>
              <w:jc w:val="right"/>
            </w:pPr>
            <w:r>
              <w:t xml:space="preserve">2021</w:t>
            </w:r>
          </w:p>
        </w:tc>
      </w:tr>
      <w:tr>
        <w:tc>
          <w:tcPr/>
          <w:p>
            <w:pPr>
              <w:pStyle w:val="Compact"/>
              <w:jc w:val="left"/>
            </w:pPr>
            <w:r>
              <w:t xml:space="preserve">Expedia</w:t>
            </w:r>
          </w:p>
        </w:tc>
        <w:tc>
          <w:tcPr/>
          <w:p>
            <w:pPr>
              <w:pStyle w:val="Compact"/>
              <w:jc w:val="left"/>
            </w:pPr>
            <w:r>
              <w:t xml:space="preserve">Foreign</w:t>
            </w:r>
          </w:p>
        </w:tc>
        <w:tc>
          <w:tcPr/>
          <w:p>
            <w:pPr>
              <w:pStyle w:val="Compact"/>
              <w:jc w:val="left"/>
            </w:pPr>
            <w:r>
              <w:t xml:space="preserve">Travel and ticketing</w:t>
            </w:r>
          </w:p>
        </w:tc>
        <w:tc>
          <w:tcPr/>
          <w:p>
            <w:pPr>
              <w:pStyle w:val="Compact"/>
              <w:jc w:val="left"/>
            </w:pPr>
            <w:r>
              <w:t xml:space="preserve">US</w:t>
            </w:r>
          </w:p>
        </w:tc>
        <w:tc>
          <w:tcPr/>
          <w:p>
            <w:pPr>
              <w:pStyle w:val="Compact"/>
              <w:jc w:val="left"/>
            </w:pPr>
            <w:r>
              <w:t xml:space="preserve">USD</w:t>
            </w:r>
          </w:p>
        </w:tc>
        <w:tc>
          <w:tcPr/>
          <w:p>
            <w:pPr>
              <w:pStyle w:val="Compact"/>
              <w:jc w:val="right"/>
            </w:pPr>
            <w:r>
              <w:t xml:space="preserve">2005</w:t>
            </w:r>
          </w:p>
        </w:tc>
      </w:tr>
      <w:tr>
        <w:tc>
          <w:tcPr/>
          <w:p>
            <w:pPr>
              <w:pStyle w:val="Compact"/>
              <w:jc w:val="left"/>
            </w:pPr>
            <w:r>
              <w:t xml:space="preserve">Fiverr</w:t>
            </w:r>
          </w:p>
        </w:tc>
        <w:tc>
          <w:tcPr/>
          <w:p>
            <w:pPr>
              <w:pStyle w:val="Compact"/>
              <w:jc w:val="left"/>
            </w:pPr>
            <w:r>
              <w:t xml:space="preserve">Foreign</w:t>
            </w:r>
          </w:p>
        </w:tc>
        <w:tc>
          <w:tcPr/>
          <w:p>
            <w:pPr>
              <w:pStyle w:val="Compact"/>
              <w:jc w:val="left"/>
            </w:pPr>
            <w:r>
              <w:t xml:space="preserve">Freelance</w:t>
            </w:r>
          </w:p>
        </w:tc>
        <w:tc>
          <w:tcPr/>
          <w:p>
            <w:pPr>
              <w:pStyle w:val="Compact"/>
              <w:jc w:val="left"/>
            </w:pPr>
            <w:r>
              <w:t xml:space="preserve">US</w:t>
            </w:r>
          </w:p>
        </w:tc>
        <w:tc>
          <w:tcPr/>
          <w:p>
            <w:pPr>
              <w:pStyle w:val="Compact"/>
              <w:jc w:val="left"/>
            </w:pPr>
            <w:r>
              <w:t xml:space="preserve">USD</w:t>
            </w:r>
          </w:p>
        </w:tc>
        <w:tc>
          <w:tcPr/>
          <w:p>
            <w:pPr>
              <w:pStyle w:val="Compact"/>
              <w:jc w:val="right"/>
            </w:pPr>
            <w:r>
              <w:t xml:space="preserve">2019</w:t>
            </w:r>
          </w:p>
        </w:tc>
      </w:tr>
      <w:tr>
        <w:tc>
          <w:tcPr/>
          <w:p>
            <w:pPr>
              <w:pStyle w:val="Compact"/>
              <w:jc w:val="left"/>
            </w:pPr>
            <w:r>
              <w:t xml:space="preserve">Grubhub</w:t>
            </w:r>
          </w:p>
        </w:tc>
        <w:tc>
          <w:tcPr/>
          <w:p>
            <w:pPr>
              <w:pStyle w:val="Compact"/>
              <w:jc w:val="left"/>
            </w:pPr>
            <w:r>
              <w:t xml:space="preserve">Foreign</w:t>
            </w:r>
          </w:p>
        </w:tc>
        <w:tc>
          <w:tcPr/>
          <w:p>
            <w:pPr>
              <w:pStyle w:val="Compact"/>
              <w:jc w:val="left"/>
            </w:pPr>
            <w:r>
              <w:t xml:space="preserve">On-demand</w:t>
            </w:r>
          </w:p>
        </w:tc>
        <w:tc>
          <w:tcPr/>
          <w:p>
            <w:pPr>
              <w:pStyle w:val="Compact"/>
              <w:jc w:val="left"/>
            </w:pPr>
            <w:r>
              <w:t xml:space="preserve">US</w:t>
            </w:r>
          </w:p>
        </w:tc>
        <w:tc>
          <w:tcPr/>
          <w:p>
            <w:pPr>
              <w:pStyle w:val="Compact"/>
              <w:jc w:val="left"/>
            </w:pPr>
            <w:r>
              <w:t xml:space="preserve">USD</w:t>
            </w:r>
          </w:p>
        </w:tc>
        <w:tc>
          <w:tcPr/>
          <w:p>
            <w:pPr>
              <w:pStyle w:val="Compact"/>
              <w:jc w:val="right"/>
            </w:pPr>
            <w:r>
              <w:t xml:space="preserve">2014</w:t>
            </w:r>
          </w:p>
        </w:tc>
      </w:tr>
      <w:tr>
        <w:tc>
          <w:tcPr/>
          <w:p>
            <w:pPr>
              <w:pStyle w:val="Compact"/>
              <w:jc w:val="left"/>
            </w:pPr>
            <w:r>
              <w:t xml:space="preserve">Hepsiburada</w:t>
            </w:r>
          </w:p>
        </w:tc>
        <w:tc>
          <w:tcPr/>
          <w:p>
            <w:pPr>
              <w:pStyle w:val="Compact"/>
              <w:jc w:val="left"/>
            </w:pPr>
            <w:r>
              <w:t xml:space="preserve">Foreign</w:t>
            </w:r>
          </w:p>
        </w:tc>
        <w:tc>
          <w:tcPr/>
          <w:p>
            <w:pPr>
              <w:pStyle w:val="Compact"/>
              <w:jc w:val="left"/>
            </w:pPr>
            <w:r>
              <w:t xml:space="preserve">Marketplace</w:t>
            </w:r>
          </w:p>
        </w:tc>
        <w:tc>
          <w:tcPr/>
          <w:p>
            <w:pPr>
              <w:pStyle w:val="Compact"/>
              <w:jc w:val="left"/>
            </w:pPr>
            <w:r>
              <w:t xml:space="preserve">TR</w:t>
            </w:r>
          </w:p>
        </w:tc>
        <w:tc>
          <w:tcPr/>
          <w:p>
            <w:pPr>
              <w:pStyle w:val="Compact"/>
              <w:jc w:val="left"/>
            </w:pPr>
            <w:r>
              <w:t xml:space="preserve">TRY</w:t>
            </w:r>
          </w:p>
        </w:tc>
        <w:tc>
          <w:tcPr/>
          <w:p>
            <w:pPr>
              <w:pStyle w:val="Compact"/>
              <w:jc w:val="right"/>
            </w:pPr>
            <w:r>
              <w:t xml:space="preserve">2021</w:t>
            </w:r>
          </w:p>
        </w:tc>
      </w:tr>
      <w:tr>
        <w:tc>
          <w:tcPr/>
          <w:p>
            <w:pPr>
              <w:pStyle w:val="Compact"/>
              <w:jc w:val="left"/>
            </w:pPr>
            <w:r>
              <w:t xml:space="preserve">Kaspi.kz</w:t>
            </w:r>
          </w:p>
        </w:tc>
        <w:tc>
          <w:tcPr/>
          <w:p>
            <w:pPr>
              <w:pStyle w:val="Compact"/>
              <w:jc w:val="left"/>
            </w:pPr>
            <w:r>
              <w:t xml:space="preserve">Foreign</w:t>
            </w:r>
          </w:p>
        </w:tc>
        <w:tc>
          <w:tcPr/>
          <w:p>
            <w:pPr>
              <w:pStyle w:val="Compact"/>
              <w:jc w:val="left"/>
            </w:pPr>
            <w:r>
              <w:t xml:space="preserve">Marketplace</w:t>
            </w:r>
          </w:p>
        </w:tc>
        <w:tc>
          <w:tcPr/>
          <w:p>
            <w:pPr>
              <w:pStyle w:val="Compact"/>
              <w:jc w:val="left"/>
            </w:pPr>
            <w:r>
              <w:t xml:space="preserve">KZ</w:t>
            </w:r>
          </w:p>
        </w:tc>
        <w:tc>
          <w:tcPr/>
          <w:p>
            <w:pPr>
              <w:pStyle w:val="Compact"/>
              <w:jc w:val="left"/>
            </w:pPr>
            <w:r>
              <w:t xml:space="preserve">KZT</w:t>
            </w:r>
          </w:p>
        </w:tc>
        <w:tc>
          <w:tcPr/>
          <w:p>
            <w:pPr>
              <w:pStyle w:val="Compact"/>
              <w:jc w:val="right"/>
            </w:pPr>
            <w:r>
              <w:t xml:space="preserve">2020</w:t>
            </w:r>
          </w:p>
        </w:tc>
      </w:tr>
      <w:tr>
        <w:tc>
          <w:tcPr/>
          <w:p>
            <w:pPr>
              <w:pStyle w:val="Compact"/>
              <w:jc w:val="left"/>
            </w:pPr>
            <w:r>
              <w:t xml:space="preserve">Mogu</w:t>
            </w:r>
          </w:p>
        </w:tc>
        <w:tc>
          <w:tcPr/>
          <w:p>
            <w:pPr>
              <w:pStyle w:val="Compact"/>
              <w:jc w:val="left"/>
            </w:pPr>
            <w:r>
              <w:t xml:space="preserve">Foreign</w:t>
            </w:r>
          </w:p>
        </w:tc>
        <w:tc>
          <w:tcPr/>
          <w:p>
            <w:pPr>
              <w:pStyle w:val="Compact"/>
              <w:jc w:val="left"/>
            </w:pPr>
            <w:r>
              <w:t xml:space="preserve">Marketplace</w:t>
            </w:r>
          </w:p>
        </w:tc>
        <w:tc>
          <w:tcPr/>
          <w:p>
            <w:pPr>
              <w:pStyle w:val="Compact"/>
              <w:jc w:val="left"/>
            </w:pPr>
            <w:r>
              <w:t xml:space="preserve">CN</w:t>
            </w:r>
          </w:p>
        </w:tc>
        <w:tc>
          <w:tcPr/>
          <w:p>
            <w:pPr>
              <w:pStyle w:val="Compact"/>
              <w:jc w:val="left"/>
            </w:pPr>
            <w:r>
              <w:t xml:space="preserve">CNY</w:t>
            </w:r>
          </w:p>
        </w:tc>
        <w:tc>
          <w:tcPr/>
          <w:p>
            <w:pPr>
              <w:pStyle w:val="Compact"/>
              <w:jc w:val="right"/>
            </w:pPr>
            <w:r>
              <w:t xml:space="preserve">2018</w:t>
            </w:r>
          </w:p>
        </w:tc>
      </w:tr>
      <w:tr>
        <w:tc>
          <w:tcPr/>
          <w:p>
            <w:pPr>
              <w:pStyle w:val="Compact"/>
              <w:jc w:val="left"/>
            </w:pPr>
            <w:r>
              <w:t xml:space="preserve">Ozon</w:t>
            </w:r>
          </w:p>
        </w:tc>
        <w:tc>
          <w:tcPr/>
          <w:p>
            <w:pPr>
              <w:pStyle w:val="Compact"/>
              <w:jc w:val="left"/>
            </w:pPr>
            <w:r>
              <w:t xml:space="preserve">Foreign</w:t>
            </w:r>
          </w:p>
        </w:tc>
        <w:tc>
          <w:tcPr/>
          <w:p>
            <w:pPr>
              <w:pStyle w:val="Compact"/>
              <w:jc w:val="left"/>
            </w:pPr>
            <w:r>
              <w:t xml:space="preserve">Marketplace</w:t>
            </w:r>
          </w:p>
        </w:tc>
        <w:tc>
          <w:tcPr/>
          <w:p>
            <w:pPr>
              <w:pStyle w:val="Compact"/>
              <w:jc w:val="left"/>
            </w:pPr>
            <w:r>
              <w:t xml:space="preserve">RU</w:t>
            </w:r>
          </w:p>
        </w:tc>
        <w:tc>
          <w:tcPr/>
          <w:p>
            <w:pPr>
              <w:pStyle w:val="Compact"/>
              <w:jc w:val="left"/>
            </w:pPr>
            <w:r>
              <w:t xml:space="preserve">RUB</w:t>
            </w:r>
          </w:p>
        </w:tc>
        <w:tc>
          <w:tcPr/>
          <w:p>
            <w:pPr>
              <w:pStyle w:val="Compact"/>
              <w:jc w:val="right"/>
            </w:pPr>
            <w:r>
              <w:t xml:space="preserve">2020</w:t>
            </w:r>
          </w:p>
        </w:tc>
      </w:tr>
      <w:tr>
        <w:tc>
          <w:tcPr/>
          <w:p>
            <w:pPr>
              <w:pStyle w:val="Compact"/>
              <w:jc w:val="left"/>
            </w:pPr>
            <w:r>
              <w:t xml:space="preserve">Pinduoduo</w:t>
            </w:r>
          </w:p>
        </w:tc>
        <w:tc>
          <w:tcPr/>
          <w:p>
            <w:pPr>
              <w:pStyle w:val="Compact"/>
              <w:jc w:val="left"/>
            </w:pPr>
            <w:r>
              <w:t xml:space="preserve">Foreign</w:t>
            </w:r>
          </w:p>
        </w:tc>
        <w:tc>
          <w:tcPr/>
          <w:p>
            <w:pPr>
              <w:pStyle w:val="Compact"/>
              <w:jc w:val="left"/>
            </w:pPr>
            <w:r>
              <w:t xml:space="preserve">Marketplace</w:t>
            </w:r>
          </w:p>
        </w:tc>
        <w:tc>
          <w:tcPr/>
          <w:p>
            <w:pPr>
              <w:pStyle w:val="Compact"/>
              <w:jc w:val="left"/>
            </w:pPr>
            <w:r>
              <w:t xml:space="preserve">CN</w:t>
            </w:r>
          </w:p>
        </w:tc>
        <w:tc>
          <w:tcPr/>
          <w:p>
            <w:pPr>
              <w:pStyle w:val="Compact"/>
              <w:jc w:val="left"/>
            </w:pPr>
            <w:r>
              <w:t xml:space="preserve">CNY</w:t>
            </w:r>
          </w:p>
        </w:tc>
        <w:tc>
          <w:tcPr/>
          <w:p>
            <w:pPr>
              <w:pStyle w:val="Compact"/>
              <w:jc w:val="right"/>
            </w:pPr>
            <w:r>
              <w:t xml:space="preserve">2018</w:t>
            </w:r>
          </w:p>
        </w:tc>
      </w:tr>
      <w:tr>
        <w:tc>
          <w:tcPr/>
          <w:p>
            <w:pPr>
              <w:pStyle w:val="Compact"/>
              <w:jc w:val="left"/>
            </w:pPr>
            <w:r>
              <w:t xml:space="preserve">RB Global</w:t>
            </w:r>
          </w:p>
        </w:tc>
        <w:tc>
          <w:tcPr/>
          <w:p>
            <w:pPr>
              <w:pStyle w:val="Compact"/>
              <w:jc w:val="left"/>
            </w:pPr>
            <w:r>
              <w:t xml:space="preserve">Foreign</w:t>
            </w:r>
          </w:p>
        </w:tc>
        <w:tc>
          <w:tcPr/>
          <w:p>
            <w:pPr>
              <w:pStyle w:val="Compact"/>
              <w:jc w:val="left"/>
            </w:pPr>
            <w:r>
              <w:t xml:space="preserve">Resale and auctions</w:t>
            </w:r>
          </w:p>
        </w:tc>
        <w:tc>
          <w:tcPr/>
          <w:p>
            <w:pPr>
              <w:pStyle w:val="Compact"/>
              <w:jc w:val="left"/>
            </w:pPr>
            <w:r>
              <w:t xml:space="preserve">US</w:t>
            </w:r>
          </w:p>
        </w:tc>
        <w:tc>
          <w:tcPr/>
          <w:p>
            <w:pPr>
              <w:pStyle w:val="Compact"/>
              <w:jc w:val="left"/>
            </w:pPr>
            <w:r>
              <w:t xml:space="preserve">USD</w:t>
            </w:r>
          </w:p>
        </w:tc>
        <w:tc>
          <w:tcPr/>
          <w:p>
            <w:pPr>
              <w:pStyle w:val="Compact"/>
              <w:jc w:val="right"/>
            </w:pPr>
            <w:r>
              <w:t xml:space="preserve">1998</w:t>
            </w:r>
          </w:p>
        </w:tc>
      </w:tr>
      <w:tr>
        <w:tc>
          <w:tcPr/>
          <w:p>
            <w:pPr>
              <w:pStyle w:val="Compact"/>
              <w:jc w:val="left"/>
            </w:pPr>
            <w:r>
              <w:t xml:space="preserve">The RealReal</w:t>
            </w:r>
          </w:p>
        </w:tc>
        <w:tc>
          <w:tcPr/>
          <w:p>
            <w:pPr>
              <w:pStyle w:val="Compact"/>
              <w:jc w:val="left"/>
            </w:pPr>
            <w:r>
              <w:t xml:space="preserve">Foreign</w:t>
            </w:r>
          </w:p>
        </w:tc>
        <w:tc>
          <w:tcPr/>
          <w:p>
            <w:pPr>
              <w:pStyle w:val="Compact"/>
              <w:jc w:val="left"/>
            </w:pPr>
            <w:r>
              <w:t xml:space="preserve">Resale and auctions</w:t>
            </w:r>
          </w:p>
        </w:tc>
        <w:tc>
          <w:tcPr/>
          <w:p>
            <w:pPr>
              <w:pStyle w:val="Compact"/>
              <w:jc w:val="left"/>
            </w:pPr>
            <w:r>
              <w:t xml:space="preserve">US</w:t>
            </w:r>
          </w:p>
        </w:tc>
        <w:tc>
          <w:tcPr/>
          <w:p>
            <w:pPr>
              <w:pStyle w:val="Compact"/>
              <w:jc w:val="left"/>
            </w:pPr>
            <w:r>
              <w:t xml:space="preserve">USD</w:t>
            </w:r>
          </w:p>
        </w:tc>
        <w:tc>
          <w:tcPr/>
          <w:p>
            <w:pPr>
              <w:pStyle w:val="Compact"/>
              <w:jc w:val="right"/>
            </w:pPr>
            <w:r>
              <w:t xml:space="preserve">2019</w:t>
            </w:r>
          </w:p>
        </w:tc>
      </w:tr>
      <w:tr>
        <w:tc>
          <w:tcPr/>
          <w:p>
            <w:pPr>
              <w:pStyle w:val="Compact"/>
              <w:jc w:val="left"/>
            </w:pPr>
            <w:r>
              <w:t xml:space="preserve">Vivid Seats</w:t>
            </w:r>
          </w:p>
        </w:tc>
        <w:tc>
          <w:tcPr/>
          <w:p>
            <w:pPr>
              <w:pStyle w:val="Compact"/>
              <w:jc w:val="left"/>
            </w:pPr>
            <w:r>
              <w:t xml:space="preserve">Foreign</w:t>
            </w:r>
          </w:p>
        </w:tc>
        <w:tc>
          <w:tcPr/>
          <w:p>
            <w:pPr>
              <w:pStyle w:val="Compact"/>
              <w:jc w:val="left"/>
            </w:pPr>
            <w:r>
              <w:t xml:space="preserve">Travel and ticketing</w:t>
            </w:r>
          </w:p>
        </w:tc>
        <w:tc>
          <w:tcPr/>
          <w:p>
            <w:pPr>
              <w:pStyle w:val="Compact"/>
              <w:jc w:val="left"/>
            </w:pPr>
            <w:r>
              <w:t xml:space="preserve">US</w:t>
            </w:r>
          </w:p>
        </w:tc>
        <w:tc>
          <w:tcPr/>
          <w:p>
            <w:pPr>
              <w:pStyle w:val="Compact"/>
              <w:jc w:val="left"/>
            </w:pPr>
            <w:r>
              <w:t xml:space="preserve">USD</w:t>
            </w:r>
          </w:p>
        </w:tc>
        <w:tc>
          <w:tcPr/>
          <w:p>
            <w:pPr>
              <w:pStyle w:val="Compact"/>
              <w:jc w:val="right"/>
            </w:pPr>
            <w:r>
              <w:t xml:space="preserve">2021</w:t>
            </w:r>
          </w:p>
        </w:tc>
      </w:tr>
      <w:tr>
        <w:tc>
          <w:tcPr/>
          <w:p>
            <w:pPr>
              <w:pStyle w:val="Compact"/>
              <w:jc w:val="left"/>
            </w:pPr>
            <w:r>
              <w:t xml:space="preserve">Upwork</w:t>
            </w:r>
          </w:p>
        </w:tc>
        <w:tc>
          <w:tcPr/>
          <w:p>
            <w:pPr>
              <w:pStyle w:val="Compact"/>
              <w:jc w:val="left"/>
            </w:pPr>
            <w:r>
              <w:t xml:space="preserve">Foreign</w:t>
            </w:r>
          </w:p>
        </w:tc>
        <w:tc>
          <w:tcPr/>
          <w:p>
            <w:pPr>
              <w:pStyle w:val="Compact"/>
              <w:jc w:val="left"/>
            </w:pPr>
            <w:r>
              <w:t xml:space="preserve">Freelance</w:t>
            </w:r>
          </w:p>
        </w:tc>
        <w:tc>
          <w:tcPr/>
          <w:p>
            <w:pPr>
              <w:pStyle w:val="Compact"/>
              <w:jc w:val="left"/>
            </w:pPr>
            <w:r>
              <w:t xml:space="preserve">US</w:t>
            </w:r>
          </w:p>
        </w:tc>
        <w:tc>
          <w:tcPr/>
          <w:p>
            <w:pPr>
              <w:pStyle w:val="Compact"/>
              <w:jc w:val="left"/>
            </w:pPr>
            <w:r>
              <w:t xml:space="preserve">USD</w:t>
            </w:r>
          </w:p>
        </w:tc>
        <w:tc>
          <w:tcPr/>
          <w:p>
            <w:pPr>
              <w:pStyle w:val="Compact"/>
              <w:jc w:val="right"/>
            </w:pPr>
            <w:r>
              <w:t xml:space="preserve">2018</w:t>
            </w:r>
          </w:p>
        </w:tc>
      </w:tr>
      <w:tr>
        <w:tc>
          <w:tcPr/>
          <w:p>
            <w:pPr>
              <w:pStyle w:val="Compact"/>
              <w:jc w:val="left"/>
            </w:pPr>
            <w:r>
              <w:t xml:space="preserve">Vacasa</w:t>
            </w:r>
          </w:p>
        </w:tc>
        <w:tc>
          <w:tcPr/>
          <w:p>
            <w:pPr>
              <w:pStyle w:val="Compact"/>
              <w:jc w:val="left"/>
            </w:pPr>
            <w:r>
              <w:t xml:space="preserve">Foreign</w:t>
            </w:r>
          </w:p>
        </w:tc>
        <w:tc>
          <w:tcPr/>
          <w:p>
            <w:pPr>
              <w:pStyle w:val="Compact"/>
              <w:jc w:val="left"/>
            </w:pPr>
            <w:r>
              <w:t xml:space="preserve">Travel and ticketing</w:t>
            </w:r>
          </w:p>
        </w:tc>
        <w:tc>
          <w:tcPr/>
          <w:p>
            <w:pPr>
              <w:pStyle w:val="Compact"/>
              <w:jc w:val="left"/>
            </w:pPr>
            <w:r>
              <w:t xml:space="preserve">US</w:t>
            </w:r>
          </w:p>
        </w:tc>
        <w:tc>
          <w:tcPr/>
          <w:p>
            <w:pPr>
              <w:pStyle w:val="Compact"/>
              <w:jc w:val="left"/>
            </w:pPr>
            <w:r>
              <w:t xml:space="preserve">USD</w:t>
            </w:r>
          </w:p>
        </w:tc>
        <w:tc>
          <w:tcPr/>
          <w:p>
            <w:pPr>
              <w:pStyle w:val="Compact"/>
              <w:jc w:val="right"/>
            </w:pPr>
            <w:r>
              <w:t xml:space="preserve">2021</w:t>
            </w:r>
          </w:p>
        </w:tc>
      </w:tr>
      <w:tr>
        <w:tc>
          <w:tcPr/>
          <w:p>
            <w:pPr>
              <w:pStyle w:val="Compact"/>
              <w:jc w:val="left"/>
            </w:pPr>
            <w:r>
              <w:t xml:space="preserve">Yatra</w:t>
            </w:r>
          </w:p>
        </w:tc>
        <w:tc>
          <w:tcPr/>
          <w:p>
            <w:pPr>
              <w:pStyle w:val="Compact"/>
              <w:jc w:val="left"/>
            </w:pPr>
            <w:r>
              <w:t xml:space="preserve">Foreign</w:t>
            </w:r>
          </w:p>
        </w:tc>
        <w:tc>
          <w:tcPr/>
          <w:p>
            <w:pPr>
              <w:pStyle w:val="Compact"/>
              <w:jc w:val="left"/>
            </w:pPr>
            <w:r>
              <w:t xml:space="preserve">Travel and ticketing</w:t>
            </w:r>
          </w:p>
        </w:tc>
        <w:tc>
          <w:tcPr/>
          <w:p>
            <w:pPr>
              <w:pStyle w:val="Compact"/>
              <w:jc w:val="left"/>
            </w:pPr>
            <w:r>
              <w:t xml:space="preserve">IN</w:t>
            </w:r>
          </w:p>
        </w:tc>
        <w:tc>
          <w:tcPr/>
          <w:p>
            <w:pPr>
              <w:pStyle w:val="Compact"/>
              <w:jc w:val="left"/>
            </w:pPr>
            <w:r>
              <w:t xml:space="preserve">INR</w:t>
            </w:r>
          </w:p>
        </w:tc>
        <w:tc>
          <w:tcPr/>
          <w:p>
            <w:pPr>
              <w:pStyle w:val="Compact"/>
              <w:jc w:val="right"/>
            </w:pPr>
            <w:r>
              <w:t xml:space="preserve">2016</w:t>
            </w:r>
          </w:p>
        </w:tc>
      </w:tr>
    </w:tbl>
    <w:bookmarkEnd w:id="98"/>
    <w:bookmarkEnd w:id="99"/>
    <w:bookmarkStart w:id="103" w:name="X86fc5958fcd7d1333545739084b7370a61f7039"/>
    <w:p>
      <w:pPr>
        <w:pStyle w:val="Heading2"/>
      </w:pPr>
      <w:r>
        <w:t xml:space="preserve">Appendix C. The checks on the tests of H1 and on the regressions</w:t>
      </w:r>
    </w:p>
    <w:bookmarkStart w:id="100" w:name="c.1-the-checks"/>
    <w:p>
      <w:pPr>
        <w:pStyle w:val="Heading3"/>
      </w:pPr>
      <w:r>
        <w:t xml:space="preserve">C.1 The checks</w:t>
      </w:r>
    </w:p>
    <w:p>
      <w:pPr>
        <w:pStyle w:val="FirstParagraph"/>
      </w:pPr>
      <w:r>
        <w:t xml:space="preserve">The main test is described in Section 5.2. This appendix keeps its first measure, the absolute change in the log take rate, and lists each check with both p-values where both exist. Sources:</w:t>
      </w:r>
      <w:r>
        <w:t xml:space="preserve"> </w:t>
      </w:r>
      <w:r>
        <w:rPr>
          <w:rStyle w:val="VerbatimChar"/>
        </w:rPr>
        <w:t xml:space="preserve">h1_extended.py</w:t>
      </w:r>
      <w:r>
        <w:t xml:space="preserve"> </w:t>
      </w:r>
      <w:r>
        <w:t xml:space="preserve">(</w:t>
      </w:r>
      <w:r>
        <w:rPr>
          <w:rStyle w:val="VerbatimChar"/>
        </w:rPr>
        <w:t xml:space="preserve">tables/h1_extended_results.json</w:t>
      </w:r>
      <w:r>
        <w:t xml:space="preserve">),</w:t>
      </w:r>
      <w:r>
        <w:t xml:space="preserve"> </w:t>
      </w:r>
      <w:r>
        <w:rPr>
          <w:rStyle w:val="VerbatimChar"/>
        </w:rPr>
        <w:t xml:space="preserve">tables/test_battery.csv</w:t>
      </w:r>
      <w:r>
        <w:t xml:space="preserve">,</w:t>
      </w:r>
      <w:r>
        <w:t xml:space="preserve"> </w:t>
      </w:r>
      <w:r>
        <w:rPr>
          <w:rStyle w:val="VerbatimChar"/>
        </w:rPr>
        <w:t xml:space="preserve">tables/h1_quarterly_results.json</w:t>
      </w:r>
      <w:r>
        <w:t xml:space="preserve">,</w:t>
      </w:r>
      <w:r>
        <w:t xml:space="preserve"> </w:t>
      </w:r>
      <w:r>
        <w:rPr>
          <w:rStyle w:val="VerbatimChar"/>
        </w:rPr>
        <w:t xml:space="preserve">tables/h1_points_vs_log.json</w:t>
      </w:r>
      <w:r>
        <w:t xml:space="preserve">,</w:t>
      </w:r>
      <w:r>
        <w:t xml:space="preserve"> </w:t>
      </w:r>
      <w:r>
        <w:rPr>
          <w:rStyle w:val="VerbatimChar"/>
        </w:rPr>
        <w:t xml:space="preserve">tables/h1_thesis_drops.json</w:t>
      </w:r>
      <w:r>
        <w:t xml:space="preserve">. The two rows on how platforms book shopper discounts come from</w:t>
      </w:r>
      <w:r>
        <w:t xml:space="preserve"> </w:t>
      </w:r>
      <w:r>
        <w:rPr>
          <w:rStyle w:val="VerbatimChar"/>
        </w:rPr>
        <w:t xml:space="preserve">research/option_space_2026-10-01/materials_2026-10-15/incentive_accounting_check.py</w:t>
      </w:r>
      <w:r>
        <w:t xml:space="preserve"> </w:t>
      </w:r>
      <w:r>
        <w:t xml:space="preserve">(classification and filing quotes in</w:t>
      </w:r>
      <w:r>
        <w:t xml:space="preserve"> </w:t>
      </w:r>
      <w:r>
        <w:rPr>
          <w:rStyle w:val="VerbatimChar"/>
        </w:rPr>
        <w:t xml:space="preserve">INCENTIVE_ACCOUNTING.md</w:t>
      </w:r>
      <w:r>
        <w:t xml:space="preserve">); their shuffle uses a different seed.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Check</w:t>
            </w:r>
          </w:p>
        </w:tc>
        <w:tc>
          <w:tcPr/>
          <w:p>
            <w:pPr>
              <w:pStyle w:val="Compact"/>
              <w:jc w:val="left"/>
            </w:pPr>
            <w:r>
              <w:t xml:space="preserve">Indonesian and regional (median)</w:t>
            </w:r>
          </w:p>
        </w:tc>
        <w:tc>
          <w:tcPr/>
          <w:p>
            <w:pPr>
              <w:pStyle w:val="Compact"/>
              <w:jc w:val="left"/>
            </w:pPr>
            <w:r>
              <w:t xml:space="preserve">Foreign (median)</w:t>
            </w:r>
          </w:p>
        </w:tc>
        <w:tc>
          <w:tcPr/>
          <w:p>
            <w:pPr>
              <w:pStyle w:val="Compact"/>
              <w:jc w:val="left"/>
            </w:pPr>
            <w:r>
              <w:t xml:space="preserve">Mann–Whitney p</w:t>
            </w:r>
          </w:p>
        </w:tc>
        <w:tc>
          <w:tcPr/>
          <w:p>
            <w:pPr>
              <w:pStyle w:val="Compact"/>
              <w:jc w:val="left"/>
            </w:pPr>
            <w:r>
              <w:t xml:space="preserve">Shuffle p</w:t>
            </w:r>
          </w:p>
        </w:tc>
      </w:tr>
      <w:tr>
        <w:tc>
          <w:tcPr/>
          <w:p>
            <w:pPr>
              <w:pStyle w:val="Compact"/>
              <w:jc w:val="left"/>
            </w:pPr>
            <w:r>
              <w:t xml:space="preserve">Main test, 5 against 27</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0.0038</w:t>
            </w:r>
          </w:p>
        </w:tc>
        <w:tc>
          <w:tcPr/>
          <w:p>
            <w:pPr>
              <w:pStyle w:val="Compact"/>
              <w:jc w:val="left"/>
            </w:pPr>
            <w:r>
              <w:t xml:space="preserve">0.0221</w:t>
            </w:r>
          </w:p>
        </w:tc>
      </w:tr>
      <w:tr>
        <w:tc>
          <w:tcPr/>
          <w:p>
            <w:pPr>
              <w:pStyle w:val="Compact"/>
              <w:jc w:val="left"/>
            </w:pPr>
            <w:r>
              <w:t xml:space="preserve">5 against the 8 chosen first</w:t>
            </w:r>
          </w:p>
        </w:tc>
        <w:tc>
          <w:tcPr/>
          <w:p>
            <w:pPr>
              <w:pStyle w:val="Compact"/>
              <w:jc w:val="left"/>
            </w:pPr>
            <w:r>
              <w:t xml:space="preserve">0.201</w:t>
            </w:r>
          </w:p>
        </w:tc>
        <w:tc>
          <w:tcPr/>
          <w:p>
            <w:pPr>
              <w:pStyle w:val="Compact"/>
              <w:jc w:val="left"/>
            </w:pPr>
            <w:r>
              <w:t xml:space="preserve">0.055</w:t>
            </w:r>
          </w:p>
        </w:tc>
        <w:tc>
          <w:tcPr/>
          <w:p>
            <w:pPr>
              <w:pStyle w:val="Compact"/>
              <w:jc w:val="left"/>
            </w:pPr>
            <w:r>
              <w:t xml:space="preserve">0.0225</w:t>
            </w:r>
          </w:p>
        </w:tc>
        <w:tc>
          <w:tcPr/>
          <w:p>
            <w:pPr>
              <w:pStyle w:val="Compact"/>
              <w:jc w:val="left"/>
            </w:pPr>
            <w:r>
              <w:t xml:space="preserve">0.0497</w:t>
            </w:r>
          </w:p>
        </w:tc>
      </w:tr>
      <w:tr>
        <w:tc>
          <w:tcPr/>
          <w:p>
            <w:pPr>
              <w:pStyle w:val="Compact"/>
              <w:jc w:val="left"/>
            </w:pPr>
            <w:r>
              <w:t xml:space="preserve">5 against the 19 added</w:t>
            </w:r>
          </w:p>
        </w:tc>
        <w:tc>
          <w:tcPr/>
          <w:p>
            <w:pPr>
              <w:pStyle w:val="Compact"/>
              <w:jc w:val="left"/>
            </w:pPr>
            <w:r>
              <w:t xml:space="preserve">0.201</w:t>
            </w:r>
          </w:p>
        </w:tc>
        <w:tc>
          <w:tcPr/>
          <w:p>
            <w:pPr>
              <w:pStyle w:val="Compact"/>
              <w:jc w:val="left"/>
            </w:pPr>
            <w:r>
              <w:t xml:space="preserve">0.070</w:t>
            </w:r>
          </w:p>
        </w:tc>
        <w:tc>
          <w:tcPr/>
          <w:p>
            <w:pPr>
              <w:pStyle w:val="Compact"/>
              <w:jc w:val="left"/>
            </w:pPr>
            <w:r>
              <w:t xml:space="preserve">0.0046</w:t>
            </w:r>
          </w:p>
        </w:tc>
        <w:tc>
          <w:tcPr/>
          <w:p>
            <w:pPr>
              <w:pStyle w:val="Compact"/>
              <w:jc w:val="left"/>
            </w:pPr>
            <w:r>
              <w:t xml:space="preserve">0.0175</w:t>
            </w:r>
          </w:p>
        </w:tc>
      </w:tr>
      <w:tr>
        <w:tc>
          <w:tcPr/>
          <w:p>
            <w:pPr>
              <w:pStyle w:val="Compact"/>
              <w:jc w:val="left"/>
            </w:pPr>
            <w:r>
              <w:t xml:space="preserve">Without the 8 foreign platforms that book shopper discounts as marketing costs (exploratory, 15 Oct 2026)</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0.0035</w:t>
            </w:r>
          </w:p>
        </w:tc>
        <w:tc>
          <w:tcPr/>
          <w:p>
            <w:pPr>
              <w:pStyle w:val="Compact"/>
              <w:jc w:val="left"/>
            </w:pPr>
            <w:r>
              <w:t xml:space="preserve">0.0066</w:t>
            </w:r>
          </w:p>
        </w:tc>
      </w:tr>
      <w:tr>
        <w:tc>
          <w:tcPr/>
          <w:p>
            <w:pPr>
              <w:pStyle w:val="Compact"/>
              <w:jc w:val="left"/>
            </w:pPr>
            <w:r>
              <w:t xml:space="preserve">Only the 11 foreign platforms that deduct shopper discounts from revenue (exploratory, 15 Oct 2026)</w:t>
            </w:r>
          </w:p>
        </w:tc>
        <w:tc>
          <w:tcPr/>
          <w:p>
            <w:pPr>
              <w:pStyle w:val="Compact"/>
              <w:jc w:val="left"/>
            </w:pPr>
            <w:r>
              <w:t xml:space="preserve">0.201</w:t>
            </w:r>
          </w:p>
        </w:tc>
        <w:tc>
          <w:tcPr/>
          <w:p>
            <w:pPr>
              <w:pStyle w:val="Compact"/>
              <w:jc w:val="left"/>
            </w:pPr>
            <w:r>
              <w:t xml:space="preserve">0.075</w:t>
            </w:r>
          </w:p>
        </w:tc>
        <w:tc>
          <w:tcPr/>
          <w:p>
            <w:pPr>
              <w:pStyle w:val="Compact"/>
              <w:jc w:val="left"/>
            </w:pPr>
            <w:r>
              <w:t xml:space="preserve">0.0043</w:t>
            </w:r>
          </w:p>
        </w:tc>
        <w:tc>
          <w:tcPr/>
          <w:p>
            <w:pPr>
              <w:pStyle w:val="Compact"/>
              <w:jc w:val="left"/>
            </w:pPr>
            <w:r>
              <w:t xml:space="preserve">0.0052</w:t>
            </w:r>
          </w:p>
        </w:tc>
      </w:tr>
      <w:tr>
        <w:tc>
          <w:tcPr/>
          <w:p>
            <w:pPr>
              <w:pStyle w:val="Compact"/>
              <w:jc w:val="left"/>
            </w:pPr>
            <w:r>
              <w:t xml:space="preserve">Growth divergence in points, 5 against 26</w:t>
            </w:r>
          </w:p>
        </w:tc>
        <w:tc>
          <w:tcPr/>
          <w:p>
            <w:pPr>
              <w:pStyle w:val="Compact"/>
              <w:jc w:val="left"/>
            </w:pPr>
            <w:r>
              <w:t xml:space="preserve">27.0</w:t>
            </w:r>
          </w:p>
        </w:tc>
        <w:tc>
          <w:tcPr/>
          <w:p>
            <w:pPr>
              <w:pStyle w:val="Compact"/>
              <w:jc w:val="left"/>
            </w:pPr>
            <w:r>
              <w:t xml:space="preserve">6.5</w:t>
            </w:r>
          </w:p>
        </w:tc>
        <w:tc>
          <w:tcPr/>
          <w:p>
            <w:pPr>
              <w:pStyle w:val="Compact"/>
              <w:jc w:val="left"/>
            </w:pPr>
            <w:r>
              <w:t xml:space="preserve">0.0055</w:t>
            </w:r>
          </w:p>
        </w:tc>
        <w:tc>
          <w:tcPr/>
          <w:p>
            <w:pPr>
              <w:pStyle w:val="Compact"/>
            </w:pPr>
          </w:p>
        </w:tc>
      </w:tr>
      <w:tr>
        <w:tc>
          <w:tcPr/>
          <w:p>
            <w:pPr>
              <w:pStyle w:val="Compact"/>
              <w:jc w:val="left"/>
            </w:pPr>
            <w:r>
              <w:t xml:space="preserve">Without Ozon, 26 foreign platforms</w:t>
            </w:r>
          </w:p>
        </w:tc>
        <w:tc>
          <w:tcPr/>
          <w:p>
            <w:pPr>
              <w:pStyle w:val="Compact"/>
              <w:jc w:val="left"/>
            </w:pPr>
            <w:r>
              <w:t xml:space="preserve">0.201</w:t>
            </w:r>
          </w:p>
        </w:tc>
        <w:tc>
          <w:tcPr/>
          <w:p>
            <w:pPr>
              <w:pStyle w:val="Compact"/>
              <w:jc w:val="left"/>
            </w:pPr>
            <w:r>
              <w:t xml:space="preserve">0.060</w:t>
            </w:r>
          </w:p>
        </w:tc>
        <w:tc>
          <w:tcPr/>
          <w:p>
            <w:pPr>
              <w:pStyle w:val="Compact"/>
              <w:jc w:val="left"/>
            </w:pPr>
            <w:r>
              <w:t xml:space="preserve">0.0030</w:t>
            </w:r>
          </w:p>
        </w:tc>
        <w:tc>
          <w:tcPr/>
          <w:p>
            <w:pPr>
              <w:pStyle w:val="Compact"/>
              <w:jc w:val="left"/>
            </w:pPr>
            <w:r>
              <w:t xml:space="preserve">0.0215</w:t>
            </w:r>
          </w:p>
        </w:tc>
      </w:tr>
      <w:tr>
        <w:tc>
          <w:tcPr/>
          <w:p>
            <w:pPr>
              <w:pStyle w:val="Compact"/>
              <w:jc w:val="left"/>
            </w:pPr>
            <w:r>
              <w:t xml:space="preserve">Without Zalando, 26 foreign platforms</w:t>
            </w:r>
          </w:p>
        </w:tc>
        <w:tc>
          <w:tcPr/>
          <w:p>
            <w:pPr>
              <w:pStyle w:val="Compact"/>
              <w:jc w:val="left"/>
            </w:pPr>
            <w:r>
              <w:t xml:space="preserve">0.201</w:t>
            </w:r>
          </w:p>
        </w:tc>
        <w:tc>
          <w:tcPr/>
          <w:p>
            <w:pPr>
              <w:pStyle w:val="Compact"/>
              <w:jc w:val="left"/>
            </w:pPr>
            <w:r>
              <w:t xml:space="preserve">0.064</w:t>
            </w:r>
          </w:p>
        </w:tc>
        <w:tc>
          <w:tcPr/>
          <w:p>
            <w:pPr>
              <w:pStyle w:val="Compact"/>
              <w:jc w:val="left"/>
            </w:pPr>
            <w:r>
              <w:t xml:space="preserve">0.0045</w:t>
            </w:r>
          </w:p>
        </w:tc>
        <w:tc>
          <w:tcPr/>
          <w:p>
            <w:pPr>
              <w:pStyle w:val="Compact"/>
              <w:jc w:val="left"/>
            </w:pPr>
            <w:r>
              <w:t xml:space="preserve">0.0238</w:t>
            </w:r>
          </w:p>
        </w:tc>
      </w:tr>
      <w:tr>
        <w:tc>
          <w:tcPr/>
          <w:p>
            <w:pPr>
              <w:pStyle w:val="Compact"/>
              <w:jc w:val="left"/>
            </w:pPr>
            <w:r>
              <w:t xml:space="preserve">Without Ozon and Zalando, 25 foreign platforms</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0.0036</w:t>
            </w:r>
          </w:p>
        </w:tc>
        <w:tc>
          <w:tcPr/>
          <w:p>
            <w:pPr>
              <w:pStyle w:val="Compact"/>
              <w:jc w:val="left"/>
            </w:pPr>
            <w:r>
              <w:t xml:space="preserve">0.0230</w:t>
            </w:r>
          </w:p>
        </w:tc>
      </w:tr>
      <w:tr>
        <w:tc>
          <w:tcPr/>
          <w:p>
            <w:pPr>
              <w:pStyle w:val="Compact"/>
              <w:jc w:val="left"/>
            </w:pPr>
            <w:r>
              <w:t xml:space="preserve">Without Blibli third-party retail</w:t>
            </w:r>
          </w:p>
        </w:tc>
        <w:tc>
          <w:tcPr/>
          <w:p>
            <w:pPr>
              <w:pStyle w:val="Compact"/>
              <w:jc w:val="left"/>
            </w:pPr>
            <w:r>
              <w:t xml:space="preserve">0.169</w:t>
            </w:r>
          </w:p>
        </w:tc>
        <w:tc>
          <w:tcPr/>
          <w:p>
            <w:pPr>
              <w:pStyle w:val="Compact"/>
            </w:pPr>
          </w:p>
        </w:tc>
        <w:tc>
          <w:tcPr/>
          <w:p>
            <w:pPr>
              <w:pStyle w:val="Compact"/>
              <w:jc w:val="left"/>
            </w:pPr>
            <w:r>
              <w:t xml:space="preserve">0.0137</w:t>
            </w:r>
          </w:p>
        </w:tc>
        <w:tc>
          <w:tcPr/>
          <w:p>
            <w:pPr>
              <w:pStyle w:val="Compact"/>
              <w:jc w:val="left"/>
            </w:pPr>
            <w:r>
              <w:t xml:space="preserve">0.0364</w:t>
            </w:r>
          </w:p>
        </w:tc>
      </w:tr>
      <w:tr>
        <w:tc>
          <w:tcPr/>
          <w:p>
            <w:pPr>
              <w:pStyle w:val="Compact"/>
              <w:jc w:val="left"/>
            </w:pPr>
            <w:r>
              <w:t xml:space="preserve">Without Bukalapak Group</w:t>
            </w:r>
          </w:p>
        </w:tc>
        <w:tc>
          <w:tcPr/>
          <w:p>
            <w:pPr>
              <w:pStyle w:val="Compact"/>
              <w:jc w:val="left"/>
            </w:pPr>
            <w:r>
              <w:t xml:space="preserve">0.225</w:t>
            </w:r>
          </w:p>
        </w:tc>
        <w:tc>
          <w:tcPr/>
          <w:p>
            <w:pPr>
              <w:pStyle w:val="Compact"/>
            </w:pPr>
          </w:p>
        </w:tc>
        <w:tc>
          <w:tcPr/>
          <w:p>
            <w:pPr>
              <w:pStyle w:val="Compact"/>
              <w:jc w:val="left"/>
            </w:pPr>
            <w:r>
              <w:t xml:space="preserve">0.0049</w:t>
            </w:r>
          </w:p>
        </w:tc>
        <w:tc>
          <w:tcPr/>
          <w:p>
            <w:pPr>
              <w:pStyle w:val="Compact"/>
              <w:jc w:val="left"/>
            </w:pPr>
            <w:r>
              <w:t xml:space="preserve">0.0070</w:t>
            </w:r>
          </w:p>
        </w:tc>
      </w:tr>
      <w:tr>
        <w:tc>
          <w:tcPr/>
          <w:p>
            <w:pPr>
              <w:pStyle w:val="Compact"/>
              <w:jc w:val="left"/>
            </w:pPr>
            <w:r>
              <w:t xml:space="preserve">Without GoTo on-demand</w:t>
            </w:r>
          </w:p>
        </w:tc>
        <w:tc>
          <w:tcPr/>
          <w:p>
            <w:pPr>
              <w:pStyle w:val="Compact"/>
              <w:jc w:val="left"/>
            </w:pPr>
            <w:r>
              <w:t xml:space="preserve">0.225</w:t>
            </w:r>
          </w:p>
        </w:tc>
        <w:tc>
          <w:tcPr/>
          <w:p>
            <w:pPr>
              <w:pStyle w:val="Compact"/>
            </w:pPr>
          </w:p>
        </w:tc>
        <w:tc>
          <w:tcPr/>
          <w:p>
            <w:pPr>
              <w:pStyle w:val="Compact"/>
              <w:jc w:val="left"/>
            </w:pPr>
            <w:r>
              <w:t xml:space="preserve">0.0030</w:t>
            </w:r>
          </w:p>
        </w:tc>
        <w:tc>
          <w:tcPr/>
          <w:p>
            <w:pPr>
              <w:pStyle w:val="Compact"/>
              <w:jc w:val="left"/>
            </w:pPr>
            <w:r>
              <w:t xml:space="preserve">0.0071</w:t>
            </w:r>
          </w:p>
        </w:tc>
      </w:tr>
      <w:tr>
        <w:tc>
          <w:tcPr/>
          <w:p>
            <w:pPr>
              <w:pStyle w:val="Compact"/>
              <w:jc w:val="left"/>
            </w:pPr>
            <w:r>
              <w:t xml:space="preserve">Without Grab on-demand</w:t>
            </w:r>
          </w:p>
        </w:tc>
        <w:tc>
          <w:tcPr/>
          <w:p>
            <w:pPr>
              <w:pStyle w:val="Compact"/>
              <w:jc w:val="left"/>
            </w:pPr>
            <w:r>
              <w:t xml:space="preserve">0.194</w:t>
            </w:r>
          </w:p>
        </w:tc>
        <w:tc>
          <w:tcPr/>
          <w:p>
            <w:pPr>
              <w:pStyle w:val="Compact"/>
            </w:pPr>
          </w:p>
        </w:tc>
        <w:tc>
          <w:tcPr/>
          <w:p>
            <w:pPr>
              <w:pStyle w:val="Compact"/>
              <w:jc w:val="left"/>
            </w:pPr>
            <w:r>
              <w:t xml:space="preserve">0.0094</w:t>
            </w:r>
          </w:p>
        </w:tc>
        <w:tc>
          <w:tcPr/>
          <w:p>
            <w:pPr>
              <w:pStyle w:val="Compact"/>
              <w:jc w:val="left"/>
            </w:pPr>
            <w:r>
              <w:t xml:space="preserve">0.0166</w:t>
            </w:r>
          </w:p>
        </w:tc>
      </w:tr>
      <w:tr>
        <w:tc>
          <w:tcPr/>
          <w:p>
            <w:pPr>
              <w:pStyle w:val="Compact"/>
              <w:jc w:val="left"/>
            </w:pPr>
            <w:r>
              <w:t xml:space="preserve">Without Tokopedia</w:t>
            </w:r>
          </w:p>
        </w:tc>
        <w:tc>
          <w:tcPr/>
          <w:p>
            <w:pPr>
              <w:pStyle w:val="Compact"/>
              <w:jc w:val="left"/>
            </w:pPr>
            <w:r>
              <w:t xml:space="preserve">0.169</w:t>
            </w:r>
          </w:p>
        </w:tc>
        <w:tc>
          <w:tcPr/>
          <w:p>
            <w:pPr>
              <w:pStyle w:val="Compact"/>
            </w:pPr>
          </w:p>
        </w:tc>
        <w:tc>
          <w:tcPr/>
          <w:p>
            <w:pPr>
              <w:pStyle w:val="Compact"/>
              <w:jc w:val="left"/>
            </w:pPr>
            <w:r>
              <w:t xml:space="preserve">0.0164</w:t>
            </w:r>
          </w:p>
        </w:tc>
        <w:tc>
          <w:tcPr/>
          <w:p>
            <w:pPr>
              <w:pStyle w:val="Compact"/>
              <w:jc w:val="left"/>
            </w:pPr>
            <w:r>
              <w:t xml:space="preserve">0.0409</w:t>
            </w:r>
          </w:p>
        </w:tc>
      </w:tr>
      <w:tr>
        <w:tc>
          <w:tcPr/>
          <w:p>
            <w:pPr>
              <w:pStyle w:val="Compact"/>
              <w:jc w:val="left"/>
            </w:pPr>
            <w:r>
              <w:t xml:space="preserve">Three marketplaces against the 8 chosen first, comparing pairs of years, absolute growth divergence in points</w:t>
            </w:r>
          </w:p>
        </w:tc>
        <w:tc>
          <w:tcPr/>
          <w:p>
            <w:pPr>
              <w:pStyle w:val="Compact"/>
              <w:jc w:val="left"/>
            </w:pPr>
            <w:r>
              <w:t xml:space="preserve">38.917</w:t>
            </w:r>
          </w:p>
        </w:tc>
        <w:tc>
          <w:tcPr/>
          <w:p>
            <w:pPr>
              <w:pStyle w:val="Compact"/>
              <w:jc w:val="left"/>
            </w:pPr>
            <w:r>
              <w:t xml:space="preserve">7.105</w:t>
            </w:r>
          </w:p>
        </w:tc>
        <w:tc>
          <w:tcPr/>
          <w:p>
            <w:pPr>
              <w:pStyle w:val="Compact"/>
              <w:jc w:val="left"/>
            </w:pPr>
            <w:r>
              <w:t xml:space="preserve">0.0022</w:t>
            </w:r>
          </w:p>
        </w:tc>
        <w:tc>
          <w:tcPr/>
          <w:p>
            <w:pPr>
              <w:pStyle w:val="Compact"/>
              <w:jc w:val="left"/>
            </w:pPr>
            <w:r>
              <w:t xml:space="preserve">0.0606</w:t>
            </w:r>
          </w:p>
        </w:tc>
      </w:tr>
      <w:tr>
        <w:tc>
          <w:tcPr/>
          <w:p>
            <w:pPr>
              <w:pStyle w:val="Compact"/>
              <w:jc w:val="left"/>
            </w:pPr>
            <w:r>
              <w:t xml:space="preserve">Three marketplaces against the 8 chosen first, one median per platform, absolute growth divergence in points (claims ledger C47,</w:t>
            </w:r>
            <w:r>
              <w:t xml:space="preserve"> </w:t>
            </w:r>
            <w:r>
              <w:rPr>
                <w:rStyle w:val="VerbatimChar"/>
              </w:rPr>
              <w:t xml:space="preserve">build_numbers.py</w:t>
            </w:r>
            <w:r>
              <w:t xml:space="preserve">)</w:t>
            </w:r>
          </w:p>
        </w:tc>
        <w:tc>
          <w:tcPr/>
          <w:p>
            <w:pPr>
              <w:pStyle w:val="Compact"/>
            </w:pPr>
          </w:p>
        </w:tc>
        <w:tc>
          <w:tcPr/>
          <w:p>
            <w:pPr>
              <w:pStyle w:val="Compact"/>
            </w:pPr>
          </w:p>
        </w:tc>
        <w:tc>
          <w:tcPr/>
          <w:p>
            <w:pPr>
              <w:pStyle w:val="Compact"/>
              <w:jc w:val="left"/>
            </w:pPr>
            <w:r>
              <w:t xml:space="preserve">0.0242</w:t>
            </w:r>
          </w:p>
        </w:tc>
        <w:tc>
          <w:tcPr/>
          <w:p>
            <w:pPr>
              <w:pStyle w:val="Compact"/>
            </w:pPr>
          </w:p>
        </w:tc>
      </w:tr>
      <w:tr>
        <w:tc>
          <w:tcPr/>
          <w:p>
            <w:pPr>
              <w:pStyle w:val="Compact"/>
              <w:jc w:val="left"/>
            </w:pPr>
            <w:r>
              <w:t xml:space="preserve">Three marketplaces against the 8 chosen first, comparing pairs of years, absolute growth divergence in points (without Sea)</w:t>
            </w:r>
          </w:p>
        </w:tc>
        <w:tc>
          <w:tcPr/>
          <w:p>
            <w:pPr>
              <w:pStyle w:val="Compact"/>
              <w:jc w:val="left"/>
            </w:pPr>
            <w:r>
              <w:t xml:space="preserve">38.917</w:t>
            </w:r>
          </w:p>
        </w:tc>
        <w:tc>
          <w:tcPr/>
          <w:p>
            <w:pPr>
              <w:pStyle w:val="Compact"/>
              <w:jc w:val="left"/>
            </w:pPr>
            <w:r>
              <w:t xml:space="preserve">4.192</w:t>
            </w:r>
          </w:p>
        </w:tc>
        <w:tc>
          <w:tcPr/>
          <w:p>
            <w:pPr>
              <w:pStyle w:val="Compact"/>
              <w:jc w:val="left"/>
            </w:pPr>
            <w:r>
              <w:t xml:space="preserve">&lt;0.0001</w:t>
            </w:r>
          </w:p>
        </w:tc>
        <w:tc>
          <w:tcPr/>
          <w:p>
            <w:pPr>
              <w:pStyle w:val="Compact"/>
              <w:jc w:val="left"/>
            </w:pPr>
            <w:r>
              <w:t xml:space="preserve">0.0083</w:t>
            </w:r>
          </w:p>
        </w:tc>
      </w:tr>
      <w:tr>
        <w:tc>
          <w:tcPr/>
          <w:p>
            <w:pPr>
              <w:pStyle w:val="Compact"/>
              <w:jc w:val="left"/>
            </w:pPr>
            <w:r>
              <w:t xml:space="preserve">Three marketplaces against the 8 chosen first, comparing pairs of years, absolute change in log take rate</w:t>
            </w:r>
          </w:p>
        </w:tc>
        <w:tc>
          <w:tcPr/>
          <w:p>
            <w:pPr>
              <w:pStyle w:val="Compact"/>
              <w:jc w:val="left"/>
            </w:pPr>
            <w:r>
              <w:t xml:space="preserve">0.252</w:t>
            </w:r>
          </w:p>
        </w:tc>
        <w:tc>
          <w:tcPr/>
          <w:p>
            <w:pPr>
              <w:pStyle w:val="Compact"/>
              <w:jc w:val="left"/>
            </w:pPr>
            <w:r>
              <w:t xml:space="preserve">0.055</w:t>
            </w:r>
          </w:p>
        </w:tc>
        <w:tc>
          <w:tcPr/>
          <w:p>
            <w:pPr>
              <w:pStyle w:val="Compact"/>
              <w:jc w:val="left"/>
            </w:pPr>
            <w:r>
              <w:t xml:space="preserve">0.0037</w:t>
            </w:r>
          </w:p>
        </w:tc>
        <w:tc>
          <w:tcPr/>
          <w:p>
            <w:pPr>
              <w:pStyle w:val="Compact"/>
              <w:jc w:val="left"/>
            </w:pPr>
            <w:r>
              <w:t xml:space="preserve">0.0303</w:t>
            </w:r>
          </w:p>
        </w:tc>
      </w:tr>
      <w:tr>
        <w:tc>
          <w:tcPr/>
          <w:p>
            <w:pPr>
              <w:pStyle w:val="Compact"/>
              <w:jc w:val="left"/>
            </w:pPr>
            <w:r>
              <w:t xml:space="preserve">Three marketplaces against the 8 chosen first, comparing pairs of years, absolute change in log take rate (without Sea)</w:t>
            </w:r>
          </w:p>
        </w:tc>
        <w:tc>
          <w:tcPr/>
          <w:p>
            <w:pPr>
              <w:pStyle w:val="Compact"/>
              <w:jc w:val="left"/>
            </w:pPr>
            <w:r>
              <w:t xml:space="preserve">0.252</w:t>
            </w:r>
          </w:p>
        </w:tc>
        <w:tc>
          <w:tcPr/>
          <w:p>
            <w:pPr>
              <w:pStyle w:val="Compact"/>
              <w:jc w:val="left"/>
            </w:pPr>
            <w:r>
              <w:t xml:space="preserve">0.033</w:t>
            </w:r>
          </w:p>
        </w:tc>
        <w:tc>
          <w:tcPr/>
          <w:p>
            <w:pPr>
              <w:pStyle w:val="Compact"/>
              <w:jc w:val="left"/>
            </w:pPr>
            <w:r>
              <w:t xml:space="preserve">0.0001</w:t>
            </w:r>
          </w:p>
        </w:tc>
        <w:tc>
          <w:tcPr/>
          <w:p>
            <w:pPr>
              <w:pStyle w:val="Compact"/>
              <w:jc w:val="left"/>
            </w:pPr>
            <w:r>
              <w:t xml:space="preserve">0.0167</w:t>
            </w:r>
          </w:p>
        </w:tc>
      </w:tr>
      <w:tr>
        <w:tc>
          <w:tcPr/>
          <w:p>
            <w:pPr>
              <w:pStyle w:val="Compact"/>
              <w:jc w:val="left"/>
            </w:pPr>
            <w:r>
              <w:t xml:space="preserve">Three marketplaces, dropping all three 2022–23 comparisons (5 pairs), absolute growth divergence in points</w:t>
            </w:r>
          </w:p>
        </w:tc>
        <w:tc>
          <w:tcPr/>
          <w:p>
            <w:pPr>
              <w:pStyle w:val="Compact"/>
              <w:jc w:val="left"/>
            </w:pPr>
            <w:r>
              <w:t xml:space="preserve">14.411</w:t>
            </w:r>
          </w:p>
        </w:tc>
        <w:tc>
          <w:tcPr/>
          <w:p>
            <w:pPr>
              <w:pStyle w:val="Compact"/>
              <w:jc w:val="left"/>
            </w:pPr>
            <w:r>
              <w:t xml:space="preserve">7.105</w:t>
            </w:r>
          </w:p>
        </w:tc>
        <w:tc>
          <w:tcPr/>
          <w:p>
            <w:pPr>
              <w:pStyle w:val="Compact"/>
              <w:jc w:val="left"/>
            </w:pPr>
            <w:r>
              <w:t xml:space="preserve">0.0248</w:t>
            </w:r>
          </w:p>
        </w:tc>
        <w:tc>
          <w:tcPr/>
          <w:p>
            <w:pPr>
              <w:pStyle w:val="Compact"/>
              <w:jc w:val="left"/>
            </w:pPr>
            <w:r>
              <w:t xml:space="preserve">0.2222</w:t>
            </w:r>
          </w:p>
        </w:tc>
      </w:tr>
      <w:tr>
        <w:tc>
          <w:tcPr/>
          <w:p>
            <w:pPr>
              <w:pStyle w:val="Compact"/>
              <w:jc w:val="left"/>
            </w:pPr>
            <w:r>
              <w:t xml:space="preserve">Three marketplaces, dropping the largest comparison (7 pairs), absolute growth divergence in points</w:t>
            </w:r>
          </w:p>
        </w:tc>
        <w:tc>
          <w:tcPr/>
          <w:p>
            <w:pPr>
              <w:pStyle w:val="Compact"/>
              <w:jc w:val="left"/>
            </w:pPr>
            <w:r>
              <w:t xml:space="preserve">15.738</w:t>
            </w:r>
          </w:p>
        </w:tc>
        <w:tc>
          <w:tcPr/>
          <w:p>
            <w:pPr>
              <w:pStyle w:val="Compact"/>
              <w:jc w:val="left"/>
            </w:pPr>
            <w:r>
              <w:t xml:space="preserve">7.105</w:t>
            </w:r>
          </w:p>
        </w:tc>
        <w:tc>
          <w:tcPr/>
          <w:p>
            <w:pPr>
              <w:pStyle w:val="Compact"/>
              <w:jc w:val="left"/>
            </w:pPr>
            <w:r>
              <w:t xml:space="preserve">0.0061</w:t>
            </w:r>
          </w:p>
        </w:tc>
        <w:tc>
          <w:tcPr/>
          <w:p>
            <w:pPr>
              <w:pStyle w:val="Compact"/>
              <w:jc w:val="left"/>
            </w:pPr>
            <w:r>
              <w:t xml:space="preserve">0.0606</w:t>
            </w:r>
          </w:p>
        </w:tc>
      </w:tr>
      <w:tr>
        <w:tc>
          <w:tcPr/>
          <w:p>
            <w:pPr>
              <w:pStyle w:val="Compact"/>
              <w:jc w:val="left"/>
            </w:pPr>
            <w:r>
              <w:t xml:space="preserve">Three marketplaces against all 40 foreign pairs, absolute growth divergence in points</w:t>
            </w:r>
          </w:p>
        </w:tc>
        <w:tc>
          <w:tcPr/>
          <w:p>
            <w:pPr>
              <w:pStyle w:val="Compact"/>
              <w:jc w:val="left"/>
            </w:pPr>
            <w:r>
              <w:t xml:space="preserve">38.917</w:t>
            </w:r>
          </w:p>
        </w:tc>
        <w:tc>
          <w:tcPr/>
          <w:p>
            <w:pPr>
              <w:pStyle w:val="Compact"/>
              <w:jc w:val="left"/>
            </w:pPr>
            <w:r>
              <w:t xml:space="preserve">7.373</w:t>
            </w:r>
          </w:p>
        </w:tc>
        <w:tc>
          <w:tcPr/>
          <w:p>
            <w:pPr>
              <w:pStyle w:val="Compact"/>
              <w:jc w:val="left"/>
            </w:pPr>
            <w:r>
              <w:t xml:space="preserve">0.0014</w:t>
            </w:r>
          </w:p>
        </w:tc>
        <w:tc>
          <w:tcPr/>
          <w:p>
            <w:pPr>
              <w:pStyle w:val="Compact"/>
              <w:jc w:val="left"/>
            </w:pPr>
            <w:r>
              <w:t xml:space="preserve">0.0121</w:t>
            </w:r>
          </w:p>
        </w:tc>
      </w:tr>
      <w:tr>
        <w:tc>
          <w:tcPr/>
          <w:p>
            <w:pPr>
              <w:pStyle w:val="Compact"/>
              <w:jc w:val="left"/>
            </w:pPr>
            <w:r>
              <w:t xml:space="preserve">Five Indonesian and regional series including constructed Grab and Shopee (12 pairs) against the 8 chosen first, absolute growth divergence in points</w:t>
            </w:r>
          </w:p>
        </w:tc>
        <w:tc>
          <w:tcPr/>
          <w:p>
            <w:pPr>
              <w:pStyle w:val="Compact"/>
              <w:jc w:val="left"/>
            </w:pPr>
            <w:r>
              <w:t xml:space="preserve">42.017</w:t>
            </w:r>
          </w:p>
        </w:tc>
        <w:tc>
          <w:tcPr/>
          <w:p>
            <w:pPr>
              <w:pStyle w:val="Compact"/>
              <w:jc w:val="left"/>
            </w:pPr>
            <w:r>
              <w:t xml:space="preserve">7.105</w:t>
            </w:r>
          </w:p>
        </w:tc>
        <w:tc>
          <w:tcPr/>
          <w:p>
            <w:pPr>
              <w:pStyle w:val="Compact"/>
              <w:jc w:val="left"/>
            </w:pPr>
            <w:r>
              <w:t xml:space="preserve">0.0006</w:t>
            </w:r>
          </w:p>
        </w:tc>
        <w:tc>
          <w:tcPr/>
          <w:p>
            <w:pPr>
              <w:pStyle w:val="Compact"/>
              <w:jc w:val="left"/>
            </w:pPr>
            <w:r>
              <w:t xml:space="preserve">0.0225</w:t>
            </w:r>
          </w:p>
        </w:tc>
      </w:tr>
      <w:tr>
        <w:tc>
          <w:tcPr/>
          <w:p>
            <w:pPr>
              <w:pStyle w:val="Compact"/>
              <w:jc w:val="left"/>
            </w:pPr>
            <w:r>
              <w:t xml:space="preserve">Tokopedia and GoTo on-demand as one company, 4 against 27</w:t>
            </w:r>
          </w:p>
        </w:tc>
        <w:tc>
          <w:tcPr/>
          <w:p>
            <w:pPr>
              <w:pStyle w:val="Compact"/>
            </w:pPr>
          </w:p>
        </w:tc>
        <w:tc>
          <w:tcPr/>
          <w:p>
            <w:pPr>
              <w:pStyle w:val="Compact"/>
            </w:pPr>
          </w:p>
        </w:tc>
        <w:tc>
          <w:tcPr/>
          <w:p>
            <w:pPr>
              <w:pStyle w:val="Compact"/>
              <w:jc w:val="left"/>
            </w:pPr>
            <w:r>
              <w:t xml:space="preserve">0.003</w:t>
            </w:r>
          </w:p>
        </w:tc>
        <w:tc>
          <w:tcPr/>
          <w:p>
            <w:pPr>
              <w:pStyle w:val="Compact"/>
              <w:jc w:val="left"/>
            </w:pPr>
            <w:r>
              <w:t xml:space="preserve">0.007</w:t>
            </w:r>
          </w:p>
        </w:tc>
      </w:tr>
      <w:tr>
        <w:tc>
          <w:tcPr/>
          <w:p>
            <w:pPr>
              <w:pStyle w:val="Compact"/>
              <w:jc w:val="left"/>
            </w:pPr>
            <w:r>
              <w:t xml:space="preserve">Exact tests over all 201,376 ways to pick the five platforms, main test (exploratory, 22 Oct 2026)</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0.0038</w:t>
            </w:r>
          </w:p>
        </w:tc>
        <w:tc>
          <w:tcPr/>
          <w:p>
            <w:pPr>
              <w:pStyle w:val="Compact"/>
              <w:jc w:val="left"/>
            </w:pPr>
            <w:r>
              <w:t xml:space="preserve">0.0214</w:t>
            </w:r>
          </w:p>
        </w:tc>
      </w:tr>
      <w:tr>
        <w:tc>
          <w:tcPr/>
          <w:p>
            <w:pPr>
              <w:pStyle w:val="Compact"/>
              <w:jc w:val="left"/>
            </w:pPr>
            <w:r>
              <w:t xml:space="preserve">Sea moved to the regional group, 6 against 26 (exploratory, 22 Oct 2026; exact tests)</w:t>
            </w:r>
          </w:p>
        </w:tc>
        <w:tc>
          <w:tcPr/>
          <w:p>
            <w:pPr>
              <w:pStyle w:val="Compact"/>
              <w:jc w:val="left"/>
            </w:pPr>
            <w:r>
              <w:t xml:space="preserve">0.225</w:t>
            </w:r>
          </w:p>
        </w:tc>
        <w:tc>
          <w:tcPr/>
          <w:p>
            <w:pPr>
              <w:pStyle w:val="Compact"/>
              <w:jc w:val="left"/>
            </w:pPr>
            <w:r>
              <w:t xml:space="preserve">0.060</w:t>
            </w:r>
          </w:p>
        </w:tc>
        <w:tc>
          <w:tcPr/>
          <w:p>
            <w:pPr>
              <w:pStyle w:val="Compact"/>
              <w:jc w:val="left"/>
            </w:pPr>
            <w:r>
              <w:t xml:space="preserve">0.0004</w:t>
            </w:r>
          </w:p>
        </w:tc>
        <w:tc>
          <w:tcPr/>
          <w:p>
            <w:pPr>
              <w:pStyle w:val="Compact"/>
              <w:jc w:val="left"/>
            </w:pPr>
            <w:r>
              <w:t xml:space="preserve">0.0006</w:t>
            </w:r>
          </w:p>
        </w:tc>
      </w:tr>
      <w:tr>
        <w:tc>
          <w:tcPr/>
          <w:p>
            <w:pPr>
              <w:pStyle w:val="Compact"/>
              <w:jc w:val="left"/>
            </w:pPr>
            <w:r>
              <w:t xml:space="preserve">Dropping any two of the five platforms, 10 cases (exploratory, 22 Oct 2026; exact test)</w:t>
            </w:r>
          </w:p>
        </w:tc>
        <w:tc>
          <w:tcPr/>
          <w:p>
            <w:pPr>
              <w:pStyle w:val="Compact"/>
              <w:jc w:val="left"/>
            </w:pPr>
            <w:r>
              <w:t xml:space="preserve">0.137 to 0.250</w:t>
            </w:r>
          </w:p>
        </w:tc>
        <w:tc>
          <w:tcPr/>
          <w:p>
            <w:pPr>
              <w:pStyle w:val="Compact"/>
              <w:jc w:val="left"/>
            </w:pPr>
            <w:r>
              <w:t xml:space="preserve">0.062</w:t>
            </w:r>
          </w:p>
        </w:tc>
        <w:tc>
          <w:tcPr/>
          <w:p>
            <w:pPr>
              <w:pStyle w:val="Compact"/>
              <w:jc w:val="left"/>
            </w:pPr>
            <w:r>
              <w:t xml:space="preserve">0.003 to 0.058</w:t>
            </w:r>
          </w:p>
        </w:tc>
        <w:tc>
          <w:tcPr/>
          <w:p>
            <w:pPr>
              <w:pStyle w:val="Compact"/>
            </w:pPr>
          </w:p>
        </w:tc>
      </w:tr>
      <w:tr>
        <w:tc>
          <w:tcPr/>
          <w:p>
            <w:pPr>
              <w:pStyle w:val="Compact"/>
              <w:jc w:val="left"/>
            </w:pPr>
            <w:r>
              <w:t xml:space="preserve">Only years up to 5 after listing, 4 against 18 platforms (exploratory, 22 Oct 2026; exact test)</w:t>
            </w:r>
          </w:p>
        </w:tc>
        <w:tc>
          <w:tcPr/>
          <w:p>
            <w:pPr>
              <w:pStyle w:val="Compact"/>
              <w:jc w:val="left"/>
            </w:pPr>
            <w:r>
              <w:t xml:space="preserve">0.169</w:t>
            </w:r>
          </w:p>
        </w:tc>
        <w:tc>
          <w:tcPr/>
          <w:p>
            <w:pPr>
              <w:pStyle w:val="Compact"/>
              <w:jc w:val="left"/>
            </w:pPr>
            <w:r>
              <w:t xml:space="preserve">0.069</w:t>
            </w:r>
          </w:p>
        </w:tc>
        <w:tc>
          <w:tcPr/>
          <w:p>
            <w:pPr>
              <w:pStyle w:val="Compact"/>
              <w:jc w:val="left"/>
            </w:pPr>
            <w:r>
              <w:t xml:space="preserve">0.059</w:t>
            </w:r>
          </w:p>
        </w:tc>
        <w:tc>
          <w:tcPr/>
          <w:p>
            <w:pPr>
              <w:pStyle w:val="Compact"/>
            </w:pPr>
          </w:p>
        </w:tc>
      </w:tr>
      <w:tr>
        <w:tc>
          <w:tcPr/>
          <w:p>
            <w:pPr>
              <w:pStyle w:val="Compact"/>
              <w:jc w:val="left"/>
            </w:pPr>
            <w:r>
              <w:t xml:space="preserve">Quarterly pairs, 3 against 8 (same quarter a year earlier)</w:t>
            </w:r>
          </w:p>
        </w:tc>
        <w:tc>
          <w:tcPr/>
          <w:p>
            <w:pPr>
              <w:pStyle w:val="Compact"/>
              <w:jc w:val="left"/>
            </w:pPr>
            <w:r>
              <w:t xml:space="preserve">0.071</w:t>
            </w:r>
          </w:p>
        </w:tc>
        <w:tc>
          <w:tcPr/>
          <w:p>
            <w:pPr>
              <w:pStyle w:val="Compact"/>
              <w:jc w:val="left"/>
            </w:pPr>
            <w:r>
              <w:t xml:space="preserve">0.049</w:t>
            </w:r>
          </w:p>
        </w:tc>
        <w:tc>
          <w:tcPr/>
          <w:p>
            <w:pPr>
              <w:pStyle w:val="Compact"/>
              <w:jc w:val="left"/>
            </w:pPr>
            <w:r>
              <w:t xml:space="preserve">0.19</w:t>
            </w:r>
          </w:p>
        </w:tc>
        <w:tc>
          <w:tcPr/>
          <w:p>
            <w:pPr>
              <w:pStyle w:val="Compact"/>
              <w:jc w:val="left"/>
            </w:pPr>
            <w:r>
              <w:t xml:space="preserve">0.33</w:t>
            </w:r>
          </w:p>
        </w:tc>
      </w:tr>
    </w:tbl>
    <w:p>
      <w:pPr>
        <w:pStyle w:val="BodyText"/>
      </w:pPr>
      <w:r>
        <w:t xml:space="preserve">The four rows marked 22 Oct 2026 were added after all other results were known, so they are exploratory. They use exact tests, which list every possible split of the 32 platforms, and they agree with the approximations in Section 5.2. The typical gap between an Indonesian or regional platform and a foreign one is 0.117 in the size of the yearly change in log take rate. That is the median of all 135 pairwise differences, with an exact 95 percent interval of 0.039 to 0.223. The ratio of the group medians is 3.3, and a bootstrap interval of 1.4 to 8.5 shows how loosely five platforms fix its size. Moving Sea to the regional group makes the gap clearer. Dropping two platforms can weaken it. The one case above 0.05 drops Blibli and Tokopedia, the two largest movers, and leaves p = 0.058. Keeping only the years up to five after listing leaves the same direction, but p = 0.059 (</w:t>
      </w:r>
      <w:r>
        <w:rPr>
          <w:rStyle w:val="VerbatimChar"/>
        </w:rPr>
        <w:t xml:space="preserve">tables/h1_exact_inference.json</w:t>
      </w:r>
      <w:r>
        <w:t xml:space="preserve">, from</w:t>
      </w:r>
      <w:r>
        <w:t xml:space="preserve"> </w:t>
      </w:r>
      <w:r>
        <w:rPr>
          <w:rStyle w:val="VerbatimChar"/>
        </w:rPr>
        <w:t xml:space="preserve">h1_exact_inference.py</w:t>
      </w:r>
      <w:r>
        <w:t xml:space="preserve">).</w:t>
      </w:r>
    </w:p>
    <w:p>
      <w:pPr>
        <w:pStyle w:val="BodyText"/>
      </w:pPr>
      <w:r>
        <w:t xml:space="preserve">Growth in revenue and growth in transaction value had a correlation of 0.10 in the Indonesian main sample and 0.98 in the foreign sample excluding Sea (</w:t>
      </w:r>
      <w:r>
        <w:rPr>
          <w:rStyle w:val="VerbatimChar"/>
        </w:rPr>
        <w:t xml:space="preserve">tables/claims_ledger.csv</w:t>
      </w:r>
      <w:r>
        <w:t xml:space="preserve">, C48 and C49).</w:t>
      </w:r>
    </w:p>
    <w:p>
      <w:pPr>
        <w:pStyle w:val="BodyText"/>
      </w:pPr>
      <w:r>
        <w:t xml:space="preserve">The quarterly sample is Grab on-demand, GoTo on-demand and Blibli against Sea, Airbnb, Booking, DoorDash, eBay, Etsy, Lyft and Uber. Airbnb and Booking use trailing four-quarter sums because they book revenue at check-in. DoorDash pairs ending in 2025Q4 or later are dropped because of an acquisition.</w:t>
      </w:r>
    </w:p>
    <w:p>
      <w:pPr>
        <w:pStyle w:val="BodyText"/>
      </w:pPr>
      <w:r>
        <w:t xml:space="preserve">In the pairs of the Indonesian and regional group, the take rate stayed within about 10 percent (0.10 in log terms) in one third of pairs, against 67 to 69 percent in the foreign groups. The version of the test with growth divergence in points has 26 foreign platforms because Ozon has no pair in which both years pass the own-goods rule. The main test keeps Ozon’s pair, whose later year passes, and the first rows above show that dropping it, or Zalando, leaves the result in place.</w:t>
      </w:r>
    </w:p>
    <w:p>
      <w:pPr>
        <w:pStyle w:val="BodyText"/>
      </w:pPr>
      <w:r>
        <w:t xml:space="preserve">The comparison in points of the take rate (exploratory,</w:t>
      </w:r>
      <w:r>
        <w:t xml:space="preserve"> </w:t>
      </w:r>
      <w:r>
        <w:rPr>
          <w:rStyle w:val="VerbatimChar"/>
        </w:rPr>
        <w:t xml:space="preserve">h1_points_vs_log.py</w:t>
      </w:r>
      <w:r>
        <w:t xml:space="preserve">): median yearly change 1.01 points in the Indonesian and regional group and 0.98 points in the foreign group (26 platforms), Mann–Whitney p = 0.65; median share kept 1.59 percent against 16.93 percent.</w:t>
      </w:r>
    </w:p>
    <w:bookmarkEnd w:id="100"/>
    <w:bookmarkStart w:id="101" w:name="X52d5ae19455bf2fec6946631ede33e95919406f"/>
    <w:p>
      <w:pPr>
        <w:pStyle w:val="Heading3"/>
      </w:pPr>
      <w:r>
        <w:t xml:space="preserve">C.2 Where the 2023 break sits (exploratory)</w:t>
      </w:r>
    </w:p>
    <w:p>
      <w:pPr>
        <w:pStyle w:val="FirstParagraph"/>
      </w:pPr>
      <w:r>
        <w:t xml:space="preserve">At the top of the size distribution, sellers with revenue above Rp50 billion a year (about US$3.4 million at the 2022 rate) were 0.5 percent of BPS’s marketplace sellers in 2022 and held between 18 and 39 percent of the marketplace slice’s value, resting on 19 sample rows (</w:t>
      </w:r>
      <w:r>
        <w:rPr>
          <w:rStyle w:val="VerbatimChar"/>
        </w:rPr>
        <w:t xml:space="preserve">tables/part5_checks.json</w:t>
      </w:r>
      <w:r>
        <w:t xml:space="preserve">).</w:t>
      </w:r>
    </w:p>
    <w:p>
      <w:pPr>
        <w:pStyle w:val="BodyText"/>
      </w:pPr>
      <w:r>
        <w:t xml:space="preserve">Across the 34 provinces, count growth had a rank correlation of 0.10 (p = 0.59) with the share of new sellers and 0.35 (p = 0.04) with growth in sample size. In 23 provinces count growth exceeded what entry can explain, and these provinces carry 98.5 percent of the increase. The standard error of the national count implied by BPS’s published relative standard errors is about 1.4 percent. The 306 thousand newly counted sellers are about 4.6 times the standard error of the change, and 2.3 times if the true error were twice as large (</w:t>
      </w:r>
      <w:r>
        <w:rPr>
          <w:rStyle w:val="VerbatimChar"/>
        </w:rPr>
        <w:t xml:space="preserve">tables/bps_frame_check.json</w:t>
      </w:r>
      <w:r>
        <w:t xml:space="preserve">,</w:t>
      </w:r>
      <w:r>
        <w:t xml:space="preserve"> </w:t>
      </w:r>
      <w:r>
        <w:rPr>
          <w:rStyle w:val="VerbatimChar"/>
        </w:rPr>
        <w:t xml:space="preserve">tables/rq_closing_checks.json</w:t>
      </w:r>
      <w:r>
        <w:t xml:space="preserve">).</w:t>
      </w:r>
    </w:p>
    <w:bookmarkEnd w:id="101"/>
    <w:bookmarkStart w:id="102" w:name="Xdccb276a307a64fb68cdad97e588739fa6cabc6"/>
    <w:p>
      <w:pPr>
        <w:pStyle w:val="Heading3"/>
      </w:pPr>
      <w:r>
        <w:t xml:space="preserve">C.3 Checks on the growth test and on the regressions (exploratory, 25 Oct 2026)</w:t>
      </w:r>
    </w:p>
    <w:p>
      <w:pPr>
        <w:pStyle w:val="FirstParagraph"/>
      </w:pPr>
      <w:r>
        <w:t xml:space="preserve">The first table repeats the test of the size of take-rate moves with other measures of the yearly change. The second gives the correlation of revenue growth and transaction value growth with and without capping the growth rates, and the rank correlation. The third lists the checks on the coefficient on IndonesiaRegion in Table 5.4. Sources:</w:t>
      </w:r>
      <w:r>
        <w:t xml:space="preserve"> </w:t>
      </w:r>
      <w:r>
        <w:rPr>
          <w:rStyle w:val="VerbatimChar"/>
        </w:rPr>
        <w:t xml:space="preserve">h1_simple_change.py</w:t>
      </w:r>
      <w:r>
        <w:t xml:space="preserve"> </w:t>
      </w:r>
      <w:r>
        <w:t xml:space="preserve">(</w:t>
      </w:r>
      <w:r>
        <w:rPr>
          <w:rStyle w:val="VerbatimChar"/>
        </w:rPr>
        <w:t xml:space="preserve">tables/h1_simple_change.json</w:t>
      </w:r>
      <w:r>
        <w:t xml:space="preserve">),</w:t>
      </w:r>
      <w:r>
        <w:t xml:space="preserve"> </w:t>
      </w:r>
      <w:r>
        <w:rPr>
          <w:rStyle w:val="VerbatimChar"/>
        </w:rPr>
        <w:t xml:space="preserve">kong_regressions.py</w:t>
      </w:r>
      <w:r>
        <w:t xml:space="preserve"> </w:t>
      </w:r>
      <w:r>
        <w:t xml:space="preserve">(</w:t>
      </w:r>
      <w:r>
        <w:rPr>
          <w:rStyle w:val="VerbatimChar"/>
        </w:rPr>
        <w:t xml:space="preserve">tables/kong_results.json</w:t>
      </w:r>
      <w:r>
        <w:t xml:space="preserve">),</w:t>
      </w:r>
      <w:r>
        <w:t xml:space="preserve"> </w:t>
      </w:r>
      <w:r>
        <w:rPr>
          <w:rStyle w:val="VerbatimChar"/>
        </w:rPr>
        <w:t xml:space="preserve">build_regression_panel.py</w:t>
      </w:r>
      <w:r>
        <w:t xml:space="preserve"> </w:t>
      </w:r>
      <w:r>
        <w:t xml:space="preserve">(</w:t>
      </w:r>
      <w:r>
        <w:rPr>
          <w:rStyle w:val="VerbatimChar"/>
        </w:rPr>
        <w:t xml:space="preserve">tables/regression_panel.csv</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Measure of the yearly change in the take rate</w:t>
            </w:r>
          </w:p>
        </w:tc>
        <w:tc>
          <w:tcPr/>
          <w:p>
            <w:pPr>
              <w:pStyle w:val="Compact"/>
              <w:jc w:val="left"/>
            </w:pPr>
            <w:r>
              <w:t xml:space="preserve">Indonesian and regional (median)</w:t>
            </w:r>
          </w:p>
        </w:tc>
        <w:tc>
          <w:tcPr/>
          <w:p>
            <w:pPr>
              <w:pStyle w:val="Compact"/>
              <w:jc w:val="left"/>
            </w:pPr>
            <w:r>
              <w:t xml:space="preserve">Foreign (median)</w:t>
            </w:r>
          </w:p>
        </w:tc>
        <w:tc>
          <w:tcPr/>
          <w:p>
            <w:pPr>
              <w:pStyle w:val="Compact"/>
              <w:jc w:val="left"/>
            </w:pPr>
            <w:r>
              <w:t xml:space="preserve">Ratio</w:t>
            </w:r>
          </w:p>
        </w:tc>
        <w:tc>
          <w:tcPr/>
          <w:p>
            <w:pPr>
              <w:pStyle w:val="Compact"/>
              <w:jc w:val="left"/>
            </w:pPr>
            <w:r>
              <w:t xml:space="preserve">Mann–Whitney p</w:t>
            </w:r>
          </w:p>
        </w:tc>
      </w:tr>
      <w:tr>
        <w:tc>
          <w:tcPr/>
          <w:p>
            <w:pPr>
              <w:pStyle w:val="Compact"/>
              <w:jc w:val="left"/>
            </w:pPr>
            <w:r>
              <w:t xml:space="preserve">Absolute change in the logarithm (the first version)</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3.3</w:t>
            </w:r>
          </w:p>
        </w:tc>
        <w:tc>
          <w:tcPr/>
          <w:p>
            <w:pPr>
              <w:pStyle w:val="Compact"/>
              <w:jc w:val="left"/>
            </w:pPr>
            <w:r>
              <w:t xml:space="preserve">0.0038</w:t>
            </w:r>
          </w:p>
        </w:tc>
      </w:tr>
      <w:tr>
        <w:tc>
          <w:tcPr/>
          <w:p>
            <w:pPr>
              <w:pStyle w:val="Compact"/>
              <w:jc w:val="left"/>
            </w:pPr>
            <w:r>
              <w:t xml:space="preserve">Absolute simple percentage change (Section 5.2)</w:t>
            </w:r>
          </w:p>
        </w:tc>
        <w:tc>
          <w:tcPr/>
          <w:p>
            <w:pPr>
              <w:pStyle w:val="Compact"/>
              <w:jc w:val="left"/>
            </w:pPr>
            <w:r>
              <w:t xml:space="preserve">0.224</w:t>
            </w:r>
          </w:p>
        </w:tc>
        <w:tc>
          <w:tcPr/>
          <w:p>
            <w:pPr>
              <w:pStyle w:val="Compact"/>
              <w:jc w:val="left"/>
            </w:pPr>
            <w:r>
              <w:t xml:space="preserve">0.062</w:t>
            </w:r>
          </w:p>
        </w:tc>
        <w:tc>
          <w:tcPr/>
          <w:p>
            <w:pPr>
              <w:pStyle w:val="Compact"/>
              <w:jc w:val="left"/>
            </w:pPr>
            <w:r>
              <w:t xml:space="preserve">3.6</w:t>
            </w:r>
          </w:p>
        </w:tc>
        <w:tc>
          <w:tcPr/>
          <w:p>
            <w:pPr>
              <w:pStyle w:val="Compact"/>
              <w:jc w:val="left"/>
            </w:pPr>
            <w:r>
              <w:t xml:space="preserve">0.0031</w:t>
            </w:r>
          </w:p>
        </w:tc>
      </w:tr>
      <w:tr>
        <w:tc>
          <w:tcPr/>
          <w:p>
            <w:pPr>
              <w:pStyle w:val="Compact"/>
              <w:jc w:val="left"/>
            </w:pPr>
            <w:r>
              <w:t xml:space="preserve">Absolute change over the mean of the two take rates</w:t>
            </w:r>
          </w:p>
        </w:tc>
        <w:tc>
          <w:tcPr/>
          <w:p>
            <w:pPr>
              <w:pStyle w:val="Compact"/>
              <w:jc w:val="left"/>
            </w:pPr>
            <w:r>
              <w:t xml:space="preserve">0.199</w:t>
            </w:r>
          </w:p>
        </w:tc>
        <w:tc>
          <w:tcPr/>
          <w:p>
            <w:pPr>
              <w:pStyle w:val="Compact"/>
              <w:jc w:val="left"/>
            </w:pPr>
            <w:r>
              <w:t xml:space="preserve">0.062</w:t>
            </w:r>
          </w:p>
        </w:tc>
        <w:tc>
          <w:tcPr/>
          <w:p>
            <w:pPr>
              <w:pStyle w:val="Compact"/>
              <w:jc w:val="left"/>
            </w:pPr>
            <w:r>
              <w:t xml:space="preserve">3.2</w:t>
            </w:r>
          </w:p>
        </w:tc>
        <w:tc>
          <w:tcPr/>
          <w:p>
            <w:pPr>
              <w:pStyle w:val="Compact"/>
              <w:jc w:val="left"/>
            </w:pPr>
            <w:r>
              <w:t xml:space="preserve">0.0038</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Correlation, capped</w:t>
            </w:r>
          </w:p>
        </w:tc>
        <w:tc>
          <w:tcPr/>
          <w:p>
            <w:pPr>
              <w:pStyle w:val="Compact"/>
              <w:jc w:val="left"/>
            </w:pPr>
            <w:r>
              <w:t xml:space="preserve">Correlation, not capped</w:t>
            </w:r>
          </w:p>
        </w:tc>
        <w:tc>
          <w:tcPr/>
          <w:p>
            <w:pPr>
              <w:pStyle w:val="Compact"/>
              <w:jc w:val="left"/>
            </w:pPr>
            <w:r>
              <w:t xml:space="preserve">Rank correlation</w:t>
            </w:r>
          </w:p>
        </w:tc>
        <w:tc>
          <w:tcPr/>
          <w:p>
            <w:pPr>
              <w:pStyle w:val="Compact"/>
              <w:jc w:val="left"/>
            </w:pPr>
            <w:r>
              <w:t xml:space="preserve">Pairs</w:t>
            </w:r>
          </w:p>
        </w:tc>
      </w:tr>
      <w:tr>
        <w:tc>
          <w:tcPr/>
          <w:p>
            <w:pPr>
              <w:pStyle w:val="Compact"/>
              <w:jc w:val="left"/>
            </w:pPr>
            <w:r>
              <w:t xml:space="preserve">Foreign</w:t>
            </w:r>
          </w:p>
        </w:tc>
        <w:tc>
          <w:tcPr/>
          <w:p>
            <w:pPr>
              <w:pStyle w:val="Compact"/>
              <w:jc w:val="left"/>
            </w:pPr>
            <w:r>
              <w:t xml:space="preserve">0.90</w:t>
            </w:r>
          </w:p>
        </w:tc>
        <w:tc>
          <w:tcPr/>
          <w:p>
            <w:pPr>
              <w:pStyle w:val="Compact"/>
              <w:jc w:val="left"/>
            </w:pPr>
            <w:r>
              <w:t xml:space="preserve">0.54</w:t>
            </w:r>
          </w:p>
        </w:tc>
        <w:tc>
          <w:tcPr/>
          <w:p>
            <w:pPr>
              <w:pStyle w:val="Compact"/>
              <w:jc w:val="left"/>
            </w:pPr>
            <w:r>
              <w:t xml:space="preserve">0.89</w:t>
            </w:r>
          </w:p>
        </w:tc>
        <w:tc>
          <w:tcPr/>
          <w:p>
            <w:pPr>
              <w:pStyle w:val="Compact"/>
              <w:jc w:val="left"/>
            </w:pPr>
            <w:r>
              <w:t xml:space="preserve">166</w:t>
            </w:r>
          </w:p>
        </w:tc>
      </w:tr>
      <w:tr>
        <w:tc>
          <w:tcPr/>
          <w:p>
            <w:pPr>
              <w:pStyle w:val="Compact"/>
              <w:jc w:val="left"/>
            </w:pPr>
            <w:r>
              <w:t xml:space="preserve">Indonesian and regional</w:t>
            </w:r>
          </w:p>
        </w:tc>
        <w:tc>
          <w:tcPr/>
          <w:p>
            <w:pPr>
              <w:pStyle w:val="Compact"/>
              <w:jc w:val="left"/>
            </w:pPr>
            <w:r>
              <w:t xml:space="preserve">0.31</w:t>
            </w:r>
          </w:p>
        </w:tc>
        <w:tc>
          <w:tcPr/>
          <w:p>
            <w:pPr>
              <w:pStyle w:val="Compact"/>
              <w:jc w:val="left"/>
            </w:pPr>
            <w:r>
              <w:t xml:space="preserve">0.18</w:t>
            </w:r>
          </w:p>
        </w:tc>
        <w:tc>
          <w:tcPr/>
          <w:p>
            <w:pPr>
              <w:pStyle w:val="Compact"/>
              <w:jc w:val="left"/>
            </w:pPr>
            <w:r>
              <w:t xml:space="preserve">0.64</w:t>
            </w:r>
          </w:p>
        </w:tc>
        <w:tc>
          <w:tcPr/>
          <w:p>
            <w:pPr>
              <w:pStyle w:val="Compact"/>
              <w:jc w:val="left"/>
            </w:pPr>
            <w:r>
              <w:t xml:space="preserve">15</w:t>
            </w:r>
          </w:p>
        </w:tc>
      </w:tr>
      <w:tr>
        <w:tc>
          <w:tcPr/>
          <w:p>
            <w:pPr>
              <w:pStyle w:val="Compact"/>
              <w:jc w:val="left"/>
            </w:pPr>
            <w:r>
              <w:t xml:space="preserve">All platforms</w:t>
            </w:r>
          </w:p>
        </w:tc>
        <w:tc>
          <w:tcPr/>
          <w:p>
            <w:pPr>
              <w:pStyle w:val="Compact"/>
              <w:jc w:val="left"/>
            </w:pPr>
            <w:r>
              <w:t xml:space="preserve">0.84</w:t>
            </w:r>
          </w:p>
        </w:tc>
        <w:tc>
          <w:tcPr/>
          <w:p>
            <w:pPr>
              <w:pStyle w:val="Compact"/>
              <w:jc w:val="left"/>
            </w:pPr>
            <w:r>
              <w:t xml:space="preserve">0.53</w:t>
            </w:r>
          </w:p>
        </w:tc>
        <w:tc>
          <w:tcPr/>
          <w:p>
            <w:pPr>
              <w:pStyle w:val="Compact"/>
              <w:jc w:val="left"/>
            </w:pPr>
            <w:r>
              <w:t xml:space="preserve">0.87</w:t>
            </w:r>
          </w:p>
        </w:tc>
        <w:tc>
          <w:tcPr/>
          <w:p>
            <w:pPr>
              <w:pStyle w:val="Compact"/>
              <w:jc w:val="left"/>
            </w:pPr>
            <w:r>
              <w:t xml:space="preserve">181</w:t>
            </w:r>
          </w:p>
        </w:tc>
      </w:tr>
    </w:tbl>
    <w:p/>
    <w:tbl>
      <w:tblPr>
        <w:tblStyle w:val="Table"/>
        <w:tblW w:type="pct" w:w="5000"/>
        <w:tblLook w:firstRow="1" w:lastRow="0" w:firstColumn="0" w:lastColumn="0" w:noHBand="0" w:noVBand="0" w:val="0020"/>
        <w:jc w:val="start"/>
      </w:tblPr>
      <w:tblGrid>
        <w:gridCol w:w="1080"/>
        <w:gridCol w:w="1080"/>
        <w:gridCol w:w="1440"/>
        <w:gridCol w:w="1440"/>
        <w:gridCol w:w="1440"/>
        <w:gridCol w:w="1440"/>
      </w:tblGrid>
      <w:tr>
        <w:trPr>
          <w:tblHeader w:val="true"/>
        </w:trPr>
        <w:tc>
          <w:tcPr/>
          <w:p>
            <w:pPr>
              <w:pStyle w:val="Compact"/>
              <w:jc w:val="left"/>
            </w:pPr>
            <w:r>
              <w:t xml:space="preserve">Check</w:t>
            </w:r>
          </w:p>
        </w:tc>
        <w:tc>
          <w:tcPr/>
          <w:p>
            <w:pPr>
              <w:pStyle w:val="Compact"/>
              <w:jc w:val="left"/>
            </w:pPr>
            <w:r>
              <w:t xml:space="preserve">Dependent variable</w:t>
            </w:r>
          </w:p>
        </w:tc>
        <w:tc>
          <w:tcPr/>
          <w:p>
            <w:pPr>
              <w:pStyle w:val="Compact"/>
              <w:jc w:val="right"/>
            </w:pPr>
            <w:r>
              <w:t xml:space="preserve">IndonesiaRegion</w:t>
            </w:r>
          </w:p>
        </w:tc>
        <w:tc>
          <w:tcPr/>
          <w:p>
            <w:pPr>
              <w:pStyle w:val="Compact"/>
              <w:jc w:val="right"/>
            </w:pPr>
            <w:r>
              <w:t xml:space="preserve">p</w:t>
            </w:r>
          </w:p>
        </w:tc>
        <w:tc>
          <w:tcPr/>
          <w:p>
            <w:pPr>
              <w:pStyle w:val="Compact"/>
              <w:jc w:val="right"/>
            </w:pPr>
            <w:r>
              <w:t xml:space="preserve">Wild-bootstrap p</w:t>
            </w:r>
          </w:p>
        </w:tc>
        <w:tc>
          <w:tcPr/>
          <w:p>
            <w:pPr>
              <w:pStyle w:val="Compact"/>
              <w:jc w:val="right"/>
            </w:pPr>
            <w:r>
              <w:t xml:space="preserve">Observations</w:t>
            </w:r>
          </w:p>
        </w:tc>
      </w:tr>
      <w:tr>
        <w:tc>
          <w:tcPr/>
          <w:p>
            <w:pPr>
              <w:pStyle w:val="Compact"/>
              <w:jc w:val="left"/>
            </w:pPr>
            <w:r>
              <w:t xml:space="preserve">Table 5.4, column (3)</w:t>
            </w:r>
          </w:p>
        </w:tc>
        <w:tc>
          <w:tcPr/>
          <w:p>
            <w:pPr>
              <w:pStyle w:val="Compact"/>
              <w:jc w:val="left"/>
            </w:pPr>
            <w:r>
              <w:t xml:space="preserve">ln(Wedge)</w:t>
            </w:r>
          </w:p>
        </w:tc>
        <w:tc>
          <w:tcPr/>
          <w:p>
            <w:pPr>
              <w:pStyle w:val="Compact"/>
              <w:jc w:val="right"/>
            </w:pPr>
            <w:r>
              <w:t xml:space="preserve">0.080</w:t>
            </w:r>
          </w:p>
        </w:tc>
        <w:tc>
          <w:tcPr/>
          <w:p>
            <w:pPr>
              <w:pStyle w:val="Compact"/>
              <w:jc w:val="right"/>
            </w:pPr>
            <w:r>
              <w:t xml:space="preserve">0.841</w:t>
            </w:r>
          </w:p>
        </w:tc>
        <w:tc>
          <w:tcPr/>
          <w:p>
            <w:pPr>
              <w:pStyle w:val="Compact"/>
              <w:jc w:val="right"/>
            </w:pPr>
            <w:r>
              <w:t xml:space="preserve">0.866</w:t>
            </w:r>
          </w:p>
        </w:tc>
        <w:tc>
          <w:tcPr/>
          <w:p>
            <w:pPr>
              <w:pStyle w:val="Compact"/>
              <w:jc w:val="right"/>
            </w:pPr>
            <w:r>
              <w:t xml:space="preserve">178</w:t>
            </w:r>
          </w:p>
        </w:tc>
      </w:tr>
      <w:tr>
        <w:tc>
          <w:tcPr/>
          <w:p>
            <w:pPr>
              <w:pStyle w:val="Compact"/>
              <w:jc w:val="left"/>
            </w:pPr>
            <w:r>
              <w:t xml:space="preserve">Table 5.4, column (6)</w:t>
            </w:r>
          </w:p>
        </w:tc>
        <w:tc>
          <w:tcPr/>
          <w:p>
            <w:pPr>
              <w:pStyle w:val="Compact"/>
              <w:jc w:val="left"/>
            </w:pPr>
            <w:r>
              <w:t xml:space="preserve">Ecosystem ratio</w:t>
            </w:r>
          </w:p>
        </w:tc>
        <w:tc>
          <w:tcPr/>
          <w:p>
            <w:pPr>
              <w:pStyle w:val="Compact"/>
              <w:jc w:val="right"/>
            </w:pPr>
            <w:r>
              <w:t xml:space="preserve">17.092</w:t>
            </w:r>
          </w:p>
        </w:tc>
        <w:tc>
          <w:tcPr/>
          <w:p>
            <w:pPr>
              <w:pStyle w:val="Compact"/>
              <w:jc w:val="right"/>
            </w:pPr>
            <w:r>
              <w:t xml:space="preserve">&lt;0.001</w:t>
            </w:r>
          </w:p>
        </w:tc>
        <w:tc>
          <w:tcPr/>
          <w:p>
            <w:pPr>
              <w:pStyle w:val="Compact"/>
              <w:jc w:val="right"/>
            </w:pPr>
            <w:r>
              <w:t xml:space="preserve">0.005</w:t>
            </w:r>
          </w:p>
        </w:tc>
        <w:tc>
          <w:tcPr/>
          <w:p>
            <w:pPr>
              <w:pStyle w:val="Compact"/>
              <w:jc w:val="right"/>
            </w:pPr>
            <w:r>
              <w:t xml:space="preserve">178</w:t>
            </w:r>
          </w:p>
        </w:tc>
      </w:tr>
      <w:tr>
        <w:tc>
          <w:tcPr/>
          <w:p>
            <w:pPr>
              <w:pStyle w:val="Compact"/>
              <w:jc w:val="left"/>
            </w:pPr>
            <w:r>
              <w:t xml:space="preserve">Without Blibli</w:t>
            </w:r>
          </w:p>
        </w:tc>
        <w:tc>
          <w:tcPr/>
          <w:p>
            <w:pPr>
              <w:pStyle w:val="Compact"/>
              <w:jc w:val="left"/>
            </w:pPr>
            <w:r>
              <w:t xml:space="preserve">ln(Wedge); Ecosystem ratio</w:t>
            </w:r>
          </w:p>
        </w:tc>
        <w:tc>
          <w:tcPr/>
          <w:p>
            <w:pPr>
              <w:pStyle w:val="Compact"/>
              <w:jc w:val="right"/>
            </w:pPr>
            <w:r>
              <w:t xml:space="preserve">0.267; 15.330</w:t>
            </w:r>
          </w:p>
        </w:tc>
        <w:tc>
          <w:tcPr/>
          <w:p>
            <w:pPr>
              <w:pStyle w:val="Compact"/>
            </w:pPr>
          </w:p>
        </w:tc>
        <w:tc>
          <w:tcPr/>
          <w:p>
            <w:pPr>
              <w:pStyle w:val="Compact"/>
            </w:pPr>
          </w:p>
        </w:tc>
        <w:tc>
          <w:tcPr/>
          <w:p>
            <w:pPr>
              <w:pStyle w:val="Compact"/>
            </w:pPr>
          </w:p>
        </w:tc>
      </w:tr>
      <w:tr>
        <w:tc>
          <w:tcPr/>
          <w:p>
            <w:pPr>
              <w:pStyle w:val="Compact"/>
              <w:jc w:val="left"/>
            </w:pPr>
            <w:r>
              <w:t xml:space="preserve">Without Bukalapak</w:t>
            </w:r>
          </w:p>
        </w:tc>
        <w:tc>
          <w:tcPr/>
          <w:p>
            <w:pPr>
              <w:pStyle w:val="Compact"/>
              <w:jc w:val="left"/>
            </w:pPr>
            <w:r>
              <w:t xml:space="preserve">ln(Wedge); Ecosystem ratio</w:t>
            </w:r>
          </w:p>
        </w:tc>
        <w:tc>
          <w:tcPr/>
          <w:p>
            <w:pPr>
              <w:pStyle w:val="Compact"/>
              <w:jc w:val="right"/>
            </w:pPr>
            <w:r>
              <w:t xml:space="preserve">-0.256; 16.072</w:t>
            </w:r>
          </w:p>
        </w:tc>
        <w:tc>
          <w:tcPr/>
          <w:p>
            <w:pPr>
              <w:pStyle w:val="Compact"/>
            </w:pPr>
          </w:p>
        </w:tc>
        <w:tc>
          <w:tcPr/>
          <w:p>
            <w:pPr>
              <w:pStyle w:val="Compact"/>
            </w:pPr>
          </w:p>
        </w:tc>
        <w:tc>
          <w:tcPr/>
          <w:p>
            <w:pPr>
              <w:pStyle w:val="Compact"/>
            </w:pPr>
          </w:p>
        </w:tc>
      </w:tr>
      <w:tr>
        <w:tc>
          <w:tcPr/>
          <w:p>
            <w:pPr>
              <w:pStyle w:val="Compact"/>
              <w:jc w:val="left"/>
            </w:pPr>
            <w:r>
              <w:t xml:space="preserve">Without GoTo (on-demand)</w:t>
            </w:r>
          </w:p>
        </w:tc>
        <w:tc>
          <w:tcPr/>
          <w:p>
            <w:pPr>
              <w:pStyle w:val="Compact"/>
              <w:jc w:val="left"/>
            </w:pPr>
            <w:r>
              <w:t xml:space="preserve">ln(Wedge); Ecosystem ratio</w:t>
            </w:r>
          </w:p>
        </w:tc>
        <w:tc>
          <w:tcPr/>
          <w:p>
            <w:pPr>
              <w:pStyle w:val="Compact"/>
              <w:jc w:val="right"/>
            </w:pPr>
            <w:r>
              <w:t xml:space="preserve">0.148; 18.344</w:t>
            </w:r>
          </w:p>
        </w:tc>
        <w:tc>
          <w:tcPr/>
          <w:p>
            <w:pPr>
              <w:pStyle w:val="Compact"/>
            </w:pPr>
          </w:p>
        </w:tc>
        <w:tc>
          <w:tcPr/>
          <w:p>
            <w:pPr>
              <w:pStyle w:val="Compact"/>
            </w:pPr>
          </w:p>
        </w:tc>
        <w:tc>
          <w:tcPr/>
          <w:p>
            <w:pPr>
              <w:pStyle w:val="Compact"/>
            </w:pPr>
          </w:p>
        </w:tc>
      </w:tr>
      <w:tr>
        <w:tc>
          <w:tcPr/>
          <w:p>
            <w:pPr>
              <w:pStyle w:val="Compact"/>
              <w:jc w:val="left"/>
            </w:pPr>
            <w:r>
              <w:t xml:space="preserve">Without Grab (on-demand)</w:t>
            </w:r>
          </w:p>
        </w:tc>
        <w:tc>
          <w:tcPr/>
          <w:p>
            <w:pPr>
              <w:pStyle w:val="Compact"/>
              <w:jc w:val="left"/>
            </w:pPr>
            <w:r>
              <w:t xml:space="preserve">ln(Wedge); Ecosystem ratio</w:t>
            </w:r>
          </w:p>
        </w:tc>
        <w:tc>
          <w:tcPr/>
          <w:p>
            <w:pPr>
              <w:pStyle w:val="Compact"/>
              <w:jc w:val="right"/>
            </w:pPr>
            <w:r>
              <w:t xml:space="preserve">0.023; 17.803</w:t>
            </w:r>
          </w:p>
        </w:tc>
        <w:tc>
          <w:tcPr/>
          <w:p>
            <w:pPr>
              <w:pStyle w:val="Compact"/>
            </w:pPr>
          </w:p>
        </w:tc>
        <w:tc>
          <w:tcPr/>
          <w:p>
            <w:pPr>
              <w:pStyle w:val="Compact"/>
            </w:pPr>
          </w:p>
        </w:tc>
        <w:tc>
          <w:tcPr/>
          <w:p>
            <w:pPr>
              <w:pStyle w:val="Compact"/>
            </w:pPr>
          </w:p>
        </w:tc>
      </w:tr>
      <w:tr>
        <w:tc>
          <w:tcPr/>
          <w:p>
            <w:pPr>
              <w:pStyle w:val="Compact"/>
              <w:jc w:val="left"/>
            </w:pPr>
            <w:r>
              <w:t xml:space="preserve">Without Tokopedia</w:t>
            </w:r>
          </w:p>
        </w:tc>
        <w:tc>
          <w:tcPr/>
          <w:p>
            <w:pPr>
              <w:pStyle w:val="Compact"/>
              <w:jc w:val="left"/>
            </w:pPr>
            <w:r>
              <w:t xml:space="preserve">ln(Wedge); Ecosystem ratio</w:t>
            </w:r>
          </w:p>
        </w:tc>
        <w:tc>
          <w:tcPr/>
          <w:p>
            <w:pPr>
              <w:pStyle w:val="Compact"/>
              <w:jc w:val="right"/>
            </w:pPr>
            <w:r>
              <w:t xml:space="preserve">0.104; 16.620</w:t>
            </w:r>
          </w:p>
        </w:tc>
        <w:tc>
          <w:tcPr/>
          <w:p>
            <w:pPr>
              <w:pStyle w:val="Compact"/>
            </w:pPr>
          </w:p>
        </w:tc>
        <w:tc>
          <w:tcPr/>
          <w:p>
            <w:pPr>
              <w:pStyle w:val="Compact"/>
            </w:pPr>
          </w:p>
        </w:tc>
        <w:tc>
          <w:tcPr/>
          <w:p>
            <w:pPr>
              <w:pStyle w:val="Compact"/>
            </w:pPr>
          </w:p>
        </w:tc>
      </w:tr>
      <w:tr>
        <w:tc>
          <w:tcPr/>
          <w:p>
            <w:pPr>
              <w:pStyle w:val="Compact"/>
              <w:jc w:val="left"/>
            </w:pPr>
            <w:r>
              <w:t xml:space="preserve">Without year dummies</w:t>
            </w:r>
          </w:p>
        </w:tc>
        <w:tc>
          <w:tcPr/>
          <w:p>
            <w:pPr>
              <w:pStyle w:val="Compact"/>
              <w:jc w:val="left"/>
            </w:pPr>
            <w:r>
              <w:t xml:space="preserve">ln(Wedge)</w:t>
            </w:r>
          </w:p>
        </w:tc>
        <w:tc>
          <w:tcPr/>
          <w:p>
            <w:pPr>
              <w:pStyle w:val="Compact"/>
              <w:jc w:val="right"/>
            </w:pPr>
            <w:r>
              <w:t xml:space="preserve">-0.302</w:t>
            </w:r>
          </w:p>
        </w:tc>
        <w:tc>
          <w:tcPr/>
          <w:p>
            <w:pPr>
              <w:pStyle w:val="Compact"/>
              <w:jc w:val="right"/>
            </w:pPr>
            <w:r>
              <w:t xml:space="preserve">0.395</w:t>
            </w:r>
          </w:p>
        </w:tc>
        <w:tc>
          <w:tcPr/>
          <w:p>
            <w:pPr>
              <w:pStyle w:val="Compact"/>
            </w:pPr>
          </w:p>
        </w:tc>
        <w:tc>
          <w:tcPr/>
          <w:p>
            <w:pPr>
              <w:pStyle w:val="Compact"/>
            </w:pPr>
          </w:p>
        </w:tc>
      </w:tr>
      <w:tr>
        <w:tc>
          <w:tcPr/>
          <w:p>
            <w:pPr>
              <w:pStyle w:val="Compact"/>
              <w:jc w:val="left"/>
            </w:pPr>
            <w:r>
              <w:t xml:space="preserve">Without year dummies</w:t>
            </w:r>
          </w:p>
        </w:tc>
        <w:tc>
          <w:tcPr/>
          <w:p>
            <w:pPr>
              <w:pStyle w:val="Compact"/>
              <w:jc w:val="left"/>
            </w:pPr>
            <w:r>
              <w:t xml:space="preserve">Ecosystem ratio</w:t>
            </w:r>
          </w:p>
        </w:tc>
        <w:tc>
          <w:tcPr/>
          <w:p>
            <w:pPr>
              <w:pStyle w:val="Compact"/>
              <w:jc w:val="right"/>
            </w:pPr>
            <w:r>
              <w:t xml:space="preserve">12.939</w:t>
            </w:r>
          </w:p>
        </w:tc>
        <w:tc>
          <w:tcPr/>
          <w:p>
            <w:pPr>
              <w:pStyle w:val="Compact"/>
              <w:jc w:val="right"/>
            </w:pPr>
            <w:r>
              <w:t xml:space="preserve">&lt;0.001</w:t>
            </w:r>
          </w:p>
        </w:tc>
        <w:tc>
          <w:tcPr/>
          <w:p>
            <w:pPr>
              <w:pStyle w:val="Compact"/>
            </w:pPr>
          </w:p>
        </w:tc>
        <w:tc>
          <w:tcPr/>
          <w:p>
            <w:pPr>
              <w:pStyle w:val="Compact"/>
            </w:pPr>
          </w:p>
        </w:tc>
      </w:tr>
      <w:tr>
        <w:tc>
          <w:tcPr/>
          <w:p>
            <w:pPr>
              <w:pStyle w:val="Compact"/>
              <w:jc w:val="left"/>
            </w:pPr>
            <w:r>
              <w:t xml:space="preserve">Without total assets</w:t>
            </w:r>
          </w:p>
        </w:tc>
        <w:tc>
          <w:tcPr/>
          <w:p>
            <w:pPr>
              <w:pStyle w:val="Compact"/>
              <w:jc w:val="left"/>
            </w:pPr>
            <w:r>
              <w:t xml:space="preserve">ln(Wedge)</w:t>
            </w:r>
          </w:p>
        </w:tc>
        <w:tc>
          <w:tcPr/>
          <w:p>
            <w:pPr>
              <w:pStyle w:val="Compact"/>
              <w:jc w:val="right"/>
            </w:pPr>
            <w:r>
              <w:t xml:space="preserve">1.197</w:t>
            </w:r>
          </w:p>
        </w:tc>
        <w:tc>
          <w:tcPr/>
          <w:p>
            <w:pPr>
              <w:pStyle w:val="Compact"/>
              <w:jc w:val="right"/>
            </w:pPr>
            <w:r>
              <w:t xml:space="preserve">0.246</w:t>
            </w:r>
          </w:p>
        </w:tc>
        <w:tc>
          <w:tcPr/>
          <w:p>
            <w:pPr>
              <w:pStyle w:val="Compact"/>
            </w:pPr>
          </w:p>
        </w:tc>
        <w:tc>
          <w:tcPr/>
          <w:p>
            <w:pPr>
              <w:pStyle w:val="Compact"/>
              <w:jc w:val="right"/>
            </w:pPr>
            <w:r>
              <w:t xml:space="preserve">187</w:t>
            </w:r>
          </w:p>
        </w:tc>
      </w:tr>
      <w:tr>
        <w:tc>
          <w:tcPr/>
          <w:p>
            <w:pPr>
              <w:pStyle w:val="Compact"/>
              <w:jc w:val="left"/>
            </w:pPr>
            <w:r>
              <w:t xml:space="preserve">Without total assets</w:t>
            </w:r>
          </w:p>
        </w:tc>
        <w:tc>
          <w:tcPr/>
          <w:p>
            <w:pPr>
              <w:pStyle w:val="Compact"/>
              <w:jc w:val="left"/>
            </w:pPr>
            <w:r>
              <w:t xml:space="preserve">Ecosystem ratio</w:t>
            </w:r>
          </w:p>
        </w:tc>
        <w:tc>
          <w:tcPr/>
          <w:p>
            <w:pPr>
              <w:pStyle w:val="Compact"/>
              <w:jc w:val="right"/>
            </w:pPr>
            <w:r>
              <w:t xml:space="preserve">17.027</w:t>
            </w:r>
          </w:p>
        </w:tc>
        <w:tc>
          <w:tcPr/>
          <w:p>
            <w:pPr>
              <w:pStyle w:val="Compact"/>
              <w:jc w:val="right"/>
            </w:pPr>
            <w:r>
              <w:t xml:space="preserve">&lt;0.001</w:t>
            </w:r>
          </w:p>
        </w:tc>
        <w:tc>
          <w:tcPr/>
          <w:p>
            <w:pPr>
              <w:pStyle w:val="Compact"/>
            </w:pPr>
          </w:p>
        </w:tc>
        <w:tc>
          <w:tcPr/>
          <w:p>
            <w:pPr>
              <w:pStyle w:val="Compact"/>
              <w:jc w:val="right"/>
            </w:pPr>
            <w:r>
              <w:t xml:space="preserve">187</w:t>
            </w:r>
          </w:p>
        </w:tc>
      </w:tr>
      <w:tr>
        <w:tc>
          <w:tcPr/>
          <w:p>
            <w:pPr>
              <w:pStyle w:val="Compact"/>
              <w:jc w:val="left"/>
            </w:pPr>
            <w:r>
              <w:t xml:space="preserve">Without years before listing</w:t>
            </w:r>
          </w:p>
        </w:tc>
        <w:tc>
          <w:tcPr/>
          <w:p>
            <w:pPr>
              <w:pStyle w:val="Compact"/>
              <w:jc w:val="left"/>
            </w:pPr>
            <w:r>
              <w:t xml:space="preserve">ln(Wedge)</w:t>
            </w:r>
          </w:p>
        </w:tc>
        <w:tc>
          <w:tcPr/>
          <w:p>
            <w:pPr>
              <w:pStyle w:val="Compact"/>
              <w:jc w:val="right"/>
            </w:pPr>
            <w:r>
              <w:t xml:space="preserve">-0.113</w:t>
            </w:r>
          </w:p>
        </w:tc>
        <w:tc>
          <w:tcPr/>
          <w:p>
            <w:pPr>
              <w:pStyle w:val="Compact"/>
              <w:jc w:val="right"/>
            </w:pPr>
            <w:r>
              <w:t xml:space="preserve">0.711</w:t>
            </w:r>
          </w:p>
        </w:tc>
        <w:tc>
          <w:tcPr/>
          <w:p>
            <w:pPr>
              <w:pStyle w:val="Compact"/>
            </w:pPr>
          </w:p>
        </w:tc>
        <w:tc>
          <w:tcPr/>
          <w:p>
            <w:pPr>
              <w:pStyle w:val="Compact"/>
              <w:jc w:val="right"/>
            </w:pPr>
            <w:r>
              <w:t xml:space="preserve">165</w:t>
            </w:r>
          </w:p>
        </w:tc>
      </w:tr>
      <w:tr>
        <w:tc>
          <w:tcPr/>
          <w:p>
            <w:pPr>
              <w:pStyle w:val="Compact"/>
              <w:jc w:val="left"/>
            </w:pPr>
            <w:r>
              <w:t xml:space="preserve">Without years before listing</w:t>
            </w:r>
          </w:p>
        </w:tc>
        <w:tc>
          <w:tcPr/>
          <w:p>
            <w:pPr>
              <w:pStyle w:val="Compact"/>
              <w:jc w:val="left"/>
            </w:pPr>
            <w:r>
              <w:t xml:space="preserve">Ecosystem ratio</w:t>
            </w:r>
          </w:p>
        </w:tc>
        <w:tc>
          <w:tcPr/>
          <w:p>
            <w:pPr>
              <w:pStyle w:val="Compact"/>
              <w:jc w:val="right"/>
            </w:pPr>
            <w:r>
              <w:t xml:space="preserve">16.244</w:t>
            </w:r>
          </w:p>
        </w:tc>
        <w:tc>
          <w:tcPr/>
          <w:p>
            <w:pPr>
              <w:pStyle w:val="Compact"/>
              <w:jc w:val="right"/>
            </w:pPr>
            <w:r>
              <w:t xml:space="preserve">&lt;0.001</w:t>
            </w:r>
          </w:p>
        </w:tc>
        <w:tc>
          <w:tcPr/>
          <w:p>
            <w:pPr>
              <w:pStyle w:val="Compact"/>
            </w:pPr>
          </w:p>
        </w:tc>
        <w:tc>
          <w:tcPr/>
          <w:p>
            <w:pPr>
              <w:pStyle w:val="Compact"/>
              <w:jc w:val="right"/>
            </w:pPr>
            <w:r>
              <w:t xml:space="preserve">165</w:t>
            </w:r>
          </w:p>
        </w:tc>
      </w:tr>
      <w:tr>
        <w:tc>
          <w:tcPr/>
          <w:p>
            <w:pPr>
              <w:pStyle w:val="Compact"/>
              <w:jc w:val="left"/>
            </w:pPr>
            <w:r>
              <w:t xml:space="preserve">Without Alibaba, Pinduoduo, Rakuten and Shopify</w:t>
            </w:r>
          </w:p>
        </w:tc>
        <w:tc>
          <w:tcPr/>
          <w:p>
            <w:pPr>
              <w:pStyle w:val="Compact"/>
              <w:jc w:val="left"/>
            </w:pPr>
            <w:r>
              <w:t xml:space="preserve">ln(Wedge)</w:t>
            </w:r>
          </w:p>
        </w:tc>
        <w:tc>
          <w:tcPr/>
          <w:p>
            <w:pPr>
              <w:pStyle w:val="Compact"/>
              <w:jc w:val="right"/>
            </w:pPr>
            <w:r>
              <w:t xml:space="preserve">0.383</w:t>
            </w:r>
          </w:p>
        </w:tc>
        <w:tc>
          <w:tcPr/>
          <w:p>
            <w:pPr>
              <w:pStyle w:val="Compact"/>
              <w:jc w:val="right"/>
            </w:pPr>
            <w:r>
              <w:t xml:space="preserve">0.394</w:t>
            </w:r>
          </w:p>
        </w:tc>
        <w:tc>
          <w:tcPr/>
          <w:p>
            <w:pPr>
              <w:pStyle w:val="Compact"/>
            </w:pPr>
          </w:p>
        </w:tc>
        <w:tc>
          <w:tcPr/>
          <w:p>
            <w:pPr>
              <w:pStyle w:val="Compact"/>
            </w:pPr>
          </w:p>
        </w:tc>
      </w:tr>
      <w:tr>
        <w:tc>
          <w:tcPr/>
          <w:p>
            <w:pPr>
              <w:pStyle w:val="Compact"/>
              <w:jc w:val="left"/>
            </w:pPr>
            <w:r>
              <w:t xml:space="preserve">Without Alibaba, Pinduoduo, Rakuten and Shopify</w:t>
            </w:r>
          </w:p>
        </w:tc>
        <w:tc>
          <w:tcPr/>
          <w:p>
            <w:pPr>
              <w:pStyle w:val="Compact"/>
              <w:jc w:val="left"/>
            </w:pPr>
            <w:r>
              <w:t xml:space="preserve">Ecosystem ratio</w:t>
            </w:r>
          </w:p>
        </w:tc>
        <w:tc>
          <w:tcPr/>
          <w:p>
            <w:pPr>
              <w:pStyle w:val="Compact"/>
              <w:jc w:val="right"/>
            </w:pPr>
            <w:r>
              <w:t xml:space="preserve">20.954</w:t>
            </w:r>
          </w:p>
        </w:tc>
        <w:tc>
          <w:tcPr/>
          <w:p>
            <w:pPr>
              <w:pStyle w:val="Compact"/>
              <w:jc w:val="right"/>
            </w:pPr>
            <w:r>
              <w:t xml:space="preserve">&lt;0.001</w:t>
            </w:r>
          </w:p>
        </w:tc>
        <w:tc>
          <w:tcPr/>
          <w:p>
            <w:pPr>
              <w:pStyle w:val="Compact"/>
            </w:pPr>
          </w:p>
        </w:tc>
        <w:tc>
          <w:tcPr/>
          <w:p>
            <w:pPr>
              <w:pStyle w:val="Compact"/>
            </w:pPr>
          </w:p>
        </w:tc>
      </w:tr>
      <w:tr>
        <w:tc>
          <w:tcPr/>
          <w:p>
            <w:pPr>
              <w:pStyle w:val="Compact"/>
              <w:jc w:val="left"/>
            </w:pPr>
            <w:r>
              <w:t xml:space="preserve">With a dummy for emerging home markets</w:t>
            </w:r>
          </w:p>
        </w:tc>
        <w:tc>
          <w:tcPr/>
          <w:p>
            <w:pPr>
              <w:pStyle w:val="Compact"/>
              <w:jc w:val="left"/>
            </w:pPr>
            <w:r>
              <w:t xml:space="preserve">ln(Wedge)</w:t>
            </w:r>
          </w:p>
        </w:tc>
        <w:tc>
          <w:tcPr/>
          <w:p>
            <w:pPr>
              <w:pStyle w:val="Compact"/>
              <w:jc w:val="right"/>
            </w:pPr>
            <w:r>
              <w:t xml:space="preserve">0.065</w:t>
            </w:r>
          </w:p>
        </w:tc>
        <w:tc>
          <w:tcPr/>
          <w:p>
            <w:pPr>
              <w:pStyle w:val="Compact"/>
              <w:jc w:val="right"/>
            </w:pPr>
            <w:r>
              <w:t xml:space="preserve">0.869</w:t>
            </w:r>
          </w:p>
        </w:tc>
        <w:tc>
          <w:tcPr/>
          <w:p>
            <w:pPr>
              <w:pStyle w:val="Compact"/>
              <w:jc w:val="right"/>
            </w:pPr>
            <w:r>
              <w:t xml:space="preserve">0.886</w:t>
            </w:r>
          </w:p>
        </w:tc>
        <w:tc>
          <w:tcPr/>
          <w:p>
            <w:pPr>
              <w:pStyle w:val="Compact"/>
            </w:pPr>
          </w:p>
        </w:tc>
      </w:tr>
      <w:tr>
        <w:tc>
          <w:tcPr/>
          <w:p>
            <w:pPr>
              <w:pStyle w:val="Compact"/>
              <w:jc w:val="left"/>
            </w:pPr>
            <w:r>
              <w:t xml:space="preserve">With a dummy for emerging home markets</w:t>
            </w:r>
          </w:p>
        </w:tc>
        <w:tc>
          <w:tcPr/>
          <w:p>
            <w:pPr>
              <w:pStyle w:val="Compact"/>
              <w:jc w:val="left"/>
            </w:pPr>
            <w:r>
              <w:t xml:space="preserve">Ecosystem ratio</w:t>
            </w:r>
          </w:p>
        </w:tc>
        <w:tc>
          <w:tcPr/>
          <w:p>
            <w:pPr>
              <w:pStyle w:val="Compact"/>
              <w:jc w:val="right"/>
            </w:pPr>
            <w:r>
              <w:t xml:space="preserve">16.888</w:t>
            </w:r>
          </w:p>
        </w:tc>
        <w:tc>
          <w:tcPr/>
          <w:p>
            <w:pPr>
              <w:pStyle w:val="Compact"/>
              <w:jc w:val="right"/>
            </w:pPr>
            <w:r>
              <w:t xml:space="preserve">&lt;0.001</w:t>
            </w:r>
          </w:p>
        </w:tc>
        <w:tc>
          <w:tcPr/>
          <w:p>
            <w:pPr>
              <w:pStyle w:val="Compact"/>
              <w:jc w:val="right"/>
            </w:pPr>
            <w:r>
              <w:t xml:space="preserve">0.027</w:t>
            </w:r>
          </w:p>
        </w:tc>
        <w:tc>
          <w:tcPr/>
          <w:p>
            <w:pPr>
              <w:pStyle w:val="Compact"/>
            </w:pPr>
          </w:p>
        </w:tc>
      </w:tr>
      <w:tr>
        <w:tc>
          <w:tcPr/>
          <w:p>
            <w:pPr>
              <w:pStyle w:val="Compact"/>
              <w:jc w:val="left"/>
            </w:pPr>
            <w:r>
              <w:t xml:space="preserve">Natural logarithm of the ecosystem ratio</w:t>
            </w:r>
          </w:p>
        </w:tc>
        <w:tc>
          <w:tcPr/>
          <w:p>
            <w:pPr>
              <w:pStyle w:val="Compact"/>
              <w:jc w:val="left"/>
            </w:pPr>
            <w:r>
              <w:t xml:space="preserve">ln(Ecosystem ratio)</w:t>
            </w:r>
          </w:p>
        </w:tc>
        <w:tc>
          <w:tcPr/>
          <w:p>
            <w:pPr>
              <w:pStyle w:val="Compact"/>
              <w:jc w:val="right"/>
            </w:pPr>
            <w:r>
              <w:t xml:space="preserve">1.677</w:t>
            </w:r>
          </w:p>
        </w:tc>
        <w:tc>
          <w:tcPr/>
          <w:p>
            <w:pPr>
              <w:pStyle w:val="Compact"/>
              <w:jc w:val="right"/>
            </w:pPr>
            <w:r>
              <w:t xml:space="preserve">&lt;0.001</w:t>
            </w:r>
          </w:p>
        </w:tc>
        <w:tc>
          <w:tcPr/>
          <w:p>
            <w:pPr>
              <w:pStyle w:val="Compact"/>
              <w:jc w:val="right"/>
            </w:pPr>
            <w:r>
              <w:t xml:space="preserve">0.006</w:t>
            </w:r>
          </w:p>
        </w:tc>
        <w:tc>
          <w:tcPr/>
          <w:p>
            <w:pPr>
              <w:pStyle w:val="Compact"/>
            </w:pPr>
          </w:p>
        </w:tc>
      </w:tr>
      <w:tr>
        <w:tc>
          <w:tcPr/>
          <w:p>
            <w:pPr>
              <w:pStyle w:val="Compact"/>
              <w:jc w:val="left"/>
            </w:pPr>
            <w:r>
              <w:t xml:space="preserve">Ecosystem ratio not capped</w:t>
            </w:r>
          </w:p>
        </w:tc>
        <w:tc>
          <w:tcPr/>
          <w:p>
            <w:pPr>
              <w:pStyle w:val="Compact"/>
              <w:jc w:val="left"/>
            </w:pPr>
            <w:r>
              <w:t xml:space="preserve">Ecosystem ratio</w:t>
            </w:r>
          </w:p>
        </w:tc>
        <w:tc>
          <w:tcPr/>
          <w:p>
            <w:pPr>
              <w:pStyle w:val="Compact"/>
              <w:jc w:val="right"/>
            </w:pPr>
            <w:r>
              <w:t xml:space="preserve">28.550</w:t>
            </w:r>
          </w:p>
        </w:tc>
        <w:tc>
          <w:tcPr/>
          <w:p>
            <w:pPr>
              <w:pStyle w:val="Compact"/>
              <w:jc w:val="right"/>
            </w:pPr>
            <w:r>
              <w:t xml:space="preserve">0.008</w:t>
            </w:r>
          </w:p>
        </w:tc>
        <w:tc>
          <w:tcPr/>
          <w:p>
            <w:pPr>
              <w:pStyle w:val="Compact"/>
            </w:pPr>
          </w:p>
        </w:tc>
        <w:tc>
          <w:tcPr/>
          <w:p>
            <w:pPr>
              <w:pStyle w:val="Compact"/>
            </w:pPr>
          </w:p>
        </w:tc>
      </w:tr>
    </w:tbl>
    <w:bookmarkEnd w:id="102"/>
    <w:bookmarkEnd w:id="103"/>
    <w:bookmarkStart w:id="104" w:name="Xdeb489f8fdbeb3bc3b6e07c1768976c94f8af49"/>
    <w:p>
      <w:pPr>
        <w:pStyle w:val="Heading2"/>
      </w:pPr>
      <w:r>
        <w:t xml:space="preserve">Appendix D. Registered tests and their outcomes</w:t>
      </w:r>
    </w:p>
    <w:p>
      <w:pPr>
        <w:pStyle w:val="FirstParagraph"/>
      </w:pPr>
      <w:r>
        <w:t xml:space="preserve">A registered test was written down, dated and stored in the repository before the data it concerns were opened. The dates are those of the commits in</w:t>
      </w:r>
      <w:r>
        <w:t xml:space="preserve"> </w:t>
      </w:r>
      <w:r>
        <w:rPr>
          <w:rStyle w:val="VerbatimChar"/>
        </w:rPr>
        <w:t xml:space="preserve">research/option_space_2026-10-01/PREREGISTRATION.md</w:t>
      </w:r>
      <w:r>
        <w:t xml:space="preserve">. Exact wording and thresholds are in that file.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What it predicted</w:t>
            </w:r>
          </w:p>
        </w:tc>
        <w:tc>
          <w:tcPr/>
          <w:p>
            <w:pPr>
              <w:pStyle w:val="Compact"/>
              <w:jc w:val="left"/>
            </w:pPr>
            <w:r>
              <w:t xml:space="preserve">Registered</w:t>
            </w:r>
          </w:p>
        </w:tc>
        <w:tc>
          <w:tcPr/>
          <w:p>
            <w:pPr>
              <w:pStyle w:val="Compact"/>
              <w:jc w:val="left"/>
            </w:pPr>
            <w:r>
              <w:t xml:space="preserve">Outcome</w:t>
            </w:r>
          </w:p>
        </w:tc>
      </w:tr>
      <w:tr>
        <w:tc>
          <w:tcPr/>
          <w:p>
            <w:pPr>
              <w:pStyle w:val="Compact"/>
              <w:jc w:val="left"/>
            </w:pPr>
            <w:r>
              <w:t xml:space="preserve">E1</w:t>
            </w:r>
          </w:p>
        </w:tc>
        <w:tc>
          <w:tcPr/>
          <w:p>
            <w:pPr>
              <w:pStyle w:val="Compact"/>
              <w:jc w:val="left"/>
            </w:pPr>
            <w:r>
              <w:t xml:space="preserve">Sellers without financial statements hold a smaller share of online value than of the count</w:t>
            </w:r>
          </w:p>
        </w:tc>
        <w:tc>
          <w:tcPr/>
          <w:p>
            <w:pPr>
              <w:pStyle w:val="Compact"/>
              <w:jc w:val="left"/>
            </w:pPr>
            <w:r>
              <w:t xml:space="preserve">2 Oct 2026</w:t>
            </w:r>
          </w:p>
        </w:tc>
        <w:tc>
          <w:tcPr/>
          <w:p>
            <w:pPr>
              <w:pStyle w:val="Compact"/>
              <w:jc w:val="left"/>
            </w:pPr>
            <w:r>
              <w:t xml:space="preserve">Holds, as a range (25.7 to 40.4 percent of value against 79.3 percent of the count)</w:t>
            </w:r>
          </w:p>
        </w:tc>
      </w:tr>
      <w:tr>
        <w:tc>
          <w:tcPr/>
          <w:p>
            <w:pPr>
              <w:pStyle w:val="Compact"/>
              <w:jc w:val="left"/>
            </w:pPr>
            <w:r>
              <w:t xml:space="preserve">E2</w:t>
            </w:r>
          </w:p>
        </w:tc>
        <w:tc>
          <w:tcPr/>
          <w:p>
            <w:pPr>
              <w:pStyle w:val="Compact"/>
              <w:jc w:val="left"/>
            </w:pPr>
            <w:r>
              <w:t xml:space="preserve">The marketplace share of online value in 2022 is above the published 2023 figure</w:t>
            </w:r>
          </w:p>
        </w:tc>
        <w:tc>
          <w:tcPr/>
          <w:p>
            <w:pPr>
              <w:pStyle w:val="Compact"/>
              <w:jc w:val="left"/>
            </w:pPr>
            <w:r>
              <w:t xml:space="preserve">2 Oct 2026</w:t>
            </w:r>
          </w:p>
        </w:tc>
        <w:tc>
          <w:tcPr/>
          <w:p>
            <w:pPr>
              <w:pStyle w:val="Compact"/>
              <w:jc w:val="left"/>
            </w:pPr>
            <w:r>
              <w:t xml:space="preserve">Holds, as a range (22.6 to 25.6 percent)</w:t>
            </w:r>
          </w:p>
        </w:tc>
      </w:tr>
      <w:tr>
        <w:tc>
          <w:tcPr/>
          <w:p>
            <w:pPr>
              <w:pStyle w:val="Compact"/>
              <w:jc w:val="left"/>
            </w:pPr>
            <w:r>
              <w:t xml:space="preserve">E2b, E2c</w:t>
            </w:r>
          </w:p>
        </w:tc>
        <w:tc>
          <w:tcPr/>
          <w:p>
            <w:pPr>
              <w:pStyle w:val="Compact"/>
              <w:jc w:val="left"/>
            </w:pPr>
            <w:r>
              <w:t xml:space="preserve">Marketplace use did not rise between 2020 and 2024</w:t>
            </w:r>
          </w:p>
        </w:tc>
        <w:tc>
          <w:tcPr/>
          <w:p>
            <w:pPr>
              <w:pStyle w:val="Compact"/>
              <w:jc w:val="left"/>
            </w:pPr>
            <w:r>
              <w:t xml:space="preserve">2 Oct and 3 Oct 2026</w:t>
            </w:r>
          </w:p>
        </w:tc>
        <w:tc>
          <w:tcPr/>
          <w:p>
            <w:pPr>
              <w:pStyle w:val="Compact"/>
              <w:jc w:val="left"/>
            </w:pPr>
            <w:r>
              <w:t xml:space="preserve">Hold (21.6, 19.8, 17.8 and 17.2 percent)</w:t>
            </w:r>
          </w:p>
        </w:tc>
      </w:tr>
      <w:tr>
        <w:tc>
          <w:tcPr/>
          <w:p>
            <w:pPr>
              <w:pStyle w:val="Compact"/>
              <w:jc w:val="left"/>
            </w:pPr>
            <w:r>
              <w:t xml:space="preserve">E3</w:t>
            </w:r>
          </w:p>
        </w:tc>
        <w:tc>
          <w:tcPr/>
          <w:p>
            <w:pPr>
              <w:pStyle w:val="Compact"/>
              <w:jc w:val="left"/>
            </w:pPr>
            <w:r>
              <w:t xml:space="preserve">Shopee reaches at least as many sellers as Tokopedia</w:t>
            </w:r>
          </w:p>
        </w:tc>
        <w:tc>
          <w:tcPr/>
          <w:p>
            <w:pPr>
              <w:pStyle w:val="Compact"/>
              <w:jc w:val="left"/>
            </w:pPr>
            <w:r>
              <w:t xml:space="preserve">2 Oct 2026</w:t>
            </w:r>
          </w:p>
        </w:tc>
        <w:tc>
          <w:tcPr/>
          <w:p>
            <w:pPr>
              <w:pStyle w:val="Compact"/>
              <w:jc w:val="left"/>
            </w:pPr>
            <w:r>
              <w:t xml:space="preserve">Holds (7.5 against 2.2 percent of all sellers)</w:t>
            </w:r>
          </w:p>
        </w:tc>
      </w:tr>
      <w:tr>
        <w:tc>
          <w:tcPr/>
          <w:p>
            <w:pPr>
              <w:pStyle w:val="Compact"/>
              <w:jc w:val="left"/>
            </w:pPr>
            <w:r>
              <w:t xml:space="preserve">E4</w:t>
            </w:r>
          </w:p>
        </w:tc>
        <w:tc>
          <w:tcPr/>
          <w:p>
            <w:pPr>
              <w:pStyle w:val="Compact"/>
              <w:jc w:val="left"/>
            </w:pPr>
            <w:r>
              <w:t xml:space="preserve">Entrants use chat or social media at least as often as earlier sellers</w:t>
            </w:r>
          </w:p>
        </w:tc>
        <w:tc>
          <w:tcPr/>
          <w:p>
            <w:pPr>
              <w:pStyle w:val="Compact"/>
              <w:jc w:val="left"/>
            </w:pPr>
            <w:r>
              <w:t xml:space="preserve">2 Oct 2026</w:t>
            </w:r>
          </w:p>
        </w:tc>
        <w:tc>
          <w:tcPr/>
          <w:p>
            <w:pPr>
              <w:pStyle w:val="Compact"/>
              <w:jc w:val="left"/>
            </w:pPr>
            <w:r>
              <w:t xml:space="preserve">Holds, with no power (nearly everyone uses them)</w:t>
            </w:r>
          </w:p>
        </w:tc>
      </w:tr>
      <w:tr>
        <w:tc>
          <w:tcPr/>
          <w:p>
            <w:pPr>
              <w:pStyle w:val="Compact"/>
              <w:jc w:val="left"/>
            </w:pPr>
            <w:r>
              <w:t xml:space="preserve">E5</w:t>
            </w:r>
          </w:p>
        </w:tc>
        <w:tc>
          <w:tcPr/>
          <w:p>
            <w:pPr>
              <w:pStyle w:val="Compact"/>
              <w:jc w:val="left"/>
            </w:pPr>
            <w:r>
              <w:t xml:space="preserve">At least 21.5 percent of 2023 sellers began in 2023 (the entry test)</w:t>
            </w:r>
          </w:p>
        </w:tc>
        <w:tc>
          <w:tcPr/>
          <w:p>
            <w:pPr>
              <w:pStyle w:val="Compact"/>
              <w:jc w:val="left"/>
            </w:pPr>
            <w:r>
              <w:t xml:space="preserve">2 Oct 2026</w:t>
            </w:r>
          </w:p>
        </w:tc>
        <w:tc>
          <w:tcPr/>
          <w:p>
            <w:pPr>
              <w:pStyle w:val="Compact"/>
              <w:jc w:val="left"/>
            </w:pPr>
            <w:r>
              <w:t xml:space="preserve">Falsified (13.45 percent). Disclosure: BPS’s 2024 publication, held at registration, has a table of 2024 sellers by start year; if the seller population were stable from 2023 to 2024, it would cap the 2023 share near 18 percent. The table was first used on 8 Oct, after the test ran on 7 Oct</w:t>
            </w:r>
          </w:p>
        </w:tc>
      </w:tr>
      <w:tr>
        <w:tc>
          <w:tcPr/>
          <w:p>
            <w:pPr>
              <w:pStyle w:val="Compact"/>
              <w:jc w:val="left"/>
            </w:pPr>
            <w:r>
              <w:t xml:space="preserve">E6</w:t>
            </w:r>
          </w:p>
        </w:tc>
        <w:tc>
          <w:tcPr/>
          <w:p>
            <w:pPr>
              <w:pStyle w:val="Compact"/>
              <w:jc w:val="left"/>
            </w:pPr>
            <w:r>
              <w:t xml:space="preserve">The median change in sales of sellers already online is at most 10.36 percent</w:t>
            </w:r>
          </w:p>
        </w:tc>
        <w:tc>
          <w:tcPr/>
          <w:p>
            <w:pPr>
              <w:pStyle w:val="Compact"/>
              <w:jc w:val="left"/>
            </w:pPr>
            <w:r>
              <w:t xml:space="preserve">2 Oct 2026</w:t>
            </w:r>
          </w:p>
        </w:tc>
        <w:tc>
          <w:tcPr/>
          <w:p>
            <w:pPr>
              <w:pStyle w:val="Compact"/>
              <w:jc w:val="left"/>
            </w:pPr>
            <w:r>
              <w:t xml:space="preserve">Holds (median 0 percent)</w:t>
            </w:r>
          </w:p>
        </w:tc>
      </w:tr>
      <w:tr>
        <w:tc>
          <w:tcPr/>
          <w:p>
            <w:pPr>
              <w:pStyle w:val="Compact"/>
              <w:jc w:val="left"/>
            </w:pPr>
            <w:r>
              <w:t xml:space="preserve">E7</w:t>
            </w:r>
          </w:p>
        </w:tc>
        <w:tc>
          <w:tcPr/>
          <w:p>
            <w:pPr>
              <w:pStyle w:val="Compact"/>
              <w:jc w:val="left"/>
            </w:pPr>
            <w:r>
              <w:t xml:space="preserve">The share of value held by sellers without statements fell by at most 5 points from 2020 to 2022</w:t>
            </w:r>
          </w:p>
        </w:tc>
        <w:tc>
          <w:tcPr/>
          <w:p>
            <w:pPr>
              <w:pStyle w:val="Compact"/>
              <w:jc w:val="left"/>
            </w:pPr>
            <w:r>
              <w:t xml:space="preserve">3 Oct 2026</w:t>
            </w:r>
          </w:p>
        </w:tc>
        <w:tc>
          <w:tcPr/>
          <w:p>
            <w:pPr>
              <w:pStyle w:val="Compact"/>
              <w:jc w:val="left"/>
            </w:pPr>
            <w:r>
              <w:t xml:space="preserve">Falsified, narrowly (5.8 points; 3.3 on the second version)</w:t>
            </w:r>
          </w:p>
        </w:tc>
      </w:tr>
      <w:tr>
        <w:tc>
          <w:tcPr/>
          <w:p>
            <w:pPr>
              <w:pStyle w:val="Compact"/>
              <w:jc w:val="left"/>
            </w:pPr>
            <w:r>
              <w:t xml:space="preserve">E8</w:t>
            </w:r>
          </w:p>
        </w:tc>
        <w:tc>
          <w:tcPr/>
          <w:p>
            <w:pPr>
              <w:pStyle w:val="Compact"/>
              <w:jc w:val="left"/>
            </w:pPr>
            <w:r>
              <w:t xml:space="preserve">Sellers with revenue of Rp300 million a year or more hold over half of marketplace value</w:t>
            </w:r>
          </w:p>
        </w:tc>
        <w:tc>
          <w:tcPr/>
          <w:p>
            <w:pPr>
              <w:pStyle w:val="Compact"/>
              <w:jc w:val="left"/>
            </w:pPr>
            <w:r>
              <w:t xml:space="preserve">3 Oct 2026</w:t>
            </w:r>
          </w:p>
        </w:tc>
        <w:tc>
          <w:tcPr/>
          <w:p>
            <w:pPr>
              <w:pStyle w:val="Compact"/>
              <w:jc w:val="left"/>
            </w:pPr>
            <w:r>
              <w:t xml:space="preserve">Holds (92.2 percent, middle scenario, an upper bound)</w:t>
            </w:r>
          </w:p>
        </w:tc>
      </w:tr>
      <w:tr>
        <w:tc>
          <w:tcPr/>
          <w:p>
            <w:pPr>
              <w:pStyle w:val="Compact"/>
              <w:jc w:val="left"/>
            </w:pPr>
            <w:r>
              <w:t xml:space="preserve">RBI</w:t>
            </w:r>
          </w:p>
        </w:tc>
        <w:tc>
          <w:tcPr/>
          <w:p>
            <w:pPr>
              <w:pStyle w:val="Compact"/>
              <w:jc w:val="left"/>
            </w:pPr>
            <w:r>
              <w:t xml:space="preserve">The marketplace part sold to final consumers is below Bank Indonesia’s 2022 figure</w:t>
            </w:r>
          </w:p>
        </w:tc>
        <w:tc>
          <w:tcPr/>
          <w:p>
            <w:pPr>
              <w:pStyle w:val="Compact"/>
              <w:jc w:val="left"/>
            </w:pPr>
            <w:r>
              <w:t xml:space="preserve">3 Oct 2026</w:t>
            </w:r>
          </w:p>
        </w:tc>
        <w:tc>
          <w:tcPr/>
          <w:p>
            <w:pPr>
              <w:pStyle w:val="Compact"/>
              <w:jc w:val="left"/>
            </w:pPr>
            <w:r>
              <w:t xml:space="preserve">Holds in the low (0.16) and middle (0.68) scenarios; fails in the high one (1.62)</w:t>
            </w:r>
          </w:p>
        </w:tc>
      </w:tr>
      <w:tr>
        <w:tc>
          <w:tcPr/>
          <w:p>
            <w:pPr>
              <w:pStyle w:val="Compact"/>
              <w:jc w:val="left"/>
            </w:pPr>
            <w:r>
              <w:t xml:space="preserve">W1, W2</w:t>
            </w:r>
          </w:p>
        </w:tc>
        <w:tc>
          <w:tcPr/>
          <w:p>
            <w:pPr>
              <w:pStyle w:val="Compact"/>
              <w:jc w:val="left"/>
            </w:pPr>
            <w:r>
              <w:t xml:space="preserve">Unregistered firms using social media keep written records and take digital payments more often</w:t>
            </w:r>
          </w:p>
        </w:tc>
        <w:tc>
          <w:tcPr/>
          <w:p>
            <w:pPr>
              <w:pStyle w:val="Compact"/>
              <w:jc w:val="left"/>
            </w:pPr>
            <w:r>
              <w:t xml:space="preserve">3 Oct 2026</w:t>
            </w:r>
          </w:p>
        </w:tc>
        <w:tc>
          <w:tcPr/>
          <w:p>
            <w:pPr>
              <w:pStyle w:val="Compact"/>
              <w:jc w:val="left"/>
            </w:pPr>
            <w:r>
              <w:t xml:space="preserve">Hold (29.9 against 12.3 percent; 11.5 against 2.7 percent)</w:t>
            </w:r>
          </w:p>
        </w:tc>
      </w:tr>
      <w:tr>
        <w:tc>
          <w:tcPr/>
          <w:p>
            <w:pPr>
              <w:pStyle w:val="Compact"/>
              <w:jc w:val="left"/>
            </w:pPr>
            <w:r>
              <w:t xml:space="preserve">W3</w:t>
            </w:r>
          </w:p>
        </w:tc>
        <w:tc>
          <w:tcPr/>
          <w:p>
            <w:pPr>
              <w:pStyle w:val="Compact"/>
              <w:jc w:val="left"/>
            </w:pPr>
            <w:r>
              <w:t xml:space="preserve">Their mean annual sales are below Rp100 million (about US$6,600)</w:t>
            </w:r>
          </w:p>
        </w:tc>
        <w:tc>
          <w:tcPr/>
          <w:p>
            <w:pPr>
              <w:pStyle w:val="Compact"/>
              <w:jc w:val="left"/>
            </w:pPr>
            <w:r>
              <w:t xml:space="preserve">3 Oct 2026</w:t>
            </w:r>
          </w:p>
        </w:tc>
        <w:tc>
          <w:tcPr/>
          <w:p>
            <w:pPr>
              <w:pStyle w:val="Compact"/>
              <w:jc w:val="left"/>
            </w:pPr>
            <w:r>
              <w:t xml:space="preserve">Falsified (mean Rp111 million; median Rp60 million)</w:t>
            </w:r>
          </w:p>
        </w:tc>
      </w:tr>
      <w:tr>
        <w:tc>
          <w:tcPr/>
          <w:p>
            <w:pPr>
              <w:pStyle w:val="Compact"/>
              <w:jc w:val="left"/>
            </w:pPr>
            <w:r>
              <w:t xml:space="preserve">F1, F2</w:t>
            </w:r>
          </w:p>
        </w:tc>
        <w:tc>
          <w:tcPr/>
          <w:p>
            <w:pPr>
              <w:pStyle w:val="Compact"/>
              <w:jc w:val="left"/>
            </w:pPr>
            <w:r>
              <w:t xml:space="preserve">Formal firms with a website take more e-payments and file taxes online more often</w:t>
            </w:r>
          </w:p>
        </w:tc>
        <w:tc>
          <w:tcPr/>
          <w:p>
            <w:pPr>
              <w:pStyle w:val="Compact"/>
              <w:jc w:val="left"/>
            </w:pPr>
            <w:r>
              <w:t xml:space="preserve">3 Oct 2026</w:t>
            </w:r>
          </w:p>
        </w:tc>
        <w:tc>
          <w:tcPr/>
          <w:p>
            <w:pPr>
              <w:pStyle w:val="Compact"/>
              <w:jc w:val="left"/>
            </w:pPr>
            <w:r>
              <w:t xml:space="preserve">Hold</w:t>
            </w:r>
          </w:p>
        </w:tc>
      </w:tr>
      <w:tr>
        <w:tc>
          <w:tcPr/>
          <w:p>
            <w:pPr>
              <w:pStyle w:val="Compact"/>
              <w:jc w:val="left"/>
            </w:pPr>
            <w:r>
              <w:t xml:space="preserve">F3</w:t>
            </w:r>
          </w:p>
        </w:tc>
        <w:tc>
          <w:tcPr/>
          <w:p>
            <w:pPr>
              <w:pStyle w:val="Compact"/>
              <w:jc w:val="left"/>
            </w:pPr>
            <w:r>
              <w:t xml:space="preserve">More than one third of formal firms have neither a website nor online tax filing</w:t>
            </w:r>
          </w:p>
        </w:tc>
        <w:tc>
          <w:tcPr/>
          <w:p>
            <w:pPr>
              <w:pStyle w:val="Compact"/>
              <w:jc w:val="left"/>
            </w:pPr>
            <w:r>
              <w:t xml:space="preserve">3 Oct 2026</w:t>
            </w:r>
          </w:p>
        </w:tc>
        <w:tc>
          <w:tcPr/>
          <w:p>
            <w:pPr>
              <w:pStyle w:val="Compact"/>
              <w:jc w:val="left"/>
            </w:pPr>
            <w:r>
              <w:t xml:space="preserve">Holds (39.9 percent), after a disclosed coding fix: the first run read</w:t>
            </w:r>
            <w:r>
              <w:t xml:space="preserve"> </w:t>
            </w:r>
            <w:r>
              <w:t xml:space="preserve">“</w:t>
            </w:r>
            <w:r>
              <w:t xml:space="preserve">yes, partially</w:t>
            </w:r>
            <w:r>
              <w:t xml:space="preserve">”</w:t>
            </w:r>
            <w:r>
              <w:t xml:space="preserve"> </w:t>
            </w:r>
            <w:r>
              <w:t xml:space="preserve">as no for online filing and gave 13.0 percent; the questionnaire counts it as yes</w:t>
            </w:r>
          </w:p>
        </w:tc>
      </w:tr>
      <w:tr>
        <w:tc>
          <w:tcPr/>
          <w:p>
            <w:pPr>
              <w:pStyle w:val="Compact"/>
              <w:jc w:val="left"/>
            </w:pPr>
            <w:r>
              <w:t xml:space="preserve">X3</w:t>
            </w:r>
          </w:p>
        </w:tc>
        <w:tc>
          <w:tcPr/>
          <w:p>
            <w:pPr>
              <w:pStyle w:val="Compact"/>
              <w:jc w:val="left"/>
            </w:pPr>
            <w:r>
              <w:t xml:space="preserve">Indonesia’s share of firms with neither is the highest of the countries compared</w:t>
            </w:r>
          </w:p>
        </w:tc>
        <w:tc>
          <w:tcPr/>
          <w:p>
            <w:pPr>
              <w:pStyle w:val="Compact"/>
              <w:jc w:val="left"/>
            </w:pPr>
            <w:r>
              <w:t xml:space="preserve">3 Oct 2026</w:t>
            </w:r>
          </w:p>
        </w:tc>
        <w:tc>
          <w:tcPr/>
          <w:p>
            <w:pPr>
              <w:pStyle w:val="Compact"/>
              <w:jc w:val="left"/>
            </w:pPr>
            <w:r>
              <w:t xml:space="preserve">Withdrawn as a test (addendum of 16 Oct 2026): published e-filing shares seen at registration already capped every other country below Indonesia. Reported as descriptive (Malaysia 9.1, Thailand 8.7)</w:t>
            </w:r>
          </w:p>
        </w:tc>
      </w:tr>
      <w:tr>
        <w:tc>
          <w:tcPr/>
          <w:p>
            <w:pPr>
              <w:pStyle w:val="Compact"/>
              <w:jc w:val="left"/>
            </w:pPr>
            <w:r>
              <w:t xml:space="preserve">X2</w:t>
            </w:r>
          </w:p>
        </w:tc>
        <w:tc>
          <w:tcPr/>
          <w:p>
            <w:pPr>
              <w:pStyle w:val="Compact"/>
              <w:jc w:val="left"/>
            </w:pPr>
            <w:r>
              <w:t xml:space="preserve">Firms with a website file taxes online more often, in at least 3 of 4 countries</w:t>
            </w:r>
          </w:p>
        </w:tc>
        <w:tc>
          <w:tcPr/>
          <w:p>
            <w:pPr>
              <w:pStyle w:val="Compact"/>
              <w:jc w:val="left"/>
            </w:pPr>
            <w:r>
              <w:t xml:space="preserve">3 Oct 2026</w:t>
            </w:r>
          </w:p>
        </w:tc>
        <w:tc>
          <w:tcPr/>
          <w:p>
            <w:pPr>
              <w:pStyle w:val="Compact"/>
              <w:jc w:val="left"/>
            </w:pPr>
            <w:r>
              <w:t xml:space="preserve">Holds in 4 of 4</w:t>
            </w:r>
          </w:p>
        </w:tc>
      </w:tr>
      <w:tr>
        <w:tc>
          <w:tcPr/>
          <w:p>
            <w:pPr>
              <w:pStyle w:val="Compact"/>
              <w:jc w:val="left"/>
            </w:pPr>
            <w:r>
              <w:t xml:space="preserve">Q1</w:t>
            </w:r>
          </w:p>
        </w:tc>
        <w:tc>
          <w:tcPr/>
          <w:p>
            <w:pPr>
              <w:pStyle w:val="Compact"/>
              <w:jc w:val="left"/>
            </w:pPr>
            <w:r>
              <w:t xml:space="preserve">The test of H1 with quarterly pairs rejects H1</w:t>
            </w:r>
          </w:p>
        </w:tc>
        <w:tc>
          <w:tcPr/>
          <w:p>
            <w:pPr>
              <w:pStyle w:val="Compact"/>
              <w:jc w:val="left"/>
            </w:pPr>
            <w:r>
              <w:t xml:space="preserve">7 Oct 2026, before it was run, but after the quarterly series had been built and the annual result was known, so it is a robustness check</w:t>
            </w:r>
          </w:p>
        </w:tc>
        <w:tc>
          <w:tcPr/>
          <w:p>
            <w:pPr>
              <w:pStyle w:val="Compact"/>
              <w:jc w:val="left"/>
            </w:pPr>
            <w:r>
              <w:t xml:space="preserve">Falsified (p = 0.19)</w:t>
            </w:r>
          </w:p>
        </w:tc>
      </w:tr>
      <w:tr>
        <w:tc>
          <w:tcPr/>
          <w:p>
            <w:pPr>
              <w:pStyle w:val="Compact"/>
              <w:jc w:val="left"/>
            </w:pPr>
            <w:r>
              <w:t xml:space="preserve">M1</w:t>
            </w:r>
          </w:p>
        </w:tc>
        <w:tc>
          <w:tcPr/>
          <w:p>
            <w:pPr>
              <w:pStyle w:val="Compact"/>
              <w:jc w:val="left"/>
            </w:pPr>
            <w:r>
              <w:t xml:space="preserve">Markets value growth from more transactions more than growth from a higher take rate</w:t>
            </w:r>
          </w:p>
        </w:tc>
        <w:tc>
          <w:tcPr/>
          <w:p>
            <w:pPr>
              <w:pStyle w:val="Compact"/>
              <w:jc w:val="left"/>
            </w:pPr>
            <w:r>
              <w:t xml:space="preserve">8 Oct 2026, before the market values were pulled</w:t>
            </w:r>
          </w:p>
        </w:tc>
        <w:tc>
          <w:tcPr/>
          <w:p>
            <w:pPr>
              <w:pStyle w:val="Compact"/>
              <w:jc w:val="left"/>
            </w:pPr>
            <w:r>
              <w:t xml:space="preserve">Falsified in the main sample (p = 0.20) and with extreme values capped (p = 0.16); holds in the second run of 34 platforms (p = 0.004), which mixes segment figures with whole-company values</w:t>
            </w:r>
          </w:p>
        </w:tc>
      </w:tr>
      <w:tr>
        <w:tc>
          <w:tcPr/>
          <w:p>
            <w:pPr>
              <w:pStyle w:val="Compact"/>
              <w:jc w:val="left"/>
            </w:pPr>
            <w:r>
              <w:t xml:space="preserve">M2</w:t>
            </w:r>
          </w:p>
        </w:tc>
        <w:tc>
          <w:tcPr/>
          <w:p>
            <w:pPr>
              <w:pStyle w:val="Compact"/>
              <w:jc w:val="left"/>
            </w:pPr>
            <w:r>
              <w:t xml:space="preserve">Market value moves with transaction value</w:t>
            </w:r>
          </w:p>
        </w:tc>
        <w:tc>
          <w:tcPr/>
          <w:p>
            <w:pPr>
              <w:pStyle w:val="Compact"/>
              <w:jc w:val="left"/>
            </w:pPr>
            <w:r>
              <w:t xml:space="preserve">8 Oct 2026</w:t>
            </w:r>
          </w:p>
        </w:tc>
        <w:tc>
          <w:tcPr/>
          <w:p>
            <w:pPr>
              <w:pStyle w:val="Compact"/>
              <w:jc w:val="left"/>
            </w:pPr>
            <w:r>
              <w:t xml:space="preserve">Holds (p = 0.002)</w:t>
            </w:r>
          </w:p>
        </w:tc>
      </w:tr>
      <w:tr>
        <w:tc>
          <w:tcPr/>
          <w:p>
            <w:pPr>
              <w:pStyle w:val="Compact"/>
              <w:jc w:val="left"/>
            </w:pPr>
            <w:r>
              <w:t xml:space="preserve">L (P1 to P3)</w:t>
            </w:r>
          </w:p>
        </w:tc>
        <w:tc>
          <w:tcPr/>
          <w:p>
            <w:pPr>
              <w:pStyle w:val="Compact"/>
              <w:jc w:val="left"/>
            </w:pPr>
            <w:r>
              <w:t xml:space="preserve">Large take-rate moves driven by discounts occur only where incentives are at least as large as revenue (L of 1 or more)</w:t>
            </w:r>
          </w:p>
        </w:tc>
        <w:tc>
          <w:tcPr/>
          <w:p>
            <w:pPr>
              <w:pStyle w:val="Compact"/>
              <w:jc w:val="left"/>
            </w:pPr>
            <w:r>
              <w:t xml:space="preserve">2 Oct 2026</w:t>
            </w:r>
          </w:p>
        </w:tc>
        <w:tc>
          <w:tcPr/>
          <w:p>
            <w:pPr>
              <w:pStyle w:val="Compact"/>
              <w:jc w:val="left"/>
            </w:pPr>
            <w:r>
              <w:t xml:space="preserve">Thin support out of sample: P1 holds on 2 of 2 cases; P3 fails at the main threshold (median move 0.117 against 0.10); rank correlation 0.20 (p = 0.43)</w:t>
            </w:r>
          </w:p>
        </w:tc>
      </w:tr>
      <w:tr>
        <w:tc>
          <w:tcPr/>
          <w:p>
            <w:pPr>
              <w:pStyle w:val="Compact"/>
              <w:jc w:val="left"/>
            </w:pPr>
            <w:r>
              <w:t xml:space="preserve">P1 to P5, R1 to R3</w:t>
            </w:r>
          </w:p>
        </w:tc>
        <w:tc>
          <w:tcPr/>
          <w:p>
            <w:pPr>
              <w:pStyle w:val="Compact"/>
              <w:jc w:val="left"/>
            </w:pPr>
            <w:r>
              <w:t xml:space="preserve">Predictions on the third-quarter 2026 results of GoTo, Grab and Sea</w:t>
            </w:r>
          </w:p>
        </w:tc>
        <w:tc>
          <w:tcPr/>
          <w:p>
            <w:pPr>
              <w:pStyle w:val="Compact"/>
              <w:jc w:val="left"/>
            </w:pPr>
            <w:r>
              <w:t xml:space="preserve">2 and 3 Oct 2026</w:t>
            </w:r>
          </w:p>
        </w:tc>
        <w:tc>
          <w:tcPr/>
          <w:p>
            <w:pPr>
              <w:pStyle w:val="Compact"/>
              <w:jc w:val="left"/>
            </w:pPr>
            <w:r>
              <w:t xml:space="preserve">Not yet scored; first results are due on 27 Oct 2026</w:t>
            </w:r>
          </w:p>
        </w:tc>
      </w:tr>
      <w:tr>
        <w:tc>
          <w:tcPr/>
          <w:p>
            <w:pPr>
              <w:pStyle w:val="Compact"/>
              <w:jc w:val="left"/>
            </w:pPr>
            <w:r>
              <w:t xml:space="preserve">Marketplace tax start</w:t>
            </w:r>
          </w:p>
        </w:tc>
        <w:tc>
          <w:tcPr/>
          <w:p>
            <w:pPr>
              <w:pStyle w:val="Compact"/>
              <w:jc w:val="left"/>
            </w:pPr>
            <w:r>
              <w:t xml:space="preserve">The tax start slips again</w:t>
            </w:r>
          </w:p>
        </w:tc>
        <w:tc>
          <w:tcPr/>
          <w:p>
            <w:pPr>
              <w:pStyle w:val="Compact"/>
              <w:jc w:val="left"/>
            </w:pPr>
            <w:r>
              <w:t xml:space="preserve">2 Oct 2026</w:t>
            </w:r>
          </w:p>
        </w:tc>
        <w:tc>
          <w:tcPr/>
          <w:p>
            <w:pPr>
              <w:pStyle w:val="Compact"/>
              <w:jc w:val="left"/>
            </w:pPr>
            <w:r>
              <w:t xml:space="preserve">Withdrawn: collection began on 1 Oct 2026, before the prediction was registered (addendum of 15 Oct 2026)</w:t>
            </w:r>
          </w:p>
        </w:tc>
      </w:tr>
      <w:tr>
        <w:tc>
          <w:tcPr/>
          <w:p>
            <w:pPr>
              <w:pStyle w:val="Compact"/>
              <w:jc w:val="left"/>
            </w:pPr>
            <w:r>
              <w:t xml:space="preserve">BPS marketplace share</w:t>
            </w:r>
          </w:p>
        </w:tc>
        <w:tc>
          <w:tcPr/>
          <w:p>
            <w:pPr>
              <w:pStyle w:val="Compact"/>
              <w:jc w:val="left"/>
            </w:pPr>
            <w:r>
              <w:t xml:space="preserve">The next published marketplace share is at most 15.79 percent</w:t>
            </w:r>
          </w:p>
        </w:tc>
        <w:tc>
          <w:tcPr/>
          <w:p>
            <w:pPr>
              <w:pStyle w:val="Compact"/>
              <w:jc w:val="left"/>
            </w:pPr>
            <w:r>
              <w:t xml:space="preserve">2 Oct 2026</w:t>
            </w:r>
          </w:p>
        </w:tc>
        <w:tc>
          <w:tcPr/>
          <w:p>
            <w:pPr>
              <w:pStyle w:val="Compact"/>
              <w:jc w:val="left"/>
            </w:pPr>
            <w:r>
              <w:t xml:space="preserve">Not yet scored</w:t>
            </w:r>
          </w:p>
        </w:tc>
      </w:tr>
    </w:tbl>
    <w:bookmarkEnd w:id="104"/>
    <w:bookmarkStart w:id="105" w:name="X92640344d08875034e5a8de8259a0693ee6d22b"/>
    <w:p>
      <w:pPr>
        <w:pStyle w:val="Heading2"/>
      </w:pPr>
      <w:r>
        <w:t xml:space="preserve">Appendix E. The values behind Figures 5.3 to 5.5</w:t>
      </w:r>
    </w:p>
    <w:p>
      <w:pPr>
        <w:pStyle w:val="FirstParagraph"/>
      </w:pPr>
      <w:r>
        <w:rPr>
          <w:bCs/>
          <w:b/>
        </w:rPr>
        <w:t xml:space="preserve">Growth in 2023, percent (Figure 5.3).</w:t>
      </w:r>
      <w:r>
        <w:t xml:space="preserve"> </w:t>
      </w:r>
      <w:r>
        <w:t xml:space="preserve">Household spending +9.4; Tokopedia transaction value −8.9; GoTo on-demand transaction value −10.5 (rests on an estimated 2022 value); Bank Indonesia e-commerce −4.7; Momentum Works marketplace estimate +3.5 (calculated from its published levels; its 2024 release states 3.7); Bukalapak transaction value +6.9; Blibli third-party retail transaction value +34.7; Tokopedia revenue +53.2; BPS e-commerce value +40.6; BPS online sellers +27.4. Sources:</w:t>
      </w:r>
      <w:r>
        <w:t xml:space="preserve"> </w:t>
      </w:r>
      <w:r>
        <w:rPr>
          <w:rStyle w:val="VerbatimChar"/>
        </w:rPr>
        <w:t xml:space="preserve">tables/consistency_grid_growth.csv</w:t>
      </w:r>
      <w:r>
        <w:t xml:space="preserve">,</w:t>
      </w:r>
      <w:r>
        <w:t xml:space="preserve"> </w:t>
      </w:r>
      <w:r>
        <w:rPr>
          <w:rStyle w:val="VerbatimChar"/>
        </w:rPr>
        <w:t xml:space="preserve">tables/yardsticks_bi_bps.csv</w:t>
      </w:r>
      <w:r>
        <w:t xml:space="preserve">,</w:t>
      </w:r>
      <w:r>
        <w:t xml:space="preserve"> </w:t>
      </w:r>
      <w:r>
        <w:rPr>
          <w:rStyle w:val="VerbatimChar"/>
        </w:rPr>
        <w:t xml:space="preserve">tables/wedge_over_time.csv</w:t>
      </w:r>
      <w:r>
        <w:t xml:space="preserve">,</w:t>
      </w:r>
      <w:r>
        <w:t xml:space="preserve"> </w:t>
      </w:r>
      <w:r>
        <w:rPr>
          <w:rStyle w:val="VerbatimChar"/>
        </w:rPr>
        <w:t xml:space="preserve">tables/h1_groundwork.json</w:t>
      </w:r>
      <w:r>
        <w:t xml:space="preserve">, company filings.</w:t>
      </w:r>
    </w:p>
    <w:p>
      <w:pPr>
        <w:pStyle w:val="BodyText"/>
      </w:pPr>
      <w:r>
        <w:rPr>
          <w:bCs/>
          <w:b/>
        </w:rPr>
        <w:t xml:space="preserve">Who the extra sellers were, percent (Figure 5.4).</w:t>
      </w:r>
      <w:r>
        <w:t xml:space="preserve"> </w:t>
      </w:r>
      <w:r>
        <w:t xml:space="preserve">Share of the 2022 count and share of the extra count: business opened before 2010, 18.3 and 40.5; owner aged 50 or over, 28.9 and 41.2; outside Java, 23.6 and 36.3; food and lodging or making goods, 38.5 and 53.0. Source:</w:t>
      </w:r>
      <w:r>
        <w:t xml:space="preserve"> </w:t>
      </w:r>
      <w:r>
        <w:rPr>
          <w:rStyle w:val="VerbatimChar"/>
        </w:rPr>
        <w:t xml:space="preserve">tables/bps_newly_counted_profile.json</w:t>
      </w:r>
      <w:r>
        <w:t xml:space="preserve">.</w:t>
      </w:r>
    </w:p>
    <w:p>
      <w:pPr>
        <w:pStyle w:val="BodyText"/>
      </w:pPr>
      <w:r>
        <w:rPr>
          <w:bCs/>
          <w:b/>
        </w:rPr>
        <w:t xml:space="preserve">Marketplace use and financial statements, percent of sellers (Figure 5.5).</w:t>
      </w:r>
      <w:r>
        <w:t xml:space="preserve"> </w:t>
      </w:r>
      <w:r>
        <w:t xml:space="preserve">Marketplace use: 21.6 (2020), 19.8 (2022), 17.8 (2023), 17.2 (2024, published). Complete financial statements: 23.5 (2020), 20.7 (2022), 15.2 (2023). Source:</w:t>
      </w:r>
      <w:r>
        <w:t xml:space="preserve"> </w:t>
      </w:r>
      <w:r>
        <w:rPr>
          <w:rStyle w:val="VerbatimChar"/>
        </w:rPr>
        <w:t xml:space="preserve">tables/bps_descriptives.json</w:t>
      </w:r>
      <w:r>
        <w:t xml:space="preserve">.</w:t>
      </w:r>
    </w:p>
    <w:p>
      <w:pPr>
        <w:pStyle w:val="BodyText"/>
      </w:pPr>
      <w:r>
        <w:t xml:space="preserve">The figures are drawn from the tables named above (</w:t>
      </w:r>
      <w:r>
        <w:rPr>
          <w:rStyle w:val="VerbatimChar"/>
        </w:rPr>
        <w:t xml:space="preserve">papers/thesis_2026-10/figures/make_figures.py</w:t>
      </w:r>
      <w:r>
        <w:t xml:space="preserve">). In each figure, a legend or label names every colour.</w:t>
      </w:r>
    </w:p>
    <w:bookmarkEnd w:id="105"/>
    <w:bookmarkEnd w:id="106"/>
    <w:bookmarkStart w:id="107" w:name="references"/>
    <w:p>
      <w:pPr>
        <w:pStyle w:val="Heading1"/>
      </w:pPr>
      <w:r>
        <w:t xml:space="preserve">References</w:t>
      </w:r>
    </w:p>
    <w:p>
      <w:pPr>
        <w:pStyle w:val="FirstParagraph"/>
      </w:pPr>
      <w:r>
        <w:t xml:space="preserve">Agence France-Presse. (2023, September 25).</w:t>
      </w:r>
      <w:r>
        <w:t xml:space="preserve"> </w:t>
      </w:r>
      <w:r>
        <w:t xml:space="preserve">‘</w:t>
      </w:r>
      <w:r>
        <w:t xml:space="preserve">Regulate them</w:t>
      </w:r>
      <w:r>
        <w:t xml:space="preserve">’</w:t>
      </w:r>
      <w:r>
        <w:t xml:space="preserve">: Hard-up Indonesia traders urge TikTok sales ban.</w:t>
      </w:r>
      <w:r>
        <w:t xml:space="preserve"> </w:t>
      </w:r>
      <w:r>
        <w:rPr>
          <w:iCs/>
          <w:i/>
        </w:rPr>
        <w:t xml:space="preserve">Daily Tribune</w:t>
      </w:r>
      <w:r>
        <w:t xml:space="preserve">. https://tribune.net.ph/2023/09/25/regulate-them-hard-up-indonesia-traders-urge-tiktok-sales-ban</w:t>
      </w:r>
    </w:p>
    <w:p>
      <w:pPr>
        <w:pStyle w:val="BodyText"/>
      </w:pPr>
      <w:r>
        <w:t xml:space="preserve">Ahmad, N., &amp; Schreyer, P. (2016).</w:t>
      </w:r>
      <w:r>
        <w:t xml:space="preserve"> </w:t>
      </w:r>
      <w:r>
        <w:rPr>
          <w:iCs/>
          <w:i/>
        </w:rPr>
        <w:t xml:space="preserve">Measuring GDP in a digitalised economy</w:t>
      </w:r>
      <w:r>
        <w:t xml:space="preserve"> </w:t>
      </w:r>
      <w:r>
        <w:t xml:space="preserve">(OECD Statistics Working Papers No. 2016/07). OECD Publishing. https://doi.org/10.1787/5jlwqd81d09r-en</w:t>
      </w:r>
    </w:p>
    <w:p>
      <w:pPr>
        <w:pStyle w:val="BodyText"/>
      </w:pPr>
      <w:r>
        <w:t xml:space="preserve">Armstrong, M. (2006). Competition in two-sided markets.</w:t>
      </w:r>
      <w:r>
        <w:t xml:space="preserve"> </w:t>
      </w:r>
      <w:r>
        <w:rPr>
          <w:iCs/>
          <w:i/>
        </w:rPr>
        <w:t xml:space="preserve">The RAND Journal of Economics, 37</w:t>
      </w:r>
      <w:r>
        <w:t xml:space="preserve">(3), 668–691. https://doi.org/10.1111/j.1756-2171.2006.tb00037.x</w:t>
      </w:r>
    </w:p>
    <w:p>
      <w:pPr>
        <w:pStyle w:val="BodyText"/>
      </w:pPr>
      <w:r>
        <w:t xml:space="preserve">Ayudiana, S. (2026, July 8). Diskon biaya layanan marketplace ditargetkan berlaku Agustus 2026 [Marketplace service-fee discount targeted for August 2026].</w:t>
      </w:r>
      <w:r>
        <w:t xml:space="preserve"> </w:t>
      </w:r>
      <w:r>
        <w:rPr>
          <w:iCs/>
          <w:i/>
        </w:rPr>
        <w:t xml:space="preserve">ANTARA</w:t>
      </w:r>
      <w:r>
        <w:t xml:space="preserve">. https://www.antaranews.com/berita/5641444/diskon-biaya-layanan-marketplace-ditargetkan-berlaku-agustus-2026</w:t>
      </w:r>
    </w:p>
    <w:p>
      <w:pPr>
        <w:pStyle w:val="BodyText"/>
      </w:pPr>
      <w:r>
        <w:t xml:space="preserve">Bank for International Settlements. (2026).</w:t>
      </w:r>
      <w:r>
        <w:t xml:space="preserve"> </w:t>
      </w:r>
      <w:r>
        <w:rPr>
          <w:iCs/>
          <w:i/>
        </w:rPr>
        <w:t xml:space="preserve">Central bank policy rates</w:t>
      </w:r>
      <w:r>
        <w:t xml:space="preserve"> </w:t>
      </w:r>
      <w:r>
        <w:t xml:space="preserve">[Data set, WS_CBPOL, monthly]. https://data.bis.org</w:t>
      </w:r>
      <w:r>
        <w:t xml:space="preserve"> </w:t>
      </w:r>
      <w:r>
        <w:t xml:space="preserve">Bank Indonesia. (2023).</w:t>
      </w:r>
      <w:r>
        <w:t xml:space="preserve"> </w:t>
      </w:r>
      <w:r>
        <w:rPr>
          <w:iCs/>
          <w:i/>
        </w:rPr>
        <w:t xml:space="preserve">Laporan perekonomian Indonesia 2022</w:t>
      </w:r>
      <w:r>
        <w:t xml:space="preserve"> </w:t>
      </w:r>
      <w:r>
        <w:t xml:space="preserve">[Economic report on Indonesia 2022]. https://www.bi.go.id/id/publikasi/laporan/Documents/LPI_2022.pdf</w:t>
      </w:r>
    </w:p>
    <w:p>
      <w:pPr>
        <w:pStyle w:val="BodyText"/>
      </w:pPr>
      <w:r>
        <w:t xml:space="preserve">Bank Indonesia. (2025, October 30).</w:t>
      </w:r>
      <w:r>
        <w:t xml:space="preserve"> </w:t>
      </w:r>
      <w:r>
        <w:rPr>
          <w:iCs/>
          <w:i/>
        </w:rPr>
        <w:t xml:space="preserve">Sinergi jadi energi: Saat UMKM naik kelas lewat digitalisasi</w:t>
      </w:r>
      <w:r>
        <w:t xml:space="preserve"> </w:t>
      </w:r>
      <w:r>
        <w:t xml:space="preserve">[Synergy becomes energy: When small businesses move up through digitalisation] [Cerita BI]. https://www.bi.go.id/id/publikasi/ruang-media/cerita-bi/Pages/Sinergi-Jadi-Energi-Saat-UMKM-Naik-Kelas-Lewat-Digitalisasi.aspx</w:t>
      </w:r>
    </w:p>
    <w:p>
      <w:pPr>
        <w:pStyle w:val="BodyText"/>
      </w:pPr>
      <w:r>
        <w:t xml:space="preserve">Berg, T., Burg, V., Gombović, A., &amp; Puri, M. (2020). On the rise of FinTechs: Credit scoring using digital footprints.</w:t>
      </w:r>
      <w:r>
        <w:t xml:space="preserve"> </w:t>
      </w:r>
      <w:r>
        <w:rPr>
          <w:iCs/>
          <w:i/>
        </w:rPr>
        <w:t xml:space="preserve">The Review of Financial Studies, 33</w:t>
      </w:r>
      <w:r>
        <w:t xml:space="preserve">(7), 2845–2897. https://doi.org/10.1093/rfs/hhz099</w:t>
      </w:r>
    </w:p>
    <w:p>
      <w:pPr>
        <w:pStyle w:val="BodyText"/>
      </w:pPr>
      <w:r>
        <w:t xml:space="preserve">Bowen, R. M., Davis, A. K., &amp; Rajgopal, S. (2002). Determinants of revenue-reporting practices for Internet firms.</w:t>
      </w:r>
      <w:r>
        <w:t xml:space="preserve"> </w:t>
      </w:r>
      <w:r>
        <w:rPr>
          <w:iCs/>
          <w:i/>
        </w:rPr>
        <w:t xml:space="preserve">Contemporary Accounting Research, 19</w:t>
      </w:r>
      <w:r>
        <w:t xml:space="preserve">(4), 523–562. https://doi.org/10.1506/9728-4YG8-GC3L-FPFA</w:t>
      </w:r>
    </w:p>
    <w:p>
      <w:pPr>
        <w:pStyle w:val="BodyText"/>
      </w:pPr>
      <w:r>
        <w:t xml:space="preserve">BPS-Statistics Indonesia. (2023).</w:t>
      </w:r>
      <w:r>
        <w:t xml:space="preserve"> </w:t>
      </w:r>
      <w:r>
        <w:rPr>
          <w:iCs/>
          <w:i/>
        </w:rPr>
        <w:t xml:space="preserve">Peraturan Badan Pusat Statistik Nomor 4 Tahun 2023 tentang penyampaian dan pengelolaan data dan/atau informasi perdagangan melalui sistem elektronik</w:t>
      </w:r>
      <w:r>
        <w:t xml:space="preserve"> </w:t>
      </w:r>
      <w:r>
        <w:t xml:space="preserve">[BPS Regulation No. 4 of 2023 on the submission and management of e-commerce data and/or information]. Berita Negara Republik Indonesia Tahun 2023 Nomor 257. https://jdih.bps.go.id</w:t>
      </w:r>
    </w:p>
    <w:p>
      <w:pPr>
        <w:pStyle w:val="BodyText"/>
      </w:pPr>
      <w:r>
        <w:t xml:space="preserve">BPS-Statistics Indonesia. (2025a).</w:t>
      </w:r>
      <w:r>
        <w:t xml:space="preserve"> </w:t>
      </w:r>
      <w:r>
        <w:rPr>
          <w:iCs/>
          <w:i/>
        </w:rPr>
        <w:t xml:space="preserve">Statistik e-commerce 2023</w:t>
      </w:r>
      <w:r>
        <w:t xml:space="preserve"> </w:t>
      </w:r>
      <w:r>
        <w:t xml:space="preserve">[E-commerce statistics 2023]. https://www.bps.go.id/id/publication/2025/01/30/d52af11843aee401403ecfa6/statistik-e-commerce-2023.html</w:t>
      </w:r>
    </w:p>
    <w:p>
      <w:pPr>
        <w:pStyle w:val="BodyText"/>
      </w:pPr>
      <w:r>
        <w:t xml:space="preserve">BPS-Statistics Indonesia. (2025b).</w:t>
      </w:r>
      <w:r>
        <w:t xml:space="preserve"> </w:t>
      </w:r>
      <w:r>
        <w:rPr>
          <w:iCs/>
          <w:i/>
        </w:rPr>
        <w:t xml:space="preserve">Statistik e-commerce 2024</w:t>
      </w:r>
      <w:r>
        <w:t xml:space="preserve"> </w:t>
      </w:r>
      <w:r>
        <w:t xml:space="preserve">[E-commerce statistics 2024]. https://www.bps.go.id/id/publication/2025/11/28/647323224ecc656c2933571b/statistik-e-commerce-2024.html</w:t>
      </w:r>
    </w:p>
    <w:p>
      <w:pPr>
        <w:pStyle w:val="BodyText"/>
      </w:pPr>
      <w:r>
        <w:t xml:space="preserve">van den Brakel, J., Smith, P. A., &amp; Compton, S. (2008). Quality procedures for survey transitions: Experiments, time series and discontinuities.</w:t>
      </w:r>
      <w:r>
        <w:t xml:space="preserve"> </w:t>
      </w:r>
      <w:r>
        <w:rPr>
          <w:iCs/>
          <w:i/>
        </w:rPr>
        <w:t xml:space="preserve">Survey Research Methods, 2</w:t>
      </w:r>
      <w:r>
        <w:t xml:space="preserve">(3), 123–141. https://doi.org/10.18148/srm/2008.v2i3.68</w:t>
      </w:r>
    </w:p>
    <w:p>
      <w:pPr>
        <w:pStyle w:val="BodyText"/>
      </w:pPr>
      <w:r>
        <w:t xml:space="preserve">van den Brakel, J., Zhang, X., &amp; Tam, S.-M. (2020). Measuring discontinuities in time series obtained with repeated sample surveys.</w:t>
      </w:r>
      <w:r>
        <w:t xml:space="preserve"> </w:t>
      </w:r>
      <w:r>
        <w:rPr>
          <w:iCs/>
          <w:i/>
        </w:rPr>
        <w:t xml:space="preserve">International Statistical Review, 88</w:t>
      </w:r>
      <w:r>
        <w:t xml:space="preserve">(1), 155–175. https://doi.org/10.1111/insr.12347</w:t>
      </w:r>
    </w:p>
    <w:p>
      <w:pPr>
        <w:pStyle w:val="BodyText"/>
      </w:pPr>
      <w:r>
        <w:t xml:space="preserve">Bureau of Internal Revenue. (2023).</w:t>
      </w:r>
      <w:r>
        <w:t xml:space="preserve"> </w:t>
      </w:r>
      <w:r>
        <w:rPr>
          <w:iCs/>
          <w:i/>
        </w:rPr>
        <w:t xml:space="preserve">Revenue Regulations No. 16-2023</w:t>
      </w:r>
      <w:r>
        <w:t xml:space="preserve"> </w:t>
      </w:r>
      <w:r>
        <w:t xml:space="preserve">[Issued December 21, 2023]. Republic of the Philippines. [Primary text not retrieved; details from Cordero, T. (2023, December 29), BIR subjects online sellers to 1% withholding tax,</w:t>
      </w:r>
      <w:r>
        <w:t xml:space="preserve"> </w:t>
      </w:r>
      <w:r>
        <w:rPr>
          <w:iCs/>
          <w:i/>
        </w:rPr>
        <w:t xml:space="preserve">GMA News</w:t>
      </w:r>
      <w:r>
        <w:t xml:space="preserve">, https://www.gmanetwork.com/news/money/economy/892606/bir-subjects-online-sellers-to-1-withholding-tax/story/]</w:t>
      </w:r>
    </w:p>
    <w:p>
      <w:pPr>
        <w:pStyle w:val="BodyText"/>
      </w:pPr>
      <w:r>
        <w:t xml:space="preserve">Caillaud, B., &amp; Jullien, B. (2003). Chicken &amp; egg: Competition among intermediation service providers.</w:t>
      </w:r>
      <w:r>
        <w:t xml:space="preserve"> </w:t>
      </w:r>
      <w:r>
        <w:rPr>
          <w:iCs/>
          <w:i/>
        </w:rPr>
        <w:t xml:space="preserve">The RAND Journal of Economics, 34</w:t>
      </w:r>
      <w:r>
        <w:t xml:space="preserve">(2), 309–328. https://doi.org/10.2307/1593720</w:t>
      </w:r>
    </w:p>
    <w:p>
      <w:pPr>
        <w:pStyle w:val="BodyText"/>
      </w:pPr>
      <w:r>
        <w:t xml:space="preserve">CNN Indonesia. (2026a, May 8).</w:t>
      </w:r>
      <w:r>
        <w:t xml:space="preserve"> </w:t>
      </w:r>
      <w:r>
        <w:rPr>
          <w:iCs/>
          <w:i/>
        </w:rPr>
        <w:t xml:space="preserve">Pemerintah ogah atur tarif admin Shopee-TikTok Shop usai seller ngeluh</w:t>
      </w:r>
      <w:r>
        <w:t xml:space="preserve"> </w:t>
      </w:r>
      <w:r>
        <w:t xml:space="preserve">[Government declines to regulate Shopee and TikTok Shop admin fees after sellers complain]. https://www.cnnindonesia.com/ekonomi/20260507165414-92-1356232/pemerintah-ogah-atur-tarif-admin-shopee-cs-meski-dikeluhkan-seller</w:t>
      </w:r>
    </w:p>
    <w:p>
      <w:pPr>
        <w:pStyle w:val="BodyText"/>
      </w:pPr>
      <w:r>
        <w:t xml:space="preserve">CNN Indonesia. (2026b, October 9).</w:t>
      </w:r>
      <w:r>
        <w:t xml:space="preserve"> </w:t>
      </w:r>
      <w:r>
        <w:rPr>
          <w:iCs/>
          <w:i/>
        </w:rPr>
        <w:t xml:space="preserve">Perpres ojol terbit, tegaskan potongan 8% dan tarif diatur Kemenhub</w:t>
      </w:r>
      <w:r>
        <w:t xml:space="preserve"> </w:t>
      </w:r>
      <w:r>
        <w:t xml:space="preserve">[Ojol regulation issued, confirms the 8% cut and fares set by the transport ministry]. https://www.cnnindonesia.com/otomotif/20261009100050-579-1413414/perpres-ojol-terbit-tegaskan-potongan-8-dan-tarif-diatur-kemenhub</w:t>
      </w:r>
    </w:p>
    <w:p>
      <w:pPr>
        <w:pStyle w:val="BodyText"/>
      </w:pPr>
      <w:r>
        <w:t xml:space="preserve">Cameron, A. C., Gelbach, J. B., &amp; Miller, D. L. (2008). Bootstrap-based improvements for inference with clustered errors.</w:t>
      </w:r>
      <w:r>
        <w:t xml:space="preserve"> </w:t>
      </w:r>
      <w:r>
        <w:rPr>
          <w:iCs/>
          <w:i/>
        </w:rPr>
        <w:t xml:space="preserve">The Review of Economics and Statistics, 90</w:t>
      </w:r>
      <w:r>
        <w:t xml:space="preserve">(3), 414–427. https://doi.org/10.1162/rest.90.3.414</w:t>
      </w:r>
      <w:r>
        <w:t xml:space="preserve"> </w:t>
      </w:r>
      <w:r>
        <w:t xml:space="preserve">Davis, A. K. (2002). The value relevance of revenue for Internet firms: Does reporting grossed-up or barter revenue make a difference?</w:t>
      </w:r>
      <w:r>
        <w:t xml:space="preserve"> </w:t>
      </w:r>
      <w:r>
        <w:rPr>
          <w:iCs/>
          <w:i/>
        </w:rPr>
        <w:t xml:space="preserve">Journal of Accounting Research, 40</w:t>
      </w:r>
      <w:r>
        <w:t xml:space="preserve">(2), 445–477. https://doi.org/10.1111/1475-679X.00056</w:t>
      </w:r>
    </w:p>
    <w:p>
      <w:pPr>
        <w:pStyle w:val="BodyText"/>
      </w:pPr>
      <w:r>
        <w:t xml:space="preserve">Directorate General of Taxes. (2025, January 20).</w:t>
      </w:r>
      <w:r>
        <w:t xml:space="preserve"> </w:t>
      </w:r>
      <w:r>
        <w:rPr>
          <w:iCs/>
          <w:i/>
        </w:rPr>
        <w:t xml:space="preserve">Pajak atas usaha ekonomi digital terkini: 32,32 triliun</w:t>
      </w:r>
      <w:r>
        <w:t xml:space="preserve"> </w:t>
      </w:r>
      <w:r>
        <w:t xml:space="preserve">[Latest tax from the digital economy: Rp32.32 trillion] (Press Release No. SP-1/2025). Ministry of Finance of the Republic of Indonesia. https://pajak.go.id/id/siaran-pers/pajak-atas-usaha-ekonomi-digital-terkini-3232-triliun</w:t>
      </w:r>
    </w:p>
    <w:p>
      <w:pPr>
        <w:pStyle w:val="BodyText"/>
      </w:pPr>
      <w:r>
        <w:t xml:space="preserve">Directorate General of Taxes. (2026a, July 1).</w:t>
      </w:r>
      <w:r>
        <w:t xml:space="preserve"> </w:t>
      </w:r>
      <w:r>
        <w:rPr>
          <w:iCs/>
          <w:i/>
        </w:rPr>
        <w:t xml:space="preserve">Pemerintah implementasikan PMK 37/2025 melalui penunjukan empat marketplace sebagai pemungut PPh</w:t>
      </w:r>
      <w:r>
        <w:t xml:space="preserve"> </w:t>
      </w:r>
      <w:r>
        <w:t xml:space="preserve">[Government implements Finance Minister Regulation 37/2025 by designating four marketplaces as income tax collectors] (Press Release No. SP-14/2026). Ministry of Finance of the Republic of Indonesia. https://www.pajak.go.id/en/node/120146</w:t>
      </w:r>
    </w:p>
    <w:p>
      <w:pPr>
        <w:pStyle w:val="BodyText"/>
      </w:pPr>
      <w:r>
        <w:t xml:space="preserve">Directorate General of Taxes. (2026b, August 5).</w:t>
      </w:r>
      <w:r>
        <w:t xml:space="preserve"> </w:t>
      </w:r>
      <w:r>
        <w:rPr>
          <w:iCs/>
          <w:i/>
        </w:rPr>
        <w:t xml:space="preserve">Pengumuman Nomor PENG-46/PJ.09/2026 tentang penundaan waktu pemberlakuan ketentuan pemungutan PPh Pasal 22 oleh marketplace</w:t>
      </w:r>
      <w:r>
        <w:t xml:space="preserve"> </w:t>
      </w:r>
      <w:r>
        <w:t xml:space="preserve">[Announcement No. PENG-46/PJ.09/2026 on postponing marketplace collection of income tax Article 22 to 1 November 2026]. Ministry of Finance of the Republic of Indonesia. https://pajak.go.id/en/node/120353</w:t>
      </w:r>
    </w:p>
    <w:p>
      <w:pPr>
        <w:pStyle w:val="BodyText"/>
      </w:pPr>
      <w:r>
        <w:t xml:space="preserve">Directorate General of Taxes. (2026c, October 1).</w:t>
      </w:r>
      <w:r>
        <w:t xml:space="preserve"> </w:t>
      </w:r>
      <w:r>
        <w:rPr>
          <w:iCs/>
          <w:i/>
        </w:rPr>
        <w:t xml:space="preserve">Pemungutan PPh Pasal 22 melalui marketplace mulai dilaksanakan 1 Oktober 2026</w:t>
      </w:r>
      <w:r>
        <w:t xml:space="preserve"> </w:t>
      </w:r>
      <w:r>
        <w:t xml:space="preserve">[Marketplace collection of income tax begins 1 October 2026] [Press release]. Ministry of Finance of the Republic of Indonesia. https://pajak.go.id/en/node/120661</w:t>
      </w:r>
    </w:p>
    <w:p>
      <w:pPr>
        <w:pStyle w:val="BodyText"/>
      </w:pPr>
      <w:r>
        <w:t xml:space="preserve">European Commission, International Monetary Fund, Organisation for Economic Co-operation and Development, United Nations, &amp; World Bank. (2025).</w:t>
      </w:r>
      <w:r>
        <w:t xml:space="preserve"> </w:t>
      </w:r>
      <w:r>
        <w:rPr>
          <w:iCs/>
          <w:i/>
        </w:rPr>
        <w:t xml:space="preserve">System of national accounts 2025</w:t>
      </w:r>
      <w:r>
        <w:t xml:space="preserve"> </w:t>
      </w:r>
      <w:r>
        <w:t xml:space="preserve">(Pre-edit version; Studies in Methods, Series F, No. 2/Rev.6). United Nations. https://doi.org/10.18356/9789211073225</w:t>
      </w:r>
    </w:p>
    <w:p>
      <w:pPr>
        <w:pStyle w:val="BodyText"/>
      </w:pPr>
      <w:r>
        <w:t xml:space="preserve">European Union. (2021). Council Directive (EU) 2021/514 of 22 March 2021 amending Directive 2011/16/EU on administrative cooperation in the field of taxation.</w:t>
      </w:r>
      <w:r>
        <w:t xml:space="preserve"> </w:t>
      </w:r>
      <w:r>
        <w:rPr>
          <w:iCs/>
          <w:i/>
        </w:rPr>
        <w:t xml:space="preserve">Official Journal of the European Union, L 104</w:t>
      </w:r>
      <w:r>
        <w:t xml:space="preserve">, 25 March 2021. https://eur-lex.europa.eu/eli/dir/2021/514/oj</w:t>
      </w:r>
    </w:p>
    <w:p>
      <w:pPr>
        <w:pStyle w:val="BodyText"/>
      </w:pPr>
      <w:r>
        <w:t xml:space="preserve">Evans, D. S., &amp; Schmalensee, R. (2016).</w:t>
      </w:r>
      <w:r>
        <w:t xml:space="preserve"> </w:t>
      </w:r>
      <w:r>
        <w:rPr>
          <w:iCs/>
          <w:i/>
        </w:rPr>
        <w:t xml:space="preserve">Matchmakers: The new economics of multisided platforms</w:t>
      </w:r>
      <w:r>
        <w:t xml:space="preserve">. Harvard Business Review Press.</w:t>
      </w:r>
    </w:p>
    <w:p>
      <w:pPr>
        <w:pStyle w:val="BodyText"/>
      </w:pPr>
      <w:r>
        <w:t xml:space="preserve">Givoly, D., Li, Y., Lourie, B., &amp; Nekrasov, A. (2019). Key performance indicators as supplements to earnings: Incremental informativeness, demand factors, measurement issues, and properties of their forecasts.</w:t>
      </w:r>
      <w:r>
        <w:t xml:space="preserve"> </w:t>
      </w:r>
      <w:r>
        <w:rPr>
          <w:iCs/>
          <w:i/>
        </w:rPr>
        <w:t xml:space="preserve">Review of Accounting Studies, 24</w:t>
      </w:r>
      <w:r>
        <w:t xml:space="preserve">(4), 1147–1183. https://doi.org/10.1007/s11142-019-09514-y</w:t>
      </w:r>
    </w:p>
    <w:p>
      <w:pPr>
        <w:pStyle w:val="BodyText"/>
      </w:pPr>
      <w:r>
        <w:t xml:space="preserve">Google, Temasek, &amp; Bain &amp; Company. (2024).</w:t>
      </w:r>
      <w:r>
        <w:t xml:space="preserve"> </w:t>
      </w:r>
      <w:r>
        <w:rPr>
          <w:iCs/>
          <w:i/>
        </w:rPr>
        <w:t xml:space="preserve">e-Conomy SEA 2024: Profits on the rise, harnessing SEA’s advantage</w:t>
      </w:r>
      <w:r>
        <w:t xml:space="preserve">. https://services.google.com/fh/files/misc/e_conomy_sea_2024_report.pdf</w:t>
      </w:r>
    </w:p>
    <w:p>
      <w:pPr>
        <w:pStyle w:val="BodyText"/>
      </w:pPr>
      <w:r>
        <w:t xml:space="preserve">GoTo Gojek Tokopedia. (2024a, March 19).</w:t>
      </w:r>
      <w:r>
        <w:t xml:space="preserve"> </w:t>
      </w:r>
      <w:r>
        <w:rPr>
          <w:iCs/>
          <w:i/>
        </w:rPr>
        <w:t xml:space="preserve">GoTo Group turns adjusted EBITDA positive, surpassing full year guidance as company reports 2023 fourth quarter and full year results</w:t>
      </w:r>
      <w:r>
        <w:t xml:space="preserve"> </w:t>
      </w:r>
      <w:r>
        <w:t xml:space="preserve">[Press release]. https://content.goinfra.co.id/asts/GoTo%20FY2023%204Q2023%20Press%20Release.pdf</w:t>
      </w:r>
    </w:p>
    <w:p>
      <w:pPr>
        <w:pStyle w:val="BodyText"/>
      </w:pPr>
      <w:r>
        <w:t xml:space="preserve">GoTo Gojek Tokopedia. (2024b).</w:t>
      </w:r>
      <w:r>
        <w:t xml:space="preserve"> </w:t>
      </w:r>
      <w:r>
        <w:rPr>
          <w:iCs/>
          <w:i/>
        </w:rPr>
        <w:t xml:space="preserve">2023 annual report: Transformation for progress</w:t>
      </w:r>
      <w:r>
        <w:t xml:space="preserve">. PT GoTo Gojek Tokopedia Tbk. https://content.goinfra.co.id/asts/InvestorRelation/AnnualReport/GOTO_Laporan%20Tahunan_2023.pdf</w:t>
      </w:r>
    </w:p>
    <w:p>
      <w:pPr>
        <w:pStyle w:val="BodyText"/>
      </w:pPr>
      <w:r>
        <w:t xml:space="preserve">GoTo Gojek Tokopedia. (2026, July 29).</w:t>
      </w:r>
      <w:r>
        <w:t xml:space="preserve"> </w:t>
      </w:r>
      <w:r>
        <w:rPr>
          <w:iCs/>
          <w:i/>
        </w:rPr>
        <w:t xml:space="preserve">PT GoTo Gojek Tokopedia 2Q26 earnings call transcript</w:t>
      </w:r>
      <w:r>
        <w:t xml:space="preserve"> </w:t>
      </w:r>
      <w:r>
        <w:t xml:space="preserve">[Transcript]. https://content.goinfra.co.id/asts/InvestorRelation/FinancialInformation/2026-07-31/PT%20GoTo%20Gojek%20Tokopedia%202Q26%20Earnings%20Call%20Transcript.pdf</w:t>
      </w:r>
    </w:p>
    <w:p>
      <w:pPr>
        <w:pStyle w:val="BodyText"/>
      </w:pPr>
      <w:r>
        <w:t xml:space="preserve">Government of the Republic of Indonesia. (2026).</w:t>
      </w:r>
      <w:r>
        <w:t xml:space="preserve"> </w:t>
      </w:r>
      <w:r>
        <w:rPr>
          <w:iCs/>
          <w:i/>
        </w:rPr>
        <w:t xml:space="preserve">Peraturan Pemerintah Nomor 20 Tahun 2026 tentang perubahan atas Peraturan Pemerintah Nomor 55 Tahun 2022 tentang penyesuaian pengaturan di bidang pajak penghasilan</w:t>
      </w:r>
      <w:r>
        <w:t xml:space="preserve"> </w:t>
      </w:r>
      <w:r>
        <w:t xml:space="preserve">[Government Regulation No. 20 of 2026 amending Government Regulation No. 55 of 2022 on adjustments to income tax rules]. Lembaran Negara Republik Indonesia Tahun 2026 Nomor 43. https://jdih.kemenkeu.go.id/dok/pp-20-tahun-2026</w:t>
      </w:r>
    </w:p>
    <w:p>
      <w:pPr>
        <w:pStyle w:val="BodyText"/>
      </w:pPr>
      <w:r>
        <w:t xml:space="preserve">Government of Viet Nam. (2025).</w:t>
      </w:r>
      <w:r>
        <w:t xml:space="preserve"> </w:t>
      </w:r>
      <w:r>
        <w:rPr>
          <w:iCs/>
          <w:i/>
        </w:rPr>
        <w:t xml:space="preserve">Nghị định số 117/2025/NĐ-CP quy định quản lý thuế đối với hoạt động kinh doanh trên nền tảng thương mại điện tử, nền tảng số của hộ, cá nhân</w:t>
      </w:r>
      <w:r>
        <w:t xml:space="preserve"> </w:t>
      </w:r>
      <w:r>
        <w:t xml:space="preserve">[Decree No. 117/2025/ND-CP on tax administration for business activities on e-commerce and digital platforms of households and individuals; issued June 9, 2025; effective July 1, 2025]. https://datafiles.chinhphu.vn/cpp/files/vbpq/2025/6/117-ndcp.signed.pdf</w:t>
      </w:r>
    </w:p>
    <w:p>
      <w:pPr>
        <w:pStyle w:val="BodyText"/>
      </w:pPr>
      <w:r>
        <w:t xml:space="preserve">Grab Holdings Limited. (2026, August 3).</w:t>
      </w:r>
      <w:r>
        <w:t xml:space="preserve"> </w:t>
      </w:r>
      <w:r>
        <w:rPr>
          <w:iCs/>
          <w:i/>
        </w:rPr>
        <w:t xml:space="preserve">Grab (GRAB) Q2 2026 earnings call transcript</w:t>
      </w:r>
      <w:r>
        <w:t xml:space="preserve"> </w:t>
      </w:r>
      <w:r>
        <w:t xml:space="preserve">[Transcript]. The Motley Fool via AOL. https://www.aol.com/articles/grab-grab-q2-2026-earnings-141515000.html [Third-party transcript by The Motley Fool, published August 11, 2026]</w:t>
      </w:r>
    </w:p>
    <w:p>
      <w:pPr>
        <w:pStyle w:val="BodyText"/>
      </w:pPr>
      <w:r>
        <w:t xml:space="preserve">Hagiu, A., &amp; Wright, J. (2015). Multi-sided platforms.</w:t>
      </w:r>
      <w:r>
        <w:t xml:space="preserve"> </w:t>
      </w:r>
      <w:r>
        <w:rPr>
          <w:iCs/>
          <w:i/>
        </w:rPr>
        <w:t xml:space="preserve">International Journal of Industrial Organization, 43</w:t>
      </w:r>
      <w:r>
        <w:t xml:space="preserve">, 162–174. https://doi.org/10.1016/j.ijindorg.2015.03.003</w:t>
      </w:r>
    </w:p>
    <w:p>
      <w:pPr>
        <w:pStyle w:val="BodyText"/>
      </w:pPr>
      <w:r>
        <w:t xml:space="preserve">Henderson, J. V., Storeygard, A., &amp; Weil, D. N. (2012). Measuring economic growth from outer space.</w:t>
      </w:r>
      <w:r>
        <w:t xml:space="preserve"> </w:t>
      </w:r>
      <w:r>
        <w:rPr>
          <w:iCs/>
          <w:i/>
        </w:rPr>
        <w:t xml:space="preserve">American Economic Review, 102</w:t>
      </w:r>
      <w:r>
        <w:t xml:space="preserve">(2), 994–1028. https://doi.org/10.1257/aer.102.2.994</w:t>
      </w:r>
    </w:p>
    <w:p>
      <w:pPr>
        <w:pStyle w:val="BodyText"/>
      </w:pPr>
      <w:r>
        <w:t xml:space="preserve">Hummels, D., &amp; Klenow, P. J. (2005). The variety and quality of a nation’s exports.</w:t>
      </w:r>
      <w:r>
        <w:t xml:space="preserve"> </w:t>
      </w:r>
      <w:r>
        <w:rPr>
          <w:iCs/>
          <w:i/>
        </w:rPr>
        <w:t xml:space="preserve">American Economic Review, 95</w:t>
      </w:r>
      <w:r>
        <w:t xml:space="preserve">(3), 704–723. https://doi.org/10.1257/0002828054201396</w:t>
      </w:r>
    </w:p>
    <w:p>
      <w:pPr>
        <w:pStyle w:val="BodyText"/>
      </w:pPr>
      <w:r>
        <w:t xml:space="preserve">International Accounting Standards Board. (2014).</w:t>
      </w:r>
      <w:r>
        <w:t xml:space="preserve"> </w:t>
      </w:r>
      <w:r>
        <w:rPr>
          <w:iCs/>
          <w:i/>
        </w:rPr>
        <w:t xml:space="preserve">IFRS 15 Revenue from contracts with customers</w:t>
      </w:r>
      <w:r>
        <w:t xml:space="preserve">. IFRS Foundation. https://www.ifrs.org/issued-standards/list-of-standards/ifrs-15-revenue-from-contracts-with-customers/</w:t>
      </w:r>
    </w:p>
    <w:p>
      <w:pPr>
        <w:pStyle w:val="BodyText"/>
      </w:pPr>
      <w:r>
        <w:t xml:space="preserve">International Monetary Fund. (2018).</w:t>
      </w:r>
      <w:r>
        <w:t xml:space="preserve"> </w:t>
      </w:r>
      <w:r>
        <w:rPr>
          <w:iCs/>
          <w:i/>
        </w:rPr>
        <w:t xml:space="preserve">Measuring the digital economy</w:t>
      </w:r>
      <w:r>
        <w:t xml:space="preserve"> </w:t>
      </w:r>
      <w:r>
        <w:t xml:space="preserve">(IMF Policy Paper). https://doi.org/10.5089/9781498307369.007</w:t>
      </w:r>
    </w:p>
    <w:p>
      <w:pPr>
        <w:pStyle w:val="BodyText"/>
      </w:pPr>
      <w:r>
        <w:t xml:space="preserve">Islamiati, S. R. (2025, August 6). Celios ungkap dampak biaya pemrosesan e-commerce bagi seller dan konsumen [Celios on the effect of e-commerce processing fees on sellers and consumers].</w:t>
      </w:r>
      <w:r>
        <w:t xml:space="preserve"> </w:t>
      </w:r>
      <w:r>
        <w:rPr>
          <w:iCs/>
          <w:i/>
        </w:rPr>
        <w:t xml:space="preserve">Kontan</w:t>
      </w:r>
      <w:r>
        <w:t xml:space="preserve">. https://industri.kontan.co.id/news/celios-ungkap-dampak-biaya-pemrosesan-e-commerce-bagi-seller-dan-konsumen</w:t>
      </w:r>
    </w:p>
    <w:p>
      <w:pPr>
        <w:pStyle w:val="BodyText"/>
      </w:pPr>
      <w:r>
        <w:t xml:space="preserve">KabarBursa. (2024, January 18).</w:t>
      </w:r>
      <w:r>
        <w:t xml:space="preserve"> </w:t>
      </w:r>
      <w:r>
        <w:rPr>
          <w:iCs/>
          <w:i/>
        </w:rPr>
        <w:t xml:space="preserve">Sepanjang 2023 transaksi eCommerce tembus Rp453,75 triliun</w:t>
      </w:r>
      <w:r>
        <w:t xml:space="preserve"> </w:t>
      </w:r>
      <w:r>
        <w:t xml:space="preserve">[E-commerce transactions reached Rp453.75 trillion in 2023]. https://www.kabarbursa.com/market-hari-ini/sepanjang-2023-transaksi-ecommerce-tembus-rp45375-triliun</w:t>
      </w:r>
    </w:p>
    <w:p>
      <w:pPr>
        <w:pStyle w:val="BodyText"/>
      </w:pPr>
      <w:r>
        <w:t xml:space="preserve">Kleven, H. J., Knudsen, M. B., Kreiner, C. T., Pedersen, S., &amp; Saez, E. (2011). Unwilling or unable to cheat? Evidence from a tax audit experiment in Denmark.</w:t>
      </w:r>
      <w:r>
        <w:t xml:space="preserve"> </w:t>
      </w:r>
      <w:r>
        <w:rPr>
          <w:iCs/>
          <w:i/>
        </w:rPr>
        <w:t xml:space="preserve">Econometrica, 79</w:t>
      </w:r>
      <w:r>
        <w:t xml:space="preserve">(3), 651–692. https://doi.org/10.3982/ECTA9113</w:t>
      </w:r>
    </w:p>
    <w:p>
      <w:pPr>
        <w:pStyle w:val="BodyText"/>
      </w:pPr>
      <w:r>
        <w:t xml:space="preserve">Li, Z., &amp; Wang, G. (2025). Regulating powerful platforms: Evidence from commission fee caps.</w:t>
      </w:r>
      <w:r>
        <w:t xml:space="preserve"> </w:t>
      </w:r>
      <w:r>
        <w:rPr>
          <w:iCs/>
          <w:i/>
        </w:rPr>
        <w:t xml:space="preserve">Information Systems Research, 36</w:t>
      </w:r>
      <w:r>
        <w:t xml:space="preserve">(1), 126–140. https://doi.org/10.1287/isre.2022.0191</w:t>
      </w:r>
    </w:p>
    <w:p>
      <w:pPr>
        <w:pStyle w:val="BodyText"/>
      </w:pPr>
      <w:r>
        <w:t xml:space="preserve">Mandagie, S. (2023, October 6). Reg 31/2023: The regulation behind TikTok Shop’s closure in Indonesia.</w:t>
      </w:r>
      <w:r>
        <w:t xml:space="preserve"> </w:t>
      </w:r>
      <w:r>
        <w:rPr>
          <w:iCs/>
          <w:i/>
        </w:rPr>
        <w:t xml:space="preserve">KrASIA</w:t>
      </w:r>
      <w:r>
        <w:t xml:space="preserve">. https://kr-asia.com/reg-31-2023-the-regulation-behind-tiktok-shops-closure-in-indonesia</w:t>
      </w:r>
    </w:p>
    <w:p>
      <w:pPr>
        <w:pStyle w:val="BodyText"/>
      </w:pPr>
      <w:r>
        <w:t xml:space="preserve">Mann, H. B., &amp; Whitney, D. R. (1947). On a test of whether one of two random variables is stochastically larger than the other.</w:t>
      </w:r>
      <w:r>
        <w:t xml:space="preserve"> </w:t>
      </w:r>
      <w:r>
        <w:rPr>
          <w:iCs/>
          <w:i/>
        </w:rPr>
        <w:t xml:space="preserve">The Annals of Mathematical Statistics, 18</w:t>
      </w:r>
      <w:r>
        <w:t xml:space="preserve">(1), 50–60. https://doi.org/10.1214/aoms/1177730491</w:t>
      </w:r>
    </w:p>
    <w:p>
      <w:pPr>
        <w:pStyle w:val="BodyText"/>
      </w:pPr>
      <w:r>
        <w:t xml:space="preserve">McKenzie, D., &amp; Paffhausen, A. L. (2019). Small firm death in developing countries.</w:t>
      </w:r>
      <w:r>
        <w:t xml:space="preserve"> </w:t>
      </w:r>
      <w:r>
        <w:rPr>
          <w:iCs/>
          <w:i/>
        </w:rPr>
        <w:t xml:space="preserve">The Review of Economics and Statistics, 101</w:t>
      </w:r>
      <w:r>
        <w:t xml:space="preserve">(4), 645–657. https://doi.org/10.1162/rest_a_00798</w:t>
      </w:r>
    </w:p>
    <w:p>
      <w:pPr>
        <w:pStyle w:val="BodyText"/>
      </w:pPr>
      <w:r>
        <w:t xml:space="preserve">Ministry of Finance of the Republic of Indonesia. (2025).</w:t>
      </w:r>
      <w:r>
        <w:t xml:space="preserve"> </w:t>
      </w:r>
      <w:r>
        <w:rPr>
          <w:iCs/>
          <w:i/>
        </w:rPr>
        <w:t xml:space="preserve">Peraturan Menteri Keuangan Nomor 37 Tahun 2025 tentang penunjukan pihak lain sebagai pemungut pajak penghasilan serta tata cara pemungutan, penyetoran, dan pelaporan pajak penghasilan yang dipungut oleh pihak lain atas penghasilan yang diterima atau diperoleh pedagang dalam negeri dengan mekanisme perdagangan melalui sistem elektronik</w:t>
      </w:r>
      <w:r>
        <w:t xml:space="preserve"> </w:t>
      </w:r>
      <w:r>
        <w:t xml:space="preserve">[Finance Minister Regulation No. 37 of 2025]. https://jdih.kemenkeu.go.id/dok/pmk-37-tahun-2025</w:t>
      </w:r>
    </w:p>
    <w:p>
      <w:pPr>
        <w:pStyle w:val="BodyText"/>
      </w:pPr>
      <w:r>
        <w:t xml:space="preserve">Ministry of Trade of the Republic of Indonesia. (2023).</w:t>
      </w:r>
      <w:r>
        <w:t xml:space="preserve"> </w:t>
      </w:r>
      <w:r>
        <w:rPr>
          <w:iCs/>
          <w:i/>
        </w:rPr>
        <w:t xml:space="preserve">Peraturan Menteri Perdagangan Nomor 31 Tahun 2023 tentang perizinan berusaha, periklanan, pembinaan, dan pengawasan pelaku usaha dalam perdagangan melalui sistem elektronik</w:t>
      </w:r>
      <w:r>
        <w:t xml:space="preserve"> </w:t>
      </w:r>
      <w:r>
        <w:t xml:space="preserve">[Trade Minister Regulation No. 31 of 2023 on licensing, advertising, guidance and supervision of businesses in e-commerce]. Berita Negara Republik Indonesia Tahun 2023 Nomor 763. https://jdih.kemendag.go.id/peraturan/peraturan-menteri-perdagangan-nomor-31-tahun-2023-tentang-perizinan-berusaha-periklanan-pembinaan-dan-pengawasan-pelaku-usaha-dalam-perdagangan-melalui-sistem-elektronik-1</w:t>
      </w:r>
    </w:p>
    <w:p>
      <w:pPr>
        <w:pStyle w:val="BodyText"/>
      </w:pPr>
      <w:r>
        <w:t xml:space="preserve">Ministry of Trade of the Republic of Indonesia. (2026).</w:t>
      </w:r>
      <w:r>
        <w:t xml:space="preserve"> </w:t>
      </w:r>
      <w:r>
        <w:rPr>
          <w:iCs/>
          <w:i/>
        </w:rPr>
        <w:t xml:space="preserve">Peraturan Menteri Perdagangan Nomor 19 Tahun 2026 tentang penyelenggaraan usaha perdagangan melalui sistem elektronik</w:t>
      </w:r>
      <w:r>
        <w:t xml:space="preserve"> </w:t>
      </w:r>
      <w:r>
        <w:t xml:space="preserve">[Trade Minister Regulation No. 19 of 2026 on conducting e-commerce business]. Berita Negara Republik Indonesia Tahun 2026 Nomor 367. https://jdih.kemendag.go.id/peraturan/peraturan-menteri-perdagangan-republik-indonesia-nomor-19-tahun-2026-tentang-penyelenggaraan-usaha-perdagangan-melalui-sistem-elektronik-1</w:t>
      </w:r>
    </w:p>
    <w:p>
      <w:pPr>
        <w:pStyle w:val="BodyText"/>
      </w:pPr>
      <w:r>
        <w:t xml:space="preserve">Momentum Works. (2024).</w:t>
      </w:r>
      <w:r>
        <w:t xml:space="preserve"> </w:t>
      </w:r>
      <w:r>
        <w:rPr>
          <w:iCs/>
          <w:i/>
        </w:rPr>
        <w:t xml:space="preserve">Ecommerce in Southeast Asia 2024</w:t>
      </w:r>
      <w:r>
        <w:t xml:space="preserve"> </w:t>
      </w:r>
      <w:r>
        <w:t xml:space="preserve">[Report]. https://momentum.asia/insights/detail/ecommerce-in-southeast-asia-2024 [Primary report not seen; figures as quoted in Setyowati (2024)]</w:t>
      </w:r>
    </w:p>
    <w:p>
      <w:pPr>
        <w:pStyle w:val="BodyText"/>
      </w:pPr>
      <w:r>
        <w:t xml:space="preserve">Naritomi, J. (2019). Consumers as tax auditors.</w:t>
      </w:r>
      <w:r>
        <w:t xml:space="preserve"> </w:t>
      </w:r>
      <w:r>
        <w:rPr>
          <w:iCs/>
          <w:i/>
        </w:rPr>
        <w:t xml:space="preserve">American Economic Review, 109</w:t>
      </w:r>
      <w:r>
        <w:t xml:space="preserve">(9), 3031–3072. https://doi.org/10.1257/aer.20160658</w:t>
      </w:r>
    </w:p>
    <w:p>
      <w:pPr>
        <w:pStyle w:val="BodyText"/>
      </w:pPr>
      <w:r>
        <w:t xml:space="preserve">Neter, J., &amp; Waksberg, J. (1964). A study of response errors in expenditures data from household interviews.</w:t>
      </w:r>
      <w:r>
        <w:t xml:space="preserve"> </w:t>
      </w:r>
      <w:r>
        <w:rPr>
          <w:iCs/>
          <w:i/>
        </w:rPr>
        <w:t xml:space="preserve">Journal of the American Statistical Association, 59</w:t>
      </w:r>
      <w:r>
        <w:t xml:space="preserve">(305), 18–55. https://doi.org/10.1080/01621459.1964.10480699</w:t>
      </w:r>
    </w:p>
    <w:p>
      <w:pPr>
        <w:pStyle w:val="BodyText"/>
      </w:pPr>
      <w:r>
        <w:t xml:space="preserve">Organisation for Economic Co-operation and Development. (2020).</w:t>
      </w:r>
      <w:r>
        <w:t xml:space="preserve"> </w:t>
      </w:r>
      <w:r>
        <w:rPr>
          <w:iCs/>
          <w:i/>
        </w:rPr>
        <w:t xml:space="preserve">Model rules for reporting by platform operators with respect to sellers in the sharing and gig economy</w:t>
      </w:r>
      <w:r>
        <w:t xml:space="preserve">. OECD. https://doi.org/10.1787/d7973047-en</w:t>
      </w:r>
    </w:p>
    <w:p>
      <w:pPr>
        <w:pStyle w:val="BodyText"/>
      </w:pPr>
      <w:r>
        <w:t xml:space="preserve">Organisation for Economic Co-operation and Development. (2021).</w:t>
      </w:r>
      <w:r>
        <w:t xml:space="preserve"> </w:t>
      </w:r>
      <w:r>
        <w:rPr>
          <w:iCs/>
          <w:i/>
        </w:rPr>
        <w:t xml:space="preserve">Model reporting rules for digital platforms: International exchange framework and optional module for sale of goods</w:t>
      </w:r>
      <w:r>
        <w:t xml:space="preserve">. OECD. https://doi.org/10.1787/8ffb8d09-en</w:t>
      </w:r>
    </w:p>
    <w:p>
      <w:pPr>
        <w:pStyle w:val="BodyText"/>
      </w:pPr>
      <w:r>
        <w:t xml:space="preserve">Organisation for Economic Co-operation and Development. (2023).</w:t>
      </w:r>
      <w:r>
        <w:t xml:space="preserve"> </w:t>
      </w:r>
      <w:r>
        <w:rPr>
          <w:iCs/>
          <w:i/>
        </w:rPr>
        <w:t xml:space="preserve">OECD handbook on compiling digital supply and use tables</w:t>
      </w:r>
      <w:r>
        <w:t xml:space="preserve">. OECD Publishing. https://doi.org/10.1787/11a0db02-en</w:t>
      </w:r>
    </w:p>
    <w:p>
      <w:pPr>
        <w:pStyle w:val="BodyText"/>
      </w:pPr>
      <w:r>
        <w:t xml:space="preserve">Pomeranz, D. (2015). No taxation without information: Deterrence and self-enforcement in the value added tax.</w:t>
      </w:r>
      <w:r>
        <w:t xml:space="preserve"> </w:t>
      </w:r>
      <w:r>
        <w:rPr>
          <w:iCs/>
          <w:i/>
        </w:rPr>
        <w:t xml:space="preserve">American Economic Review, 105</w:t>
      </w:r>
      <w:r>
        <w:t xml:space="preserve">(8), 2539–2569. https://doi.org/10.1257/aer.20130393</w:t>
      </w:r>
    </w:p>
    <w:p>
      <w:pPr>
        <w:pStyle w:val="BodyText"/>
      </w:pPr>
      <w:r>
        <w:t xml:space="preserve">Rajgopal, S., Venkatachalam, M., &amp; Kotha, S. (2003). The value relevance of network advantages: The case of e-commerce firms.</w:t>
      </w:r>
      <w:r>
        <w:t xml:space="preserve"> </w:t>
      </w:r>
      <w:r>
        <w:rPr>
          <w:iCs/>
          <w:i/>
        </w:rPr>
        <w:t xml:space="preserve">Journal of Accounting Research, 41</w:t>
      </w:r>
      <w:r>
        <w:t xml:space="preserve">(1), 135–162. https://doi.org/10.1111/1475-679X.00099</w:t>
      </w:r>
    </w:p>
    <w:p>
      <w:pPr>
        <w:pStyle w:val="BodyText"/>
      </w:pPr>
      <w:r>
        <w:t xml:space="preserve">Risalah, D. F. (2024, December 10).</w:t>
      </w:r>
      <w:r>
        <w:t xml:space="preserve"> </w:t>
      </w:r>
      <w:r>
        <w:rPr>
          <w:iCs/>
          <w:i/>
        </w:rPr>
        <w:t xml:space="preserve">BPS ungkap pengumpulan data dari pelaku e-commerce masih bermasalah, ini penyebabnya</w:t>
      </w:r>
      <w:r>
        <w:t xml:space="preserve"> </w:t>
      </w:r>
      <w:r>
        <w:t xml:space="preserve">[BPS says data collection from e-commerce operators is still problematic]. Republika. https://ekonomi.republika.co.id/berita/so9pr3490/bps-ungkap-pengumpulan-data-dari-pelaku-ecommerce-masih-bermasalah-ini-penyebabnya</w:t>
      </w:r>
    </w:p>
    <w:p>
      <w:pPr>
        <w:pStyle w:val="BodyText"/>
      </w:pPr>
      <w:r>
        <w:t xml:space="preserve">Rochet, J.-C., &amp; Tirole, J. (2003). Platform competition in two-sided markets.</w:t>
      </w:r>
      <w:r>
        <w:t xml:space="preserve"> </w:t>
      </w:r>
      <w:r>
        <w:rPr>
          <w:iCs/>
          <w:i/>
        </w:rPr>
        <w:t xml:space="preserve">Journal of the European Economic Association, 1</w:t>
      </w:r>
      <w:r>
        <w:t xml:space="preserve">(4), 990–1029. https://doi.org/10.1162/154247603322493212</w:t>
      </w:r>
    </w:p>
    <w:p>
      <w:pPr>
        <w:pStyle w:val="BodyText"/>
      </w:pPr>
      <w:r>
        <w:t xml:space="preserve">Ronal. (2025, May 21). Kemenhub siap bahas tuntutan driver ojol soal potongan tarif aplikasi [Transport ministry ready to discuss ojol drivers’ demands on the app commission].</w:t>
      </w:r>
      <w:r>
        <w:t xml:space="preserve"> </w:t>
      </w:r>
      <w:r>
        <w:rPr>
          <w:iCs/>
          <w:i/>
        </w:rPr>
        <w:t xml:space="preserve">Pasardana</w:t>
      </w:r>
      <w:r>
        <w:t xml:space="preserve">. https://pasardana.id/news/2025/5/21/kemenhub-siap-bahas-tuntutan-driver-ojol-soal-potongan-tarif-aplikasi/</w:t>
      </w:r>
    </w:p>
    <w:p>
      <w:pPr>
        <w:pStyle w:val="BodyText"/>
      </w:pPr>
      <w:r>
        <w:t xml:space="preserve">Setyowati, D. (2024, July 15). Transaksi Shopee hingga TikTok Shop Tokopedia di RI Rp 867 triliun [Transactions from Shopee to TikTok Shop Tokopedia in Indonesia reach Rp867 trillion].</w:t>
      </w:r>
      <w:r>
        <w:t xml:space="preserve"> </w:t>
      </w:r>
      <w:r>
        <w:rPr>
          <w:iCs/>
          <w:i/>
        </w:rPr>
        <w:t xml:space="preserve">Katadata</w:t>
      </w:r>
      <w:r>
        <w:t xml:space="preserve">. https://katadata.co.id/digital/e-commerce/6694e1bf09ec8/transaksi-shopee-hingga-tiktok-shop-tokopedia-di-ri-rp-867-triliun</w:t>
      </w:r>
    </w:p>
    <w:p>
      <w:pPr>
        <w:pStyle w:val="BodyText"/>
      </w:pPr>
      <w:r>
        <w:t xml:space="preserve">Setyowati, D. (2025, June 26). Transaksi belanja online di Indonesia melambat, Thailand dan Malaysia melesat [Online shopping in Indonesia slows while Thailand and Malaysia surge].</w:t>
      </w:r>
      <w:r>
        <w:t xml:space="preserve"> </w:t>
      </w:r>
      <w:r>
        <w:rPr>
          <w:iCs/>
          <w:i/>
        </w:rPr>
        <w:t xml:space="preserve">Katadata</w:t>
      </w:r>
      <w:r>
        <w:t xml:space="preserve">. https://katadata.co.id/digital/e-commerce/685ba4184c37a/transaksi-belanja-online-di-indonesia-melambat-thailand-dan-malaysia-melesat</w:t>
      </w:r>
    </w:p>
    <w:p>
      <w:pPr>
        <w:pStyle w:val="BodyText"/>
      </w:pPr>
      <w:r>
        <w:t xml:space="preserve">Setyowati, D. (2026, May 18). TikTok Shop Tokopedia sesuaikan biaya admin seller per 18 Mei: Ada yang naik [TikTok Shop Tokopedia adjusts seller admin fees from 18 May: some rise].</w:t>
      </w:r>
      <w:r>
        <w:t xml:space="preserve"> </w:t>
      </w:r>
      <w:r>
        <w:rPr>
          <w:iCs/>
          <w:i/>
        </w:rPr>
        <w:t xml:space="preserve">Katadata</w:t>
      </w:r>
      <w:r>
        <w:t xml:space="preserve">. https://katadata.co.id/digital/e-commerce/6a0a8ae3741b3/tiktok-shop-tokopedia-sesuaikan-biaya-admin-seller-per-18-mei-ada-yang-naik</w:t>
      </w:r>
    </w:p>
    <w:p>
      <w:pPr>
        <w:pStyle w:val="BodyText"/>
      </w:pPr>
      <w:r>
        <w:t xml:space="preserve">Trueman, B., Wong, M. H. F., &amp; Zhang, X.-J. (2000). The eyeballs have it: Searching for the value in Internet stocks.</w:t>
      </w:r>
      <w:r>
        <w:t xml:space="preserve"> </w:t>
      </w:r>
      <w:r>
        <w:rPr>
          <w:iCs/>
          <w:i/>
        </w:rPr>
        <w:t xml:space="preserve">Journal of Accounting Research, 38</w:t>
      </w:r>
      <w:r>
        <w:t xml:space="preserve">(Supplement), 137–162. https://doi.org/10.2307/2672912</w:t>
      </w:r>
    </w:p>
    <w:p>
      <w:pPr>
        <w:pStyle w:val="BodyText"/>
      </w:pPr>
      <w:r>
        <w:t xml:space="preserve">Trueman, B., Wong, M. H. F., &amp; Zhang, X.-J. (2001). Back to basics: Forecasting the revenues of Internet firms.</w:t>
      </w:r>
      <w:r>
        <w:t xml:space="preserve"> </w:t>
      </w:r>
      <w:r>
        <w:rPr>
          <w:iCs/>
          <w:i/>
        </w:rPr>
        <w:t xml:space="preserve">Review of Accounting Studies, 6</w:t>
      </w:r>
      <w:r>
        <w:t xml:space="preserve">(2–3), 305–329. https://doi.org/10.1023/A:1011623111051</w:t>
      </w:r>
    </w:p>
    <w:p>
      <w:pPr>
        <w:pStyle w:val="BodyText"/>
      </w:pPr>
      <w:r>
        <w:t xml:space="preserve">UNCTAD. (2023).</w:t>
      </w:r>
      <w:r>
        <w:t xml:space="preserve"> </w:t>
      </w:r>
      <w:r>
        <w:rPr>
          <w:iCs/>
          <w:i/>
        </w:rPr>
        <w:t xml:space="preserve">Measuring the value of e-commerce</w:t>
      </w:r>
      <w:r>
        <w:t xml:space="preserve">. United Nations. https://doi.org/10.18356/9789210025539</w:t>
      </w:r>
    </w:p>
    <w:p>
      <w:pPr>
        <w:pStyle w:val="BodyText"/>
      </w:pPr>
      <w:r>
        <w:t xml:space="preserve">UNCTAD. (2024).</w:t>
      </w:r>
      <w:r>
        <w:t xml:space="preserve"> </w:t>
      </w:r>
      <w:r>
        <w:rPr>
          <w:iCs/>
          <w:i/>
        </w:rPr>
        <w:t xml:space="preserve">Business e-commerce sales and the role of online platforms</w:t>
      </w:r>
      <w:r>
        <w:t xml:space="preserve">. United Nations. https://doi.org/10.18356/9789211064490</w:t>
      </w:r>
      <w:r>
        <w:t xml:space="preserve"> </w:t>
      </w:r>
      <w:r>
        <w:t xml:space="preserve">U.S. Securities and Exchange Commission. (2026).</w:t>
      </w:r>
      <w:r>
        <w:t xml:space="preserve"> </w:t>
      </w:r>
      <w:r>
        <w:rPr>
          <w:iCs/>
          <w:i/>
        </w:rPr>
        <w:t xml:space="preserve">EDGAR company facts: XBRL financial data for annual filings (Forms 10-K, 20-F and 40-F)</w:t>
      </w:r>
      <w:r>
        <w:t xml:space="preserve"> </w:t>
      </w:r>
      <w:r>
        <w:t xml:space="preserve">[Total assets]. https://data.sec.gov/api/xbrl/companyfacts/</w:t>
      </w:r>
    </w:p>
    <w:p>
      <w:pPr>
        <w:pStyle w:val="BodyText"/>
      </w:pPr>
      <w:r>
        <w:t xml:space="preserve">World Bank. (2026).</w:t>
      </w:r>
      <w:r>
        <w:t xml:space="preserve"> </w:t>
      </w:r>
      <w:r>
        <w:rPr>
          <w:iCs/>
          <w:i/>
        </w:rPr>
        <w:t xml:space="preserve">World development indicators</w:t>
      </w:r>
      <w:r>
        <w:t xml:space="preserve"> </w:t>
      </w:r>
      <w:r>
        <w:t xml:space="preserve">[GDP growth, consumer-price inflation, household final consumption expenditure growth and official exchange rate (LCU per US$, period average), 2012–2025]. https://data.worldbank.org</w:t>
      </w:r>
    </w:p>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5">
    <w:p>
      <w:pPr>
        <w:pStyle w:val="FootnoteText"/>
      </w:pPr>
      <w:r>
        <w:rPr>
          <w:rStyle w:val="FootnoteReference"/>
        </w:rPr>
        <w:footnoteRef/>
      </w:r>
      <w:r>
        <w:t xml:space="preserve"> </w:t>
      </w:r>
      <w:r>
        <w:t xml:space="preserve">The files hold 11,848, 31,724 and 39,736 rows. Each weighted total is within 0.1 percent of the BPS count: 2,361,423; 2,995,879, implied by the 2023 count and its growth of 27.4 percent; and 3,816,750.</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8" Target="media/rId68.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Ledger (editing copy)</dc:title>
  <dc:creator/>
  <cp:keywords/>
  <dcterms:created xsi:type="dcterms:W3CDTF">2026-10-25T09:53:35Z</dcterms:created>
  <dcterms:modified xsi:type="dcterms:W3CDTF">2026-10-25T09:53:35Z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Draft of 2026-10-25</vt:lpwstr>
  </property>
</Properties>
</file>