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drawn from the platforms’ accounts, the sellers’ own survey responses and the rules that act on both.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and two at a time; exact tests;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and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fifth step grows the platform sample: Lazada and TikTok Shop can join the test of H1 once they report Indonesian figures. The last step takes the channel count abroad.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Exact tests over all 201,376 ways to pick the five platforms, main test (exploratory, 22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0.0214</w:t>
            </w:r>
          </w:p>
        </w:tc>
      </w:tr>
      <w:tr>
        <w:tc>
          <w:tcPr/>
          <w:p>
            <w:pPr>
              <w:pStyle w:val="Compact"/>
              <w:jc w:val="left"/>
            </w:pPr>
            <w:r>
              <w:t xml:space="preserve">Sea moved to the regional group, 6 against 26 (exploratory, 22 Oct 2026; exact tests)</w:t>
            </w:r>
          </w:p>
        </w:tc>
        <w:tc>
          <w:tcPr/>
          <w:p>
            <w:pPr>
              <w:pStyle w:val="Compact"/>
              <w:jc w:val="left"/>
            </w:pPr>
            <w:r>
              <w:t xml:space="preserve">0.225</w:t>
            </w:r>
          </w:p>
        </w:tc>
        <w:tc>
          <w:tcPr/>
          <w:p>
            <w:pPr>
              <w:pStyle w:val="Compact"/>
              <w:jc w:val="left"/>
            </w:pPr>
            <w:r>
              <w:t xml:space="preserve">0.060</w:t>
            </w:r>
          </w:p>
        </w:tc>
        <w:tc>
          <w:tcPr/>
          <w:p>
            <w:pPr>
              <w:pStyle w:val="Compact"/>
              <w:jc w:val="left"/>
            </w:pPr>
            <w:r>
              <w:t xml:space="preserve">0.0004</w:t>
            </w:r>
          </w:p>
        </w:tc>
        <w:tc>
          <w:tcPr/>
          <w:p>
            <w:pPr>
              <w:pStyle w:val="Compact"/>
              <w:jc w:val="left"/>
            </w:pPr>
            <w:r>
              <w:t xml:space="preserve">0.0006</w:t>
            </w:r>
          </w:p>
        </w:tc>
      </w:tr>
      <w:tr>
        <w:tc>
          <w:tcPr/>
          <w:p>
            <w:pPr>
              <w:pStyle w:val="Compact"/>
              <w:jc w:val="left"/>
            </w:pPr>
            <w:r>
              <w:t xml:space="preserve">Dropping any two of the five platforms, 10 cases (exploratory, 22 Oct 2026; exact test)</w:t>
            </w:r>
          </w:p>
        </w:tc>
        <w:tc>
          <w:tcPr/>
          <w:p>
            <w:pPr>
              <w:pStyle w:val="Compact"/>
              <w:jc w:val="left"/>
            </w:pPr>
            <w:r>
              <w:t xml:space="preserve">0.137 to 0.250</w:t>
            </w:r>
          </w:p>
        </w:tc>
        <w:tc>
          <w:tcPr/>
          <w:p>
            <w:pPr>
              <w:pStyle w:val="Compact"/>
              <w:jc w:val="left"/>
            </w:pPr>
            <w:r>
              <w:t xml:space="preserve">0.062</w:t>
            </w:r>
          </w:p>
        </w:tc>
        <w:tc>
          <w:tcPr/>
          <w:p>
            <w:pPr>
              <w:pStyle w:val="Compact"/>
              <w:jc w:val="left"/>
            </w:pPr>
            <w:r>
              <w:t xml:space="preserve">0.003 to 0.058</w:t>
            </w:r>
          </w:p>
        </w:tc>
        <w:tc>
          <w:tcPr/>
          <w:p>
            <w:pPr>
              <w:pStyle w:val="Compact"/>
            </w:pPr>
          </w:p>
        </w:tc>
      </w:tr>
      <w:tr>
        <w:tc>
          <w:tcPr/>
          <w:p>
            <w:pPr>
              <w:pStyle w:val="Compact"/>
              <w:jc w:val="left"/>
            </w:pPr>
            <w:r>
              <w:t xml:space="preserve">Only years up to 5 after listing, 4 against 18 platforms (exploratory, 22 Oct 2026; exact test)</w:t>
            </w:r>
          </w:p>
        </w:tc>
        <w:tc>
          <w:tcPr/>
          <w:p>
            <w:pPr>
              <w:pStyle w:val="Compact"/>
              <w:jc w:val="left"/>
            </w:pPr>
            <w:r>
              <w:t xml:space="preserve">0.169</w:t>
            </w:r>
          </w:p>
        </w:tc>
        <w:tc>
          <w:tcPr/>
          <w:p>
            <w:pPr>
              <w:pStyle w:val="Compact"/>
              <w:jc w:val="left"/>
            </w:pPr>
            <w:r>
              <w:t xml:space="preserve">0.069</w:t>
            </w:r>
          </w:p>
        </w:tc>
        <w:tc>
          <w:tcPr/>
          <w:p>
            <w:pPr>
              <w:pStyle w:val="Compact"/>
              <w:jc w:val="left"/>
            </w:pPr>
            <w:r>
              <w:t xml:space="preserve">0.059</w:t>
            </w:r>
          </w:p>
        </w:tc>
        <w:tc>
          <w:tcPr/>
          <w:p>
            <w:pPr>
              <w:pStyle w:val="Compact"/>
            </w:pP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The four rows marked 22 Oct 2026 were added after all other results were known, so they are exploratory. They use exact tests, which list every possible split of the 32 platforms, and they agree with the approximations in Table 5.3.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2026-10-23T13:30:14Z</dcterms:created>
  <dcterms:modified xsi:type="dcterms:W3CDTF">2026-10-23T13:30:14Z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2026-10-23</vt:lpwstr>
  </property>
</Properties>
</file>