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The economic measurement of platform-based commerce rests on records that do not describe the same thing. Platform revenue, e-commerce statistics and payment data are commonly used as interchangeable indicators of digital activity, although each captures a different side of the boundary between the value a platform processes and the revenue it records. This paper measures that boundary for Indonesia, where I term it the invisible wedge, using issuer disclosures for 2020-2025. In FY2023, three documented platform cases processed transaction value 13.7 times their recognised revenue, a wedge of US$40.07 billion or 2.9 percent of GDP, and the wedge stays above US$20 billion when any single platform is excluded. Within platform series, revenue grew faster than transaction value in 10 of 12 annual transitions, with a median divergence of 42 percentage points. Official statistics place 98.5 percent of Indonesia's 2023-2024 e-commerce growth outside the marketplace channel that platform accounts record, while digital payment value grew up to eleven times as fast as e-commerce value. Each of these records misstates both the size of the digital economy and where it is growing.</w:t>
      </w:r>
    </w:p>
    <w:p>
      <w:pPr>
        <w:pStyle w:val="Heading1"/>
        <w:keepNext/>
        <w:spacing w:before="140" w:after="80"/>
        <w:jc w:val="left"/>
      </w:pPr>
      <w:r>
        <w:rPr>
          <w:rFonts w:ascii="Times New Roman" w:hAnsi="Times New Roman" w:cs="Times New Roman" w:eastAsia="Times New Roman"/>
          <w:b/>
          <w:sz w:val="24"/>
        </w:rPr>
        <w:t>1. Introduction</w:t>
      </w:r>
    </w:p>
    <w:p>
      <w:pPr>
        <w:spacing w:after="80" w:line="247" w:lineRule="auto"/>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can produce systematically wrong conclusions about the scale and growth of platform economies.</w:t>
      </w:r>
    </w:p>
    <w:p>
      <w:pPr>
        <w:spacing w:after="80" w:line="247" w:lineRule="auto"/>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may represent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pPr>
      <w:r>
        <w:rPr>
          <w:rFonts w:ascii="Times New Roman" w:hAnsi="Times New Roman" w:eastAsia="Times New Roman"/>
          <w:b w:val="0"/>
          <w:i w:val="0"/>
          <w:sz w:val="24"/>
        </w:rPr>
        <w:t>Indonesia provides a useful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80" w:line="247" w:lineRule="auto"/>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divergence of approximately 42 percentage points; in some years the two measures moved in opposite directions. Platform revenue therefore understates the level of platform-mediated commerce while, in most observed years, overstating its growth.</w:t>
      </w:r>
    </w:p>
    <w:p>
      <w:pPr>
        <w:spacing w:after="80" w:line="247" w:lineRule="auto"/>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90" w:after="30"/>
      </w:pPr>
      <w:r>
        <w:rPr>
          <w:rFonts w:ascii="Times New Roman" w:hAnsi="Times New Roman" w:eastAsia="Times New Roman"/>
          <w:b/>
          <w:i w:val="0"/>
          <w:sz w:val="24"/>
        </w:rPr>
        <w:t>1.1 Research question and objectives</w:t>
      </w:r>
    </w:p>
    <w:p>
      <w:pPr>
        <w:spacing w:after="80" w:line="247" w:lineRule="auto"/>
      </w:pPr>
      <w:r>
        <w:rPr>
          <w:rFonts w:ascii="Times New Roman" w:hAnsi="Times New Roman" w:eastAsia="Times New Roman"/>
          <w:b w:val="0"/>
          <w:i w:val="0"/>
          <w:sz w:val="24"/>
        </w:rPr>
        <w:t>One question drives the proposal:</w:t>
      </w:r>
    </w:p>
    <w:p>
      <w:pPr>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90" w:after="30"/>
      </w:pPr>
      <w:r>
        <w:rPr>
          <w:rFonts w:ascii="Times New Roman" w:hAnsi="Times New Roman" w:eastAsia="Times New Roman"/>
          <w:b/>
          <w:i w:val="0"/>
          <w:sz w:val="24"/>
        </w:rPr>
        <w:t>1.2 Contributions</w:t>
      </w:r>
    </w:p>
    <w:p>
      <w:pPr>
        <w:spacing w:after="80" w:line="247" w:lineRule="auto"/>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selected third-party net revenue rose 53.2 percent. About 60.6 percent of the arithmetic increase in net revenue is associated with lower customer incentives, with the remainder associated with higher gross revenue.</w:t>
      </w:r>
    </w:p>
    <w:p>
      <w:pPr>
        <w:spacing w:after="80" w:line="247" w:lineRule="auto"/>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80" w:line="247" w:lineRule="auto"/>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90" w:after="30"/>
      </w:pPr>
      <w:r>
        <w:rPr>
          <w:rFonts w:ascii="Times New Roman" w:hAnsi="Times New Roman" w:eastAsia="Times New Roman"/>
          <w:b/>
          <w:i w:val="0"/>
          <w:sz w:val="24"/>
        </w:rPr>
        <w:t>1.3 Positioning the contribution</w:t>
      </w:r>
    </w:p>
    <w:p>
      <w:pPr>
        <w:spacing w:after="80" w:line="247" w:lineRule="auto"/>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140" w:after="80"/>
        <w:jc w:val="left"/>
      </w:pPr>
      <w:r>
        <w:rPr>
          <w:rFonts w:ascii="Times New Roman" w:hAnsi="Times New Roman" w:cs="Times New Roman" w:eastAsia="Times New Roman"/>
          <w:b/>
          <w:sz w:val="24"/>
        </w:rPr>
        <w:t>2. Literature Review and Research Gap</w:t>
      </w:r>
    </w:p>
    <w:p>
      <w:pPr>
        <w:spacing w:after="80" w:line="247" w:lineRule="auto"/>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90" w:after="30"/>
      </w:pPr>
      <w:r>
        <w:rPr>
          <w:rFonts w:ascii="Times New Roman" w:hAnsi="Times New Roman" w:eastAsia="Times New Roman"/>
          <w:b/>
          <w:i w:val="0"/>
          <w:sz w:val="24"/>
        </w:rPr>
        <w:t>2.1 Platform Economics and Revenue Recognition</w:t>
      </w:r>
    </w:p>
    <w:p>
      <w:pPr>
        <w:spacing w:after="80" w:line="247" w:lineRule="auto"/>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90" w:after="30"/>
      </w:pPr>
      <w:r>
        <w:rPr>
          <w:rFonts w:ascii="Times New Roman" w:hAnsi="Times New Roman" w:eastAsia="Times New Roman"/>
          <w:b/>
          <w:i w:val="0"/>
          <w:sz w:val="24"/>
        </w:rPr>
        <w:t>2.2 Digital Records and Third-Party Information</w:t>
      </w:r>
    </w:p>
    <w:p>
      <w:pPr>
        <w:spacing w:after="80" w:line="247" w:lineRule="auto"/>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and the European Union's DAC7 regime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90" w:after="30"/>
      </w:pPr>
      <w:r>
        <w:rPr>
          <w:rFonts w:ascii="Times New Roman" w:hAnsi="Times New Roman" w:eastAsia="Times New Roman"/>
          <w:b/>
          <w:i w:val="0"/>
          <w:sz w:val="24"/>
        </w:rPr>
        <w:t>2.3 Measuring the Digital Economy</w:t>
      </w:r>
    </w:p>
    <w:p>
      <w:pPr>
        <w:spacing w:after="80" w:line="247" w:lineRule="auto"/>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90" w:after="30"/>
      </w:pPr>
      <w:r>
        <w:rPr>
          <w:rFonts w:ascii="Times New Roman" w:hAnsi="Times New Roman" w:eastAsia="Times New Roman"/>
          <w:b/>
          <w:i w:val="0"/>
          <w:sz w:val="24"/>
        </w:rPr>
        <w:t>2.4 Research Gap</w:t>
      </w:r>
    </w:p>
    <w:p>
      <w:pPr>
        <w:spacing w:after="80" w:line="247" w:lineRule="auto"/>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140" w:after="80"/>
        <w:jc w:val="left"/>
      </w:pPr>
      <w:r>
        <w:rPr>
          <w:rFonts w:ascii="Times New Roman" w:hAnsi="Times New Roman" w:cs="Times New Roman" w:eastAsia="Times New Roman"/>
          <w:b/>
          <w:sz w:val="24"/>
        </w:rPr>
        <w:t>3. Theoretical Framework and Key Variables</w:t>
      </w:r>
    </w:p>
    <w:p>
      <w:pPr>
        <w:spacing w:line="247" w:lineRule="auto" w:after="8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8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the Ecosystem Ratio, is constructed for this study and measures the wedge per unit of platform revenue; and D is the annual growth divergence between transaction value and revenue. A negative D means platform revenue is growing faster than the commerce behind it.</w:t>
      </w:r>
    </w:p>
    <w:p>
      <w:pPr>
        <w:spacing w:line="247" w:lineRule="auto" w:after="80" w:before="0"/>
        <w:jc w:val="both"/>
      </w:pPr>
      <w:r>
        <w:rPr>
          <w:rFonts w:ascii="Times New Roman" w:hAnsi="Times New Roman" w:cs="Times New Roman" w:eastAsia="Times New Roman"/>
          <w:sz w:val="24"/>
        </w:rPr>
        <w:t>Gross transaction value (GTV) is the proposal's common label for the value processed through a platform. Issuer terminology differs: Sea Limited and Blibli use GMV, Grab uses GMV for deliveries and TPV for financial services, and GoTo uses GTV. The source labels and business perimeters are retained in the empirical files, and the main longitudinal comparisons are made within named series.</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set out in Table 1 with the evidence already assembled for each. H4 is the central claim of the thesis, and H1 to H3 establish the mechanisms behind it. Whether platform records become administratively usable once PMK 37/2025 takes effect on 1 November 2026 depends on post-implementation evidence; Section 5.3 addresses it through the design of the regime.</w:t>
      </w:r>
    </w:p>
    <w:p>
      <w:pPr>
        <w:keepNext/>
        <w:spacing w:line="240" w:lineRule="auto" w:after="30" w:before="60"/>
        <w:jc w:val="left"/>
      </w:pPr>
      <w:r>
        <w:rPr>
          <w:rFonts w:ascii="Times New Roman" w:hAnsi="Times New Roman" w:cs="Times New Roman" w:eastAsia="Times New Roman"/>
          <w:b/>
          <w:i/>
          <w:sz w:val="19"/>
        </w:rPr>
        <w:t>Table 1. Hypotheses and current evidence.</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900"/>
        <w:gridCol w:w="5647"/>
      </w:tblGrid>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sz w:val="18"/>
              </w:rPr>
              <w:t>Hypothesis</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sz w:val="18"/>
              </w:rPr>
              <w:t>Status in the current evidence</w:t>
            </w:r>
          </w:p>
        </w:tc>
      </w:tr>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H1  Platform revenue is not a stable proxy for platform commerce: the ratio of transaction value to revenue moves materially within the same platform over time.</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Revenue outgrows transaction value in 10 of 12 within-series transitions; median divergence 42.02 pp. Survives log growth (36.64), removal of the largest transition (29.34 pp) and exclusion of any single series.</w:t>
            </w:r>
          </w:p>
        </w:tc>
      </w:tr>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H2  Indonesian e-commerce growth is driven by the entry of new businesses rather than by higher value per business.</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The business-count term accounts for 90.29% of the 2023-2024 increase in e-commerce value, and 70.95% under the conflicting BPS business count.</w:t>
            </w:r>
          </w:p>
        </w:tc>
      </w:tr>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H3  Marketplace participation is associated with financial recordkeeping.</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in BPS business-level evidence. The within-province change is weaker (r = 0.309, p = 0.066) and is tested further in the thesis.</w:t>
            </w:r>
          </w:p>
        </w:tc>
      </w:tr>
      <w:tr>
        <w:trPr>
          <w:cantSplit/>
        </w:trPr>
        <w:tc>
          <w:tcPr>
            <w:tcW w:type="dxa" w:w="3900"/>
            <w:tcMar>
              <w:top w:w="45" w:type="dxa"/>
              <w:start w:w="38" w:type="dxa"/>
              <w:bottom w:w="45" w:type="dxa"/>
              <w:end w:w="38" w:type="dxa"/>
              <w:left w:w="55" w:type="dxa"/>
              <w:right w:w="55" w:type="dxa"/>
            </w:tcMar>
          </w:tcPr>
          <w:p>
            <w:pPr>
              <w:keepNext w:val="0"/>
              <w:spacing w:after="0" w:line="240" w:lineRule="auto" w:before="0"/>
            </w:pPr>
            <w:r>
              <w:rPr>
                <w:rFonts w:ascii="Times New Roman" w:hAnsi="Times New Roman" w:eastAsia="Times New Roman"/>
                <w:b w:val="0"/>
                <w:sz w:val="18"/>
              </w:rPr>
              <w:t>H4  Platform revenue, marketplace statistics and payment data are not interchangeable measures of digital commerce, and substituting one for another misstates its scale and location.</w:t>
            </w:r>
          </w:p>
        </w:tc>
        <w:tc>
          <w:tcPr>
            <w:tcW w:type="dxa" w:w="5647"/>
            <w:tcMar>
              <w:top w:w="45" w:type="dxa"/>
              <w:start w:w="38" w:type="dxa"/>
              <w:bottom w:w="45" w:type="dxa"/>
              <w:end w:w="38" w:type="dxa"/>
              <w:left w:w="55" w:type="dxa"/>
              <w:right w:w="55" w:type="dxa"/>
            </w:tcMar>
          </w:tcPr>
          <w:p>
            <w:pPr>
              <w:keepNext w:val="0"/>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FY2023 transaction value is 13.7 times revenue; 98.46% of 2023-2024 e-commerce growth falls outside the marketplace channel; payment value grew 1.8-11 times as fast as e-commerce value.</w:t>
            </w:r>
          </w:p>
        </w:tc>
      </w:tr>
    </w:tbl>
    <w:p>
      <w:pPr>
        <w:pStyle w:val="Heading1"/>
        <w:keepNext/>
        <w:spacing w:before="140" w:after="8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Final admission to the main sample is decided at the proposal examination (Section 7).</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are reported separately according to how directly each series maps to Indonesia.</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keepLines/>
        <w:spacing w:line="247" w:lineRule="auto" w:after="80" w:before="100"/>
        <w:jc w:val="both"/>
      </w:pPr>
      <w:r>
        <w:rPr>
          <w:rFonts w:ascii="Times New Roman" w:hAnsi="Times New Roman" w:cs="Times New Roman" w:eastAsia="Times New Roman"/>
          <w:b w:val="0"/>
          <w:i w:val="0"/>
          <w:sz w:val="24"/>
        </w:rPr>
        <w:t>Table 2 shows the trade-off the design manages: only two of the seventeen levels come from a directly Indonesia-aligned segment, while the larger tiers carry more observations under wider scope. Tokopedia is the strongest Indonesia-aligned series; Blibli includes online travel; Bukalapak reports at Group level with overseas operations; and Grab and Shopee each require a derived or externally estimated country component. Tokopedia FY2021 and Bukalapak FY2024 are excluded because their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reported separately.</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made within named series. A within-series transition holds the issuer, business perimeter and disclosure convention as constant as the filings allow, so a change in the ratio of transaction value to revenue reflects a change in that platform's economics and accounting.</w:t>
      </w:r>
    </w:p>
    <w:p>
      <w:pPr>
        <w:spacing w:before="0" w:after="80" w:line="247" w:lineRule="auto"/>
        <w:jc w:val="both"/>
      </w:pPr>
      <w:r>
        <w:rPr>
          <w:rFonts w:ascii="Times New Roman" w:hAnsi="Times New Roman" w:cs="Times New Roman" w:eastAsia="Times New Roman"/>
          <w:sz w:val="24"/>
        </w:rPr>
        <w:t>Cross-platform levels serve a different purpose. The FY2023 cross-section establishes scale, and the 48 external issuer-years test whether the boundary appears outside Indonesia. Keeping those roles distinct is what allows heterogeneous disclosures to be used together.</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8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8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applies the Group monetisation rate to Indonesia. Shopee's Indonesian transaction value comes from Momentum Works' recurring Southeast Asian e-commerce estimates, since Sea Limited discloses no country figure, and is labelled as third-party wherever it is used.</w:t>
      </w:r>
    </w:p>
    <w:p>
      <w:pPr>
        <w:pStyle w:val="Heading1"/>
        <w:keepNext/>
        <w:spacing w:before="140" w:after="8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the three cases, and E is computed from unrounded inputs.</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t>Sum of three cases</w:t>
            </w:r>
            <w:r>
              <w:rPr>
                <w:rFonts w:ascii="Times New Roman" w:hAnsi="Times New Roman" w:cs="Times New Roman" w:eastAsia="Times New Roman"/>
                <w:i w:val="0"/>
                <w:sz w:val="18"/>
              </w:rPr>
            </w:r>
          </w:p>
        </w:tc>
      </w:tr>
    </w:tbl>
    <w:p>
      <w:pPr>
        <w:keepNext w:val="0"/>
        <w:keepLines/>
        <w:spacing w:line="247" w:lineRule="auto" w:after="80" w:before="100"/>
        <w:jc w:val="both"/>
      </w:pPr>
      <w:r>
        <w:rPr>
          <w:rFonts w:ascii="Times New Roman" w:hAnsi="Times New Roman" w:cs="Times New Roman" w:eastAsia="Times New Roman"/>
          <w:b w:val="0"/>
          <w:i w:val="0"/>
          <w:sz w:val="24"/>
        </w:rPr>
        <w:t>Table 3 reports the FY2023 cross-section. Across the three cases, transaction value is 13.7 times recognised revenue. Tokopedia, the one direct pair, contributes 39.7 percent of the wedge, Shopee 48.3 percent and Grab 11.9 percent. Shopee's Indonesian revenue is estimated by applying Sea Limited's disclosed Group monetisation rate of 10.0 percent to an external market estimate, which fixes its Ecosystem Ratio at 9.000; varying that rate between 9 and 11 percent moves the combined wedge only between US$40.29 billion and US$39.86 billion, because a higher assumed rate raises estimated revenue and lowers the residual almost equally. Excluding any single platform leaves a wedge of between US$20.70 billion and US$35.29 billion, and one-at-a-time variation of every derived input keeps it between US$37.65 billion and US$42.49 billion. Tokopedia alone, which rests on no reconstruction, carries a wedge of US$15.93 billion.</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the admission rules differ.</w:t>
      </w:r>
    </w:p>
    <w:tbl>
      <w:tblPr>
        <w:tblStyle w:val="TableGrid"/>
        <w:tblW w:type="auto" w:w="0"/>
        <w:jc w:val="center"/>
        <w:tblLayout w:type="fixed"/>
        <w:tblLook w:firstColumn="1" w:firstRow="1" w:lastColumn="0" w:lastRow="0" w:noHBand="0" w:noVBand="1" w:val="04A0"/>
      </w:tblPr>
      <w:tblGrid>
        <w:gridCol w:w="3816"/>
        <w:gridCol w:w="2865"/>
        <w:gridCol w:w="2865"/>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keepLines/>
        <w:spacing w:line="247" w:lineRule="auto" w:after="80" w:before="100"/>
        <w:jc w:val="both"/>
      </w:pPr>
      <w:r>
        <w:rPr>
          <w:rFonts w:ascii="Times New Roman" w:hAnsi="Times New Roman" w:cs="Times New Roman" w:eastAsia="Times New Roman"/>
          <w:b w:val="0"/>
          <w:i w:val="0"/>
          <w:sz w:val="24"/>
        </w:rPr>
        <w:t>Table 4 compares the two admission rules, and both lead to the same conclusion. Under the all-tier inventory, revenue grew faster than transaction value in 10 of 12 annual transitions, with a median absolute divergence of 42.02 percentage points; under the direct-candidate rule, revenue grew faster in 6 of 9 and the median is 42.94 points. Platform revenue growth is therefore a poor guide to the growth of the commerce behind it, and in most years it overstates that growth. Under the direct-candidate rule the result survives the obvious tests: measured in log changes the median gap is 36.64 points, removing the single largest transition leaves 29.34 points, and every construction that excludes one platform series retains at least one sign reversal. Tokopedia FY2022-FY2023 shows the mechanism: transaction value fell 8.90 percent while third-party net segment revenue rose 53.20 percent, and 60.56 percent of that revenue gain came from lower customer incentives, with 39.44 percent from higher gross revenue.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FY2020-FY2025. Each line follows one disclosed or reconstructed series.</w:t>
      </w:r>
    </w:p>
    <w:p>
      <w:pPr>
        <w:keepNext w:val="0"/>
        <w:keepLines/>
        <w:spacing w:before="90" w:after="80" w:line="247" w:lineRule="auto"/>
        <w:jc w:val="both"/>
      </w:pPr>
      <w:r>
        <w:rPr>
          <w:rFonts w:ascii="Times New Roman" w:hAnsi="Times New Roman" w:cs="Times New Roman" w:eastAsia="Times New Roman"/>
          <w:sz w:val="24"/>
        </w:rPr>
        <w:t>Figure 1 shows the pattern behind Table 4. The wedge is present in every series in every year, at ratios from about 8 to over 180, and in every series it is lower at the end of the period than at the start, as platforms have raised their monetisation. Measured through platform revenue, these businesses appear to be growing faster than the commerce they carry, which is the distortion H1 describes.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The marketplace component, the channel that platform accounts describe, rose 1.45 percent while the non-marketplace component rose 20.57 percent, so 98.46 percent of the increase took place outside the marketplace channel. The marketplace share of e-commerce value fell from 18.2 to 15.8 percent in a single year, so measurement anchored on marketplace platforms misses almost all of the recent growth. Growth in the number of e-commerce businesses accounts for 90.29 percent of the national increase, with value per business contributing the remainder (H2).</w:t>
      </w:r>
    </w:p>
    <w:p>
      <w:pPr>
        <w:spacing w:line="247" w:lineRule="auto" w:after="80" w:before="0"/>
        <w:jc w:val="both"/>
      </w:pPr>
      <w:r>
        <w:rPr>
          <w:rFonts w:ascii="Times New Roman" w:hAnsi="Times New Roman" w:cs="Times New Roman" w:eastAsia="Times New Roman"/>
          <w:i w:val="0"/>
          <w:sz w:val="24"/>
        </w:rPr>
        <w:t>PMK 37/2025 is the institutional response. The verified implementation sequence records marketplace designation on 1 July 2026, collection effective 1 August, postponement through 31 October, and scheduled implementation on 1 November 2026. A platform record becomes usable for tax administration only once a seller identity is attached, the record is transmitted to the DJP and it is matched to a taxpayer. The regime designates marketplace operators, and the marketplace channel carried 15.8 percent of 2024 e-commerce value and 1.5 percent of its 2023-2024 growth. However well it is implemented, its coverage is bounded by the channel it targets.</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including eBay, Etsy, Shopify, Mercado Libre and Sea, show the same boundary under other business models. Eleven of 40 annual transitions fail a clean-scope test because of acquisitions or perimeter changes, which indicates that the comparability problem the evidence tiers address is a feature of platform disclosure generally.</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 statistics provide a third record of the same activity. Between 2023 and 2024, BPS e-commerce value grew 17.08 percent, while electronic-money shopping value grew 30.47 percent, mobile-banking payment and purchase value 82.84 percent and QRIS transaction value 186.98 percent. Payments and sales are different objects, and the payment series grew between 1.8 and 11 times as fast as the commerce they help settle, so a digital-economy indicator built on payment value would substantially overstate commerce growth over this period.</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The preliminary evidence supports the central claim at each step. Platform revenue understates the level of platform commerce by a factor of 13.7 and, in most years, overstates its growth. Marketplace statistics miss 98.5 percent of the recent expansion. Payment data grow up to eleven times as fast as the commerce behind them. And the one disclosed decomposition traces the revenue-transaction gap to identifiable commercial choices. The thesis will extend and test these results under the sample boundary approved at examination.</w:t>
      </w:r>
    </w:p>
    <w:p>
      <w:pPr>
        <w:pStyle w:val="Heading1"/>
        <w:keepNext/>
        <w:spacing w:before="140" w:after="8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consequences follow directly. An investor valuing platforms on revenue growth, a statistical agency sizing e-commerce from marketplace data and a policymaker reading payment growth as commerce growth are each working from a record that departs sharply from the activity they intend to measure, and in a different direction. The same transformation looks like rapidly monetising platforms, a stagnant marketplace sector or an explosion of digital commerce depending on which record is used. Indonesia's new reporting regime inherits the problem, because it is built around the marketplace channel. The thesis identifies proxy substitution between these records as the underlying error, and measures its size.</w:t>
      </w:r>
    </w:p>
    <w:p>
      <w:pPr>
        <w:pStyle w:val="Heading1"/>
        <w:keepNext/>
        <w:spacing w:before="140" w:after="80"/>
        <w:jc w:val="left"/>
      </w:pPr>
      <w:r>
        <w:rPr>
          <w:rFonts w:ascii="Times New Roman" w:hAnsi="Times New Roman" w:cs="Times New Roman" w:eastAsia="Times New Roman"/>
          <w:b/>
          <w:sz w:val="24"/>
        </w:rPr>
        <w:t>7. Robustness and Proposal Decisions</w:t>
      </w:r>
    </w:p>
    <w:p>
      <w:pPr>
        <w:keepNext/>
        <w:spacing w:before="60" w:after="30" w:line="240" w:lineRule="auto"/>
        <w:jc w:val="left"/>
      </w:pPr>
      <w:r>
        <w:rPr>
          <w:rFonts w:ascii="Times New Roman" w:hAnsi="Times New Roman" w:cs="Times New Roman" w:eastAsia="Times New Roman"/>
          <w:b/>
          <w:i/>
          <w:sz w:val="19"/>
        </w:rPr>
        <w:t>Table 5. Claims, evidence and robustness tests.</w:t>
      </w:r>
    </w:p>
    <w:tbl>
      <w:tblPr>
        <w:tblStyle w:val="TableGrid"/>
        <w:tblW w:type="auto" w:w="0"/>
        <w:jc w:val="center"/>
        <w:tblLayout w:type="fixed"/>
        <w:tblLook w:firstColumn="1" w:firstRow="1" w:lastColumn="0" w:lastRow="0" w:noHBand="0" w:noVBand="1" w:val="04A0"/>
      </w:tblPr>
      <w:tblGrid>
        <w:gridCol w:w="3100"/>
        <w:gridCol w:w="6447"/>
      </w:tblGrid>
      <w:tr>
        <w:trPr>
          <w:tblHeader w:val="true"/>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t>Claim</w:t>
            </w:r>
            <w:r>
              <w:rPr>
                <w:rFonts w:ascii="Times New Roman" w:hAnsi="Times New Roman" w:cs="Times New Roman" w:eastAsia="Times New Roman"/>
                <w:b/>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t>Evidence and robustness test</w:t>
            </w:r>
            <w:r>
              <w:rPr>
                <w:rFonts w:ascii="Times New Roman" w:hAnsi="Times New Roman" w:cs="Times New Roman" w:eastAsia="Times New Roman"/>
                <w:b/>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Platform revenue understates platform commerce by more than an order of magnitude.</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FY2023 transaction value is 13.7 times revenue (wedge US$40.07bn). Holds across Shopee monetisation of 9-11% (US$39.86-40.29bn), leave-one-platform-out (at least US$20.70bn), one-at-a-time input variation (US$37.65-42.49bn), and on the Tokopedia direct pair alone (US$15.93bn).</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Platform revenue growth misstates commerce growth.</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Revenue outgrows transaction value in 10 of 12 transitions; median divergence 42.02 pp. Holds in log changes (36.64), without the largest transition (29.34 pp), under the direct-candidate rule (42.94 pp) and in every leave-one-series-out construction.</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Marketplace statistics miss where e-commerce grows.</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98.46% of 2023-2024 growth in e-commerce value falls outside the marketplace component; marketplace share 18.2% to 15.8%. Holds on both the published amount and the rounded-share reconstruction (98.49%).</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Payment data overstate commerce growth.</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Electronic-money, mobile-banking and QRIS payment value grew 1.8 to 11 times as fast as e-commerce value, 2023-2024.</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val="0"/>
              <w:spacing w:after="0" w:before="0" w:line="240" w:lineRule="auto"/>
              <w:jc w:val="left"/>
            </w:pPr>
            <w:r>
              <w:rPr>
                <w:rFonts w:ascii="Times New Roman" w:hAnsi="Times New Roman" w:cs="Times New Roman" w:eastAsia="Times New Roman"/>
                <w:sz w:val="18"/>
              </w:rPr>
              <w:t>Questions the thesis tests further.</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val="0"/>
              <w:spacing w:after="0" w:before="0" w:line="240" w:lineRule="auto"/>
              <w:jc w:val="left"/>
            </w:pPr>
            <w:r>
              <w:rPr>
                <w:rFonts w:ascii="Times New Roman" w:hAnsi="Times New Roman" w:cs="Times New Roman" w:eastAsia="Times New Roman"/>
                <w:sz w:val="18"/>
              </w:rPr>
              <w:t>Causal effects of incentive choices; business-level validation of the BPS recordkeeping association (province r = 0.309, p = 0.066); operational performance of PMK 37/2025 after 1 November 2026.</w:t>
            </w:r>
            <w:r>
              <w:rPr>
                <w:rFonts w:ascii="Times New Roman" w:hAnsi="Times New Roman" w:cs="Times New Roman" w:eastAsia="Times New Roman"/>
                <w:sz w:val="18"/>
              </w:rPr>
            </w:r>
          </w:p>
        </w:tc>
      </w:tr>
    </w:tbl>
    <w:p>
      <w:pPr>
        <w:keepNext w:val="0"/>
        <w:keepLines/>
        <w:spacing w:line="247" w:lineRule="auto" w:after="80" w:before="100"/>
        <w:jc w:val="both"/>
      </w:pPr>
      <w:r>
        <w:rPr>
          <w:rFonts w:ascii="Times New Roman" w:hAnsi="Times New Roman" w:cs="Times New Roman" w:eastAsia="Times New Roman"/>
          <w:b w:val="0"/>
          <w:i w:val="0"/>
          <w:sz w:val="24"/>
        </w:rPr>
        <w:t>Table 5 sets each claim against its evidence and the robustness tests it survives. The sample is small and the evidence descriptive, so the thesis reports tests rather than population estimates. What it establishes is that the standard records of digital commerce diverge by magnitudes too large for measurement or policy to ignore.</w:t>
      </w:r>
    </w:p>
    <w:p>
      <w:pPr>
        <w:spacing w:line="247" w:lineRule="auto" w:after="80" w:before="0"/>
        <w:jc w:val="both"/>
      </w:pPr>
      <w:r>
        <w:rPr>
          <w:rFonts w:ascii="Times New Roman" w:hAnsi="Times New Roman" w:cs="Times New Roman" w:eastAsia="Times New Roman"/>
          <w:i w:val="0"/>
          <w:sz w:val="24"/>
        </w:rPr>
        <w:t>Two sample decisions are put to the committee: whether Blibli 3P Retail and Bukalapak Group enter the final longitudinal core, and whether Grab and Shopee remain sensitivity evidence. The central claim holds under either outcome: the divergence result holds under both admission rules in Table 4, and the level result holds on the Tokopedia pair alone.</w:t>
      </w:r>
    </w:p>
    <w:p>
      <w:pPr>
        <w:pStyle w:val="Heading1"/>
        <w:keepNext/>
        <w:spacing w:before="140" w:after="8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232"/>
        <w:gridCol w:w="7315"/>
      </w:tblGrid>
      <w:tr>
        <w:trPr>
          <w:cantSplit/>
        </w:trPr>
        <w:tc>
          <w:tcPr>
            <w:tcW w:type="dxa" w:w="2232"/>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8" w:type="dxa"/>
              <w:bottom w:w="45" w:type="dxa"/>
              <w:end w:w="38" w:type="dxa"/>
              <w:left w:w="55" w:type="dxa"/>
              <w:right w:w="55" w:type="dxa"/>
            </w:tcMar>
          </w:tcPr>
          <w:p>
            <w:pPr>
              <w:keepNext w:val="0"/>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8" w:type="dxa"/>
              <w:bottom w:w="45" w:type="dxa"/>
              <w:end w:w="38" w:type="dxa"/>
              <w:left w:w="55" w:type="dxa"/>
              <w:right w:w="55" w:type="dxa"/>
            </w:tcMar>
          </w:tcPr>
          <w:p>
            <w:pPr>
              <w:keepNext w:val="0"/>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establishes that the records used to measure Indonesia's platform economy diverge far more than their interchangeable use assumes. Platform revenue understates the level of platform commerce by more than an order of magnitude and misstates its growth, marketplace statistics miss almost all of the recent expansion, and payment data outrun commerce by up to eleven times. What remains is to fix the sample boundary, complete the checks the committee requires and build the thesis on that decision; the data, the evidence tiers and the reproducible backend are already in place.</w:t>
      </w:r>
    </w:p>
    <w:p>
      <w:pPr>
        <w:pStyle w:val="Heading1"/>
        <w:keepNext/>
        <w:spacing w:before="140" w:after="8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160"/>
        <w:gridCol w:w="2160"/>
        <w:gridCol w:w="3096"/>
        <w:gridCol w:w="2131"/>
      </w:tblGrid>
      <w:tr>
        <w:trPr>
          <w:tblHeader w:val="true"/>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