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Businesses in 43 economies sold almost US$27 trillion online in 2022, by the United Nations’ estimate (UNCTAD 2024), and platforms carry a growing part of that trade. Investors value platforms largely on their reported growth. Governments use the same figures to size their digital economies and to tax online sellers. Each treats a figure as a stand-in for the commerce behind it.</w:t>
      </w:r>
    </w:p>
    <w:p>
      <w:pPr>
        <w:pStyle w:val="BodyText"/>
      </w:pPr>
      <w:r>
        <w:t xml:space="preserve">A stand-in follows the commerce only while the link between them holds. A platform keeps just part of each sale, as commissions and fees, and the rest is the seller’s receipts, the driver’s fare or another amount that passes through. This thesis calls what a revenue-only measure leaves out the invisible wedge. It does not mean activity that goes unrecorded.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parted from the commerce they stand for. Tokopedia, an Indonesian online marketplace, saw its net revenue rise by 53 percent. Its transaction value, the value of what was bought through the platform, fell by 9 percent (GoTo Gojek Tokopedia 2024a, 2024b). About 60 percent of the extra revenue came from smaller discounts and incentives, which a platform pays out of its own earnings (GoTo Gojek Tokopedia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part.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 figures did part.</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as well as size. The larger the wedge is next to revenue, the more a small change in fees or discounts moves revenue growth. When the take rate moves, market value per dollar of revenue and market value per dollar of commerce change by different amounts. The thesis traces why revenue moved, which gives investors a check on whether reported growth came from more commerce or from a larger share of each sale. A prediction registered in advance then tests how market value moves with each.</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 One point recurs across all three.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and with exact tests. They also drop two platforms at a time, move Sea to the regional group and keep only the first five years after listing.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and its ratio is about 39. Shopee’s ratio of 9 follows from the assumed take rate, and Grab’s ratio of about 8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Exact versions, which list every possible split of the 32 platforms, give the same answer (p = 0.004 and p = 0.021). No single platform carries the result: dropping any one, or treating Tokopedia and GoTo as one company, keeps p at 0.016 or below. Dropping two can weaken it. Without Blibli and Tokopedia, the two largest movers, p is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Both tests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One check goes the other way. Quarterly pairs do not reject H1 (p = 0.19), contrary to a prediction registered before the test was run. The quarterly Indonesian pairs mostly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the 34 provinces, growth in the count had almost no link to the share of new sellers (a rank correlation of 0.10, on a scale from −1 to 1) and only a weak link to growth in the sample (0.35). The break sat in chat and social selling. Among sellers who began by 2022, those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splits that rise by giving each kind of seller its typical size in the 2022 file. New sellers, sized like those that began in 2022, account for 25 to 30 percent of it.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The extra count also matters for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right on its threshold once the extra count is read as coverage.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2026-10-23T11:07:12Z</dcterms:created>
  <dcterms:modified xsi:type="dcterms:W3CDTF">2026-10-23T11:07:12Z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