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元智大學</w:t>
      </w:r>
    </w:p>
    <w:p>
      <w:pPr>
        <w:pStyle w:val="CoverDept"/>
      </w:pPr>
      <w:r>
        <w:t xml:space="preserve">管理學院財務金融暨會計碩士班</w:t>
      </w:r>
    </w:p>
    <w:p>
      <w:pPr>
        <w:pStyle w:val="CoverTrack"/>
      </w:pPr>
      <w:r>
        <w:t xml:space="preserve">財務金融碩士學程</w:t>
      </w:r>
    </w:p>
    <w:p>
      <w:pPr>
        <w:pStyle w:val="CoverDegree"/>
      </w:pPr>
      <w:r>
        <w:t xml:space="preserve">碩士論文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134" w:footer="567" w:header="850" w:left="2268" w:right="1134" w:top="1984"/>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rPr>
          <w:b w:val="0"/>
        </w:rPr>
      </w:pPr>
      <w:r>
        <w:rPr>
          <w:b w:val="0"/>
        </w:rPr>
        <w:t xml:space="preserve">Symbols and Abbreviations</w:t>
      </w:r>
      <w:r>
        <w:rPr>
          <w:b w:val="0"/>
        </w:rPr>
        <w:tab/>
      </w:r>
      <w:r>
        <w:rPr>
          <w:b w:val="0"/>
        </w:rPr>
        <w:t xml:space="preserve">vii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29</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moved the take rate</w:t>
      </w:r>
      <w:r>
        <w:tab/>
      </w:r>
      <w:r>
        <w:t xml:space="preserve">33</w:t>
      </w:r>
    </w:p>
    <w:p>
      <w:pPr>
        <w:pStyle w:val="toc2"/>
      </w:pPr>
      <w:r>
        <w:t xml:space="preserve">5.4 What markets valued</w:t>
      </w:r>
      <w:r>
        <w:tab/>
      </w:r>
      <w:r>
        <w:t xml:space="preserve">35</w:t>
      </w:r>
    </w:p>
    <w:p>
      <w:pPr>
        <w:pStyle w:val="toc2"/>
      </w:pPr>
      <w:r>
        <w:t xml:space="preserve">5.5 The platforms and the sellers in 2023</w:t>
      </w:r>
      <w:r>
        <w:tab/>
      </w:r>
      <w:r>
        <w:t xml:space="preserve">36</w:t>
      </w:r>
    </w:p>
    <w:p>
      <w:pPr>
        <w:pStyle w:val="toc2"/>
      </w:pPr>
      <w:r>
        <w:t xml:space="preserve">5.6 H2 and the entry test</w:t>
      </w:r>
      <w:r>
        <w:tab/>
      </w:r>
      <w:r>
        <w:t xml:space="preserve">37</w:t>
      </w:r>
    </w:p>
    <w:p>
      <w:pPr>
        <w:pStyle w:val="toc2"/>
      </w:pPr>
      <w:r>
        <w:t xml:space="preserve">5.7 What the rise in the count contains</w:t>
      </w:r>
      <w:r>
        <w:tab/>
      </w:r>
      <w:r>
        <w:t xml:space="preserve">37</w:t>
      </w:r>
    </w:p>
    <w:p>
      <w:pPr>
        <w:pStyle w:val="toc2"/>
      </w:pPr>
      <w:r>
        <w:t xml:space="preserve">5.8 Who the extra sellers were</w:t>
      </w:r>
      <w:r>
        <w:tab/>
      </w:r>
      <w:r>
        <w:t xml:space="preserve">39</w:t>
      </w:r>
    </w:p>
    <w:p>
      <w:pPr>
        <w:pStyle w:val="toc2"/>
      </w:pPr>
      <w:r>
        <w:t xml:space="preserve">5.9 Channels and records</w:t>
      </w:r>
      <w:r>
        <w:tab/>
      </w:r>
      <w:r>
        <w:t xml:space="preserve">40</w:t>
      </w:r>
    </w:p>
    <w:p>
      <w:pPr>
        <w:pStyle w:val="toc2"/>
      </w:pPr>
      <w:r>
        <w:t xml:space="preserve">5.10 Why the national figures disagree</w:t>
      </w:r>
      <w:r>
        <w:tab/>
      </w:r>
      <w:r>
        <w:t xml:space="preserve">42</w:t>
      </w:r>
    </w:p>
    <w:p>
      <w:pPr>
        <w:pStyle w:val="toc1"/>
      </w:pPr>
      <w:r>
        <w:t xml:space="preserve">Chapter 6 Discussion and Policy Implications</w:t>
      </w:r>
      <w:r>
        <w:tab/>
      </w:r>
      <w:r>
        <w:t xml:space="preserve">44</w:t>
      </w:r>
    </w:p>
    <w:p>
      <w:pPr>
        <w:pStyle w:val="toc2"/>
      </w:pPr>
      <w:r>
        <w:t xml:space="preserve">6.1 The rules and what each acts on</w:t>
      </w:r>
      <w:r>
        <w:tab/>
      </w:r>
      <w:r>
        <w:t xml:space="preserve">44</w:t>
      </w:r>
    </w:p>
    <w:p>
      <w:pPr>
        <w:pStyle w:val="toc2"/>
      </w:pPr>
      <w:r>
        <w:t xml:space="preserve">6.2 What the commission cap and the discount rule can move</w:t>
      </w:r>
      <w:r>
        <w:tab/>
      </w:r>
      <w:r>
        <w:t xml:space="preserve">46</w:t>
      </w:r>
    </w:p>
    <w:p>
      <w:pPr>
        <w:pStyle w:val="toc2"/>
      </w:pPr>
      <w:r>
        <w:t xml:space="preserve">6.3 How far the marketplace tax reaches</w:t>
      </w:r>
      <w:r>
        <w:tab/>
      </w:r>
      <w:r>
        <w:t xml:space="preserve">48</w:t>
      </w:r>
    </w:p>
    <w:p>
      <w:pPr>
        <w:pStyle w:val="toc2"/>
      </w:pPr>
      <w:r>
        <w:t xml:space="preserve">6.4 What the statistics rules can change</w:t>
      </w:r>
      <w:r>
        <w:tab/>
      </w:r>
      <w:r>
        <w:t xml:space="preserve">49</w:t>
      </w:r>
    </w:p>
    <w:p>
      <w:pPr>
        <w:pStyle w:val="toc2"/>
      </w:pPr>
      <w:r>
        <w:t xml:space="preserve">6.5 What the registered predictions test</w:t>
      </w:r>
      <w:r>
        <w:tab/>
      </w:r>
      <w:r>
        <w:t xml:space="preserve">50</w:t>
      </w:r>
    </w:p>
    <w:p>
      <w:pPr>
        <w:pStyle w:val="toc2"/>
      </w:pPr>
      <w:r>
        <w:t xml:space="preserve">6.6 Beyond Indonesia</w:t>
      </w:r>
      <w:r>
        <w:tab/>
      </w:r>
      <w:r>
        <w:t xml:space="preserve">51</w:t>
      </w:r>
    </w:p>
    <w:p>
      <w:pPr>
        <w:pStyle w:val="toc1"/>
      </w:pPr>
      <w:r>
        <w:t xml:space="preserve">Chapter 7 Conclusion</w:t>
      </w:r>
      <w:r>
        <w:tab/>
      </w:r>
      <w:r>
        <w:t xml:space="preserve">52</w:t>
      </w:r>
    </w:p>
    <w:p>
      <w:pPr>
        <w:pStyle w:val="toc2"/>
      </w:pPr>
      <w:r>
        <w:t xml:space="preserve">7.1 The answer to the research question</w:t>
      </w:r>
      <w:r>
        <w:tab/>
      </w:r>
      <w:r>
        <w:t xml:space="preserve">52</w:t>
      </w:r>
    </w:p>
    <w:p>
      <w:pPr>
        <w:pStyle w:val="toc2"/>
      </w:pPr>
      <w:r>
        <w:t xml:space="preserve">7.2 What the thesis adds</w:t>
      </w:r>
      <w:r>
        <w:tab/>
      </w:r>
      <w:r>
        <w:t xml:space="preserve">53</w:t>
      </w:r>
    </w:p>
    <w:p>
      <w:pPr>
        <w:pStyle w:val="toc2"/>
      </w:pPr>
      <w:r>
        <w:t xml:space="preserve">7.3 Predictions that failed</w:t>
      </w:r>
      <w:r>
        <w:tab/>
      </w:r>
      <w:r>
        <w:t xml:space="preserve">54</w:t>
      </w:r>
    </w:p>
    <w:p>
      <w:pPr>
        <w:pStyle w:val="toc2"/>
      </w:pPr>
      <w:r>
        <w:t xml:space="preserve">7.4 Limits of the evidence</w:t>
      </w:r>
      <w:r>
        <w:tab/>
      </w:r>
      <w:r>
        <w:t xml:space="preserve">55</w:t>
      </w:r>
    </w:p>
    <w:p>
      <w:pPr>
        <w:pStyle w:val="toc2"/>
      </w:pPr>
      <w:r>
        <w:t xml:space="preserve">7.5 Further research</w:t>
      </w:r>
      <w:r>
        <w:tab/>
      </w:r>
      <w:r>
        <w:t xml:space="preserve">57</w:t>
      </w:r>
    </w:p>
    <w:p>
      <w:pPr>
        <w:pStyle w:val="toc1"/>
      </w:pPr>
      <w:r>
        <w:t xml:space="preserve">Appendices</w:t>
      </w:r>
      <w:r>
        <w:tab/>
      </w:r>
      <w:r>
        <w:t xml:space="preserve">58</w:t>
      </w:r>
    </w:p>
    <w:p>
      <w:pPr>
        <w:pStyle w:val="toc2"/>
      </w:pPr>
      <w:r>
        <w:t xml:space="preserve">Appendix A. Platforms, windows and the wedge by year</w:t>
      </w:r>
      <w:r>
        <w:tab/>
      </w:r>
      <w:r>
        <w:t xml:space="preserve">58</w:t>
      </w:r>
    </w:p>
    <w:p>
      <w:pPr>
        <w:pStyle w:val="toc2"/>
      </w:pPr>
      <w:r>
        <w:t xml:space="preserve">Appendix B. The checks on the test of H1</w:t>
      </w:r>
      <w:r>
        <w:tab/>
      </w:r>
      <w:r>
        <w:t xml:space="preserve">62</w:t>
      </w:r>
    </w:p>
    <w:p>
      <w:pPr>
        <w:pStyle w:val="toc2"/>
      </w:pPr>
      <w:r>
        <w:t xml:space="preserve">Appendix C. Registered tests and their outcomes</w:t>
      </w:r>
      <w:r>
        <w:tab/>
      </w:r>
      <w:r>
        <w:t xml:space="preserve">64</w:t>
      </w:r>
    </w:p>
    <w:p>
      <w:pPr>
        <w:pStyle w:val="toc2"/>
      </w:pPr>
      <w:r>
        <w:t xml:space="preserve">Appendix D. The values behind Figures 4 to 6</w:t>
      </w:r>
      <w:r>
        <w:tab/>
      </w:r>
      <w:r>
        <w:t xml:space="preserve">66</w:t>
      </w:r>
    </w:p>
    <w:p>
      <w:pPr>
        <w:pStyle w:val="toc1"/>
      </w:pPr>
      <w:r>
        <w:t xml:space="preserve">References</w:t>
      </w:r>
      <w:r>
        <w:tab/>
      </w:r>
      <w:r>
        <w:t xml:space="preserve">68</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11</w:t>
      </w:r>
    </w:p>
    <w:p>
      <w:pPr>
        <w:pStyle w:val="tableoffigures"/>
      </w:pPr>
      <w:r>
        <w:t xml:space="preserve">Table 3. Hypotheses, tests and what would count against them</w:t>
      </w:r>
      <w:r>
        <w:tab/>
      </w:r>
      <w:r>
        <w:t xml:space="preserve">15</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27</w:t>
      </w:r>
    </w:p>
    <w:p>
      <w:pPr>
        <w:pStyle w:val="tableoffigures"/>
      </w:pPr>
      <w:r>
        <w:t xml:space="preserve">Table 8. Main results and the evidence behind them</w:t>
      </w:r>
      <w:r>
        <w:tab/>
      </w:r>
      <w:r>
        <w:t xml:space="preserve">29</w:t>
      </w:r>
    </w:p>
    <w:p>
      <w:pPr>
        <w:pStyle w:val="tableoffigures"/>
      </w:pPr>
      <w:r>
        <w:t xml:space="preserve">Table 9. The invisible wedge of three platforms, 2023 (US$ billion)</w:t>
      </w:r>
      <w:r>
        <w:tab/>
      </w:r>
      <w:r>
        <w:t xml:space="preserve">30</w:t>
      </w:r>
    </w:p>
    <w:p>
      <w:pPr>
        <w:pStyle w:val="tableoffigures"/>
      </w:pPr>
      <w:r>
        <w:t xml:space="preserve">Table 10. The test of H1</w:t>
      </w:r>
      <w:r>
        <w:tab/>
      </w:r>
      <w:r>
        <w:t xml:space="preserve">31</w:t>
      </w:r>
    </w:p>
    <w:p>
      <w:pPr>
        <w:pStyle w:val="tableoffigures"/>
      </w:pPr>
      <w:r>
        <w:t xml:space="preserve">Table 11. What moved revenue in seven Indonesian and regional windows (share of the growth of revenue, percent)</w:t>
      </w:r>
      <w:r>
        <w:tab/>
      </w:r>
      <w:r>
        <w:t xml:space="preserve">34</w:t>
      </w:r>
    </w:p>
    <w:p>
      <w:pPr>
        <w:pStyle w:val="tableoffigures"/>
      </w:pPr>
      <w:r>
        <w:t xml:space="preserve">Table 12. The 2023 rise in the count of online sellers (thousands)</w:t>
      </w:r>
      <w:r>
        <w:tab/>
      </w:r>
      <w:r>
        <w:t xml:space="preserve">38</w:t>
      </w:r>
    </w:p>
    <w:p>
      <w:pPr>
        <w:pStyle w:val="tableoffigures"/>
      </w:pPr>
      <w:r>
        <w:t xml:space="preserve">Table 13. Indonesia’s recent rules and what each acts on</w:t>
      </w:r>
      <w:r>
        <w:tab/>
      </w:r>
      <w:r>
        <w:t xml:space="preserve">45</w:t>
      </w:r>
    </w:p>
    <w:p>
      <w:pPr>
        <w:pStyle w:val="tableoffigures"/>
      </w:pPr>
      <w:r>
        <w:t xml:space="preserve">Table 14. Registered predictions on the 2026 rules</w:t>
      </w:r>
      <w:r>
        <w:tab/>
      </w:r>
      <w:r>
        <w:t xml:space="preserve">50</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10</w:t>
      </w:r>
    </w:p>
    <w:p>
      <w:pPr>
        <w:pStyle w:val="tableoffigures"/>
      </w:pPr>
      <w:r>
        <w:t xml:space="preserve">Figure 2. The thin take rate.</w:t>
      </w:r>
      <w:r>
        <w:tab/>
      </w:r>
      <w:r>
        <w:t xml:space="preserve">33</w:t>
      </w:r>
    </w:p>
    <w:p>
      <w:pPr>
        <w:pStyle w:val="tableoffigures"/>
      </w:pPr>
      <w:r>
        <w:t xml:space="preserve">Figure 3. Tokopedia, 2022 to 2023: two ways to split the rise in revenue.</w:t>
      </w:r>
      <w:r>
        <w:tab/>
      </w:r>
      <w:r>
        <w:t xml:space="preserve">34</w:t>
      </w:r>
    </w:p>
    <w:p>
      <w:pPr>
        <w:pStyle w:val="tableoffigures"/>
      </w:pPr>
      <w:r>
        <w:t xml:space="preserve">Figure 4. Growth in 2023 (percent).</w:t>
      </w:r>
      <w:r>
        <w:tab/>
      </w:r>
      <w:r>
        <w:t xml:space="preserve">36</w:t>
      </w:r>
    </w:p>
    <w:p>
      <w:pPr>
        <w:pStyle w:val="tableoffigures"/>
      </w:pPr>
      <w:r>
        <w:t xml:space="preserve">Figure 5. Who the extra sellers were.</w:t>
      </w:r>
      <w:r>
        <w:tab/>
      </w:r>
      <w:r>
        <w:t xml:space="preserve">39</w:t>
      </w:r>
    </w:p>
    <w:p>
      <w:pPr>
        <w:pStyle w:val="tableoffigures"/>
      </w:pPr>
      <w:r>
        <w:t xml:space="preserve">Figure 6. Marketplace use and financial statements, 2020 to 2024.</w:t>
      </w:r>
      <w:r>
        <w:tab/>
      </w:r>
      <w:r>
        <w:t xml:space="preserve">41</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keepNext/>
              <w:spacing w:before="0" w:after="0" w:lineRule="exact" w:line="220"/>
              <w:jc w:val="left"/>
            </w:pPr>
            <w:r>
              <w:rPr>
                <w:b/>
                <w:sz w:val="18"/>
              </w:rPr>
              <w:t xml:space="preserve">Symbol</w:t>
            </w:r>
          </w:p>
        </w:tc>
        <w:tc>
          <w:tcPr>
            <w:tcW w:w="6051" w:type="dxa"/>
            <w:tcBorders>
              <w:bottom w:val="single" w:sz="5" w:space="0" w:color="000000"/>
            </w:tcBorders>
          </w:tcPr>
          <w:p>
            <w:pPr>
              <w:pStyle w:val="Compact"/>
              <w:keepNext/>
              <w:spacing w:before="0" w:after="0" w:lineRule="exact" w:line="220"/>
              <w:jc w:val="left"/>
            </w:pPr>
            <w:r>
              <w:rPr>
                <w:b/>
                <w:sz w:val="18"/>
              </w:rPr>
              <w:t xml:space="preserve">Meaning</w:t>
            </w:r>
          </w:p>
        </w:tc>
        <w:tc>
          <w:tcPr>
            <w:tcW w:w="1390" w:type="dxa"/>
            <w:tcBorders>
              <w:bottom w:val="single" w:sz="5" w:space="0" w:color="000000"/>
            </w:tcBorders>
          </w:tcPr>
          <w:p>
            <w:pPr>
              <w:pStyle w:val="Compact"/>
              <w:keepNext/>
              <w:spacing w:before="0" w:after="0" w:lineRule="exact" w:line="220"/>
              <w:jc w:val="left"/>
            </w:pPr>
            <w:r>
              <w:rPr>
                <w:b/>
                <w:sz w:val="18"/>
              </w:rPr>
              <w:t xml:space="preserve">First defined</w:t>
            </w:r>
          </w:p>
        </w:tc>
      </w:tr>
      <w:tr>
        <w:trPr>
          <w:cantSplit/>
        </w:trPr>
        <w:tc>
          <w:tcPr>
            <w:tcW w:w="1063" w:type="dxa"/>
          </w:tcPr>
          <w:p>
            <w:pPr>
              <w:pStyle w:val="Compact"/>
              <w:keepNext/>
              <w:spacing w:before="0" w:after="0" w:lineRule="exact" w:line="220"/>
              <w:jc w:val="left"/>
            </w:pPr>
            <w:r>
              <w:rPr>
                <w:sz w:val="18"/>
              </w:rPr>
              <w:t xml:space="preserve">V</w:t>
            </w:r>
          </w:p>
        </w:tc>
        <w:tc>
          <w:tcPr>
            <w:tcW w:w="6051" w:type="dxa"/>
          </w:tcPr>
          <w:p>
            <w:pPr>
              <w:pStyle w:val="Compact"/>
              <w:keepNext/>
              <w:spacing w:before="0" w:after="0" w:lineRule="exact" w:line="220"/>
              <w:jc w:val="left"/>
            </w:pPr>
            <w:r>
              <w:rPr>
                <w:sz w:val="18"/>
              </w:rPr>
              <w:t xml:space="preserve">Transaction value: everything bought through a platform in a period</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keepNext/>
              <w:spacing w:before="0" w:after="0" w:lineRule="exact" w:line="220"/>
              <w:jc w:val="left"/>
            </w:pPr>
            <w:r>
              <w:rPr>
                <w:sz w:val="18"/>
              </w:rPr>
              <w:t xml:space="preserve">R</w:t>
            </w:r>
          </w:p>
        </w:tc>
        <w:tc>
          <w:tcPr>
            <w:tcW w:w="6051" w:type="dxa"/>
          </w:tcPr>
          <w:p>
            <w:pPr>
              <w:pStyle w:val="Compact"/>
              <w:keepNext/>
              <w:spacing w:before="0" w:after="0" w:lineRule="exact" w:line="220"/>
              <w:jc w:val="left"/>
            </w:pPr>
            <w:r>
              <w:rPr>
                <w:sz w:val="18"/>
              </w:rPr>
              <w:t xml:space="preserve">Revenue: what the platform records as its own income</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keepNex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keepNext/>
              <w:spacing w:before="0" w:after="0" w:lineRule="exact" w:line="220"/>
              <w:jc w:val="left"/>
            </w:pPr>
            <w:r>
              <w:rPr>
                <w:sz w:val="18"/>
              </w:rPr>
              <w:t xml:space="preserve">How market value moves with transaction value and with the take rate</w:t>
            </w:r>
          </w:p>
        </w:tc>
        <w:tc>
          <w:tcPr>
            <w:tcW w:w="1390" w:type="dxa"/>
          </w:tcPr>
          <w:p>
            <w:pPr>
              <w:pStyle w:val="Compact"/>
              <w:keepNex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keepNext/>
              <w:spacing w:before="0" w:after="0" w:lineRule="exact" w:line="220"/>
              <w:jc w:val="left"/>
            </w:pPr>
            <w:r>
              <w:rPr>
                <w:b/>
                <w:sz w:val="18"/>
              </w:rPr>
              <w:t xml:space="preserve">Abbreviation</w:t>
            </w:r>
          </w:p>
        </w:tc>
        <w:tc>
          <w:tcPr>
            <w:tcW w:w="6555"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949" w:type="dxa"/>
          </w:tcPr>
          <w:p>
            <w:pPr>
              <w:pStyle w:val="Compact"/>
              <w:keepNext/>
              <w:spacing w:before="0" w:after="0" w:lineRule="exact" w:line="220"/>
              <w:jc w:val="left"/>
            </w:pPr>
            <w:r>
              <w:rPr>
                <w:sz w:val="18"/>
              </w:rPr>
              <w:t xml:space="preserve">BPS</w:t>
            </w:r>
          </w:p>
        </w:tc>
        <w:tc>
          <w:tcPr>
            <w:tcW w:w="6555" w:type="dxa"/>
          </w:tcPr>
          <w:p>
            <w:pPr>
              <w:pStyle w:val="Compact"/>
              <w:keepNext/>
              <w:spacing w:before="0" w:after="0" w:lineRule="exact" w:line="220"/>
              <w:jc w:val="left"/>
            </w:pPr>
            <w:r>
              <w:rPr>
                <w:sz w:val="18"/>
              </w:rPr>
              <w:t xml:space="preserve">Badan Pusat Statistik, Statistics Indonesia</w:t>
            </w:r>
          </w:p>
        </w:tc>
      </w:tr>
      <w:tr>
        <w:trPr>
          <w:cantSplit/>
        </w:trPr>
        <w:tc>
          <w:tcPr>
            <w:tcW w:w="1949" w:type="dxa"/>
          </w:tcPr>
          <w:p>
            <w:pPr>
              <w:pStyle w:val="Compact"/>
              <w:keepNext/>
              <w:spacing w:before="0" w:after="0" w:lineRule="exact" w:line="220"/>
              <w:jc w:val="left"/>
            </w:pPr>
            <w:r>
              <w:rPr>
                <w:sz w:val="18"/>
              </w:rPr>
              <w:t xml:space="preserve">GMV, GTV, TPV</w:t>
            </w:r>
          </w:p>
        </w:tc>
        <w:tc>
          <w:tcPr>
            <w:tcW w:w="6555" w:type="dxa"/>
          </w:tcPr>
          <w:p>
            <w:pPr>
              <w:pStyle w:val="Compact"/>
              <w:keepNex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keepNext/>
              <w:spacing w:before="0" w:after="0" w:lineRule="exact" w:line="220"/>
              <w:jc w:val="left"/>
            </w:pPr>
            <w:r>
              <w:rPr>
                <w:sz w:val="18"/>
              </w:rPr>
              <w:t xml:space="preserve">IASB, IFRS 15</w:t>
            </w:r>
          </w:p>
        </w:tc>
        <w:tc>
          <w:tcPr>
            <w:tcW w:w="6555" w:type="dxa"/>
          </w:tcPr>
          <w:p>
            <w:pPr>
              <w:pStyle w:val="Compact"/>
              <w:keepNex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keepNext/>
              <w:spacing w:before="0" w:after="0" w:lineRule="exact" w:line="220"/>
              <w:jc w:val="left"/>
            </w:pPr>
            <w:r>
              <w:rPr>
                <w:sz w:val="18"/>
              </w:rPr>
              <w:t xml:space="preserve">LSEG</w:t>
            </w:r>
          </w:p>
        </w:tc>
        <w:tc>
          <w:tcPr>
            <w:tcW w:w="6555" w:type="dxa"/>
          </w:tcPr>
          <w:p>
            <w:pPr>
              <w:pStyle w:val="Compact"/>
              <w:keepNext/>
              <w:spacing w:before="0" w:after="0" w:lineRule="exact" w:line="220"/>
              <w:jc w:val="left"/>
            </w:pPr>
            <w:r>
              <w:rPr>
                <w:sz w:val="18"/>
              </w:rPr>
              <w:t xml:space="preserve">London Stock Exchange Group, the source of market values</w:t>
            </w:r>
          </w:p>
        </w:tc>
      </w:tr>
      <w:tr>
        <w:trPr>
          <w:cantSplit/>
        </w:trPr>
        <w:tc>
          <w:tcPr>
            <w:tcW w:w="1949" w:type="dxa"/>
          </w:tcPr>
          <w:p>
            <w:pPr>
              <w:pStyle w:val="Compact"/>
              <w:keepNext/>
              <w:spacing w:before="0" w:after="0" w:lineRule="exact" w:line="220"/>
              <w:jc w:val="left"/>
            </w:pPr>
            <w:r>
              <w:rPr>
                <w:sz w:val="18"/>
              </w:rPr>
              <w:t xml:space="preserve">OECD</w:t>
            </w:r>
          </w:p>
        </w:tc>
        <w:tc>
          <w:tcPr>
            <w:tcW w:w="6555" w:type="dxa"/>
          </w:tcPr>
          <w:p>
            <w:pPr>
              <w:pStyle w:val="Compact"/>
              <w:keepNext/>
              <w:spacing w:before="0" w:after="0" w:lineRule="exact" w:line="220"/>
              <w:jc w:val="left"/>
            </w:pPr>
            <w:r>
              <w:rPr>
                <w:sz w:val="18"/>
              </w:rPr>
              <w:t xml:space="preserve">Organisation for Economic Co-operation and Development</w:t>
            </w:r>
          </w:p>
        </w:tc>
      </w:tr>
      <w:tr>
        <w:trPr>
          <w:cantSplit/>
        </w:trPr>
        <w:tc>
          <w:tcPr>
            <w:tcW w:w="1949" w:type="dxa"/>
          </w:tcPr>
          <w:p>
            <w:pPr>
              <w:pStyle w:val="Compact"/>
              <w:keepNext/>
              <w:spacing w:before="0" w:after="0" w:lineRule="exact" w:line="220"/>
              <w:jc w:val="left"/>
            </w:pPr>
            <w:r>
              <w:rPr>
                <w:sz w:val="18"/>
              </w:rPr>
              <w:t xml:space="preserve">QRIS</w:t>
            </w:r>
          </w:p>
        </w:tc>
        <w:tc>
          <w:tcPr>
            <w:tcW w:w="6555" w:type="dxa"/>
          </w:tcPr>
          <w:p>
            <w:pPr>
              <w:pStyle w:val="Compact"/>
              <w:keepNex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keepNext/>
              <w:spacing w:before="0" w:after="0" w:lineRule="exact" w:line="220"/>
              <w:jc w:val="left"/>
            </w:pPr>
            <w:r>
              <w:rPr>
                <w:sz w:val="18"/>
              </w:rPr>
              <w:t xml:space="preserve">UNCTAD</w:t>
            </w:r>
          </w:p>
        </w:tc>
        <w:tc>
          <w:tcPr>
            <w:tcW w:w="6555" w:type="dxa"/>
          </w:tcPr>
          <w:p>
            <w:pPr>
              <w:pStyle w:val="Compact"/>
              <w:keepNex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footerReference w:type="first" r:id="rId10"/>
          <w:pgSz w:h="16838" w:w="11906"/>
          <w:pgMar w:bottom="1134" w:footer="567" w:header="850" w:left="2268" w:right="1134" w:top="1984"/>
          <w:pgNumType w:fmt="lowerRoman" w:start="1"/>
          <w:titlePg/>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keepNext/>
              <w:spacing w:before="0" w:after="0" w:lineRule="exact" w:line="220"/>
              <w:jc w:val="left"/>
            </w:pPr>
            <w:r>
              <w:rPr>
                <w:b/>
                <w:sz w:val="18"/>
              </w:rPr>
              <w:t xml:space="preserve">Section</w:t>
            </w:r>
          </w:p>
        </w:tc>
        <w:tc>
          <w:tcPr>
            <w:tcW w:w="2393" w:type="dxa"/>
            <w:tcBorders>
              <w:bottom w:val="single" w:sz="5" w:space="0" w:color="000000"/>
            </w:tcBorders>
          </w:tcPr>
          <w:p>
            <w:pPr>
              <w:pStyle w:val="Compact"/>
              <w:keepNex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keepNext/>
              <w:spacing w:before="0" w:after="0" w:lineRule="exact" w:line="220"/>
              <w:jc w:val="left"/>
            </w:pPr>
            <w:r>
              <w:rPr>
                <w:b/>
                <w:sz w:val="18"/>
              </w:rPr>
              <w:t xml:space="preserve">Main sources</w:t>
            </w:r>
          </w:p>
        </w:tc>
        <w:tc>
          <w:tcPr>
            <w:tcW w:w="2393" w:type="dxa"/>
            <w:tcBorders>
              <w:bottom w:val="single" w:sz="5" w:space="0" w:color="000000"/>
            </w:tcBorders>
          </w:tcPr>
          <w:p>
            <w:pPr>
              <w:pStyle w:val="Compact"/>
              <w:keepNext/>
              <w:spacing w:before="0" w:after="0" w:lineRule="exact" w:line="220"/>
              <w:jc w:val="left"/>
            </w:pPr>
            <w:r>
              <w:rPr>
                <w:b/>
                <w:sz w:val="18"/>
              </w:rPr>
              <w:t xml:space="preserve">Where it stops</w:t>
            </w:r>
          </w:p>
        </w:tc>
      </w:tr>
      <w:tr>
        <w:trPr>
          <w:cantSplit/>
        </w:trPr>
        <w:tc>
          <w:tcPr>
            <w:tcW w:w="1325" w:type="dxa"/>
          </w:tcPr>
          <w:p>
            <w:pPr>
              <w:pStyle w:val="Compact"/>
              <w:keepNext/>
              <w:spacing w:before="0" w:after="0" w:lineRule="exact" w:line="220"/>
              <w:jc w:val="left"/>
            </w:pPr>
            <w:r>
              <w:rPr>
                <w:sz w:val="18"/>
              </w:rPr>
              <w:t xml:space="preserve">2.1 Platform economics and accounting</w:t>
            </w:r>
          </w:p>
        </w:tc>
        <w:tc>
          <w:tcPr>
            <w:tcW w:w="2393" w:type="dxa"/>
          </w:tcPr>
          <w:p>
            <w:pPr>
              <w:pStyle w:val="Compact"/>
              <w:keepNex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keepNext/>
              <w:spacing w:before="0" w:after="0" w:lineRule="exact" w:line="220"/>
              <w:jc w:val="left"/>
            </w:pPr>
            <w:r>
              <w:rPr>
                <w:sz w:val="18"/>
              </w:rPr>
              <w:t xml:space="preserve">Rochet and Tirole 2003; Armstrong 2006; IASB 2014</w:t>
            </w:r>
          </w:p>
        </w:tc>
        <w:tc>
          <w:tcPr>
            <w:tcW w:w="2393" w:type="dxa"/>
          </w:tcPr>
          <w:p>
            <w:pPr>
              <w:pStyle w:val="Compact"/>
              <w:keepNex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keepNext/>
              <w:spacing w:before="0" w:after="0" w:lineRule="exact" w:line="220"/>
              <w:jc w:val="left"/>
            </w:pPr>
            <w:r>
              <w:rPr>
                <w:sz w:val="18"/>
              </w:rPr>
              <w:t xml:space="preserve">2.2 Official statistics and surveys</w:t>
            </w:r>
          </w:p>
        </w:tc>
        <w:tc>
          <w:tcPr>
            <w:tcW w:w="2393" w:type="dxa"/>
          </w:tcPr>
          <w:p>
            <w:pPr>
              <w:pStyle w:val="Compact"/>
              <w:keepNex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keepNext/>
              <w:spacing w:before="0" w:after="0" w:lineRule="exact" w:line="220"/>
              <w:jc w:val="left"/>
            </w:pPr>
            <w:r>
              <w:rPr>
                <w:sz w:val="18"/>
              </w:rPr>
              <w:t xml:space="preserve">Ahmad and Schreyer 2016; Henderson et al. 2012; van den Brakel et al. 2008</w:t>
            </w:r>
          </w:p>
        </w:tc>
        <w:tc>
          <w:tcPr>
            <w:tcW w:w="2393" w:type="dxa"/>
          </w:tcPr>
          <w:p>
            <w:pPr>
              <w:pStyle w:val="Compact"/>
              <w:keepNex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keepNext/>
              <w:spacing w:before="0" w:after="0" w:lineRule="exact" w:line="220"/>
              <w:jc w:val="left"/>
            </w:pPr>
            <w:r>
              <w:rPr>
                <w:b/>
                <w:sz w:val="18"/>
              </w:rPr>
              <w:t xml:space="preserve">Term</w:t>
            </w:r>
          </w:p>
        </w:tc>
        <w:tc>
          <w:tcPr>
            <w:tcW w:w="1005" w:type="dxa"/>
            <w:tcBorders>
              <w:bottom w:val="single" w:sz="5" w:space="0" w:color="000000"/>
            </w:tcBorders>
          </w:tcPr>
          <w:p>
            <w:pPr>
              <w:pStyle w:val="Compact"/>
              <w:keepNext/>
              <w:spacing w:before="0" w:after="0" w:lineRule="exact" w:line="220"/>
              <w:jc w:val="left"/>
            </w:pPr>
            <w:r>
              <w:rPr>
                <w:b/>
                <w:sz w:val="18"/>
              </w:rPr>
              <w:t xml:space="preserve">Symbol</w:t>
            </w:r>
          </w:p>
        </w:tc>
        <w:tc>
          <w:tcPr>
            <w:tcW w:w="5721"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778" w:type="dxa"/>
          </w:tcPr>
          <w:p>
            <w:pPr>
              <w:pStyle w:val="Compact"/>
              <w:keepNext/>
              <w:spacing w:before="0" w:after="0" w:lineRule="exact" w:line="220"/>
              <w:jc w:val="left"/>
            </w:pPr>
            <w:r>
              <w:rPr>
                <w:sz w:val="18"/>
              </w:rPr>
              <w:t xml:space="preserve">Transaction value</w:t>
            </w:r>
          </w:p>
        </w:tc>
        <w:tc>
          <w:tcPr>
            <w:tcW w:w="1005" w:type="dxa"/>
          </w:tcPr>
          <w:p>
            <w:pPr>
              <w:pStyle w:val="Compact"/>
              <w:keepNext/>
              <w:spacing w:before="0" w:after="0" w:lineRule="exact" w:line="220"/>
              <w:jc w:val="left"/>
            </w:pPr>
            <w:r>
              <w:rPr>
                <w:sz w:val="18"/>
              </w:rPr>
              <w:t xml:space="preserve">V</w:t>
            </w:r>
          </w:p>
        </w:tc>
        <w:tc>
          <w:tcPr>
            <w:tcW w:w="5721" w:type="dxa"/>
          </w:tcPr>
          <w:p>
            <w:pPr>
              <w:pStyle w:val="Compact"/>
              <w:keepNex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keepNext/>
              <w:spacing w:before="0" w:after="0" w:lineRule="exact" w:line="220"/>
              <w:jc w:val="left"/>
            </w:pPr>
            <w:r>
              <w:rPr>
                <w:sz w:val="18"/>
              </w:rPr>
              <w:t xml:space="preserve">Revenue</w:t>
            </w:r>
          </w:p>
        </w:tc>
        <w:tc>
          <w:tcPr>
            <w:tcW w:w="1005" w:type="dxa"/>
          </w:tcPr>
          <w:p>
            <w:pPr>
              <w:pStyle w:val="Compact"/>
              <w:keepNext/>
              <w:spacing w:before="0" w:after="0" w:lineRule="exact" w:line="220"/>
              <w:jc w:val="left"/>
            </w:pPr>
            <w:r>
              <w:rPr>
                <w:sz w:val="18"/>
              </w:rPr>
              <w:t xml:space="preserve">R</w:t>
            </w:r>
          </w:p>
        </w:tc>
        <w:tc>
          <w:tcPr>
            <w:tcW w:w="5721" w:type="dxa"/>
          </w:tcPr>
          <w:p>
            <w:pPr>
              <w:pStyle w:val="Compact"/>
              <w:keepNex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keepNext/>
              <w:spacing w:before="0" w:after="0" w:lineRule="exact" w:line="220"/>
              <w:jc w:val="left"/>
            </w:pPr>
            <w:r>
              <w:rPr>
                <w:sz w:val="18"/>
              </w:rPr>
              <w:t xml:space="preserve">Online seller</w:t>
            </w:r>
          </w:p>
        </w:tc>
        <w:tc>
          <w:tcPr>
            <w:tcW w:w="1005" w:type="dxa"/>
          </w:tcPr>
          <w:p>
            <w:pPr>
              <w:pStyle w:val="Compact"/>
              <w:keepNext/>
              <w:spacing w:before="0" w:after="0" w:lineRule="exact" w:line="220"/>
              <w:jc w:val="left"/>
            </w:pPr>
          </w:p>
        </w:tc>
        <w:tc>
          <w:tcPr>
            <w:tcW w:w="5721" w:type="dxa"/>
          </w:tcPr>
          <w:p>
            <w:pPr>
              <w:pStyle w:val="Compact"/>
              <w:keepNex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keepNext/>
              <w:spacing w:before="0" w:after="0" w:lineRule="exact" w:line="220"/>
              <w:jc w:val="left"/>
            </w:pPr>
            <w:r>
              <w:rPr>
                <w:b/>
                <w:sz w:val="18"/>
              </w:rPr>
              <w:t xml:space="preserve">Test</w:t>
            </w:r>
          </w:p>
        </w:tc>
        <w:tc>
          <w:tcPr>
            <w:tcW w:w="2671" w:type="dxa"/>
            <w:tcBorders>
              <w:bottom w:val="single" w:sz="5" w:space="0" w:color="000000"/>
            </w:tcBorders>
          </w:tcPr>
          <w:p>
            <w:pPr>
              <w:pStyle w:val="Compact"/>
              <w:keepNext/>
              <w:spacing w:before="0" w:after="0" w:lineRule="exact" w:line="220"/>
              <w:jc w:val="left"/>
            </w:pPr>
            <w:r>
              <w:rPr>
                <w:b/>
                <w:sz w:val="18"/>
              </w:rPr>
              <w:t xml:space="preserve">What it asks</w:t>
            </w:r>
          </w:p>
        </w:tc>
        <w:tc>
          <w:tcPr>
            <w:tcW w:w="2797" w:type="dxa"/>
            <w:tcBorders>
              <w:bottom w:val="single" w:sz="5" w:space="0" w:color="000000"/>
            </w:tcBorders>
          </w:tcPr>
          <w:p>
            <w:pPr>
              <w:pStyle w:val="Compact"/>
              <w:keepNext/>
              <w:spacing w:before="0" w:after="0" w:lineRule="exact" w:line="220"/>
              <w:jc w:val="left"/>
            </w:pPr>
            <w:r>
              <w:rPr>
                <w:b/>
                <w:sz w:val="18"/>
              </w:rPr>
              <w:t xml:space="preserve">Main test</w:t>
            </w:r>
          </w:p>
        </w:tc>
        <w:tc>
          <w:tcPr>
            <w:tcW w:w="2381" w:type="dxa"/>
            <w:tcBorders>
              <w:bottom w:val="single" w:sz="5" w:space="0" w:color="000000"/>
            </w:tcBorders>
          </w:tcPr>
          <w:p>
            <w:pPr>
              <w:pStyle w:val="Compact"/>
              <w:keepNext/>
              <w:spacing w:before="0" w:after="0" w:lineRule="exact" w:line="220"/>
              <w:jc w:val="left"/>
            </w:pPr>
            <w:r>
              <w:rPr>
                <w:b/>
                <w:sz w:val="18"/>
              </w:rPr>
              <w:t xml:space="preserve">What would count against it</w:t>
            </w:r>
          </w:p>
        </w:tc>
      </w:tr>
      <w:tr>
        <w:trPr>
          <w:cantSplit/>
        </w:trPr>
        <w:tc>
          <w:tcPr>
            <w:tcW w:w="655" w:type="dxa"/>
          </w:tcPr>
          <w:p>
            <w:pPr>
              <w:pStyle w:val="Compact"/>
              <w:keepNext/>
              <w:spacing w:before="0" w:after="0" w:lineRule="exact" w:line="220"/>
              <w:jc w:val="left"/>
            </w:pPr>
            <w:r>
              <w:rPr>
                <w:sz w:val="18"/>
              </w:rPr>
              <w:t xml:space="preserve">H1</w:t>
            </w:r>
          </w:p>
        </w:tc>
        <w:tc>
          <w:tcPr>
            <w:tcW w:w="2671" w:type="dxa"/>
          </w:tcPr>
          <w:p>
            <w:pPr>
              <w:pStyle w:val="Compact"/>
              <w:keepNext/>
              <w:spacing w:before="0" w:after="0" w:lineRule="exact" w:line="220"/>
              <w:jc w:val="left"/>
            </w:pPr>
            <w:r>
              <w:rPr>
                <w:sz w:val="18"/>
              </w:rPr>
              <w:t xml:space="preserve">Do revenue and transaction value grow together within a platform?</w:t>
            </w:r>
          </w:p>
        </w:tc>
        <w:tc>
          <w:tcPr>
            <w:tcW w:w="2797" w:type="dxa"/>
          </w:tcPr>
          <w:p>
            <w:pPr>
              <w:pStyle w:val="Compact"/>
              <w:keepNex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keepNext/>
              <w:spacing w:before="0" w:after="0" w:lineRule="exact" w:line="220"/>
              <w:jc w:val="left"/>
            </w:pPr>
            <w:r>
              <w:rPr>
                <w:sz w:val="18"/>
              </w:rPr>
              <w:t xml:space="preserve">Changes in Indonesia far larger than abroad</w:t>
            </w:r>
          </w:p>
        </w:tc>
      </w:tr>
      <w:tr>
        <w:trPr>
          <w:cantSplit/>
        </w:trPr>
        <w:tc>
          <w:tcPr>
            <w:tcW w:w="655" w:type="dxa"/>
          </w:tcPr>
          <w:p>
            <w:pPr>
              <w:pStyle w:val="Compact"/>
              <w:keepNext/>
              <w:spacing w:before="0" w:after="0" w:lineRule="exact" w:line="220"/>
              <w:jc w:val="left"/>
            </w:pPr>
            <w:r>
              <w:rPr>
                <w:sz w:val="18"/>
              </w:rPr>
              <w:t xml:space="preserve">H2</w:t>
            </w:r>
          </w:p>
        </w:tc>
        <w:tc>
          <w:tcPr>
            <w:tcW w:w="2671" w:type="dxa"/>
          </w:tcPr>
          <w:p>
            <w:pPr>
              <w:pStyle w:val="Compact"/>
              <w:keepNex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keepNex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keepNex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8"/>
              </w:rPr>
              <w:t xml:space="preserve">Analysis</w:t>
            </w:r>
          </w:p>
        </w:tc>
        <w:tc>
          <w:tcPr>
            <w:tcW w:w="3702" w:type="dxa"/>
            <w:tcBorders>
              <w:bottom w:val="single" w:sz="5" w:space="0" w:color="000000"/>
            </w:tcBorders>
          </w:tcPr>
          <w:p>
            <w:pPr>
              <w:pStyle w:val="Compact"/>
              <w:keepNext/>
              <w:spacing w:before="0" w:after="0" w:lineRule="exact" w:line="220"/>
              <w:jc w:val="left"/>
            </w:pPr>
            <w:r>
              <w:rPr>
                <w:b/>
                <w:sz w:val="18"/>
              </w:rPr>
              <w:t xml:space="preserve">What it asks</w:t>
            </w:r>
          </w:p>
        </w:tc>
        <w:tc>
          <w:tcPr>
            <w:tcW w:w="3301" w:type="dxa"/>
            <w:tcBorders>
              <w:bottom w:val="single" w:sz="5" w:space="0" w:color="000000"/>
            </w:tcBorders>
          </w:tcPr>
          <w:p>
            <w:pPr>
              <w:pStyle w:val="Compact"/>
              <w:keepNext/>
              <w:spacing w:before="0" w:after="0" w:lineRule="exact" w:line="220"/>
              <w:jc w:val="left"/>
            </w:pPr>
            <w:r>
              <w:rPr>
                <w:b/>
                <w:sz w:val="18"/>
              </w:rPr>
              <w:t xml:space="preserve">Main evidence</w:t>
            </w:r>
          </w:p>
        </w:tc>
      </w:tr>
      <w:tr>
        <w:trPr>
          <w:cantSplit/>
        </w:trPr>
        <w:tc>
          <w:tcPr>
            <w:tcW w:w="1500" w:type="dxa"/>
          </w:tcPr>
          <w:p>
            <w:pPr>
              <w:pStyle w:val="Compact"/>
              <w:keepNext/>
              <w:spacing w:before="0" w:after="0" w:lineRule="exact" w:line="220"/>
              <w:jc w:val="left"/>
            </w:pPr>
            <w:r>
              <w:rPr>
                <w:sz w:val="18"/>
              </w:rPr>
              <w:t xml:space="preserve">Tracing large movements</w:t>
            </w:r>
          </w:p>
        </w:tc>
        <w:tc>
          <w:tcPr>
            <w:tcW w:w="3702" w:type="dxa"/>
          </w:tcPr>
          <w:p>
            <w:pPr>
              <w:pStyle w:val="Compact"/>
              <w:keepNext/>
              <w:spacing w:before="0" w:after="0" w:lineRule="exact" w:line="220"/>
              <w:jc w:val="left"/>
            </w:pPr>
            <w:r>
              <w:rPr>
                <w:sz w:val="18"/>
              </w:rPr>
              <w:t xml:space="preserve">What moved revenue when it parted from transaction value?</w:t>
            </w:r>
          </w:p>
        </w:tc>
        <w:tc>
          <w:tcPr>
            <w:tcW w:w="3301" w:type="dxa"/>
          </w:tcPr>
          <w:p>
            <w:pPr>
              <w:pStyle w:val="Compact"/>
              <w:keepNext/>
              <w:spacing w:before="0" w:after="0" w:lineRule="exact" w:line="220"/>
              <w:jc w:val="left"/>
            </w:pPr>
            <w:r>
              <w:rPr>
                <w:sz w:val="18"/>
              </w:rPr>
              <w:t xml:space="preserve">Equations (5) and (6), applied to company reports</w:t>
            </w:r>
          </w:p>
        </w:tc>
      </w:tr>
      <w:tr>
        <w:trPr>
          <w:cantSplit/>
        </w:trPr>
        <w:tc>
          <w:tcPr>
            <w:tcW w:w="1500" w:type="dxa"/>
          </w:tcPr>
          <w:p>
            <w:pPr>
              <w:pStyle w:val="Compact"/>
              <w:keepNext/>
              <w:spacing w:before="0" w:after="0" w:lineRule="exact" w:line="220"/>
              <w:jc w:val="left"/>
            </w:pPr>
            <w:r>
              <w:rPr>
                <w:sz w:val="18"/>
              </w:rPr>
              <w:t xml:space="preserve">Market values</w:t>
            </w:r>
          </w:p>
        </w:tc>
        <w:tc>
          <w:tcPr>
            <w:tcW w:w="3702" w:type="dxa"/>
          </w:tcPr>
          <w:p>
            <w:pPr>
              <w:pStyle w:val="Compact"/>
              <w:keepNext/>
              <w:spacing w:before="0" w:after="0" w:lineRule="exact" w:line="220"/>
              <w:jc w:val="left"/>
            </w:pPr>
            <w:r>
              <w:rPr>
                <w:sz w:val="18"/>
              </w:rPr>
              <w:t xml:space="preserve">Do markets value growth from more commerce differently from growth in the take rate?</w:t>
            </w:r>
          </w:p>
        </w:tc>
        <w:tc>
          <w:tcPr>
            <w:tcW w:w="3301" w:type="dxa"/>
          </w:tcPr>
          <w:p>
            <w:pPr>
              <w:pStyle w:val="Compact"/>
              <w:keepNext/>
              <w:spacing w:before="0" w:after="0" w:lineRule="exact" w:line="220"/>
              <w:jc w:val="left"/>
            </w:pPr>
            <w:r>
              <w:rPr>
                <w:sz w:val="18"/>
              </w:rPr>
              <w:t xml:space="preserve">Year-end market values of listed platforms</w:t>
            </w:r>
          </w:p>
        </w:tc>
      </w:tr>
      <w:tr>
        <w:trPr>
          <w:cantSplit/>
        </w:trPr>
        <w:tc>
          <w:tcPr>
            <w:tcW w:w="1500" w:type="dxa"/>
          </w:tcPr>
          <w:p>
            <w:pPr>
              <w:pStyle w:val="Compact"/>
              <w:keepNext/>
              <w:spacing w:before="0" w:after="0" w:lineRule="exact" w:line="220"/>
              <w:jc w:val="left"/>
            </w:pPr>
            <w:r>
              <w:rPr>
                <w:sz w:val="18"/>
              </w:rPr>
              <w:t xml:space="preserve">Channels and reach</w:t>
            </w:r>
          </w:p>
        </w:tc>
        <w:tc>
          <w:tcPr>
            <w:tcW w:w="3702" w:type="dxa"/>
          </w:tcPr>
          <w:p>
            <w:pPr>
              <w:pStyle w:val="Compact"/>
              <w:keepNex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keepNex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Survey round</w:t>
            </w:r>
          </w:p>
        </w:tc>
        <w:tc>
          <w:tcPr>
            <w:tcW w:w="1681" w:type="dxa"/>
            <w:tcBorders>
              <w:bottom w:val="single" w:sz="5" w:space="0" w:color="000000"/>
            </w:tcBorders>
          </w:tcPr>
          <w:p>
            <w:pPr>
              <w:pStyle w:val="Compact"/>
              <w:keepNext/>
              <w:spacing w:before="0" w:after="0" w:lineRule="exact" w:line="220"/>
              <w:jc w:val="left"/>
            </w:pPr>
            <w:r>
              <w:rPr>
                <w:b/>
                <w:sz w:val="18"/>
              </w:rPr>
              <w:t xml:space="preserve">Activity year</w:t>
            </w:r>
          </w:p>
        </w:tc>
        <w:tc>
          <w:tcPr>
            <w:tcW w:w="1285" w:type="dxa"/>
            <w:tcBorders>
              <w:bottom w:val="single" w:sz="5" w:space="0" w:color="000000"/>
            </w:tcBorders>
          </w:tcPr>
          <w:p>
            <w:pPr>
              <w:pStyle w:val="Compact"/>
              <w:keepNext/>
              <w:spacing w:before="0" w:after="0" w:lineRule="exact" w:line="220"/>
              <w:jc w:val="left"/>
            </w:pPr>
            <w:r>
              <w:rPr>
                <w:b/>
                <w:sz w:val="18"/>
              </w:rPr>
              <w:t xml:space="preserve">Rows</w:t>
            </w:r>
          </w:p>
        </w:tc>
        <w:tc>
          <w:tcPr>
            <w:tcW w:w="1780" w:type="dxa"/>
            <w:tcBorders>
              <w:bottom w:val="single" w:sz="5" w:space="0" w:color="000000"/>
            </w:tcBorders>
          </w:tcPr>
          <w:p>
            <w:pPr>
              <w:pStyle w:val="Compact"/>
              <w:keepNext/>
              <w:spacing w:before="0" w:after="0" w:lineRule="exact" w:line="220"/>
              <w:jc w:val="left"/>
            </w:pPr>
            <w:r>
              <w:rPr>
                <w:b/>
                <w:sz w:val="18"/>
              </w:rPr>
              <w:t xml:space="preserve">Weighted total</w:t>
            </w:r>
          </w:p>
        </w:tc>
        <w:tc>
          <w:tcPr>
            <w:tcW w:w="1879" w:type="dxa"/>
            <w:tcBorders>
              <w:bottom w:val="single" w:sz="5" w:space="0" w:color="000000"/>
            </w:tcBorders>
          </w:tcPr>
          <w:p>
            <w:pPr>
              <w:pStyle w:val="Compact"/>
              <w:keepNext/>
              <w:spacing w:before="0" w:after="0" w:lineRule="exact" w:line="220"/>
              <w:jc w:val="left"/>
            </w:pPr>
            <w:r>
              <w:rPr>
                <w:b/>
                <w:sz w:val="18"/>
              </w:rPr>
              <w:t xml:space="preserve">BPS count</w:t>
            </w:r>
          </w:p>
        </w:tc>
      </w:tr>
      <w:tr>
        <w:trPr>
          <w:cantSplit/>
        </w:trPr>
        <w:tc>
          <w:tcPr>
            <w:tcW w:w="1879" w:type="dxa"/>
          </w:tcPr>
          <w:p>
            <w:pPr>
              <w:pStyle w:val="Compact"/>
              <w:keepNext/>
              <w:spacing w:before="0" w:after="0" w:lineRule="exact" w:line="220"/>
              <w:jc w:val="left"/>
            </w:pPr>
            <w:r>
              <w:rPr>
                <w:sz w:val="18"/>
              </w:rPr>
              <w:t xml:space="preserve">E-Commerce 2021</w:t>
            </w:r>
          </w:p>
        </w:tc>
        <w:tc>
          <w:tcPr>
            <w:tcW w:w="1681" w:type="dxa"/>
          </w:tcPr>
          <w:p>
            <w:pPr>
              <w:pStyle w:val="Compact"/>
              <w:keepNext/>
              <w:spacing w:before="0" w:after="0" w:lineRule="exact" w:line="220"/>
              <w:jc w:val="left"/>
            </w:pPr>
            <w:r>
              <w:rPr>
                <w:sz w:val="18"/>
              </w:rPr>
              <w:t xml:space="preserve">2020</w:t>
            </w:r>
          </w:p>
        </w:tc>
        <w:tc>
          <w:tcPr>
            <w:tcW w:w="1285" w:type="dxa"/>
          </w:tcPr>
          <w:p>
            <w:pPr>
              <w:pStyle w:val="Compact"/>
              <w:keepNext/>
              <w:spacing w:before="0" w:after="0" w:lineRule="exact" w:line="220"/>
              <w:jc w:val="left"/>
            </w:pPr>
            <w:r>
              <w:rPr>
                <w:sz w:val="18"/>
              </w:rPr>
              <w:t xml:space="preserve">11,848</w:t>
            </w:r>
          </w:p>
        </w:tc>
        <w:tc>
          <w:tcPr>
            <w:tcW w:w="1780" w:type="dxa"/>
          </w:tcPr>
          <w:p>
            <w:pPr>
              <w:pStyle w:val="Compact"/>
              <w:keepNext/>
              <w:spacing w:before="0" w:after="0" w:lineRule="exact" w:line="220"/>
              <w:jc w:val="left"/>
            </w:pPr>
            <w:r>
              <w:rPr>
                <w:sz w:val="18"/>
              </w:rPr>
              <w:t xml:space="preserve">2,361,423</w:t>
            </w:r>
          </w:p>
        </w:tc>
        <w:tc>
          <w:tcPr>
            <w:tcW w:w="1879" w:type="dxa"/>
          </w:tcPr>
          <w:p>
            <w:pPr>
              <w:pStyle w:val="Compact"/>
              <w:keepNext/>
              <w:spacing w:before="0" w:after="0" w:lineRule="exact" w:line="220"/>
              <w:jc w:val="left"/>
            </w:pPr>
            <w:r>
              <w:rPr>
                <w:sz w:val="18"/>
              </w:rPr>
              <w:t xml:space="preserve">2,361,423</w:t>
            </w:r>
          </w:p>
        </w:tc>
      </w:tr>
      <w:tr>
        <w:trPr>
          <w:cantSplit/>
        </w:trPr>
        <w:tc>
          <w:tcPr>
            <w:tcW w:w="1879" w:type="dxa"/>
          </w:tcPr>
          <w:p>
            <w:pPr>
              <w:pStyle w:val="Compact"/>
              <w:keepNext/>
              <w:spacing w:before="0" w:after="0" w:lineRule="exact" w:line="220"/>
              <w:jc w:val="left"/>
            </w:pPr>
            <w:r>
              <w:rPr>
                <w:sz w:val="18"/>
              </w:rPr>
              <w:t xml:space="preserve">E-Commerce 2023</w:t>
            </w:r>
          </w:p>
        </w:tc>
        <w:tc>
          <w:tcPr>
            <w:tcW w:w="1681" w:type="dxa"/>
          </w:tcPr>
          <w:p>
            <w:pPr>
              <w:pStyle w:val="Compact"/>
              <w:keepNext/>
              <w:spacing w:before="0" w:after="0" w:lineRule="exact" w:line="220"/>
              <w:jc w:val="left"/>
            </w:pPr>
            <w:r>
              <w:rPr>
                <w:sz w:val="18"/>
              </w:rPr>
              <w:t xml:space="preserve">2022</w:t>
            </w:r>
          </w:p>
        </w:tc>
        <w:tc>
          <w:tcPr>
            <w:tcW w:w="1285" w:type="dxa"/>
          </w:tcPr>
          <w:p>
            <w:pPr>
              <w:pStyle w:val="Compact"/>
              <w:keepNext/>
              <w:spacing w:before="0" w:after="0" w:lineRule="exact" w:line="220"/>
              <w:jc w:val="left"/>
            </w:pPr>
            <w:r>
              <w:rPr>
                <w:sz w:val="18"/>
              </w:rPr>
              <w:t xml:space="preserve">31,724</w:t>
            </w:r>
          </w:p>
        </w:tc>
        <w:tc>
          <w:tcPr>
            <w:tcW w:w="1780" w:type="dxa"/>
          </w:tcPr>
          <w:p>
            <w:pPr>
              <w:pStyle w:val="Compact"/>
              <w:keepNext/>
              <w:spacing w:before="0" w:after="0" w:lineRule="exact" w:line="220"/>
              <w:jc w:val="left"/>
            </w:pPr>
            <w:r>
              <w:rPr>
                <w:sz w:val="18"/>
              </w:rPr>
              <w:t xml:space="preserve">2,995,986</w:t>
            </w:r>
          </w:p>
        </w:tc>
        <w:tc>
          <w:tcPr>
            <w:tcW w:w="1879" w:type="dxa"/>
          </w:tcPr>
          <w:p>
            <w:pPr>
              <w:pStyle w:val="Compact"/>
              <w:keepNex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keepNext/>
              <w:spacing w:before="0" w:after="0" w:lineRule="exact" w:line="220"/>
              <w:jc w:val="left"/>
            </w:pPr>
            <w:r>
              <w:rPr>
                <w:b/>
                <w:sz w:val="18"/>
              </w:rPr>
              <w:t xml:space="preserve">Result</w:t>
            </w:r>
          </w:p>
        </w:tc>
        <w:tc>
          <w:tcPr>
            <w:tcW w:w="2666" w:type="dxa"/>
            <w:tcBorders>
              <w:bottom w:val="single" w:sz="5" w:space="0" w:color="000000"/>
            </w:tcBorders>
          </w:tcPr>
          <w:p>
            <w:pPr>
              <w:pStyle w:val="Compact"/>
              <w:keepNext/>
              <w:spacing w:before="0" w:after="0" w:lineRule="exact" w:line="220"/>
              <w:jc w:val="left"/>
            </w:pPr>
            <w:r>
              <w:rPr>
                <w:b/>
                <w:sz w:val="18"/>
              </w:rPr>
              <w:t xml:space="preserve">Label</w:t>
            </w:r>
          </w:p>
        </w:tc>
        <w:tc>
          <w:tcPr>
            <w:tcW w:w="2666" w:type="dxa"/>
            <w:tcBorders>
              <w:bottom w:val="single" w:sz="5" w:space="0" w:color="000000"/>
            </w:tcBorders>
          </w:tcPr>
          <w:p>
            <w:pPr>
              <w:pStyle w:val="Compact"/>
              <w:keepNext/>
              <w:spacing w:before="0" w:after="0" w:lineRule="exact" w:line="220"/>
              <w:jc w:val="left"/>
            </w:pPr>
            <w:r>
              <w:rPr>
                <w:b/>
                <w:sz w:val="18"/>
              </w:rPr>
              <w:t xml:space="preserve">Main checks</w:t>
            </w:r>
          </w:p>
        </w:tc>
        <w:tc>
          <w:tcPr>
            <w:tcW w:w="845" w:type="dxa"/>
            <w:tcBorders>
              <w:bottom w:val="single" w:sz="5" w:space="0" w:color="000000"/>
            </w:tcBorders>
          </w:tcPr>
          <w:p>
            <w:pPr>
              <w:pStyle w:val="Compact"/>
              <w:keepNext/>
              <w:spacing w:before="0" w:after="0" w:lineRule="exact" w:line="220"/>
              <w:jc w:val="left"/>
            </w:pPr>
            <w:r>
              <w:rPr>
                <w:b/>
                <w:sz w:val="18"/>
              </w:rPr>
              <w:t xml:space="preserve">Section</w:t>
            </w:r>
          </w:p>
        </w:tc>
      </w:tr>
      <w:tr>
        <w:trPr>
          <w:cantSplit/>
        </w:trPr>
        <w:tc>
          <w:tcPr>
            <w:tcW w:w="2325" w:type="dxa"/>
          </w:tcPr>
          <w:p>
            <w:pPr>
              <w:pStyle w:val="Compact"/>
              <w:keepNext/>
              <w:spacing w:before="0" w:after="0" w:lineRule="exact" w:line="220"/>
              <w:jc w:val="left"/>
            </w:pPr>
            <w:r>
              <w:rPr>
                <w:iCs/>
                <w:i/>
                <w:sz w:val="18"/>
              </w:rPr>
              <w:t xml:space="preserve">Inner link: revenue and platform commerce</w:t>
            </w:r>
          </w:p>
        </w:tc>
        <w:tc>
          <w:tcPr>
            <w:tcW w:w="2666" w:type="dxa"/>
          </w:tcPr>
          <w:p>
            <w:pPr>
              <w:pStyle w:val="Compact"/>
              <w:keepNext/>
              <w:spacing w:before="0" w:after="0" w:lineRule="exact" w:line="220"/>
              <w:jc w:val="left"/>
            </w:pPr>
          </w:p>
        </w:tc>
        <w:tc>
          <w:tcPr>
            <w:tcW w:w="2666" w:type="dxa"/>
          </w:tcPr>
          <w:p>
            <w:pPr>
              <w:pStyle w:val="Compact"/>
              <w:keepNext/>
              <w:spacing w:before="0" w:after="0" w:lineRule="exact" w:line="220"/>
              <w:jc w:val="left"/>
            </w:pPr>
          </w:p>
        </w:tc>
        <w:tc>
          <w:tcPr>
            <w:tcW w:w="845" w:type="dxa"/>
          </w:tcPr>
          <w:p>
            <w:pPr>
              <w:pStyle w:val="Compact"/>
              <w:keepNext/>
              <w:spacing w:before="0" w:after="0" w:lineRule="exact" w:line="220"/>
              <w:jc w:val="left"/>
            </w:pPr>
          </w:p>
        </w:tc>
      </w:tr>
      <w:tr>
        <w:trPr>
          <w:cantSplit/>
        </w:trPr>
        <w:tc>
          <w:tcPr>
            <w:tcW w:w="2325" w:type="dxa"/>
          </w:tcPr>
          <w:p>
            <w:pPr>
              <w:pStyle w:val="Compact"/>
              <w:keepNex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keepNext/>
              <w:spacing w:before="0" w:after="0" w:lineRule="exact" w:line="220"/>
              <w:jc w:val="left"/>
            </w:pPr>
            <w:r>
              <w:rPr>
                <w:sz w:val="18"/>
              </w:rPr>
              <w:t xml:space="preserve">Descriptive</w:t>
            </w:r>
          </w:p>
        </w:tc>
        <w:tc>
          <w:tcPr>
            <w:tcW w:w="2666" w:type="dxa"/>
          </w:tcPr>
          <w:p>
            <w:pPr>
              <w:pStyle w:val="Compact"/>
              <w:keepNext/>
              <w:spacing w:before="0" w:after="0" w:lineRule="exact" w:line="220"/>
              <w:jc w:val="left"/>
            </w:pPr>
            <w:r>
              <w:rPr>
                <w:sz w:val="18"/>
              </w:rPr>
              <w:t xml:space="preserve">Shopee’s take rate varied; each platform dropped in turn</w:t>
            </w:r>
          </w:p>
        </w:tc>
        <w:tc>
          <w:tcPr>
            <w:tcW w:w="845" w:type="dxa"/>
          </w:tcPr>
          <w:p>
            <w:pPr>
              <w:pStyle w:val="Compact"/>
              <w:keepNex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keepNext/>
              <w:spacing w:before="0" w:after="0" w:lineRule="exact" w:line="220"/>
              <w:jc w:val="left"/>
            </w:pPr>
            <w:r>
              <w:rPr>
                <w:sz w:val="18"/>
              </w:rPr>
              <w:t xml:space="preserve">Most online selling happens outside marketplaces, and records are thinner there</w:t>
            </w:r>
          </w:p>
        </w:tc>
        <w:tc>
          <w:tcPr>
            <w:tcW w:w="2666" w:type="dxa"/>
          </w:tcPr>
          <w:p>
            <w:pPr>
              <w:pStyle w:val="Compact"/>
              <w:keepNext/>
              <w:spacing w:before="0" w:after="0" w:lineRule="exact" w:line="220"/>
              <w:jc w:val="left"/>
            </w:pPr>
            <w:r>
              <w:rPr>
                <w:sz w:val="18"/>
              </w:rPr>
              <w:t xml:space="preserve">Registered and descriptive</w:t>
            </w:r>
          </w:p>
        </w:tc>
        <w:tc>
          <w:tcPr>
            <w:tcW w:w="2666" w:type="dxa"/>
          </w:tcPr>
          <w:p>
            <w:pPr>
              <w:pStyle w:val="Compact"/>
              <w:keepNext/>
              <w:spacing w:before="0" w:after="0" w:lineRule="exact" w:line="220"/>
              <w:jc w:val="left"/>
            </w:pPr>
            <w:r>
              <w:rPr>
                <w:sz w:val="18"/>
              </w:rPr>
              <w:t xml:space="preserve">Four survey years; World Bank surveys</w:t>
            </w:r>
          </w:p>
        </w:tc>
        <w:tc>
          <w:tcPr>
            <w:tcW w:w="845" w:type="dxa"/>
          </w:tcPr>
          <w:p>
            <w:pPr>
              <w:pStyle w:val="Compact"/>
              <w:keepNex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keepNext/>
              <w:spacing w:before="0" w:after="0" w:lineRule="exact" w:line="220"/>
              <w:jc w:val="left"/>
            </w:pPr>
            <w:r>
              <w:rPr>
                <w:b/>
                <w:sz w:val="18"/>
              </w:rPr>
              <w:t xml:space="preserve">Test</w:t>
            </w:r>
          </w:p>
        </w:tc>
        <w:tc>
          <w:tcPr>
            <w:tcW w:w="1320" w:type="dxa"/>
            <w:tcBorders>
              <w:bottom w:val="single" w:sz="5" w:space="0" w:color="000000"/>
            </w:tcBorders>
          </w:tcPr>
          <w:p>
            <w:pPr>
              <w:pStyle w:val="Compact"/>
              <w:keepNext/>
              <w:spacing w:before="0" w:after="0" w:lineRule="exact" w:line="220"/>
              <w:jc w:val="left"/>
            </w:pPr>
            <w:r>
              <w:rPr>
                <w:b/>
                <w:sz w:val="18"/>
              </w:rPr>
              <w:t xml:space="preserve">Method</w:t>
            </w:r>
          </w:p>
        </w:tc>
        <w:tc>
          <w:tcPr>
            <w:tcW w:w="1711" w:type="dxa"/>
            <w:tcBorders>
              <w:bottom w:val="single" w:sz="5" w:space="0" w:color="000000"/>
            </w:tcBorders>
          </w:tcPr>
          <w:p>
            <w:pPr>
              <w:pStyle w:val="Compact"/>
              <w:keepNex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keepNext/>
              <w:spacing w:before="0" w:after="0" w:lineRule="exact" w:line="220"/>
              <w:jc w:val="left"/>
            </w:pPr>
            <w:r>
              <w:rPr>
                <w:b/>
                <w:sz w:val="18"/>
              </w:rPr>
              <w:t xml:space="preserve">Foreign group</w:t>
            </w:r>
          </w:p>
        </w:tc>
        <w:tc>
          <w:tcPr>
            <w:tcW w:w="933" w:type="dxa"/>
            <w:tcBorders>
              <w:bottom w:val="single" w:sz="5" w:space="0" w:color="000000"/>
            </w:tcBorders>
          </w:tcPr>
          <w:p>
            <w:pPr>
              <w:pStyle w:val="Compact"/>
              <w:keepNext/>
              <w:spacing w:before="0" w:after="0" w:lineRule="exact" w:line="220"/>
              <w:jc w:val="left"/>
            </w:pPr>
            <w:r>
              <w:rPr>
                <w:b/>
                <w:sz w:val="18"/>
              </w:rPr>
              <w:t xml:space="preserve">p-value</w:t>
            </w:r>
          </w:p>
        </w:tc>
      </w:tr>
      <w:tr>
        <w:trPr>
          <w:cantSplit/>
        </w:trPr>
        <w:tc>
          <w:tcPr>
            <w:tcW w:w="3657" w:type="dxa"/>
          </w:tcPr>
          <w:p>
            <w:pPr>
              <w:pStyle w:val="Compact"/>
              <w:keepNext/>
              <w:spacing w:before="0" w:after="0" w:lineRule="exact" w:line="220"/>
              <w:jc w:val="left"/>
            </w:pPr>
            <w:r>
              <w:rPr>
                <w:sz w:val="18"/>
              </w:rPr>
              <w:t xml:space="preserve">Yearly change in log take rate, 5 platforms against 27</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0.004</w:t>
            </w:r>
          </w:p>
        </w:tc>
      </w:tr>
      <w:tr>
        <w:trPr>
          <w:cantSplit/>
        </w:trPr>
        <w:tc>
          <w:tcPr>
            <w:tcW w:w="3657" w:type="dxa"/>
          </w:tcPr>
          <w:p>
            <w:pPr>
              <w:pStyle w:val="Compact"/>
              <w:keepNext/>
              <w:spacing w:before="0" w:after="0" w:lineRule="exact" w:line="220"/>
              <w:jc w:val="left"/>
            </w:pPr>
            <w:r>
              <w:rPr>
                <w:sz w:val="18"/>
              </w:rPr>
              <w:t xml:space="preserve">The same</w:t>
            </w:r>
          </w:p>
        </w:tc>
        <w:tc>
          <w:tcPr>
            <w:tcW w:w="1320" w:type="dxa"/>
          </w:tcPr>
          <w:p>
            <w:pPr>
              <w:pStyle w:val="Compact"/>
              <w:keepNext/>
              <w:spacing w:before="0" w:after="0" w:lineRule="exact" w:line="220"/>
              <w:jc w:val="left"/>
            </w:pPr>
            <w:r>
              <w:rPr>
                <w:sz w:val="18"/>
              </w:rPr>
              <w:t xml:space="preserve">Shuffle</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0.022</w:t>
            </w:r>
          </w:p>
        </w:tc>
      </w:tr>
      <w:tr>
        <w:trPr>
          <w:cantSplit/>
        </w:trPr>
        <w:tc>
          <w:tcPr>
            <w:tcW w:w="3657" w:type="dxa"/>
          </w:tcPr>
          <w:p>
            <w:pPr>
              <w:pStyle w:val="Compact"/>
              <w:keepNext/>
              <w:spacing w:before="0" w:after="0" w:lineRule="exact" w:line="220"/>
              <w:jc w:val="left"/>
            </w:pPr>
            <w:r>
              <w:rPr>
                <w:sz w:val="18"/>
              </w:rPr>
              <w:t xml:space="preserve">Growth divergence in points, 5 platforms against 26</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27.0</w:t>
            </w:r>
          </w:p>
        </w:tc>
        <w:tc>
          <w:tcPr>
            <w:tcW w:w="881" w:type="dxa"/>
          </w:tcPr>
          <w:p>
            <w:pPr>
              <w:pStyle w:val="Compact"/>
              <w:keepNext/>
              <w:spacing w:before="0" w:after="0" w:lineRule="exact" w:line="220"/>
              <w:jc w:val="left"/>
            </w:pPr>
            <w:r>
              <w:rPr>
                <w:sz w:val="18"/>
              </w:rPr>
              <w:t xml:space="preserve">6.5</w:t>
            </w:r>
          </w:p>
        </w:tc>
        <w:tc>
          <w:tcPr>
            <w:tcW w:w="933" w:type="dxa"/>
          </w:tcPr>
          <w:p>
            <w:pPr>
              <w:pStyle w:val="Compact"/>
              <w:keepNext/>
              <w:spacing w:before="0" w:after="0" w:lineRule="exact" w:line="220"/>
              <w:jc w:val="left"/>
            </w:pPr>
            <w:r>
              <w:rPr>
                <w:sz w:val="18"/>
              </w:rPr>
              <w:t xml:space="preserve">0.005</w:t>
            </w:r>
          </w:p>
        </w:tc>
      </w:tr>
      <w:tr>
        <w:trPr>
          <w:cantSplit/>
        </w:trPr>
        <w:tc>
          <w:tcPr>
            <w:tcW w:w="3657" w:type="dxa"/>
          </w:tcPr>
          <w:p>
            <w:pPr>
              <w:pStyle w:val="Compact"/>
              <w:keepNext/>
              <w:spacing w:before="0" w:after="0" w:lineRule="exact" w:line="220"/>
              <w:jc w:val="left"/>
            </w:pPr>
            <w:r>
              <w:rPr>
                <w:sz w:val="18"/>
              </w:rPr>
              <w:t xml:space="preserve">Drop each platform in turn, or treat Tokopedia and GoTo as one company</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0.17 to 0.23</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_yzu/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keepNext/>
              <w:spacing w:before="0" w:after="0" w:lineRule="exact" w:line="220"/>
              <w:jc w:val="left"/>
            </w:pPr>
            <w:r>
              <w:rPr>
                <w:b/>
                <w:sz w:val="18"/>
              </w:rPr>
              <w:t xml:space="preserve">Growth of revenue</w:t>
            </w:r>
          </w:p>
        </w:tc>
        <w:tc>
          <w:tcPr>
            <w:tcW w:w="1302" w:type="dxa"/>
            <w:tcBorders>
              <w:bottom w:val="single" w:sz="5" w:space="0" w:color="000000"/>
            </w:tcBorders>
          </w:tcPr>
          <w:p>
            <w:pPr>
              <w:pStyle w:val="Compact"/>
              <w:keepNext/>
              <w:spacing w:before="0" w:after="0" w:lineRule="exact" w:line="220"/>
              <w:jc w:val="left"/>
            </w:pPr>
            <w:r>
              <w:rPr>
                <w:b/>
                <w:sz w:val="18"/>
              </w:rPr>
              <w:t xml:space="preserve">More commerce</w:t>
            </w:r>
          </w:p>
        </w:tc>
        <w:tc>
          <w:tcPr>
            <w:tcW w:w="1149" w:type="dxa"/>
            <w:tcBorders>
              <w:bottom w:val="single" w:sz="5" w:space="0" w:color="000000"/>
            </w:tcBorders>
          </w:tcPr>
          <w:p>
            <w:pPr>
              <w:pStyle w:val="Compact"/>
              <w:keepNext/>
              <w:spacing w:before="0" w:after="0" w:lineRule="exact" w:line="220"/>
              <w:jc w:val="left"/>
            </w:pPr>
            <w:r>
              <w:rPr>
                <w:b/>
                <w:sz w:val="18"/>
              </w:rPr>
              <w:t xml:space="preserve">Higher fees</w:t>
            </w:r>
          </w:p>
        </w:tc>
        <w:tc>
          <w:tcPr>
            <w:tcW w:w="1532"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2911" w:type="dxa"/>
          </w:tcPr>
          <w:p>
            <w:pPr>
              <w:pStyle w:val="Compact"/>
              <w:keepNext/>
              <w:spacing w:before="0" w:after="0" w:lineRule="exact" w:line="220"/>
              <w:jc w:val="left"/>
            </w:pPr>
            <w:r>
              <w:rPr>
                <w:sz w:val="18"/>
              </w:rPr>
              <w:t xml:space="preserve">Tokopedia, 2022–23</w:t>
            </w:r>
          </w:p>
        </w:tc>
        <w:tc>
          <w:tcPr>
            <w:tcW w:w="1609" w:type="dxa"/>
          </w:tcPr>
          <w:p>
            <w:pPr>
              <w:pStyle w:val="Compact"/>
              <w:keepNext/>
              <w:spacing w:before="0" w:after="0" w:lineRule="exact" w:line="220"/>
              <w:jc w:val="left"/>
            </w:pPr>
            <w:r>
              <w:rPr>
                <w:sz w:val="18"/>
              </w:rPr>
              <w:t xml:space="preserve">+53%</w:t>
            </w:r>
          </w:p>
        </w:tc>
        <w:tc>
          <w:tcPr>
            <w:tcW w:w="1302" w:type="dxa"/>
          </w:tcPr>
          <w:p>
            <w:pPr>
              <w:pStyle w:val="Compact"/>
              <w:keepNext/>
              <w:spacing w:before="0" w:after="0" w:lineRule="exact" w:line="220"/>
              <w:jc w:val="left"/>
            </w:pPr>
            <w:r>
              <w:rPr>
                <w:sz w:val="18"/>
              </w:rPr>
              <w:t xml:space="preserve">−22</w:t>
            </w:r>
          </w:p>
        </w:tc>
        <w:tc>
          <w:tcPr>
            <w:tcW w:w="1149" w:type="dxa"/>
          </w:tcPr>
          <w:p>
            <w:pPr>
              <w:pStyle w:val="Compact"/>
              <w:keepNext/>
              <w:spacing w:before="0" w:after="0" w:lineRule="exact" w:line="220"/>
              <w:jc w:val="left"/>
            </w:pPr>
            <w:r>
              <w:rPr>
                <w:sz w:val="18"/>
              </w:rPr>
              <w:t xml:space="preserve">76</w:t>
            </w:r>
          </w:p>
        </w:tc>
        <w:tc>
          <w:tcPr>
            <w:tcW w:w="1532" w:type="dxa"/>
          </w:tcPr>
          <w:p>
            <w:pPr>
              <w:pStyle w:val="Compact"/>
              <w:keepNext/>
              <w:spacing w:before="0" w:after="0" w:lineRule="exact" w:line="220"/>
              <w:jc w:val="left"/>
            </w:pPr>
            <w:r>
              <w:rPr>
                <w:sz w:val="18"/>
              </w:rPr>
              <w:t xml:space="preserve">45</w:t>
            </w:r>
          </w:p>
        </w:tc>
      </w:tr>
      <w:tr>
        <w:trPr>
          <w:cantSplit/>
        </w:trPr>
        <w:tc>
          <w:tcPr>
            <w:tcW w:w="2911" w:type="dxa"/>
          </w:tcPr>
          <w:p>
            <w:pPr>
              <w:pStyle w:val="Compact"/>
              <w:keepNext/>
              <w:spacing w:before="0" w:after="0" w:lineRule="exact" w:line="220"/>
              <w:jc w:val="left"/>
            </w:pPr>
            <w:r>
              <w:rPr>
                <w:sz w:val="18"/>
              </w:rPr>
              <w:t xml:space="preserve">Blibli third-party retail, 2022–23</w:t>
            </w:r>
          </w:p>
        </w:tc>
        <w:tc>
          <w:tcPr>
            <w:tcW w:w="1609" w:type="dxa"/>
          </w:tcPr>
          <w:p>
            <w:pPr>
              <w:pStyle w:val="Compact"/>
              <w:keepNext/>
              <w:spacing w:before="0" w:after="0" w:lineRule="exact" w:line="220"/>
              <w:jc w:val="left"/>
            </w:pPr>
            <w:r>
              <w:rPr>
                <w:sz w:val="18"/>
              </w:rPr>
              <w:t xml:space="preserve">+465%</w:t>
            </w:r>
          </w:p>
        </w:tc>
        <w:tc>
          <w:tcPr>
            <w:tcW w:w="1302" w:type="dxa"/>
          </w:tcPr>
          <w:p>
            <w:pPr>
              <w:pStyle w:val="Compact"/>
              <w:keepNext/>
              <w:spacing w:before="0" w:after="0" w:lineRule="exact" w:line="220"/>
              <w:jc w:val="left"/>
            </w:pPr>
            <w:r>
              <w:rPr>
                <w:sz w:val="18"/>
              </w:rPr>
              <w:t xml:space="preserve">17</w:t>
            </w:r>
          </w:p>
        </w:tc>
        <w:tc>
          <w:tcPr>
            <w:tcW w:w="1149" w:type="dxa"/>
          </w:tcPr>
          <w:p>
            <w:pPr>
              <w:pStyle w:val="Compact"/>
              <w:keepNext/>
              <w:spacing w:before="0" w:after="0" w:lineRule="exact" w:line="220"/>
              <w:jc w:val="left"/>
            </w:pPr>
            <w:r>
              <w:rPr>
                <w:sz w:val="18"/>
              </w:rPr>
              <w:t xml:space="preserve">20</w:t>
            </w:r>
          </w:p>
        </w:tc>
        <w:tc>
          <w:tcPr>
            <w:tcW w:w="1532" w:type="dxa"/>
          </w:tcPr>
          <w:p>
            <w:pPr>
              <w:pStyle w:val="Compact"/>
              <w:keepNext/>
              <w:spacing w:before="0" w:after="0" w:lineRule="exact" w:line="220"/>
              <w:jc w:val="left"/>
            </w:pPr>
            <w:r>
              <w:rPr>
                <w:sz w:val="18"/>
              </w:rPr>
              <w:t xml:space="preserve">63</w:t>
            </w:r>
          </w:p>
        </w:tc>
      </w:tr>
      <w:tr>
        <w:trPr>
          <w:cantSplit/>
        </w:trPr>
        <w:tc>
          <w:tcPr>
            <w:tcW w:w="2911" w:type="dxa"/>
          </w:tcPr>
          <w:p>
            <w:pPr>
              <w:pStyle w:val="Compact"/>
              <w:keepNext/>
              <w:spacing w:before="0" w:after="0" w:lineRule="exact" w:line="220"/>
              <w:jc w:val="left"/>
            </w:pPr>
            <w:r>
              <w:rPr>
                <w:sz w:val="18"/>
              </w:rPr>
              <w:t xml:space="preserve">Blibli third-party retail, 2022–25</w:t>
            </w:r>
          </w:p>
        </w:tc>
        <w:tc>
          <w:tcPr>
            <w:tcW w:w="1609" w:type="dxa"/>
          </w:tcPr>
          <w:p>
            <w:pPr>
              <w:pStyle w:val="Compact"/>
              <w:keepNext/>
              <w:spacing w:before="0" w:after="0" w:lineRule="exact" w:line="220"/>
              <w:jc w:val="left"/>
            </w:pPr>
            <w:r>
              <w:rPr>
                <w:sz w:val="18"/>
              </w:rPr>
              <w:t xml:space="preserve">+679%</w:t>
            </w:r>
          </w:p>
        </w:tc>
        <w:tc>
          <w:tcPr>
            <w:tcW w:w="1302" w:type="dxa"/>
          </w:tcPr>
          <w:p>
            <w:pPr>
              <w:pStyle w:val="Compact"/>
              <w:keepNext/>
              <w:spacing w:before="0" w:after="0" w:lineRule="exact" w:line="220"/>
              <w:jc w:val="left"/>
            </w:pPr>
            <w:r>
              <w:rPr>
                <w:sz w:val="18"/>
              </w:rPr>
              <w:t xml:space="preserve">18</w:t>
            </w:r>
          </w:p>
        </w:tc>
        <w:tc>
          <w:tcPr>
            <w:tcW w:w="1149" w:type="dxa"/>
          </w:tcPr>
          <w:p>
            <w:pPr>
              <w:pStyle w:val="Compact"/>
              <w:keepNext/>
              <w:spacing w:before="0" w:after="0" w:lineRule="exact" w:line="220"/>
              <w:jc w:val="left"/>
            </w:pPr>
            <w:r>
              <w:rPr>
                <w:sz w:val="18"/>
              </w:rPr>
              <w:t xml:space="preserve">63</w:t>
            </w:r>
          </w:p>
        </w:tc>
        <w:tc>
          <w:tcPr>
            <w:tcW w:w="1532" w:type="dxa"/>
          </w:tcPr>
          <w:p>
            <w:pPr>
              <w:pStyle w:val="Compact"/>
              <w:keepNext/>
              <w:spacing w:before="0" w:after="0" w:lineRule="exact" w:line="220"/>
              <w:jc w:val="left"/>
            </w:pPr>
            <w:r>
              <w:rPr>
                <w:sz w:val="18"/>
              </w:rPr>
              <w:t xml:space="preserve">20</w:t>
            </w:r>
          </w:p>
        </w:tc>
      </w:tr>
      <w:tr>
        <w:trPr>
          <w:cantSplit/>
        </w:trPr>
        <w:tc>
          <w:tcPr>
            <w:tcW w:w="2911" w:type="dxa"/>
          </w:tcPr>
          <w:p>
            <w:pPr>
              <w:pStyle w:val="Compact"/>
              <w:keepNext/>
              <w:spacing w:before="0" w:after="0" w:lineRule="exact" w:line="220"/>
              <w:jc w:val="left"/>
            </w:pPr>
            <w:r>
              <w:rPr>
                <w:sz w:val="18"/>
              </w:rPr>
              <w:t xml:space="preserve">Grab on-demand, 2021–24</w:t>
            </w:r>
          </w:p>
        </w:tc>
        <w:tc>
          <w:tcPr>
            <w:tcW w:w="1609" w:type="dxa"/>
          </w:tcPr>
          <w:p>
            <w:pPr>
              <w:pStyle w:val="Compact"/>
              <w:keepNext/>
              <w:spacing w:before="0" w:after="0" w:lineRule="exact" w:line="220"/>
              <w:jc w:val="left"/>
            </w:pPr>
            <w:r>
              <w:rPr>
                <w:sz w:val="18"/>
              </w:rPr>
              <w:t xml:space="preserve">+321%</w:t>
            </w:r>
          </w:p>
        </w:tc>
        <w:tc>
          <w:tcPr>
            <w:tcW w:w="1302" w:type="dxa"/>
          </w:tcPr>
          <w:p>
            <w:pPr>
              <w:pStyle w:val="Compact"/>
              <w:keepNext/>
              <w:spacing w:before="0" w:after="0" w:lineRule="exact" w:line="220"/>
              <w:jc w:val="left"/>
            </w:pPr>
            <w:r>
              <w:rPr>
                <w:sz w:val="18"/>
              </w:rPr>
              <w:t xml:space="preserve">34</w:t>
            </w:r>
          </w:p>
        </w:tc>
        <w:tc>
          <w:tcPr>
            <w:tcW w:w="1149" w:type="dxa"/>
          </w:tcPr>
          <w:p>
            <w:pPr>
              <w:pStyle w:val="Compact"/>
              <w:keepNext/>
              <w:spacing w:before="0" w:after="0" w:lineRule="exact" w:line="220"/>
              <w:jc w:val="left"/>
            </w:pPr>
            <w:r>
              <w:rPr>
                <w:sz w:val="18"/>
              </w:rPr>
              <w:t xml:space="preserve">34</w:t>
            </w:r>
          </w:p>
        </w:tc>
        <w:tc>
          <w:tcPr>
            <w:tcW w:w="1532" w:type="dxa"/>
          </w:tcPr>
          <w:p>
            <w:pPr>
              <w:pStyle w:val="Compact"/>
              <w:keepNext/>
              <w:spacing w:before="0" w:after="0" w:lineRule="exact" w:line="220"/>
              <w:jc w:val="left"/>
            </w:pPr>
            <w:r>
              <w:rPr>
                <w:sz w:val="18"/>
              </w:rPr>
              <w:t xml:space="preserve">33</w:t>
            </w:r>
          </w:p>
        </w:tc>
      </w:tr>
      <w:tr>
        <w:trPr>
          <w:cantSplit/>
        </w:trPr>
        <w:tc>
          <w:tcPr>
            <w:tcW w:w="2911" w:type="dxa"/>
          </w:tcPr>
          <w:p>
            <w:pPr>
              <w:pStyle w:val="Compact"/>
              <w:keepNext/>
              <w:spacing w:before="0" w:after="0" w:lineRule="exact" w:line="220"/>
              <w:jc w:val="left"/>
            </w:pPr>
            <w:r>
              <w:rPr>
                <w:sz w:val="18"/>
              </w:rPr>
              <w:t xml:space="preserve">Grab on-demand, 2022–24</w:t>
            </w:r>
          </w:p>
        </w:tc>
        <w:tc>
          <w:tcPr>
            <w:tcW w:w="1609" w:type="dxa"/>
          </w:tcPr>
          <w:p>
            <w:pPr>
              <w:pStyle w:val="Compact"/>
              <w:keepNext/>
              <w:spacing w:before="0" w:after="0" w:lineRule="exact" w:line="220"/>
              <w:jc w:val="left"/>
            </w:pPr>
            <w:r>
              <w:rPr>
                <w:sz w:val="18"/>
              </w:rPr>
              <w:t xml:space="preserve">+86%</w:t>
            </w:r>
          </w:p>
        </w:tc>
        <w:tc>
          <w:tcPr>
            <w:tcW w:w="1302" w:type="dxa"/>
          </w:tcPr>
          <w:p>
            <w:pPr>
              <w:pStyle w:val="Compact"/>
              <w:keepNext/>
              <w:spacing w:before="0" w:after="0" w:lineRule="exact" w:line="220"/>
              <w:jc w:val="left"/>
            </w:pPr>
            <w:r>
              <w:rPr>
                <w:sz w:val="18"/>
              </w:rPr>
              <w:t xml:space="preserve">42</w:t>
            </w:r>
          </w:p>
        </w:tc>
        <w:tc>
          <w:tcPr>
            <w:tcW w:w="1149" w:type="dxa"/>
          </w:tcPr>
          <w:p>
            <w:pPr>
              <w:pStyle w:val="Compact"/>
              <w:keepNext/>
              <w:spacing w:before="0" w:after="0" w:lineRule="exact" w:line="220"/>
              <w:jc w:val="left"/>
            </w:pPr>
            <w:r>
              <w:rPr>
                <w:sz w:val="18"/>
              </w:rPr>
              <w:t xml:space="preserve">11</w:t>
            </w:r>
          </w:p>
        </w:tc>
        <w:tc>
          <w:tcPr>
            <w:tcW w:w="1532" w:type="dxa"/>
          </w:tcPr>
          <w:p>
            <w:pPr>
              <w:pStyle w:val="Compact"/>
              <w:keepNext/>
              <w:spacing w:before="0" w:after="0" w:lineRule="exact" w:line="220"/>
              <w:jc w:val="left"/>
            </w:pPr>
            <w:r>
              <w:rPr>
                <w:sz w:val="18"/>
              </w:rPr>
              <w:t xml:space="preserve">47</w:t>
            </w:r>
          </w:p>
        </w:tc>
      </w:tr>
      <w:tr>
        <w:trPr>
          <w:cantSplit/>
        </w:trPr>
        <w:tc>
          <w:tcPr>
            <w:tcW w:w="2911" w:type="dxa"/>
          </w:tcPr>
          <w:p>
            <w:pPr>
              <w:pStyle w:val="Compact"/>
              <w:keepNext/>
              <w:spacing w:before="0" w:after="0" w:lineRule="exact" w:line="220"/>
              <w:jc w:val="left"/>
            </w:pPr>
            <w:r>
              <w:rPr>
                <w:sz w:val="18"/>
              </w:rPr>
              <w:t xml:space="preserve">GoTo on-demand, 2022–25</w:t>
            </w:r>
          </w:p>
        </w:tc>
        <w:tc>
          <w:tcPr>
            <w:tcW w:w="1609" w:type="dxa"/>
          </w:tcPr>
          <w:p>
            <w:pPr>
              <w:pStyle w:val="Compact"/>
              <w:keepNext/>
              <w:spacing w:before="0" w:after="0" w:lineRule="exact" w:line="220"/>
              <w:jc w:val="left"/>
            </w:pPr>
            <w:r>
              <w:rPr>
                <w:sz w:val="18"/>
              </w:rPr>
              <w:t xml:space="preserve">+111%</w:t>
            </w:r>
          </w:p>
        </w:tc>
        <w:tc>
          <w:tcPr>
            <w:tcW w:w="1302" w:type="dxa"/>
          </w:tcPr>
          <w:p>
            <w:pPr>
              <w:pStyle w:val="Compact"/>
              <w:keepNext/>
              <w:spacing w:before="0" w:after="0" w:lineRule="exact" w:line="220"/>
              <w:jc w:val="left"/>
            </w:pPr>
            <w:r>
              <w:rPr>
                <w:sz w:val="18"/>
              </w:rPr>
              <w:t xml:space="preserve">12</w:t>
            </w:r>
          </w:p>
        </w:tc>
        <w:tc>
          <w:tcPr>
            <w:tcW w:w="1149" w:type="dxa"/>
          </w:tcPr>
          <w:p>
            <w:pPr>
              <w:pStyle w:val="Compact"/>
              <w:keepNext/>
              <w:spacing w:before="0" w:after="0" w:lineRule="exact" w:line="220"/>
              <w:jc w:val="left"/>
            </w:pPr>
            <w:r>
              <w:rPr>
                <w:sz w:val="18"/>
              </w:rPr>
              <w:t xml:space="preserve">36</w:t>
            </w:r>
          </w:p>
        </w:tc>
        <w:tc>
          <w:tcPr>
            <w:tcW w:w="1532" w:type="dxa"/>
          </w:tcPr>
          <w:p>
            <w:pPr>
              <w:pStyle w:val="Compact"/>
              <w:keepNex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6" name="Picture"/>
            <a:graphic>
              <a:graphicData uri="http://schemas.openxmlformats.org/drawingml/2006/picture">
                <pic:pic>
                  <pic:nvPicPr>
                    <pic:cNvPr descr="figures_yzu/fig5_2_tokopedia_two_views.png" id="57" name="Picture"/>
                    <pic:cNvPicPr>
                      <a:picLocks noChangeArrowheads="1" noChangeAspect="1"/>
                    </pic:cNvPicPr>
                  </pic:nvPicPr>
                  <pic:blipFill>
                    <a:blip r:embed="rId55"/>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1" name="Picture"/>
            <a:graphic>
              <a:graphicData uri="http://schemas.openxmlformats.org/drawingml/2006/picture">
                <pic:pic>
                  <pic:nvPicPr>
                    <pic:cNvPr descr="figures_yzu/fig5_3_growth_2023.png" id="62" name="Picture"/>
                    <pic:cNvPicPr>
                      <a:picLocks noChangeArrowheads="1" noChangeAspect="1"/>
                    </pic:cNvPicPr>
                  </pic:nvPicPr>
                  <pic:blipFill>
                    <a:blip r:embed="rId60"/>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_yzu/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1" name="Picture"/>
            <a:graphic>
              <a:graphicData uri="http://schemas.openxmlformats.org/drawingml/2006/picture">
                <pic:pic>
                  <pic:nvPicPr>
                    <pic:cNvPr descr="figures_yzu/fig5_5_marketplace_and_records.png" id="72" name="Picture"/>
                    <pic:cNvPicPr>
                      <a:picLocks noChangeArrowheads="1" noChangeAspect="1"/>
                    </pic:cNvPicPr>
                  </pic:nvPicPr>
                  <pic:blipFill>
                    <a:blip r:embed="rId70"/>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spacing w:after="120"/>
        <w:ind w:left="709" w:hanging="709"/>
        <w:jc w:val="lef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400" w:line="312" w:lineRule="auto"/>
      <w:jc w:val="center"/>
    </w:pPr>
    <w:rPr>
      <w:rFonts w:ascii="Times New Roman" w:cs="Times New Roman" w:eastAsia="DFKai-SB" w:hAnsi="Times New Roman"/>
      <w:b w:val="0"/>
      <w:i w:val="0"/>
      <w:color w:val="000000"/>
      <w:sz w:val="28"/>
    </w:rPr>
  </w:style>
  <w:style w:customStyle="1" w:styleId="TPTitle" w:type="paragraph">
    <w:name w:val="TP Title"/>
    <w:basedOn w:val="Normal"/>
    <w:pPr>
      <w:spacing w:after="0" w:before="600" w:line="312" w:lineRule="auto"/>
      <w:jc w:val="center"/>
    </w:pPr>
    <w:rPr>
      <w:rFonts w:ascii="Times New Roman" w:cs="Times New Roman" w:eastAsia="DFKai-SB" w:hAnsi="Times New Roman"/>
      <w:b/>
      <w:i w:val="0"/>
      <w:color w:val="000000"/>
      <w:sz w:val="28"/>
    </w:rPr>
  </w:style>
  <w:style w:customStyle="1" w:styleId="TPLine" w:type="paragraph">
    <w:name w:val="TP Line"/>
    <w:basedOn w:val="Normal"/>
    <w:pPr>
      <w:spacing w:after="0" w:before="0" w:line="324" w:lineRule="auto"/>
      <w:jc w:val="center"/>
    </w:pPr>
    <w:rPr>
      <w:rFonts w:ascii="Times New Roman" w:cs="Times New Roman" w:eastAsia="DFKai-SB" w:hAnsi="Times New Roman"/>
      <w:b w:val="0"/>
      <w:i w:val="0"/>
      <w:color w:val="000000"/>
      <w:sz w:val="24"/>
    </w:rPr>
  </w:style>
  <w:style w:customStyle="1" w:styleId="TPPeople" w:type="paragraph">
    <w:name w:val="TP People"/>
    <w:basedOn w:val="Normal"/>
    <w:pPr>
      <w:spacing w:after="0" w:before="480" w:line="360" w:lineRule="auto"/>
      <w:jc w:val="center"/>
    </w:pPr>
    <w:rPr>
      <w:rFonts w:ascii="Times New Roman" w:cs="Times New Roman" w:eastAsia="DFKai-SB" w:hAnsi="Times New Roman"/>
      <w:b w:val="0"/>
      <w:i w:val="0"/>
      <w:color w:val="000000"/>
      <w:sz w:val="24"/>
    </w:rPr>
  </w:style>
  <w:style w:customStyle="1" w:styleId="TPBlock" w:type="paragraph">
    <w:name w:val="TP Block"/>
    <w:basedOn w:val="Normal"/>
    <w:pPr>
      <w:spacing w:after="0" w:before="0" w:line="360" w:lineRule="auto"/>
      <w:jc w:val="center"/>
    </w:pPr>
    <w:rPr>
      <w:rFonts w:ascii="Times New Roman" w:cs="Times New Roman" w:eastAsia="DFKai-SB" w:hAnsi="Times New Roman"/>
      <w:b w:val="0"/>
      <w:i w:val="0"/>
      <w:color w:val="000000"/>
      <w:sz w:val="24"/>
    </w:rPr>
  </w:style>
  <w:style w:customStyle="1" w:styleId="TPGap" w:type="paragraph">
    <w:name w:val="TP Gap"/>
    <w:basedOn w:val="Normal"/>
    <w:pPr>
      <w:spacing w:after="0" w:before="720" w:line="360" w:lineRule="auto"/>
      <w:jc w:val="center"/>
    </w:pPr>
    <w:rPr>
      <w:rFonts w:ascii="Times New Roman" w:cs="Times New Roman" w:eastAsia="DFKai-SB" w:hAnsi="Times New Roman"/>
      <w:b w:val="0"/>
      <w:i w:val="0"/>
      <w:color w:val="000000"/>
      <w:sz w:val="24"/>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2026-10-24T08:59:30Z</dcterms:created>
  <dcterms:modified xsi:type="dcterms:W3CDTF">2026-10-24T08:59:30Z</dcterms:modified>
</cp:coreProperties>
</file>

<file path=docProps/custom.xml><?xml version="1.0" encoding="utf-8"?>
<Properties xmlns="http://schemas.openxmlformats.org/officeDocument/2006/custom-properties" xmlns:vt="http://schemas.openxmlformats.org/officeDocument/2006/docPropsVTypes"/>
</file>