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Figures about the digital economy stand for activity that no one observes directly. 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BPS’s survey of online sellers and national figures.</w:t>
      </w:r>
    </w:p>
    <w:p>
      <w:pPr>
        <w:pStyle w:val="BodyText"/>
      </w:pPr>
      <w:r>
        <w:t xml:space="preserve">Revenue shows only a small part of the commerce. In 2023, three major platforms in Indonesia kept about US$3 billion of the US$43 billion that passed through them. Revenue also stopped tracking the commerce when platforms changed the share of each sale they kept. Indonesian and regional platforms changed that share about three times as much as 27 platforms abroad. Most of their large changes came between 2022 and 2024. So the hypothesis that revenue grows in proportion to the commerce is rejected.</w:t>
      </w:r>
    </w:p>
    <w:p>
      <w:pPr>
        <w:pStyle w:val="BodyText"/>
      </w:pPr>
      <w:r>
        <w:t xml:space="preserve">The national count of online sellers rose by 27 percent in 2023. A test registered before the survey files were opened finds too few new sellers to produce that rise. A later, exploratory count shows that first-time entry explains only about half of it. More businesses account for most of the growth in online sales on the published figures. If the rest of the rise is read as wider survey coverage, that conclusion sits on its threshold.</w:t>
      </w:r>
    </w:p>
    <w:p>
      <w:pPr>
        <w:pStyle w:val="BodyText"/>
      </w:pPr>
      <w:r>
        <w:t xml:space="preserve">The two results describe one problem. A figure stops tracking the activity it stands for when the link between them changes, through a platform’s take rate or a survey’s reach. The thesis also measures how far Indonesia’s recent platform rules can reach: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1" w:name="symbols-and-abbreviations"/>
    <w:p>
      <w:pPr>
        <w:pStyle w:val="Heading1"/>
      </w:pPr>
      <w:r>
        <w:t xml:space="preserve">Symbols and Abbreviations</w:t>
      </w:r>
    </w:p>
    <w:p>
      <w:pPr>
        <w:pStyle w:val="FirstParagraph"/>
      </w:pPr>
      <w:r>
        <w:t xml:space="preserve">Each symbol is defined in Chapter 3, where it first appears in a formula. The subscripts i and t mark the platform and the year.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First defined</w:t>
            </w:r>
          </w:p>
        </w:tc>
      </w:tr>
      <w:tr>
        <w:tc>
          <w:tcPr/>
          <w:p>
            <w:pPr>
              <w:pStyle w:val="Compact"/>
              <w:jc w:val="left"/>
            </w:pPr>
            <w:r>
              <w:t xml:space="preserve">V</w:t>
            </w:r>
          </w:p>
        </w:tc>
        <w:tc>
          <w:tcPr/>
          <w:p>
            <w:pPr>
              <w:pStyle w:val="Compact"/>
              <w:jc w:val="left"/>
            </w:pPr>
            <w:r>
              <w:t xml:space="preserve">Transaction value: everything bought through a platform in a period</w:t>
            </w:r>
          </w:p>
        </w:tc>
        <w:tc>
          <w:tcPr/>
          <w:p>
            <w:pPr>
              <w:pStyle w:val="Compact"/>
              <w:jc w:val="left"/>
            </w:pPr>
            <w:r>
              <w:t xml:space="preserve">Table 3.1</w:t>
            </w:r>
          </w:p>
        </w:tc>
      </w:tr>
      <w:tr>
        <w:tc>
          <w:tcPr/>
          <w:p>
            <w:pPr>
              <w:pStyle w:val="Compact"/>
              <w:jc w:val="left"/>
            </w:pPr>
            <w:r>
              <w:t xml:space="preserve">R</w:t>
            </w:r>
          </w:p>
        </w:tc>
        <w:tc>
          <w:tcPr/>
          <w:p>
            <w:pPr>
              <w:pStyle w:val="Compact"/>
              <w:jc w:val="left"/>
            </w:pPr>
            <w:r>
              <w:t xml:space="preserve">Revenue: what the platform records as its own income</w:t>
            </w:r>
          </w:p>
        </w:tc>
        <w:tc>
          <w:tcPr/>
          <w:p>
            <w:pPr>
              <w:pStyle w:val="Compact"/>
              <w:jc w:val="left"/>
            </w:pPr>
            <w:r>
              <w:t xml:space="preserve">Table 3.1</w:t>
            </w:r>
          </w:p>
        </w:tc>
      </w:tr>
      <w:tr>
        <w:tc>
          <w:tcPr/>
          <w:p>
            <w:pPr>
              <w:pStyle w:val="Compact"/>
              <w:jc w:val="left"/>
            </w:pPr>
            <w:r>
              <w:t xml:space="preserve">m</w:t>
            </w:r>
          </w:p>
        </w:tc>
        <w:tc>
          <w:tcPr/>
          <w:p>
            <w:pPr>
              <w:pStyle w:val="Compact"/>
              <w:jc w:val="left"/>
            </w:pPr>
            <w:r>
              <w:t xml:space="preserve">Take rate, R divided by V: the share of each sale the platform keeps</w:t>
            </w:r>
          </w:p>
        </w:tc>
        <w:tc>
          <w:tcPr/>
          <w:p>
            <w:pPr>
              <w:pStyle w:val="Compact"/>
              <w:jc w:val="left"/>
            </w:pPr>
            <w:r>
              <w:t xml:space="preserve">Table 3.1</w:t>
            </w:r>
          </w:p>
        </w:tc>
      </w:tr>
      <w:tr>
        <w:tc>
          <w:tcPr/>
          <w:p>
            <w:pPr>
              <w:pStyle w:val="Compact"/>
              <w:jc w:val="left"/>
            </w:pPr>
            <w:r>
              <w:t xml:space="preserve">f</w:t>
            </w:r>
          </w:p>
        </w:tc>
        <w:tc>
          <w:tcPr/>
          <w:p>
            <w:pPr>
              <w:pStyle w:val="Compact"/>
              <w:jc w:val="left"/>
            </w:pPr>
            <w:r>
              <w:t xml:space="preserve">Fee rate: revenue before customer incentives, divided by V</w:t>
            </w:r>
          </w:p>
        </w:tc>
        <w:tc>
          <w:tcPr/>
          <w:p>
            <w:pPr>
              <w:pStyle w:val="Compact"/>
              <w:jc w:val="left"/>
            </w:pPr>
            <w:r>
              <w:t xml:space="preserve">Table 3.1</w:t>
            </w:r>
          </w:p>
        </w:tc>
      </w:tr>
      <w:tr>
        <w:tc>
          <w:tcPr/>
          <w:p>
            <w:pPr>
              <w:pStyle w:val="Compact"/>
              <w:jc w:val="left"/>
            </w:pPr>
            <w:r>
              <w:t xml:space="preserve">s</w:t>
            </w:r>
          </w:p>
        </w:tc>
        <w:tc>
          <w:tcPr/>
          <w:p>
            <w:pPr>
              <w:pStyle w:val="Compact"/>
              <w:jc w:val="left"/>
            </w:pPr>
            <w:r>
              <w:t xml:space="preserve">Incentive rate: customer incentives divided by V</w:t>
            </w:r>
          </w:p>
        </w:tc>
        <w:tc>
          <w:tcPr/>
          <w:p>
            <w:pPr>
              <w:pStyle w:val="Compact"/>
              <w:jc w:val="left"/>
            </w:pPr>
            <w:r>
              <w:t xml:space="preserve">Table 3.1</w:t>
            </w:r>
          </w:p>
        </w:tc>
      </w:tr>
      <w:tr>
        <w:tc>
          <w:tcPr/>
          <w:p>
            <w:pPr>
              <w:pStyle w:val="Compact"/>
              <w:jc w:val="left"/>
            </w:pPr>
            <w:r>
              <w:t xml:space="preserve">W</w:t>
            </w:r>
          </w:p>
        </w:tc>
        <w:tc>
          <w:tcPr/>
          <w:p>
            <w:pPr>
              <w:pStyle w:val="Compact"/>
              <w:jc w:val="left"/>
            </w:pPr>
            <w:r>
              <w:t xml:space="preserve">Invisible wedge, V minus R: what a revenue figure leaves out</w:t>
            </w:r>
          </w:p>
        </w:tc>
        <w:tc>
          <w:tcPr/>
          <w:p>
            <w:pPr>
              <w:pStyle w:val="Compact"/>
              <w:jc w:val="left"/>
            </w:pPr>
            <w:r>
              <w:t xml:space="preserve">Equation (1)</w:t>
            </w:r>
          </w:p>
        </w:tc>
      </w:tr>
      <w:tr>
        <w:tc>
          <w:tcPr/>
          <w:p>
            <w:pPr>
              <w:pStyle w:val="Compact"/>
              <w:jc w:val="left"/>
            </w:pPr>
            <w:r>
              <w:t xml:space="preserve">E</w:t>
            </w:r>
          </w:p>
        </w:tc>
        <w:tc>
          <w:tcPr/>
          <w:p>
            <w:pPr>
              <w:pStyle w:val="Compact"/>
              <w:jc w:val="left"/>
            </w:pPr>
            <w:r>
              <w:t xml:space="preserve">Ecosystem ratio, W divided by R, equal to 1/m − 1 (the author’s own measure)</w:t>
            </w:r>
          </w:p>
        </w:tc>
        <w:tc>
          <w:tcPr/>
          <w:p>
            <w:pPr>
              <w:pStyle w:val="Compact"/>
              <w:jc w:val="left"/>
            </w:pPr>
            <w:r>
              <w:t xml:space="preserve">Equation (2)</w:t>
            </w:r>
          </w:p>
        </w:tc>
      </w:tr>
      <w:tr>
        <w:tc>
          <w:tcPr/>
          <w:p>
            <w:pPr>
              <w:pStyle w:val="Compact"/>
              <w:jc w:val="left"/>
            </w:pPr>
            <w:r>
              <w:t xml:space="preserve">g(·)</w:t>
            </w:r>
          </w:p>
        </w:tc>
        <w:tc>
          <w:tcPr/>
          <w:p>
            <w:pPr>
              <w:pStyle w:val="Compact"/>
              <w:jc w:val="left"/>
            </w:pPr>
            <w:r>
              <w:t xml:space="preserve">Growth from one year to the next, as a share of the first year</w:t>
            </w:r>
          </w:p>
        </w:tc>
        <w:tc>
          <w:tcPr/>
          <w:p>
            <w:pPr>
              <w:pStyle w:val="Compact"/>
              <w:jc w:val="left"/>
            </w:pPr>
            <w:r>
              <w:t xml:space="preserve">Table 3.1</w:t>
            </w:r>
          </w:p>
        </w:tc>
      </w:tr>
      <w:tr>
        <w:tc>
          <w:tcPr/>
          <w:p>
            <w:pPr>
              <w:pStyle w:val="Compact"/>
              <w:jc w:val="left"/>
            </w:pPr>
            <w:r>
              <w:t xml:space="preserve">D</w:t>
            </w:r>
          </w:p>
        </w:tc>
        <w:tc>
          <w:tcPr/>
          <w:p>
            <w:pPr>
              <w:pStyle w:val="Compact"/>
              <w:jc w:val="left"/>
            </w:pPr>
            <w:r>
              <w:t xml:space="preserve">Growth divergence, g(R) minus g(V)</w:t>
            </w:r>
          </w:p>
        </w:tc>
        <w:tc>
          <w:tcPr/>
          <w:p>
            <w:pPr>
              <w:pStyle w:val="Compact"/>
              <w:jc w:val="left"/>
            </w:pPr>
            <w:r>
              <w:t xml:space="preserve">Equation (3)</w:t>
            </w:r>
          </w:p>
        </w:tc>
      </w:tr>
      <w:tr>
        <w:tc>
          <w:tcPr/>
          <w:p>
            <w:pPr>
              <w:pStyle w:val="Compact"/>
              <w:jc w:val="left"/>
            </w:pPr>
            <w:r>
              <w:t xml:space="preserve">Δln X</w:t>
            </w:r>
          </w:p>
        </w:tc>
        <w:tc>
          <w:tcPr/>
          <w:p>
            <w:pPr>
              <w:pStyle w:val="Compact"/>
              <w:jc w:val="left"/>
            </w:pPr>
            <w:r>
              <w:t xml:space="preserve">Change in the natural logarithm of X from one year to the next</w:t>
            </w:r>
          </w:p>
        </w:tc>
        <w:tc>
          <w:tcPr/>
          <w:p>
            <w:pPr>
              <w:pStyle w:val="Compact"/>
              <w:jc w:val="left"/>
            </w:pPr>
            <w:r>
              <w:t xml:space="preserve">Equation (5)</w:t>
            </w:r>
          </w:p>
        </w:tc>
      </w:tr>
      <w:tr>
        <w:tc>
          <w:tcPr/>
          <w:p>
            <w:pPr>
              <w:pStyle w:val="Compact"/>
              <w:jc w:val="left"/>
            </w:pPr>
            <w:r>
              <w:t xml:space="preserve">N</w:t>
            </w:r>
          </w:p>
        </w:tc>
        <w:tc>
          <w:tcPr/>
          <w:p>
            <w:pPr>
              <w:pStyle w:val="Compact"/>
              <w:jc w:val="left"/>
            </w:pPr>
            <w:r>
              <w:t xml:space="preserve">BPS’s count of businesses selling online</w:t>
            </w:r>
          </w:p>
        </w:tc>
        <w:tc>
          <w:tcPr/>
          <w:p>
            <w:pPr>
              <w:pStyle w:val="Compact"/>
              <w:jc w:val="left"/>
            </w:pPr>
            <w:r>
              <w:t xml:space="preserve">Equation (7)</w:t>
            </w:r>
          </w:p>
        </w:tc>
      </w:tr>
      <w:tr>
        <w:tc>
          <w:tcPr/>
          <w:p>
            <w:pPr>
              <w:pStyle w:val="Compact"/>
              <w:jc w:val="left"/>
            </w:pPr>
            <w:r>
              <w:t xml:space="preserve">Y</w:t>
            </w:r>
          </w:p>
        </w:tc>
        <w:tc>
          <w:tcPr/>
          <w:p>
            <w:pPr>
              <w:pStyle w:val="Compact"/>
              <w:jc w:val="left"/>
            </w:pPr>
            <w:r>
              <w:t xml:space="preserve">BPS’s total online sales value</w:t>
            </w:r>
          </w:p>
        </w:tc>
        <w:tc>
          <w:tcPr/>
          <w:p>
            <w:pPr>
              <w:pStyle w:val="Compact"/>
              <w:jc w:val="left"/>
            </w:pPr>
            <w:r>
              <w:t xml:space="preserve">Equation (7)</w:t>
            </w:r>
          </w:p>
        </w:tc>
      </w:tr>
      <w:tr>
        <w:tc>
          <w:tcPr/>
          <w:p>
            <w:pPr>
              <w:pStyle w:val="Compact"/>
              <w:jc w:val="left"/>
            </w:pPr>
            <w:r>
              <w:t xml:space="preserve">MV</w:t>
            </w:r>
          </w:p>
        </w:tc>
        <w:tc>
          <w:tcPr/>
          <w:p>
            <w:pPr>
              <w:pStyle w:val="Compact"/>
              <w:jc w:val="left"/>
            </w:pPr>
            <w:r>
              <w:t xml:space="preserve">A listed platform’s market value</w:t>
            </w:r>
          </w:p>
        </w:tc>
        <w:tc>
          <w:tcPr/>
          <w:p>
            <w:pPr>
              <w:pStyle w:val="Compact"/>
              <w:jc w:val="left"/>
            </w:pPr>
            <w:r>
              <w:t xml:space="preserve">Equation (8)</w:t>
            </w:r>
          </w:p>
        </w:tc>
      </w:tr>
      <w:tr>
        <w:tc>
          <w:tcPr/>
          <w:p>
            <w:pPr>
              <w:pStyle w:val="Compact"/>
              <w:jc w:val="left"/>
            </w:pPr>
            <w:r>
              <w:t xml:space="preserve">β_V, β_m</w:t>
            </w:r>
          </w:p>
        </w:tc>
        <w:tc>
          <w:tcPr/>
          <w:p>
            <w:pPr>
              <w:pStyle w:val="Compact"/>
              <w:jc w:val="left"/>
            </w:pPr>
            <w:r>
              <w:t xml:space="preserve">How market value moves with transaction value and with the take rate</w:t>
            </w:r>
          </w:p>
        </w:tc>
        <w:tc>
          <w:tcPr/>
          <w:p>
            <w:pPr>
              <w:pStyle w:val="Compact"/>
              <w:jc w:val="left"/>
            </w:pPr>
            <w:r>
              <w:t xml:space="preserve">Equation (8)</w:t>
            </w:r>
          </w:p>
        </w:tc>
      </w:tr>
      <w:tr>
        <w:tc>
          <w:tcPr/>
          <w:p>
            <w:pPr>
              <w:pStyle w:val="Compact"/>
              <w:jc w:val="left"/>
            </w:pPr>
            <w:r>
              <w:t xml:space="preserve">H1, H2</w:t>
            </w:r>
          </w:p>
        </w:tc>
        <w:tc>
          <w:tcPr/>
          <w:p>
            <w:pPr>
              <w:pStyle w:val="Compact"/>
              <w:jc w:val="left"/>
            </w:pPr>
            <w:r>
              <w:t xml:space="preserve">The two hypotheses</w:t>
            </w:r>
          </w:p>
        </w:tc>
        <w:tc>
          <w:tcPr/>
          <w:p>
            <w:pPr>
              <w:pStyle w:val="Compact"/>
              <w:jc w:val="left"/>
            </w:pPr>
            <w:r>
              <w:t xml:space="preserve">Section 3.4</w:t>
            </w:r>
          </w:p>
        </w:tc>
      </w:tr>
    </w:tbl>
    <w:p>
      <w:pPr>
        <w:pStyle w:val="BodyText"/>
      </w:pPr>
      <w:r>
        <w:t xml:space="preserve">The text spells out most names. These abbreviations remain.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BPS</w:t>
            </w:r>
          </w:p>
        </w:tc>
        <w:tc>
          <w:tcPr/>
          <w:p>
            <w:pPr>
              <w:pStyle w:val="Compact"/>
              <w:jc w:val="left"/>
            </w:pPr>
            <w:r>
              <w:t xml:space="preserve">Badan Pusat Statistik, Statistics Indonesia</w:t>
            </w:r>
          </w:p>
        </w:tc>
      </w:tr>
      <w:tr>
        <w:tc>
          <w:tcPr/>
          <w:p>
            <w:pPr>
              <w:pStyle w:val="Compact"/>
              <w:jc w:val="left"/>
            </w:pPr>
            <w:r>
              <w:t xml:space="preserve">GMV, GTV, TPV</w:t>
            </w:r>
          </w:p>
        </w:tc>
        <w:tc>
          <w:tcPr/>
          <w:p>
            <w:pPr>
              <w:pStyle w:val="Compact"/>
              <w:jc w:val="left"/>
            </w:pPr>
            <w:r>
              <w:t xml:space="preserve">Gross merchandise value, gross transaction value, total payment volume: company names for transaction value</w:t>
            </w:r>
          </w:p>
        </w:tc>
      </w:tr>
      <w:tr>
        <w:tc>
          <w:tcPr/>
          <w:p>
            <w:pPr>
              <w:pStyle w:val="Compact"/>
              <w:jc w:val="left"/>
            </w:pPr>
            <w:r>
              <w:t xml:space="preserve">IASB, IFRS 15</w:t>
            </w:r>
          </w:p>
        </w:tc>
        <w:tc>
          <w:tcPr/>
          <w:p>
            <w:pPr>
              <w:pStyle w:val="Compact"/>
              <w:jc w:val="left"/>
            </w:pPr>
            <w:r>
              <w:t xml:space="preserve">International Accounting Standards Board; International Financial Reporting Standard 15, its revenue standard</w:t>
            </w:r>
          </w:p>
        </w:tc>
      </w:tr>
      <w:tr>
        <w:tc>
          <w:tcPr/>
          <w:p>
            <w:pPr>
              <w:pStyle w:val="Compact"/>
              <w:jc w:val="left"/>
            </w:pPr>
            <w:r>
              <w:t xml:space="preserve">LSEG</w:t>
            </w:r>
          </w:p>
        </w:tc>
        <w:tc>
          <w:tcPr/>
          <w:p>
            <w:pPr>
              <w:pStyle w:val="Compact"/>
              <w:jc w:val="left"/>
            </w:pPr>
            <w:r>
              <w:t xml:space="preserve">London Stock Exchange Group, the source of market values</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QRIS</w:t>
            </w:r>
          </w:p>
        </w:tc>
        <w:tc>
          <w:tcPr/>
          <w:p>
            <w:pPr>
              <w:pStyle w:val="Compact"/>
              <w:jc w:val="left"/>
            </w:pPr>
            <w:r>
              <w:t xml:space="preserve">Quick Response Code Indonesian Standard, the national QR-code payment system</w:t>
            </w:r>
          </w:p>
        </w:tc>
      </w:tr>
      <w:tr>
        <w:tc>
          <w:tcPr/>
          <w:p>
            <w:pPr>
              <w:pStyle w:val="Compact"/>
              <w:jc w:val="left"/>
            </w:pPr>
            <w:r>
              <w:t xml:space="preserve">UNCTAD</w:t>
            </w:r>
          </w:p>
        </w:tc>
        <w:tc>
          <w:tcPr/>
          <w:p>
            <w:pPr>
              <w:pStyle w:val="Compact"/>
              <w:jc w:val="left"/>
            </w:pPr>
            <w:r>
              <w:t xml:space="preserve">United Nations Conference on Trade and Development</w:t>
            </w:r>
          </w:p>
        </w:tc>
      </w:tr>
      <w:tr>
        <w:tc>
          <w:tcPr/>
          <w:p>
            <w:pPr>
              <w:pStyle w:val="Compact"/>
              <w:jc w:val="left"/>
            </w:pPr>
            <w:r>
              <w:t xml:space="preserve">Rp, US$</w:t>
            </w:r>
          </w:p>
        </w:tc>
        <w:tc>
          <w:tcPr/>
          <w:p>
            <w:pPr>
              <w:pStyle w:val="Compact"/>
              <w:jc w:val="left"/>
            </w:pPr>
            <w:r>
              <w:t xml:space="preserve">Indonesian rupiah, US dollar</w:t>
            </w:r>
          </w:p>
        </w:tc>
      </w:tr>
    </w:tbl>
    <w:bookmarkEnd w:id="21"/>
    <w:bookmarkStart w:id="25"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moved away from the commerce they stand for. 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2"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2"/>
    <w:bookmarkStart w:id="23"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as well as size. The larger the wedge is next to revenue, the more a small change in fees or discounts moves revenue growth. When the take rate moves, market value per dollar of revenue and market value per dollar of commerce change by different amounts. The thesis traces why revenue moved, which gives investors a check on whether reported growth came from more commerce or from a larger share of each sale. A prediction registered in advance then tests how market value moves with each.</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drawn from the platforms’ accounts, the sellers’ own survey responses and the rules that act on both. One point recurs across all three. A figure can stop tracking the activity it stands for when the link between them changes, through a platform’s take rate or a survey’s reach.</w:t>
      </w:r>
    </w:p>
    <w:bookmarkEnd w:id="23"/>
    <w:bookmarkStart w:id="24"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4"/>
    <w:bookmarkEnd w:id="25"/>
    <w:bookmarkStart w:id="30"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6"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6"/>
    <w:bookmarkStart w:id="27"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7"/>
    <w:bookmarkStart w:id="28"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8"/>
    <w:bookmarkStart w:id="29"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9"/>
    <w:bookmarkEnd w:id="30"/>
    <w:bookmarkStart w:id="40"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2" name="Picture"/>
            <a:graphic>
              <a:graphicData uri="http://schemas.openxmlformats.org/drawingml/2006/picture">
                <pic:pic>
                  <pic:nvPicPr>
                    <pic:cNvPr descr="figures/fig3_1_two_links.png" id="33" name="Picture"/>
                    <pic:cNvPicPr>
                      <a:picLocks noChangeArrowheads="1" noChangeAspect="1"/>
                    </pic:cNvPicPr>
                  </pic:nvPicPr>
                  <pic:blipFill>
                    <a:blip r:embed="rId31"/>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4"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4"/>
    <w:bookmarkStart w:id="35"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5"/>
    <w:bookmarkStart w:id="36"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6"/>
    <w:bookmarkStart w:id="37"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 Trade economists split a country’s exports in the same way, into more of each good and more kinds of goods (Hummels and Klenow 2005).</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7"/>
    <w:bookmarkStart w:id="38"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People tend to report past events as more recent than they were (Neter and Waksberg 1964).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Small firms that stop are more often young firms with young owners (McKenzie and Paffhausen 2019). So the age of the sellers behind the rise bears on the second reading. Chapter 5 weighs the two readings with that evidence.</w:t>
      </w:r>
    </w:p>
    <w:bookmarkEnd w:id="38"/>
    <w:bookmarkStart w:id="39"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 Their values change with the definition used (UNCTAD 2024).</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9"/>
    <w:bookmarkEnd w:id="40"/>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41"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1"/>
    <w:bookmarkStart w:id="42"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2"/>
    <w:bookmarkStart w:id="43"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3"/>
    <w:bookmarkStart w:id="44"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4"/>
    <w:bookmarkStart w:id="45"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5"/>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and two at a time; exact tests;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Both tests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65026"/>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65026"/>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6"/>
    <w:bookmarkStart w:id="60"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w:t>
      </w:r>
    </w:p>
    <w:p>
      <w:pPr>
        <w:pStyle w:val="BodyText"/>
      </w:pPr>
      <w:r>
        <w:t xml:space="preserve">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805277"/>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805277"/>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62754"/>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62754"/>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and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pPr>
      <w:r>
        <w:drawing>
          <wp:inline>
            <wp:extent cx="5334000" cy="2117141"/>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17141"/>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553101"/>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553101"/>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f3297f1c0094fd76621fe8d81a0cbffa613ab7d"/>
    <w:p>
      <w:pPr>
        <w:pStyle w:val="Heading1"/>
      </w:pPr>
      <w:r>
        <w:t xml:space="preserve">Chapter 6. The Rules and How Far They Reach</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w:t>
      </w:r>
    </w:p>
    <w:p>
      <w:pPr>
        <w:pStyle w:val="BodyText"/>
      </w:pPr>
      <w:r>
        <w:t xml:space="preserve">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With those sellers and their sales taken out, more businesses account for about 42 to 54 percent of the growth, against the 50 percent H2 requires. 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 Market value, for its part, moved with transaction value, and the data do not show that markets valued growth from pricing any less.</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The same split shows when market value per dollar of revenue and per dollar of commerce will disagree. Across 28 listed platforms, market value moved with transaction value, as a registered prediction stated. A 1 percent rise in transaction value went with about 0.6 percent more market value. Earlier studies used web traffic as the measure of activity; here it is the transaction value that platforms report themselves.</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scored in Section 6.5.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 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 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next-steps"/>
    <w:p>
      <w:pPr>
        <w:pStyle w:val="Heading2"/>
      </w:pPr>
      <w:r>
        <w:t xml:space="preserve">7.5 Next steps</w:t>
      </w:r>
    </w:p>
    <w:p>
      <w:pPr>
        <w:pStyle w:val="FirstParagraph"/>
      </w:pPr>
      <w:r>
        <w:t xml:space="preserve">The first step is to score the registered predictions on the 2026 results, as Section 6.5 sets out. The outcomes will show what the companies’ take rates did after the commission cap. Later data will show whether sellers moved away from the four marketplaces that collect the tax.</w:t>
      </w:r>
    </w:p>
    <w:p>
      <w:pPr>
        <w:pStyle w:val="BodyText"/>
      </w:pPr>
      <w:r>
        <w:t xml:space="preserve">Reconciling the levels of BPS’s and the platforms’ figures is the second step. It needs common definitions of what counts as a sale, including shipping, digital goods, travel and offline sales. The platform data that BPS now collects could supply the platform side, if BPS publishes them.</w:t>
      </w:r>
    </w:p>
    <w:p>
      <w:pPr>
        <w:pStyle w:val="BodyText"/>
      </w:pPr>
      <w:r>
        <w:t xml:space="preserve">The third step concerns the 2026 economic census. When BPS adopts a frame from it, the entry test can be repeated on the first survey that uses the new frame. A business identifier that links survey rounds would settle the question of returning sellers.</w:t>
      </w:r>
    </w:p>
    <w:p>
      <w:pPr>
        <w:pStyle w:val="BodyText"/>
      </w:pPr>
      <w:r>
        <w:t xml:space="preserve">The fourth step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grow as well: Lazada and TikTok Shop can join the test of H1 once they report Indonesian figures. The last step takes the channel count abroad.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9"/>
    <w:bookmarkEnd w:id="90"/>
    <w:bookmarkStart w:id="101"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5" w:name="X190ea442f22e8dfb253327d946eb3313b4f8b85"/>
    <w:p>
      <w:pPr>
        <w:pStyle w:val="Heading2"/>
      </w:pPr>
      <w:r>
        <w:t xml:space="preserve">Appendix A. Platforms, windows and the wedge by year</w:t>
      </w:r>
    </w:p>
    <w:bookmarkStart w:id="91"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1"/>
    <w:bookmarkStart w:id="92"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2"/>
    <w:bookmarkStart w:id="93"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3"/>
    <w:bookmarkStart w:id="94"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4"/>
    <w:bookmarkEnd w:id="95"/>
    <w:bookmarkStart w:id="98" w:name="appendix-b.-the-checks-on-the-test-of-h1"/>
    <w:p>
      <w:pPr>
        <w:pStyle w:val="Heading2"/>
      </w:pPr>
      <w:r>
        <w:t xml:space="preserve">Appendix B. The checks on the test of H1</w:t>
      </w:r>
    </w:p>
    <w:bookmarkStart w:id="96"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Exact tests over all 201,376 ways to pick the five platforms, main test (exploratory, 22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0.0214</w:t>
            </w:r>
          </w:p>
        </w:tc>
      </w:tr>
      <w:tr>
        <w:tc>
          <w:tcPr/>
          <w:p>
            <w:pPr>
              <w:pStyle w:val="Compact"/>
              <w:jc w:val="left"/>
            </w:pPr>
            <w:r>
              <w:t xml:space="preserve">Sea moved to the regional group, 6 against 26 (exploratory, 22 Oct 2026; exact tests)</w:t>
            </w:r>
          </w:p>
        </w:tc>
        <w:tc>
          <w:tcPr/>
          <w:p>
            <w:pPr>
              <w:pStyle w:val="Compact"/>
              <w:jc w:val="left"/>
            </w:pPr>
            <w:r>
              <w:t xml:space="preserve">0.225</w:t>
            </w:r>
          </w:p>
        </w:tc>
        <w:tc>
          <w:tcPr/>
          <w:p>
            <w:pPr>
              <w:pStyle w:val="Compact"/>
              <w:jc w:val="left"/>
            </w:pPr>
            <w:r>
              <w:t xml:space="preserve">0.060</w:t>
            </w:r>
          </w:p>
        </w:tc>
        <w:tc>
          <w:tcPr/>
          <w:p>
            <w:pPr>
              <w:pStyle w:val="Compact"/>
              <w:jc w:val="left"/>
            </w:pPr>
            <w:r>
              <w:t xml:space="preserve">0.0004</w:t>
            </w:r>
          </w:p>
        </w:tc>
        <w:tc>
          <w:tcPr/>
          <w:p>
            <w:pPr>
              <w:pStyle w:val="Compact"/>
              <w:jc w:val="left"/>
            </w:pPr>
            <w:r>
              <w:t xml:space="preserve">0.0006</w:t>
            </w:r>
          </w:p>
        </w:tc>
      </w:tr>
      <w:tr>
        <w:tc>
          <w:tcPr/>
          <w:p>
            <w:pPr>
              <w:pStyle w:val="Compact"/>
              <w:jc w:val="left"/>
            </w:pPr>
            <w:r>
              <w:t xml:space="preserve">Dropping any two of the five platforms, 10 cases (exploratory, 22 Oct 2026; exact test)</w:t>
            </w:r>
          </w:p>
        </w:tc>
        <w:tc>
          <w:tcPr/>
          <w:p>
            <w:pPr>
              <w:pStyle w:val="Compact"/>
              <w:jc w:val="left"/>
            </w:pPr>
            <w:r>
              <w:t xml:space="preserve">0.137 to 0.250</w:t>
            </w:r>
          </w:p>
        </w:tc>
        <w:tc>
          <w:tcPr/>
          <w:p>
            <w:pPr>
              <w:pStyle w:val="Compact"/>
              <w:jc w:val="left"/>
            </w:pPr>
            <w:r>
              <w:t xml:space="preserve">0.062</w:t>
            </w:r>
          </w:p>
        </w:tc>
        <w:tc>
          <w:tcPr/>
          <w:p>
            <w:pPr>
              <w:pStyle w:val="Compact"/>
              <w:jc w:val="left"/>
            </w:pPr>
            <w:r>
              <w:t xml:space="preserve">0.003 to 0.058</w:t>
            </w:r>
          </w:p>
        </w:tc>
        <w:tc>
          <w:tcPr/>
          <w:p>
            <w:pPr>
              <w:pStyle w:val="Compact"/>
            </w:pPr>
          </w:p>
        </w:tc>
      </w:tr>
      <w:tr>
        <w:tc>
          <w:tcPr/>
          <w:p>
            <w:pPr>
              <w:pStyle w:val="Compact"/>
              <w:jc w:val="left"/>
            </w:pPr>
            <w:r>
              <w:t xml:space="preserve">Only years up to 5 after listing, 4 against 18 platforms (exploratory, 22 Oct 2026; exact test)</w:t>
            </w:r>
          </w:p>
        </w:tc>
        <w:tc>
          <w:tcPr/>
          <w:p>
            <w:pPr>
              <w:pStyle w:val="Compact"/>
              <w:jc w:val="left"/>
            </w:pPr>
            <w:r>
              <w:t xml:space="preserve">0.169</w:t>
            </w:r>
          </w:p>
        </w:tc>
        <w:tc>
          <w:tcPr/>
          <w:p>
            <w:pPr>
              <w:pStyle w:val="Compact"/>
              <w:jc w:val="left"/>
            </w:pPr>
            <w:r>
              <w:t xml:space="preserve">0.069</w:t>
            </w:r>
          </w:p>
        </w:tc>
        <w:tc>
          <w:tcPr/>
          <w:p>
            <w:pPr>
              <w:pStyle w:val="Compact"/>
              <w:jc w:val="left"/>
            </w:pPr>
            <w:r>
              <w:t xml:space="preserve">0.059</w:t>
            </w:r>
          </w:p>
        </w:tc>
        <w:tc>
          <w:tcPr/>
          <w:p>
            <w:pPr>
              <w:pStyle w:val="Compact"/>
            </w:pP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The four rows marked 22 Oct 2026 were added after all other results were known, so they are exploratory. They use exact tests, which list every possible split of the 32 platforms, and they agree with the approximations in Table 5.3.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6"/>
    <w:bookmarkStart w:id="97"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7"/>
    <w:bookmarkEnd w:id="98"/>
    <w:bookmarkStart w:id="99"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9"/>
    <w:bookmarkStart w:id="100"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0"/>
    <w:bookmarkEnd w:id="101"/>
    <w:bookmarkStart w:id="102"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2026-10-23T13:15:38Z</dcterms:created>
  <dcterms:modified xsi:type="dcterms:W3CDTF">2026-10-23T13:15:38Z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2026-10-23</vt:lpwstr>
  </property>
</Properties>
</file>