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Invisible</w:t>
      </w:r>
      <w:r>
        <w:t xml:space="preserve"> </w:t>
      </w:r>
      <w:r>
        <w:t xml:space="preserve">Ledger:</w:t>
      </w:r>
      <w:r>
        <w:t xml:space="preserve"> </w:t>
      </w:r>
      <w:r>
        <w:t xml:space="preserve">Quantifying</w:t>
      </w:r>
      <w:r>
        <w:t xml:space="preserve"> </w:t>
      </w:r>
      <w:r>
        <w:t xml:space="preserve">the</w:t>
      </w:r>
      <w:r>
        <w:t xml:space="preserve"> </w:t>
      </w:r>
      <w:r>
        <w:t xml:space="preserve">Invisible</w:t>
      </w:r>
      <w:r>
        <w:t xml:space="preserve"> </w:t>
      </w:r>
      <w:r>
        <w:t xml:space="preserve">Wedge</w:t>
      </w:r>
      <w:r>
        <w:t xml:space="preserve"> </w:t>
      </w:r>
      <w:r>
        <w:t xml:space="preserve">in</w:t>
      </w:r>
      <w:r>
        <w:t xml:space="preserve"> </w:t>
      </w:r>
      <w:r>
        <w:t xml:space="preserve">Indonesia’s</w:t>
      </w:r>
      <w:r>
        <w:t xml:space="preserve"> </w:t>
      </w:r>
      <w:r>
        <w:t xml:space="preserve">Platform</w:t>
      </w:r>
      <w:r>
        <w:t xml:space="preserve"> </w:t>
      </w:r>
      <w:r>
        <w:t xml:space="preserve">Economy</w:t>
      </w:r>
    </w:p>
    <w:p>
      <w:pPr>
        <w:pStyle w:val="Subtitle"/>
      </w:pPr>
      <w:r>
        <w:t xml:space="preserve">Master’s</w:t>
      </w:r>
      <w:r>
        <w:t xml:space="preserve"> </w:t>
      </w:r>
      <w:r>
        <w:t xml:space="preserve">thesis</w:t>
      </w:r>
    </w:p>
    <w:p>
      <w:pPr>
        <w:pStyle w:val="Author"/>
      </w:pPr>
      <w:r>
        <w:t xml:space="preserve">Christopher</w:t>
      </w:r>
      <w:r>
        <w:t xml:space="preserve"> </w:t>
      </w:r>
      <w:r>
        <w:t xml:space="preserve">Ongko</w:t>
      </w:r>
      <w:r>
        <w:t xml:space="preserve"> </w:t>
      </w:r>
      <w:r>
        <w:t xml:space="preserve">(王新福)</w:t>
      </w:r>
    </w:p>
    <w:p>
      <w:pPr>
        <w:pStyle w:val="Author"/>
      </w:pPr>
      <w:r>
        <w:t xml:space="preserve">Advisor:</w:t>
      </w:r>
      <w:r>
        <w:t xml:space="preserve"> </w:t>
      </w:r>
      <w:r>
        <w:t xml:space="preserve">Prof. De-Rong</w:t>
      </w:r>
      <w:r>
        <w:t xml:space="preserve"> </w:t>
      </w:r>
      <w:r>
        <w:t xml:space="preserve">Kong</w:t>
      </w:r>
      <w:r>
        <w:t xml:space="preserve"> </w:t>
      </w:r>
      <w:r>
        <w:t xml:space="preserve">(孔德蓉)</w:t>
      </w:r>
    </w:p>
    <w:p>
      <w:pPr>
        <w:pStyle w:val="Author"/>
      </w:pPr>
      <w:r>
        <w:t xml:space="preserve">College</w:t>
      </w:r>
      <w:r>
        <w:t xml:space="preserve"> </w:t>
      </w:r>
      <w:r>
        <w:t xml:space="preserve">of</w:t>
      </w:r>
      <w:r>
        <w:t xml:space="preserve"> </w:t>
      </w:r>
      <w:r>
        <w:t xml:space="preserve">Management,</w:t>
      </w:r>
      <w:r>
        <w:t xml:space="preserve"> </w:t>
      </w:r>
      <w:r>
        <w:t xml:space="preserve">Yuan</w:t>
      </w:r>
      <w:r>
        <w:t xml:space="preserve"> </w:t>
      </w:r>
      <w:r>
        <w:t xml:space="preserve">Ze</w:t>
      </w:r>
      <w:r>
        <w:t xml:space="preserve"> </w:t>
      </w:r>
      <w:r>
        <w:t xml:space="preserve">University</w:t>
      </w:r>
    </w:p>
    <w:p>
      <w:pPr>
        <w:pStyle w:val="Date"/>
      </w:pPr>
      <w:r>
        <w:t xml:space="preserve">October</w:t>
      </w:r>
      <w:r>
        <w:t xml:space="preserve"> </w:t>
      </w:r>
      <w:r>
        <w:t xml:space="preserve">2026</w:t>
      </w:r>
    </w:p>
    <w:p>
      <w:pPr>
        <w:pStyle w:val="FrontHeading"/>
      </w:pPr>
      <w:r>
        <w:t xml:space="preserve">Abstract</w:t>
      </w:r>
    </w:p>
    <w:p>
      <w:pPr>
        <w:pStyle w:val="BodyText"/>
      </w:pPr>
      <w:r>
        <w:t xml:space="preserve">A platform’s revenue stands for the commerce it carries, and a survey’s count of sellers stands for the businesses selling online. This thesis asks how much activity remains invisible when platforms are measured through their revenue, and when that choice changes the conclusion about growth. It studies Indonesia, using platform reports, a national survey of online sellers and national figures.</w:t>
      </w:r>
    </w:p>
    <w:p>
      <w:pPr>
        <w:pStyle w:val="BodyText"/>
      </w:pPr>
      <w:r>
        <w:t xml:space="preserve">In 2023, three major platforms kept about US$3 billion of the US$43 billion that passed through them. Indonesian and regional platforms changed the share of each sale they kept about three times as much as 27 platforms abroad, mostly between 2022 and 2024. So the hypothesis that revenue grows in proportion to the commerce is rejected.</w:t>
      </w:r>
    </w:p>
    <w:p>
      <w:pPr>
        <w:pStyle w:val="BodyText"/>
      </w:pPr>
      <w:r>
        <w:t xml:space="preserve">The count of online sellers rose by 27 percent in 2023. A test registered in advance finds too few new sellers to produce that rise, and a later, exploratory count shows that first-time entry explains only about half of it. If the rest is read as wider survey coverage, the finding that more businesses drive growth sits on its threshold. The new marketplace tax can collect from at most about 1 in 20 online sellers.</w:t>
      </w:r>
    </w:p>
    <w:p>
      <w:pPr>
        <w:pStyle w:val="BodyText"/>
      </w:pPr>
      <w:r>
        <w:rPr>
          <w:bCs/>
          <w:b/>
        </w:rPr>
        <w:t xml:space="preserve">Keywords:</w:t>
      </w:r>
      <w:r>
        <w:t xml:space="preserve"> </w:t>
      </w:r>
      <w:r>
        <w:t xml:space="preserve">digital platforms; take rate; e-commerce measurement; transaction value; online sellers; Indonesia</w:t>
      </w:r>
    </w:p>
    <w:p>
      <w:pPr>
        <w:pStyle w:val="FrontHeading"/>
      </w:pPr>
      <w:r>
        <w:t xml:space="preserve">Contents</w:t>
      </w:r>
    </w:p>
    <w:p>
      <w:pPr>
        <w:pStyle w:val="toc1"/>
      </w:pPr>
      <w:r>
        <w:fldChar w:fldCharType="begin"/>
      </w:r>
      <w:r>
        <w:instrText xml:space="preserve">TOC \o "1-2" \u</w:instrText>
      </w:r>
      <w:r>
        <w:fldChar w:fldCharType="separate"/>
      </w:r>
      <w:r>
        <w:t xml:space="preserve">Chapter 1 Introduction</w:t>
      </w:r>
      <w:r>
        <w:tab/>
      </w:r>
      <w:r>
        <w:t xml:space="preserve">1</w:t>
      </w:r>
    </w:p>
    <w:p>
      <w:pPr>
        <w:pStyle w:val="toc2"/>
      </w:pPr>
      <w:r>
        <w:t xml:space="preserve">1.1 Research question and objectives</w:t>
      </w:r>
      <w:r>
        <w:tab/>
      </w:r>
      <w:r>
        <w:t xml:space="preserve">2</w:t>
      </w:r>
    </w:p>
    <w:p>
      <w:pPr>
        <w:pStyle w:val="toc2"/>
      </w:pPr>
      <w:r>
        <w:t xml:space="preserve">1.2 Contributions</w:t>
      </w:r>
      <w:r>
        <w:tab/>
      </w:r>
      <w:r>
        <w:t xml:space="preserve">3</w:t>
      </w:r>
    </w:p>
    <w:p>
      <w:pPr>
        <w:pStyle w:val="toc2"/>
      </w:pPr>
      <w:r>
        <w:t xml:space="preserve">1.3 Structure of the thesis</w:t>
      </w:r>
      <w:r>
        <w:tab/>
      </w:r>
      <w:r>
        <w:t xml:space="preserve">4</w:t>
      </w:r>
    </w:p>
    <w:p>
      <w:pPr>
        <w:pStyle w:val="toc1"/>
      </w:pPr>
      <w:r>
        <w:t xml:space="preserve">Chapter 2 Literature Review</w:t>
      </w:r>
      <w:r>
        <w:tab/>
      </w:r>
      <w:r>
        <w:t xml:space="preserve">5</w:t>
      </w:r>
    </w:p>
    <w:p>
      <w:pPr>
        <w:pStyle w:val="toc2"/>
      </w:pPr>
      <w:r>
        <w:t xml:space="preserve">2.1 Platform economics and revenue recognition</w:t>
      </w:r>
      <w:r>
        <w:tab/>
      </w:r>
      <w:r>
        <w:t xml:space="preserve">5</w:t>
      </w:r>
    </w:p>
    <w:p>
      <w:pPr>
        <w:pStyle w:val="toc2"/>
      </w:pPr>
      <w:r>
        <w:t xml:space="preserve">2.2 Measuring the digital economy</w:t>
      </w:r>
      <w:r>
        <w:tab/>
      </w:r>
      <w:r>
        <w:t xml:space="preserve">6</w:t>
      </w:r>
    </w:p>
    <w:p>
      <w:pPr>
        <w:pStyle w:val="toc2"/>
      </w:pPr>
      <w:r>
        <w:t xml:space="preserve">2.3 Digital records and third-party information</w:t>
      </w:r>
      <w:r>
        <w:tab/>
      </w:r>
      <w:r>
        <w:t xml:space="preserve">7</w:t>
      </w:r>
    </w:p>
    <w:p>
      <w:pPr>
        <w:pStyle w:val="toc2"/>
      </w:pPr>
      <w:r>
        <w:t xml:space="preserve">2.4 Research gap</w:t>
      </w:r>
      <w:r>
        <w:tab/>
      </w:r>
      <w:r>
        <w:t xml:space="preserve">8</w:t>
      </w:r>
    </w:p>
    <w:p>
      <w:pPr>
        <w:pStyle w:val="toc1"/>
      </w:pPr>
      <w:r>
        <w:t xml:space="preserve">Chapter 3 Framework and Hypotheses</w:t>
      </w:r>
      <w:r>
        <w:tab/>
      </w:r>
      <w:r>
        <w:t xml:space="preserve">9</w:t>
      </w:r>
    </w:p>
    <w:p>
      <w:pPr>
        <w:pStyle w:val="toc2"/>
      </w:pPr>
      <w:r>
        <w:t xml:space="preserve">3.1 Terms and rules for comparison</w:t>
      </w:r>
      <w:r>
        <w:tab/>
      </w:r>
      <w:r>
        <w:t xml:space="preserve">11</w:t>
      </w:r>
    </w:p>
    <w:p>
      <w:pPr>
        <w:pStyle w:val="toc2"/>
      </w:pPr>
      <w:r>
        <w:t xml:space="preserve">3.2 Three measures</w:t>
      </w:r>
      <w:r>
        <w:tab/>
      </w:r>
      <w:r>
        <w:t xml:space="preserve">12</w:t>
      </w:r>
    </w:p>
    <w:p>
      <w:pPr>
        <w:pStyle w:val="toc2"/>
      </w:pPr>
      <w:r>
        <w:t xml:space="preserve">3.3 Tracing a movement</w:t>
      </w:r>
      <w:r>
        <w:tab/>
      </w:r>
      <w:r>
        <w:t xml:space="preserve">13</w:t>
      </w:r>
    </w:p>
    <w:p>
      <w:pPr>
        <w:pStyle w:val="toc2"/>
      </w:pPr>
      <w:r>
        <w:t xml:space="preserve">3.4 Hypotheses</w:t>
      </w:r>
      <w:r>
        <w:tab/>
      </w:r>
      <w:r>
        <w:t xml:space="preserve">14</w:t>
      </w:r>
    </w:p>
    <w:p>
      <w:pPr>
        <w:pStyle w:val="toc2"/>
      </w:pPr>
      <w:r>
        <w:t xml:space="preserve">3.5 The entry test</w:t>
      </w:r>
      <w:r>
        <w:tab/>
      </w:r>
      <w:r>
        <w:t xml:space="preserve">16</w:t>
      </w:r>
    </w:p>
    <w:p>
      <w:pPr>
        <w:pStyle w:val="toc2"/>
      </w:pPr>
      <w:r>
        <w:t xml:space="preserve">3.6 Further analyses</w:t>
      </w:r>
      <w:r>
        <w:tab/>
      </w:r>
      <w:r>
        <w:t xml:space="preserve">17</w:t>
      </w:r>
    </w:p>
    <w:p>
      <w:pPr>
        <w:pStyle w:val="toc1"/>
      </w:pPr>
      <w:r>
        <w:t xml:space="preserve">Chapter 4 Data and Methods</w:t>
      </w:r>
      <w:r>
        <w:tab/>
      </w:r>
      <w:r>
        <w:t xml:space="preserve">19</w:t>
      </w:r>
    </w:p>
    <w:p>
      <w:pPr>
        <w:pStyle w:val="toc2"/>
      </w:pPr>
      <w:r>
        <w:t xml:space="preserve">4.1 The platform data</w:t>
      </w:r>
      <w:r>
        <w:tab/>
      </w:r>
      <w:r>
        <w:t xml:space="preserve">20</w:t>
      </w:r>
    </w:p>
    <w:p>
      <w:pPr>
        <w:pStyle w:val="toc2"/>
      </w:pPr>
      <w:r>
        <w:t xml:space="preserve">4.2 Measuring the wedge in Indonesia</w:t>
      </w:r>
      <w:r>
        <w:tab/>
      </w:r>
      <w:r>
        <w:t xml:space="preserve">21</w:t>
      </w:r>
    </w:p>
    <w:p>
      <w:pPr>
        <w:pStyle w:val="toc2"/>
      </w:pPr>
      <w:r>
        <w:t xml:space="preserve">4.3 Testing H1</w:t>
      </w:r>
      <w:r>
        <w:tab/>
      </w:r>
      <w:r>
        <w:t xml:space="preserve">22</w:t>
      </w:r>
    </w:p>
    <w:p>
      <w:pPr>
        <w:pStyle w:val="toc2"/>
      </w:pPr>
      <w:r>
        <w:t xml:space="preserve">4.4 Tracing the moves</w:t>
      </w:r>
      <w:r>
        <w:tab/>
      </w:r>
      <w:r>
        <w:t xml:space="preserve">22</w:t>
      </w:r>
    </w:p>
    <w:p>
      <w:pPr>
        <w:pStyle w:val="toc2"/>
      </w:pPr>
      <w:r>
        <w:t xml:space="preserve">4.5 Market values</w:t>
      </w:r>
      <w:r>
        <w:tab/>
      </w:r>
      <w:r>
        <w:t xml:space="preserve">23</w:t>
      </w:r>
    </w:p>
    <w:p>
      <w:pPr>
        <w:pStyle w:val="toc2"/>
      </w:pPr>
      <w:r>
        <w:t xml:space="preserve">4.6 The survey files and H2</w:t>
      </w:r>
      <w:r>
        <w:tab/>
      </w:r>
      <w:r>
        <w:t xml:space="preserve">24</w:t>
      </w:r>
    </w:p>
    <w:p>
      <w:pPr>
        <w:pStyle w:val="toc2"/>
      </w:pPr>
      <w:r>
        <w:t xml:space="preserve">4.7 The entry test and the extra sellers</w:t>
      </w:r>
      <w:r>
        <w:tab/>
      </w:r>
      <w:r>
        <w:t xml:space="preserve">24</w:t>
      </w:r>
    </w:p>
    <w:p>
      <w:pPr>
        <w:pStyle w:val="toc2"/>
      </w:pPr>
      <w:r>
        <w:t xml:space="preserve">4.8 Channels, records and reach</w:t>
      </w:r>
      <w:r>
        <w:tab/>
      </w:r>
      <w:r>
        <w:t xml:space="preserve">25</w:t>
      </w:r>
    </w:p>
    <w:p>
      <w:pPr>
        <w:pStyle w:val="toc2"/>
      </w:pPr>
      <w:r>
        <w:t xml:space="preserve">4.9 Comparing national figures</w:t>
      </w:r>
      <w:r>
        <w:tab/>
      </w:r>
      <w:r>
        <w:t xml:space="preserve">26</w:t>
      </w:r>
    </w:p>
    <w:p>
      <w:pPr>
        <w:pStyle w:val="toc2"/>
      </w:pPr>
      <w:r>
        <w:t xml:space="preserve">4.10 Labels, traceability and licensed data</w:t>
      </w:r>
      <w:r>
        <w:tab/>
      </w:r>
      <w:r>
        <w:t xml:space="preserve">27</w:t>
      </w:r>
    </w:p>
    <w:p>
      <w:pPr>
        <w:pStyle w:val="toc1"/>
      </w:pPr>
      <w:r>
        <w:t xml:space="preserve">Chapter 5 Results</w:t>
      </w:r>
      <w:r>
        <w:tab/>
      </w:r>
      <w:r>
        <w:t xml:space="preserve">29</w:t>
      </w:r>
    </w:p>
    <w:p>
      <w:pPr>
        <w:pStyle w:val="toc2"/>
      </w:pPr>
      <w:r>
        <w:t xml:space="preserve">5.1 How much revenue leaves out</w:t>
      </w:r>
      <w:r>
        <w:tab/>
      </w:r>
      <w:r>
        <w:t xml:space="preserve">30</w:t>
      </w:r>
    </w:p>
    <w:p>
      <w:pPr>
        <w:pStyle w:val="toc2"/>
      </w:pPr>
      <w:r>
        <w:t xml:space="preserve">5.2 Testing H1</w:t>
      </w:r>
      <w:r>
        <w:tab/>
      </w:r>
      <w:r>
        <w:t xml:space="preserve">31</w:t>
      </w:r>
    </w:p>
    <w:p>
      <w:pPr>
        <w:pStyle w:val="toc2"/>
      </w:pPr>
      <w:r>
        <w:t xml:space="preserve">5.3 What moved the take rate</w:t>
      </w:r>
      <w:r>
        <w:tab/>
      </w:r>
      <w:r>
        <w:t xml:space="preserve">33</w:t>
      </w:r>
    </w:p>
    <w:p>
      <w:pPr>
        <w:pStyle w:val="toc2"/>
      </w:pPr>
      <w:r>
        <w:t xml:space="preserve">5.4 What markets valued</w:t>
      </w:r>
      <w:r>
        <w:tab/>
      </w:r>
      <w:r>
        <w:t xml:space="preserve">35</w:t>
      </w:r>
    </w:p>
    <w:p>
      <w:pPr>
        <w:pStyle w:val="toc2"/>
      </w:pPr>
      <w:r>
        <w:t xml:space="preserve">5.5 The platforms and the sellers in 2023</w:t>
      </w:r>
      <w:r>
        <w:tab/>
      </w:r>
      <w:r>
        <w:t xml:space="preserve">36</w:t>
      </w:r>
    </w:p>
    <w:p>
      <w:pPr>
        <w:pStyle w:val="toc2"/>
      </w:pPr>
      <w:r>
        <w:t xml:space="preserve">5.6 H2 and the entry test</w:t>
      </w:r>
      <w:r>
        <w:tab/>
      </w:r>
      <w:r>
        <w:t xml:space="preserve">37</w:t>
      </w:r>
    </w:p>
    <w:p>
      <w:pPr>
        <w:pStyle w:val="toc2"/>
      </w:pPr>
      <w:r>
        <w:t xml:space="preserve">5.7 What the rise in the count contains</w:t>
      </w:r>
      <w:r>
        <w:tab/>
      </w:r>
      <w:r>
        <w:t xml:space="preserve">37</w:t>
      </w:r>
    </w:p>
    <w:p>
      <w:pPr>
        <w:pStyle w:val="toc2"/>
      </w:pPr>
      <w:r>
        <w:t xml:space="preserve">5.8 Who the extra sellers were</w:t>
      </w:r>
      <w:r>
        <w:tab/>
      </w:r>
      <w:r>
        <w:t xml:space="preserve">39</w:t>
      </w:r>
    </w:p>
    <w:p>
      <w:pPr>
        <w:pStyle w:val="toc2"/>
      </w:pPr>
      <w:r>
        <w:t xml:space="preserve">5.9 Channels and records</w:t>
      </w:r>
      <w:r>
        <w:tab/>
      </w:r>
      <w:r>
        <w:t xml:space="preserve">40</w:t>
      </w:r>
    </w:p>
    <w:p>
      <w:pPr>
        <w:pStyle w:val="toc2"/>
      </w:pPr>
      <w:r>
        <w:t xml:space="preserve">5.10 Why the national figures disagree</w:t>
      </w:r>
      <w:r>
        <w:tab/>
      </w:r>
      <w:r>
        <w:t xml:space="preserve">42</w:t>
      </w:r>
    </w:p>
    <w:p>
      <w:pPr>
        <w:pStyle w:val="toc1"/>
      </w:pPr>
      <w:r>
        <w:t xml:space="preserve">Chapter 6 Discussion and Policy Implications</w:t>
      </w:r>
      <w:r>
        <w:tab/>
      </w:r>
      <w:r>
        <w:t xml:space="preserve">44</w:t>
      </w:r>
    </w:p>
    <w:p>
      <w:pPr>
        <w:pStyle w:val="toc2"/>
      </w:pPr>
      <w:r>
        <w:t xml:space="preserve">6.1 The rules and what each acts on</w:t>
      </w:r>
      <w:r>
        <w:tab/>
      </w:r>
      <w:r>
        <w:t xml:space="preserve">44</w:t>
      </w:r>
    </w:p>
    <w:p>
      <w:pPr>
        <w:pStyle w:val="toc2"/>
      </w:pPr>
      <w:r>
        <w:t xml:space="preserve">6.2 What the commission cap and the discount rule can move</w:t>
      </w:r>
      <w:r>
        <w:tab/>
      </w:r>
      <w:r>
        <w:t xml:space="preserve">46</w:t>
      </w:r>
    </w:p>
    <w:p>
      <w:pPr>
        <w:pStyle w:val="toc2"/>
      </w:pPr>
      <w:r>
        <w:t xml:space="preserve">6.3 How far the marketplace tax reaches</w:t>
      </w:r>
      <w:r>
        <w:tab/>
      </w:r>
      <w:r>
        <w:t xml:space="preserve">48</w:t>
      </w:r>
    </w:p>
    <w:p>
      <w:pPr>
        <w:pStyle w:val="toc2"/>
      </w:pPr>
      <w:r>
        <w:t xml:space="preserve">6.4 What the statistics rules can change</w:t>
      </w:r>
      <w:r>
        <w:tab/>
      </w:r>
      <w:r>
        <w:t xml:space="preserve">49</w:t>
      </w:r>
    </w:p>
    <w:p>
      <w:pPr>
        <w:pStyle w:val="toc2"/>
      </w:pPr>
      <w:r>
        <w:t xml:space="preserve">6.5 What the registered predictions test</w:t>
      </w:r>
      <w:r>
        <w:tab/>
      </w:r>
      <w:r>
        <w:t xml:space="preserve">50</w:t>
      </w:r>
    </w:p>
    <w:p>
      <w:pPr>
        <w:pStyle w:val="toc2"/>
      </w:pPr>
      <w:r>
        <w:t xml:space="preserve">6.6 Beyond Indonesia</w:t>
      </w:r>
      <w:r>
        <w:tab/>
      </w:r>
      <w:r>
        <w:t xml:space="preserve">51</w:t>
      </w:r>
    </w:p>
    <w:p>
      <w:pPr>
        <w:pStyle w:val="toc1"/>
      </w:pPr>
      <w:r>
        <w:t xml:space="preserve">Chapter 7 Conclusion</w:t>
      </w:r>
      <w:r>
        <w:tab/>
      </w:r>
      <w:r>
        <w:t xml:space="preserve">52</w:t>
      </w:r>
    </w:p>
    <w:p>
      <w:pPr>
        <w:pStyle w:val="toc2"/>
      </w:pPr>
      <w:r>
        <w:t xml:space="preserve">7.1 The answer to the research question</w:t>
      </w:r>
      <w:r>
        <w:tab/>
      </w:r>
      <w:r>
        <w:t xml:space="preserve">52</w:t>
      </w:r>
    </w:p>
    <w:p>
      <w:pPr>
        <w:pStyle w:val="toc2"/>
      </w:pPr>
      <w:r>
        <w:t xml:space="preserve">7.2 What the thesis adds</w:t>
      </w:r>
      <w:r>
        <w:tab/>
      </w:r>
      <w:r>
        <w:t xml:space="preserve">53</w:t>
      </w:r>
    </w:p>
    <w:p>
      <w:pPr>
        <w:pStyle w:val="toc2"/>
      </w:pPr>
      <w:r>
        <w:t xml:space="preserve">7.3 Predictions that failed</w:t>
      </w:r>
      <w:r>
        <w:tab/>
      </w:r>
      <w:r>
        <w:t xml:space="preserve">54</w:t>
      </w:r>
    </w:p>
    <w:p>
      <w:pPr>
        <w:pStyle w:val="toc2"/>
      </w:pPr>
      <w:r>
        <w:t xml:space="preserve">7.4 Limits of the evidence</w:t>
      </w:r>
      <w:r>
        <w:tab/>
      </w:r>
      <w:r>
        <w:t xml:space="preserve">55</w:t>
      </w:r>
    </w:p>
    <w:p>
      <w:pPr>
        <w:pStyle w:val="toc2"/>
      </w:pPr>
      <w:r>
        <w:t xml:space="preserve">7.5 Further research</w:t>
      </w:r>
      <w:r>
        <w:tab/>
      </w:r>
      <w:r>
        <w:t xml:space="preserve">57</w:t>
      </w:r>
    </w:p>
    <w:p>
      <w:pPr>
        <w:pStyle w:val="toc1"/>
      </w:pPr>
      <w:r>
        <w:t xml:space="preserve">Appendices</w:t>
      </w:r>
      <w:r>
        <w:tab/>
      </w:r>
      <w:r>
        <w:t xml:space="preserve">58</w:t>
      </w:r>
    </w:p>
    <w:p>
      <w:pPr>
        <w:pStyle w:val="toc2"/>
      </w:pPr>
      <w:r>
        <w:t xml:space="preserve">Appendix A. Platforms, windows and the wedge by year</w:t>
      </w:r>
      <w:r>
        <w:tab/>
      </w:r>
      <w:r>
        <w:t xml:space="preserve">58</w:t>
      </w:r>
    </w:p>
    <w:p>
      <w:pPr>
        <w:pStyle w:val="toc2"/>
      </w:pPr>
      <w:r>
        <w:t xml:space="preserve">Appendix B. The checks on the test of H1</w:t>
      </w:r>
      <w:r>
        <w:tab/>
      </w:r>
      <w:r>
        <w:t xml:space="preserve">62</w:t>
      </w:r>
    </w:p>
    <w:p>
      <w:pPr>
        <w:pStyle w:val="toc2"/>
      </w:pPr>
      <w:r>
        <w:t xml:space="preserve">Appendix C. Registered tests and their outcomes</w:t>
      </w:r>
      <w:r>
        <w:tab/>
      </w:r>
      <w:r>
        <w:t xml:space="preserve">64</w:t>
      </w:r>
    </w:p>
    <w:p>
      <w:pPr>
        <w:pStyle w:val="toc2"/>
      </w:pPr>
      <w:r>
        <w:t xml:space="preserve">Appendix D. The values behind Figures 4 to 6</w:t>
      </w:r>
      <w:r>
        <w:tab/>
      </w:r>
      <w:r>
        <w:t xml:space="preserve">66</w:t>
      </w:r>
    </w:p>
    <w:p>
      <w:pPr>
        <w:pStyle w:val="toc1"/>
      </w:pPr>
      <w:r>
        <w:t xml:space="preserve">References</w:t>
      </w:r>
      <w:r>
        <w:tab/>
      </w:r>
      <w:r>
        <w:t xml:space="preserve">68</w:t>
      </w:r>
      <w:r>
        <w:fldChar w:fldCharType="end"/>
      </w:r>
    </w:p>
    <w:p>
      <w:pPr>
        <w:pStyle w:val="FrontHeading"/>
      </w:pPr>
      <w:r>
        <w:t xml:space="preserve">List of Tables</w:t>
      </w:r>
    </w:p>
    <w:p>
      <w:pPr>
        <w:pStyle w:val="tableoffigures"/>
      </w:pPr>
      <w:r>
        <w:fldChar w:fldCharType="begin"/>
      </w:r>
      <w:r>
        <w:instrText xml:space="preserve">TOC \t "Table Caption,1"</w:instrText>
      </w:r>
      <w:r>
        <w:fldChar w:fldCharType="separate"/>
      </w:r>
      <w:r>
        <w:t xml:space="preserve">Table 1. What the literature establishes and where it stops</w:t>
      </w:r>
      <w:r>
        <w:tab/>
      </w:r>
      <w:r>
        <w:t xml:space="preserve">8</w:t>
      </w:r>
    </w:p>
    <w:p>
      <w:pPr>
        <w:pStyle w:val="tableoffigures"/>
      </w:pPr>
      <w:r>
        <w:t xml:space="preserve">Table 2. Terms and symbols</w:t>
      </w:r>
      <w:r>
        <w:tab/>
      </w:r>
      <w:r>
        <w:t xml:space="preserve">11</w:t>
      </w:r>
    </w:p>
    <w:p>
      <w:pPr>
        <w:pStyle w:val="tableoffigures"/>
      </w:pPr>
      <w:r>
        <w:t xml:space="preserve">Table 3. Hypotheses, tests and what would count against them</w:t>
      </w:r>
      <w:r>
        <w:tab/>
      </w:r>
      <w:r>
        <w:t xml:space="preserve">15</w:t>
      </w:r>
    </w:p>
    <w:p>
      <w:pPr>
        <w:pStyle w:val="tableoffigures"/>
      </w:pPr>
      <w:r>
        <w:t xml:space="preserve">Table 4. Further analyses</w:t>
      </w:r>
      <w:r>
        <w:tab/>
      </w:r>
      <w:r>
        <w:t xml:space="preserve">17</w:t>
      </w:r>
    </w:p>
    <w:p>
      <w:pPr>
        <w:pStyle w:val="tableoffigures"/>
      </w:pPr>
      <w:r>
        <w:t xml:space="preserve">Table 5. The Indonesian and regional group of platforms</w:t>
      </w:r>
      <w:r>
        <w:tab/>
      </w:r>
      <w:r>
        <w:t xml:space="preserve">20</w:t>
      </w:r>
    </w:p>
    <w:p>
      <w:pPr>
        <w:pStyle w:val="tableoffigures"/>
      </w:pPr>
      <w:r>
        <w:t xml:space="preserve">Table 6. The three BPS survey files</w:t>
      </w:r>
      <w:r>
        <w:tab/>
      </w:r>
      <w:r>
        <w:t xml:space="preserve">24</w:t>
      </w:r>
    </w:p>
    <w:p>
      <w:pPr>
        <w:pStyle w:val="tableoffigures"/>
      </w:pPr>
      <w:r>
        <w:t xml:space="preserve">Table 7. Sources compared in Objective 3</w:t>
      </w:r>
      <w:r>
        <w:tab/>
      </w:r>
      <w:r>
        <w:t xml:space="preserve">27</w:t>
      </w:r>
    </w:p>
    <w:p>
      <w:pPr>
        <w:pStyle w:val="tableoffigures"/>
      </w:pPr>
      <w:r>
        <w:t xml:space="preserve">Table 8. Main results and the evidence behind them</w:t>
      </w:r>
      <w:r>
        <w:tab/>
      </w:r>
      <w:r>
        <w:t xml:space="preserve">29</w:t>
      </w:r>
    </w:p>
    <w:p>
      <w:pPr>
        <w:pStyle w:val="tableoffigures"/>
      </w:pPr>
      <w:r>
        <w:t xml:space="preserve">Table 9. The invisible wedge of three platforms, 2023 (US$ billion)</w:t>
      </w:r>
      <w:r>
        <w:tab/>
      </w:r>
      <w:r>
        <w:t xml:space="preserve">30</w:t>
      </w:r>
    </w:p>
    <w:p>
      <w:pPr>
        <w:pStyle w:val="tableoffigures"/>
      </w:pPr>
      <w:r>
        <w:t xml:space="preserve">Table 10. The test of H1</w:t>
      </w:r>
      <w:r>
        <w:tab/>
      </w:r>
      <w:r>
        <w:t xml:space="preserve">31</w:t>
      </w:r>
    </w:p>
    <w:p>
      <w:pPr>
        <w:pStyle w:val="tableoffigures"/>
      </w:pPr>
      <w:r>
        <w:t xml:space="preserve">Table 11. What moved revenue in seven Indonesian and regional windows (share of the growth of revenue, percent)</w:t>
      </w:r>
      <w:r>
        <w:tab/>
      </w:r>
      <w:r>
        <w:t xml:space="preserve">34</w:t>
      </w:r>
    </w:p>
    <w:p>
      <w:pPr>
        <w:pStyle w:val="tableoffigures"/>
      </w:pPr>
      <w:r>
        <w:t xml:space="preserve">Table 12. The 2023 rise in the count of online sellers (thousands)</w:t>
      </w:r>
      <w:r>
        <w:tab/>
      </w:r>
      <w:r>
        <w:t xml:space="preserve">38</w:t>
      </w:r>
    </w:p>
    <w:p>
      <w:pPr>
        <w:pStyle w:val="tableoffigures"/>
      </w:pPr>
      <w:r>
        <w:t xml:space="preserve">Table 13. Indonesia’s recent rules and what each acts on</w:t>
      </w:r>
      <w:r>
        <w:tab/>
      </w:r>
      <w:r>
        <w:t xml:space="preserve">45</w:t>
      </w:r>
    </w:p>
    <w:p>
      <w:pPr>
        <w:pStyle w:val="tableoffigures"/>
      </w:pPr>
      <w:r>
        <w:t xml:space="preserve">Table 14. Registered predictions on the 2026 rules</w:t>
      </w:r>
      <w:r>
        <w:tab/>
      </w:r>
      <w:r>
        <w:t xml:space="preserve">50</w:t>
      </w:r>
      <w:r>
        <w:fldChar w:fldCharType="end"/>
      </w:r>
    </w:p>
    <w:p>
      <w:pPr>
        <w:pStyle w:val="FrontHeading"/>
      </w:pPr>
      <w:r>
        <w:t xml:space="preserve">List of Figures</w:t>
      </w:r>
    </w:p>
    <w:p>
      <w:pPr>
        <w:pStyle w:val="tableoffigures"/>
      </w:pPr>
      <w:r>
        <w:fldChar w:fldCharType="begin"/>
      </w:r>
      <w:r>
        <w:instrText xml:space="preserve">TOC \t "Figure Caption,1"</w:instrText>
      </w:r>
      <w:r>
        <w:fldChar w:fldCharType="separate"/>
      </w:r>
      <w:r>
        <w:t xml:space="preserve">Figure 1. Three nested quantities and the two links.</w:t>
      </w:r>
      <w:r>
        <w:tab/>
      </w:r>
      <w:r>
        <w:t xml:space="preserve">10</w:t>
      </w:r>
    </w:p>
    <w:p>
      <w:pPr>
        <w:pStyle w:val="tableoffigures"/>
      </w:pPr>
      <w:r>
        <w:t xml:space="preserve">Figure 2. The thin take rate.</w:t>
      </w:r>
      <w:r>
        <w:tab/>
      </w:r>
      <w:r>
        <w:t xml:space="preserve">33</w:t>
      </w:r>
    </w:p>
    <w:p>
      <w:pPr>
        <w:pStyle w:val="tableoffigures"/>
      </w:pPr>
      <w:r>
        <w:t xml:space="preserve">Figure 3. Tokopedia, 2022 to 2023: two ways to split the rise in revenue.</w:t>
      </w:r>
      <w:r>
        <w:tab/>
      </w:r>
      <w:r>
        <w:t xml:space="preserve">34</w:t>
      </w:r>
    </w:p>
    <w:p>
      <w:pPr>
        <w:pStyle w:val="tableoffigures"/>
      </w:pPr>
      <w:r>
        <w:t xml:space="preserve">Figure 4. Growth in 2023 (percent).</w:t>
      </w:r>
      <w:r>
        <w:tab/>
      </w:r>
      <w:r>
        <w:t xml:space="preserve">36</w:t>
      </w:r>
    </w:p>
    <w:p>
      <w:pPr>
        <w:pStyle w:val="tableoffigures"/>
      </w:pPr>
      <w:r>
        <w:t xml:space="preserve">Figure 5. Who the extra sellers were.</w:t>
      </w:r>
      <w:r>
        <w:tab/>
      </w:r>
      <w:r>
        <w:t xml:space="preserve">39</w:t>
      </w:r>
    </w:p>
    <w:p>
      <w:pPr>
        <w:pStyle w:val="tableoffigures"/>
      </w:pPr>
      <w:r>
        <w:t xml:space="preserve">Figure 6. Marketplace use and financial statements, 2020 to 2024.</w:t>
      </w:r>
      <w:r>
        <w:tab/>
      </w:r>
      <w:r>
        <w:t xml:space="preserve">41</w:t>
      </w:r>
      <w:r>
        <w:fldChar w:fldCharType="end"/>
      </w:r>
    </w:p>
    <w:p>
      <w:pPr>
        <w:pStyle w:val="FrontHeading"/>
      </w:pPr>
      <w:r>
        <w:t xml:space="preserve">Symbols and Abbreviations</w:t>
      </w:r>
    </w:p>
    <w:p>
      <w:pPr>
        <w:pStyle w:val="BodyText"/>
      </w:pPr>
      <w:r>
        <w:t xml:space="preserve">Each symbol is defined in Chapter 3, where it first appears in a formula. The subscripts i and t mark the platform and the year.</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063"/>
        <w:gridCol w:w="6051"/>
        <w:gridCol w:w="1390"/>
      </w:tblGrid>
      <w:tr>
        <w:trPr>
          <w:tblHeader w:val="true"/>
          <w:cantSplit/>
          <w:tblHeader/>
        </w:trPr>
        <w:tc>
          <w:tcPr>
            <w:tcW w:w="1063" w:type="dxa"/>
            <w:tcBorders>
              <w:bottom w:val="single" w:sz="5" w:space="0" w:color="000000"/>
            </w:tcBorders>
          </w:tcPr>
          <w:p>
            <w:pPr>
              <w:pStyle w:val="Compact"/>
              <w:keepNext/>
              <w:spacing w:before="0" w:after="0" w:lineRule="exact" w:line="220"/>
              <w:jc w:val="left"/>
            </w:pPr>
            <w:r>
              <w:rPr>
                <w:b/>
                <w:sz w:val="18"/>
              </w:rPr>
              <w:t xml:space="preserve">Symbol</w:t>
            </w:r>
          </w:p>
        </w:tc>
        <w:tc>
          <w:tcPr>
            <w:tcW w:w="6051" w:type="dxa"/>
            <w:tcBorders>
              <w:bottom w:val="single" w:sz="5" w:space="0" w:color="000000"/>
            </w:tcBorders>
          </w:tcPr>
          <w:p>
            <w:pPr>
              <w:pStyle w:val="Compact"/>
              <w:keepNext/>
              <w:spacing w:before="0" w:after="0" w:lineRule="exact" w:line="220"/>
              <w:jc w:val="left"/>
            </w:pPr>
            <w:r>
              <w:rPr>
                <w:b/>
                <w:sz w:val="18"/>
              </w:rPr>
              <w:t xml:space="preserve">Meaning</w:t>
            </w:r>
          </w:p>
        </w:tc>
        <w:tc>
          <w:tcPr>
            <w:tcW w:w="1390" w:type="dxa"/>
            <w:tcBorders>
              <w:bottom w:val="single" w:sz="5" w:space="0" w:color="000000"/>
            </w:tcBorders>
          </w:tcPr>
          <w:p>
            <w:pPr>
              <w:pStyle w:val="Compact"/>
              <w:keepNext/>
              <w:spacing w:before="0" w:after="0" w:lineRule="exact" w:line="220"/>
              <w:jc w:val="left"/>
            </w:pPr>
            <w:r>
              <w:rPr>
                <w:b/>
                <w:sz w:val="18"/>
              </w:rPr>
              <w:t xml:space="preserve">First defined</w:t>
            </w:r>
          </w:p>
        </w:tc>
      </w:tr>
      <w:tr>
        <w:trPr>
          <w:cantSplit/>
        </w:trPr>
        <w:tc>
          <w:tcPr>
            <w:tcW w:w="1063" w:type="dxa"/>
          </w:tcPr>
          <w:p>
            <w:pPr>
              <w:pStyle w:val="Compact"/>
              <w:keepNext/>
              <w:spacing w:before="0" w:after="0" w:lineRule="exact" w:line="220"/>
              <w:jc w:val="left"/>
            </w:pPr>
            <w:r>
              <w:rPr>
                <w:sz w:val="18"/>
              </w:rPr>
              <w:t xml:space="preserve">V</w:t>
            </w:r>
          </w:p>
        </w:tc>
        <w:tc>
          <w:tcPr>
            <w:tcW w:w="6051" w:type="dxa"/>
          </w:tcPr>
          <w:p>
            <w:pPr>
              <w:pStyle w:val="Compact"/>
              <w:keepNext/>
              <w:spacing w:before="0" w:after="0" w:lineRule="exact" w:line="220"/>
              <w:jc w:val="left"/>
            </w:pPr>
            <w:r>
              <w:rPr>
                <w:sz w:val="18"/>
              </w:rPr>
              <w:t xml:space="preserve">Transaction value: everything bought through a platform in a period</w:t>
            </w:r>
          </w:p>
        </w:tc>
        <w:tc>
          <w:tcPr>
            <w:tcW w:w="1390" w:type="dxa"/>
          </w:tcPr>
          <w:p>
            <w:pPr>
              <w:pStyle w:val="Compact"/>
              <w:keepNext/>
              <w:spacing w:before="0" w:after="0" w:lineRule="exact" w:line="220"/>
              <w:jc w:val="left"/>
            </w:pPr>
            <w:r>
              <w:rPr>
                <w:sz w:val="18"/>
              </w:rPr>
              <w:t xml:space="preserve">Table 2</w:t>
            </w:r>
          </w:p>
        </w:tc>
      </w:tr>
      <w:tr>
        <w:trPr>
          <w:cantSplit/>
        </w:trPr>
        <w:tc>
          <w:tcPr>
            <w:tcW w:w="1063" w:type="dxa"/>
          </w:tcPr>
          <w:p>
            <w:pPr>
              <w:pStyle w:val="Compact"/>
              <w:keepNext/>
              <w:spacing w:before="0" w:after="0" w:lineRule="exact" w:line="220"/>
              <w:jc w:val="left"/>
            </w:pPr>
            <w:r>
              <w:rPr>
                <w:sz w:val="18"/>
              </w:rPr>
              <w:t xml:space="preserve">R</w:t>
            </w:r>
          </w:p>
        </w:tc>
        <w:tc>
          <w:tcPr>
            <w:tcW w:w="6051" w:type="dxa"/>
          </w:tcPr>
          <w:p>
            <w:pPr>
              <w:pStyle w:val="Compact"/>
              <w:keepNext/>
              <w:spacing w:before="0" w:after="0" w:lineRule="exact" w:line="220"/>
              <w:jc w:val="left"/>
            </w:pPr>
            <w:r>
              <w:rPr>
                <w:sz w:val="18"/>
              </w:rPr>
              <w:t xml:space="preserve">Revenue: what the platform records as its own income</w:t>
            </w:r>
          </w:p>
        </w:tc>
        <w:tc>
          <w:tcPr>
            <w:tcW w:w="1390" w:type="dxa"/>
          </w:tcPr>
          <w:p>
            <w:pPr>
              <w:pStyle w:val="Compact"/>
              <w:keepNext/>
              <w:spacing w:before="0" w:after="0" w:lineRule="exact" w:line="220"/>
              <w:jc w:val="left"/>
            </w:pPr>
            <w:r>
              <w:rPr>
                <w:sz w:val="18"/>
              </w:rPr>
              <w:t xml:space="preserve">Table 2</w:t>
            </w:r>
          </w:p>
        </w:tc>
      </w:tr>
      <w:tr>
        <w:trPr>
          <w:cantSplit/>
        </w:trPr>
        <w:tc>
          <w:tcPr>
            <w:tcW w:w="1063" w:type="dxa"/>
          </w:tcPr>
          <w:p>
            <w:pPr>
              <w:pStyle w:val="Compact"/>
              <w:spacing w:before="0" w:after="0" w:lineRule="exact" w:line="220"/>
              <w:jc w:val="left"/>
            </w:pPr>
            <w:r>
              <w:rPr>
                <w:sz w:val="18"/>
              </w:rPr>
              <w:t xml:space="preserve">m</w:t>
            </w:r>
          </w:p>
        </w:tc>
        <w:tc>
          <w:tcPr>
            <w:tcW w:w="6051" w:type="dxa"/>
          </w:tcPr>
          <w:p>
            <w:pPr>
              <w:pStyle w:val="Compact"/>
              <w:spacing w:before="0" w:after="0" w:lineRule="exact" w:line="220"/>
              <w:jc w:val="left"/>
            </w:pPr>
            <w:r>
              <w:rPr>
                <w:sz w:val="18"/>
              </w:rPr>
              <w:t xml:space="preserve">Take rate, R divided by V: the share of each sale the platform keeps</w:t>
            </w:r>
          </w:p>
        </w:tc>
        <w:tc>
          <w:tcPr>
            <w:tcW w:w="1390" w:type="dxa"/>
          </w:tcPr>
          <w:p>
            <w:pPr>
              <w:pStyle w:val="Compact"/>
              <w:spacing w:before="0" w:after="0" w:lineRule="exact" w:line="220"/>
              <w:jc w:val="left"/>
            </w:pPr>
            <w:r>
              <w:rPr>
                <w:sz w:val="18"/>
              </w:rPr>
              <w:t xml:space="preserve">Table 2</w:t>
            </w:r>
          </w:p>
        </w:tc>
      </w:tr>
      <w:tr>
        <w:trPr>
          <w:cantSplit/>
        </w:trPr>
        <w:tc>
          <w:tcPr>
            <w:tcW w:w="1063" w:type="dxa"/>
          </w:tcPr>
          <w:p>
            <w:pPr>
              <w:pStyle w:val="Compact"/>
              <w:spacing w:before="0" w:after="0" w:lineRule="exact" w:line="220"/>
              <w:jc w:val="left"/>
            </w:pPr>
            <w:r>
              <w:rPr>
                <w:sz w:val="18"/>
              </w:rPr>
              <w:t xml:space="preserve">f</w:t>
            </w:r>
          </w:p>
        </w:tc>
        <w:tc>
          <w:tcPr>
            <w:tcW w:w="6051" w:type="dxa"/>
          </w:tcPr>
          <w:p>
            <w:pPr>
              <w:pStyle w:val="Compact"/>
              <w:spacing w:before="0" w:after="0" w:lineRule="exact" w:line="220"/>
              <w:jc w:val="left"/>
            </w:pPr>
            <w:r>
              <w:rPr>
                <w:sz w:val="18"/>
              </w:rPr>
              <w:t xml:space="preserve">Fee rate: revenue before customer incentives, divided by V</w:t>
            </w:r>
          </w:p>
        </w:tc>
        <w:tc>
          <w:tcPr>
            <w:tcW w:w="1390" w:type="dxa"/>
          </w:tcPr>
          <w:p>
            <w:pPr>
              <w:pStyle w:val="Compact"/>
              <w:spacing w:before="0" w:after="0" w:lineRule="exact" w:line="220"/>
              <w:jc w:val="left"/>
            </w:pPr>
            <w:r>
              <w:rPr>
                <w:sz w:val="18"/>
              </w:rPr>
              <w:t xml:space="preserve">Table 2</w:t>
            </w:r>
          </w:p>
        </w:tc>
      </w:tr>
      <w:tr>
        <w:trPr>
          <w:cantSplit/>
        </w:trPr>
        <w:tc>
          <w:tcPr>
            <w:tcW w:w="1063" w:type="dxa"/>
          </w:tcPr>
          <w:p>
            <w:pPr>
              <w:pStyle w:val="Compact"/>
              <w:spacing w:before="0" w:after="0" w:lineRule="exact" w:line="220"/>
              <w:jc w:val="left"/>
            </w:pPr>
            <w:r>
              <w:rPr>
                <w:sz w:val="18"/>
              </w:rPr>
              <w:t xml:space="preserve">s</w:t>
            </w:r>
          </w:p>
        </w:tc>
        <w:tc>
          <w:tcPr>
            <w:tcW w:w="6051" w:type="dxa"/>
          </w:tcPr>
          <w:p>
            <w:pPr>
              <w:pStyle w:val="Compact"/>
              <w:spacing w:before="0" w:after="0" w:lineRule="exact" w:line="220"/>
              <w:jc w:val="left"/>
            </w:pPr>
            <w:r>
              <w:rPr>
                <w:sz w:val="18"/>
              </w:rPr>
              <w:t xml:space="preserve">Incentive rate: customer incentives divided by V</w:t>
            </w:r>
          </w:p>
        </w:tc>
        <w:tc>
          <w:tcPr>
            <w:tcW w:w="1390" w:type="dxa"/>
          </w:tcPr>
          <w:p>
            <w:pPr>
              <w:pStyle w:val="Compact"/>
              <w:spacing w:before="0" w:after="0" w:lineRule="exact" w:line="220"/>
              <w:jc w:val="left"/>
            </w:pPr>
            <w:r>
              <w:rPr>
                <w:sz w:val="18"/>
              </w:rPr>
              <w:t xml:space="preserve">Table 2</w:t>
            </w:r>
          </w:p>
        </w:tc>
      </w:tr>
      <w:tr>
        <w:trPr>
          <w:cantSplit/>
        </w:trPr>
        <w:tc>
          <w:tcPr>
            <w:tcW w:w="1063" w:type="dxa"/>
          </w:tcPr>
          <w:p>
            <w:pPr>
              <w:pStyle w:val="Compact"/>
              <w:spacing w:before="0" w:after="0" w:lineRule="exact" w:line="220"/>
              <w:jc w:val="left"/>
            </w:pPr>
            <w:r>
              <w:rPr>
                <w:sz w:val="18"/>
              </w:rPr>
              <w:t xml:space="preserve">W</w:t>
            </w:r>
          </w:p>
        </w:tc>
        <w:tc>
          <w:tcPr>
            <w:tcW w:w="6051" w:type="dxa"/>
          </w:tcPr>
          <w:p>
            <w:pPr>
              <w:pStyle w:val="Compact"/>
              <w:spacing w:before="0" w:after="0" w:lineRule="exact" w:line="220"/>
              <w:jc w:val="left"/>
            </w:pPr>
            <w:r>
              <w:rPr>
                <w:sz w:val="18"/>
              </w:rPr>
              <w:t xml:space="preserve">Invisible wedge, V minus R: what a revenue figure leaves out</w:t>
            </w:r>
          </w:p>
        </w:tc>
        <w:tc>
          <w:tcPr>
            <w:tcW w:w="1390" w:type="dxa"/>
          </w:tcPr>
          <w:p>
            <w:pPr>
              <w:pStyle w:val="Compact"/>
              <w:spacing w:before="0" w:after="0" w:lineRule="exact" w:line="220"/>
              <w:jc w:val="left"/>
            </w:pPr>
            <w:r>
              <w:rPr>
                <w:sz w:val="18"/>
              </w:rPr>
              <w:t xml:space="preserve">Equation (1)</w:t>
            </w:r>
          </w:p>
        </w:tc>
      </w:tr>
      <w:tr>
        <w:trPr>
          <w:cantSplit/>
        </w:trPr>
        <w:tc>
          <w:tcPr>
            <w:tcW w:w="1063" w:type="dxa"/>
          </w:tcPr>
          <w:p>
            <w:pPr>
              <w:pStyle w:val="Compact"/>
              <w:spacing w:before="0" w:after="0" w:lineRule="exact" w:line="220"/>
              <w:jc w:val="left"/>
            </w:pPr>
            <w:r>
              <w:rPr>
                <w:sz w:val="18"/>
              </w:rPr>
              <w:t xml:space="preserve">E</w:t>
            </w:r>
          </w:p>
        </w:tc>
        <w:tc>
          <w:tcPr>
            <w:tcW w:w="6051" w:type="dxa"/>
          </w:tcPr>
          <w:p>
            <w:pPr>
              <w:pStyle w:val="Compact"/>
              <w:spacing w:before="0" w:after="0" w:lineRule="exact" w:line="220"/>
              <w:jc w:val="left"/>
            </w:pPr>
            <w:r>
              <w:rPr>
                <w:sz w:val="18"/>
              </w:rPr>
              <w:t xml:space="preserve">Ecosystem ratio, W divided by R, equal to 1/m − 1 (the author’s own measure)</w:t>
            </w:r>
          </w:p>
        </w:tc>
        <w:tc>
          <w:tcPr>
            <w:tcW w:w="1390" w:type="dxa"/>
          </w:tcPr>
          <w:p>
            <w:pPr>
              <w:pStyle w:val="Compact"/>
              <w:spacing w:before="0" w:after="0" w:lineRule="exact" w:line="220"/>
              <w:jc w:val="left"/>
            </w:pPr>
            <w:r>
              <w:rPr>
                <w:sz w:val="18"/>
              </w:rPr>
              <w:t xml:space="preserve">Equation (2)</w:t>
            </w:r>
          </w:p>
        </w:tc>
      </w:tr>
      <w:tr>
        <w:trPr>
          <w:cantSplit/>
        </w:trPr>
        <w:tc>
          <w:tcPr>
            <w:tcW w:w="1063" w:type="dxa"/>
          </w:tcPr>
          <w:p>
            <w:pPr>
              <w:pStyle w:val="Compact"/>
              <w:spacing w:before="0" w:after="0" w:lineRule="exact" w:line="220"/>
              <w:jc w:val="left"/>
            </w:pPr>
            <w:r>
              <w:rPr>
                <w:sz w:val="18"/>
              </w:rPr>
              <w:t xml:space="preserve">g(·)</w:t>
            </w:r>
          </w:p>
        </w:tc>
        <w:tc>
          <w:tcPr>
            <w:tcW w:w="6051" w:type="dxa"/>
          </w:tcPr>
          <w:p>
            <w:pPr>
              <w:pStyle w:val="Compact"/>
              <w:spacing w:before="0" w:after="0" w:lineRule="exact" w:line="220"/>
              <w:jc w:val="left"/>
            </w:pPr>
            <w:r>
              <w:rPr>
                <w:sz w:val="18"/>
              </w:rPr>
              <w:t xml:space="preserve">Growth from one year to the next, as a share of the first year</w:t>
            </w:r>
          </w:p>
        </w:tc>
        <w:tc>
          <w:tcPr>
            <w:tcW w:w="1390" w:type="dxa"/>
          </w:tcPr>
          <w:p>
            <w:pPr>
              <w:pStyle w:val="Compact"/>
              <w:spacing w:before="0" w:after="0" w:lineRule="exact" w:line="220"/>
              <w:jc w:val="left"/>
            </w:pPr>
            <w:r>
              <w:rPr>
                <w:sz w:val="18"/>
              </w:rPr>
              <w:t xml:space="preserve">Table 2</w:t>
            </w:r>
          </w:p>
        </w:tc>
      </w:tr>
      <w:tr>
        <w:trPr>
          <w:cantSplit/>
        </w:trPr>
        <w:tc>
          <w:tcPr>
            <w:tcW w:w="1063" w:type="dxa"/>
          </w:tcPr>
          <w:p>
            <w:pPr>
              <w:pStyle w:val="Compact"/>
              <w:spacing w:before="0" w:after="0" w:lineRule="exact" w:line="220"/>
              <w:jc w:val="left"/>
            </w:pPr>
            <w:r>
              <w:rPr>
                <w:sz w:val="18"/>
              </w:rPr>
              <w:t xml:space="preserve">D</w:t>
            </w:r>
          </w:p>
        </w:tc>
        <w:tc>
          <w:tcPr>
            <w:tcW w:w="6051" w:type="dxa"/>
          </w:tcPr>
          <w:p>
            <w:pPr>
              <w:pStyle w:val="Compact"/>
              <w:spacing w:before="0" w:after="0" w:lineRule="exact" w:line="220"/>
              <w:jc w:val="left"/>
            </w:pPr>
            <w:r>
              <w:rPr>
                <w:sz w:val="18"/>
              </w:rPr>
              <w:t xml:space="preserve">Growth divergence, g(R) minus g(V)</w:t>
            </w:r>
          </w:p>
        </w:tc>
        <w:tc>
          <w:tcPr>
            <w:tcW w:w="1390" w:type="dxa"/>
          </w:tcPr>
          <w:p>
            <w:pPr>
              <w:pStyle w:val="Compact"/>
              <w:spacing w:before="0" w:after="0" w:lineRule="exact" w:line="220"/>
              <w:jc w:val="left"/>
            </w:pPr>
            <w:r>
              <w:rPr>
                <w:sz w:val="18"/>
              </w:rPr>
              <w:t xml:space="preserve">Equation (3)</w:t>
            </w:r>
          </w:p>
        </w:tc>
      </w:tr>
      <w:tr>
        <w:trPr>
          <w:cantSplit/>
        </w:trPr>
        <w:tc>
          <w:tcPr>
            <w:tcW w:w="1063" w:type="dxa"/>
          </w:tcPr>
          <w:p>
            <w:pPr>
              <w:pStyle w:val="Compact"/>
              <w:spacing w:before="0" w:after="0" w:lineRule="exact" w:line="220"/>
              <w:jc w:val="left"/>
            </w:pPr>
            <w:r>
              <w:rPr>
                <w:sz w:val="18"/>
              </w:rPr>
              <w:t xml:space="preserve">Δln X</w:t>
            </w:r>
          </w:p>
        </w:tc>
        <w:tc>
          <w:tcPr>
            <w:tcW w:w="6051" w:type="dxa"/>
          </w:tcPr>
          <w:p>
            <w:pPr>
              <w:pStyle w:val="Compact"/>
              <w:spacing w:before="0" w:after="0" w:lineRule="exact" w:line="220"/>
              <w:jc w:val="left"/>
            </w:pPr>
            <w:r>
              <w:rPr>
                <w:sz w:val="18"/>
              </w:rPr>
              <w:t xml:space="preserve">Change in the natural logarithm of X from one year to the next</w:t>
            </w:r>
          </w:p>
        </w:tc>
        <w:tc>
          <w:tcPr>
            <w:tcW w:w="1390" w:type="dxa"/>
          </w:tcPr>
          <w:p>
            <w:pPr>
              <w:pStyle w:val="Compact"/>
              <w:spacing w:before="0" w:after="0" w:lineRule="exact" w:line="220"/>
              <w:jc w:val="left"/>
            </w:pPr>
            <w:r>
              <w:rPr>
                <w:sz w:val="18"/>
              </w:rPr>
              <w:t xml:space="preserve">Equation (5)</w:t>
            </w:r>
          </w:p>
        </w:tc>
      </w:tr>
      <w:tr>
        <w:trPr>
          <w:cantSplit/>
        </w:trPr>
        <w:tc>
          <w:tcPr>
            <w:tcW w:w="1063" w:type="dxa"/>
          </w:tcPr>
          <w:p>
            <w:pPr>
              <w:pStyle w:val="Compact"/>
              <w:spacing w:before="0" w:after="0" w:lineRule="exact" w:line="220"/>
              <w:jc w:val="left"/>
            </w:pPr>
            <w:r>
              <w:rPr>
                <w:sz w:val="18"/>
              </w:rPr>
              <w:t xml:space="preserve">N</w:t>
            </w:r>
          </w:p>
        </w:tc>
        <w:tc>
          <w:tcPr>
            <w:tcW w:w="6051" w:type="dxa"/>
          </w:tcPr>
          <w:p>
            <w:pPr>
              <w:pStyle w:val="Compact"/>
              <w:spacing w:before="0" w:after="0" w:lineRule="exact" w:line="220"/>
              <w:jc w:val="left"/>
            </w:pPr>
            <w:r>
              <w:rPr>
                <w:sz w:val="18"/>
              </w:rPr>
              <w:t xml:space="preserve">BPS’s count of businesses selling online</w:t>
            </w:r>
          </w:p>
        </w:tc>
        <w:tc>
          <w:tcPr>
            <w:tcW w:w="1390" w:type="dxa"/>
          </w:tcPr>
          <w:p>
            <w:pPr>
              <w:pStyle w:val="Compact"/>
              <w:spacing w:before="0" w:after="0" w:lineRule="exact" w:line="220"/>
              <w:jc w:val="left"/>
            </w:pPr>
            <w:r>
              <w:rPr>
                <w:sz w:val="18"/>
              </w:rPr>
              <w:t xml:space="preserve">Equation (7)</w:t>
            </w:r>
          </w:p>
        </w:tc>
      </w:tr>
      <w:tr>
        <w:trPr>
          <w:cantSplit/>
        </w:trPr>
        <w:tc>
          <w:tcPr>
            <w:tcW w:w="1063" w:type="dxa"/>
          </w:tcPr>
          <w:p>
            <w:pPr>
              <w:pStyle w:val="Compact"/>
              <w:spacing w:before="0" w:after="0" w:lineRule="exact" w:line="220"/>
              <w:jc w:val="left"/>
            </w:pPr>
            <w:r>
              <w:rPr>
                <w:sz w:val="18"/>
              </w:rPr>
              <w:t xml:space="preserve">Y</w:t>
            </w:r>
          </w:p>
        </w:tc>
        <w:tc>
          <w:tcPr>
            <w:tcW w:w="6051" w:type="dxa"/>
          </w:tcPr>
          <w:p>
            <w:pPr>
              <w:pStyle w:val="Compact"/>
              <w:spacing w:before="0" w:after="0" w:lineRule="exact" w:line="220"/>
              <w:jc w:val="left"/>
            </w:pPr>
            <w:r>
              <w:rPr>
                <w:sz w:val="18"/>
              </w:rPr>
              <w:t xml:space="preserve">BPS’s total online sales value</w:t>
            </w:r>
          </w:p>
        </w:tc>
        <w:tc>
          <w:tcPr>
            <w:tcW w:w="1390" w:type="dxa"/>
          </w:tcPr>
          <w:p>
            <w:pPr>
              <w:pStyle w:val="Compact"/>
              <w:spacing w:before="0" w:after="0" w:lineRule="exact" w:line="220"/>
              <w:jc w:val="left"/>
            </w:pPr>
            <w:r>
              <w:rPr>
                <w:sz w:val="18"/>
              </w:rPr>
              <w:t xml:space="preserve">Equation (7)</w:t>
            </w:r>
          </w:p>
        </w:tc>
      </w:tr>
      <w:tr>
        <w:trPr>
          <w:cantSplit/>
        </w:trPr>
        <w:tc>
          <w:tcPr>
            <w:tcW w:w="1063" w:type="dxa"/>
          </w:tcPr>
          <w:p>
            <w:pPr>
              <w:pStyle w:val="Compact"/>
              <w:spacing w:before="0" w:after="0" w:lineRule="exact" w:line="220"/>
              <w:jc w:val="left"/>
            </w:pPr>
            <w:r>
              <w:rPr>
                <w:sz w:val="18"/>
              </w:rPr>
              <w:t xml:space="preserve">MV</w:t>
            </w:r>
          </w:p>
        </w:tc>
        <w:tc>
          <w:tcPr>
            <w:tcW w:w="6051" w:type="dxa"/>
          </w:tcPr>
          <w:p>
            <w:pPr>
              <w:pStyle w:val="Compact"/>
              <w:spacing w:before="0" w:after="0" w:lineRule="exact" w:line="220"/>
              <w:jc w:val="left"/>
            </w:pPr>
            <w:r>
              <w:rPr>
                <w:sz w:val="18"/>
              </w:rPr>
              <w:t xml:space="preserve">A listed platform’s market value</w:t>
            </w:r>
          </w:p>
        </w:tc>
        <w:tc>
          <w:tcPr>
            <w:tcW w:w="1390" w:type="dxa"/>
          </w:tcPr>
          <w:p>
            <w:pPr>
              <w:pStyle w:val="Compact"/>
              <w:spacing w:before="0" w:after="0" w:lineRule="exact" w:line="220"/>
              <w:jc w:val="left"/>
            </w:pPr>
            <w:r>
              <w:rPr>
                <w:sz w:val="18"/>
              </w:rPr>
              <w:t xml:space="preserve">Equation (8)</w:t>
            </w:r>
          </w:p>
        </w:tc>
      </w:tr>
      <w:tr>
        <w:trPr>
          <w:cantSplit/>
        </w:trPr>
        <w:tc>
          <w:tcPr>
            <w:tcW w:w="1063" w:type="dxa"/>
          </w:tcPr>
          <w:p>
            <w:pPr>
              <w:pStyle w:val="Compact"/>
              <w:keepNext/>
              <w:spacing w:before="0" w:after="0" w:lineRule="exact" w:line="220"/>
              <w:jc w:val="left"/>
            </w:pPr>
            <w:r>
              <w:rPr>
                <w:sz w:val="18"/>
              </w:rPr>
              <w:t xml:space="preserve">β</w:t>
            </w:r>
            <w:r>
              <w:rPr>
                <w:sz w:val="18"/>
                <w:vertAlign w:val="subscript"/>
              </w:rPr>
              <w:t xml:space="preserve">V</w:t>
            </w:r>
            <w:r>
              <w:rPr>
                <w:sz w:val="18"/>
              </w:rPr>
              <w:t xml:space="preserve">, β</w:t>
            </w:r>
            <w:r>
              <w:rPr>
                <w:sz w:val="18"/>
                <w:vertAlign w:val="subscript"/>
              </w:rPr>
              <w:t xml:space="preserve">m</w:t>
            </w:r>
          </w:p>
        </w:tc>
        <w:tc>
          <w:tcPr>
            <w:tcW w:w="6051" w:type="dxa"/>
          </w:tcPr>
          <w:p>
            <w:pPr>
              <w:pStyle w:val="Compact"/>
              <w:keepNext/>
              <w:spacing w:before="0" w:after="0" w:lineRule="exact" w:line="220"/>
              <w:jc w:val="left"/>
            </w:pPr>
            <w:r>
              <w:rPr>
                <w:sz w:val="18"/>
              </w:rPr>
              <w:t xml:space="preserve">How market value moves with transaction value and with the take rate</w:t>
            </w:r>
          </w:p>
        </w:tc>
        <w:tc>
          <w:tcPr>
            <w:tcW w:w="1390" w:type="dxa"/>
          </w:tcPr>
          <w:p>
            <w:pPr>
              <w:pStyle w:val="Compact"/>
              <w:keepNext/>
              <w:spacing w:before="0" w:after="0" w:lineRule="exact" w:line="220"/>
              <w:jc w:val="left"/>
            </w:pPr>
            <w:r>
              <w:rPr>
                <w:sz w:val="18"/>
              </w:rPr>
              <w:t xml:space="preserve">Equation (8)</w:t>
            </w:r>
          </w:p>
        </w:tc>
      </w:tr>
      <w:tr>
        <w:trPr>
          <w:cantSplit/>
        </w:trPr>
        <w:tc>
          <w:tcPr>
            <w:tcW w:w="1063" w:type="dxa"/>
          </w:tcPr>
          <w:p>
            <w:pPr>
              <w:pStyle w:val="Compact"/>
              <w:spacing w:before="0" w:after="0" w:lineRule="exact" w:line="220"/>
              <w:jc w:val="left"/>
            </w:pPr>
            <w:r>
              <w:rPr>
                <w:sz w:val="18"/>
              </w:rPr>
              <w:t xml:space="preserve">H1, H2</w:t>
            </w:r>
          </w:p>
        </w:tc>
        <w:tc>
          <w:tcPr>
            <w:tcW w:w="6051" w:type="dxa"/>
          </w:tcPr>
          <w:p>
            <w:pPr>
              <w:pStyle w:val="Compact"/>
              <w:spacing w:before="0" w:after="0" w:lineRule="exact" w:line="220"/>
              <w:jc w:val="left"/>
            </w:pPr>
            <w:r>
              <w:rPr>
                <w:sz w:val="18"/>
              </w:rPr>
              <w:t xml:space="preserve">The two hypotheses</w:t>
            </w:r>
          </w:p>
        </w:tc>
        <w:tc>
          <w:tcPr>
            <w:tcW w:w="1390" w:type="dxa"/>
          </w:tcPr>
          <w:p>
            <w:pPr>
              <w:pStyle w:val="Compact"/>
              <w:spacing w:before="0" w:after="0" w:lineRule="exact" w:line="220"/>
              <w:jc w:val="left"/>
            </w:pPr>
            <w:r>
              <w:rPr>
                <w:sz w:val="18"/>
              </w:rPr>
              <w:t xml:space="preserve">Section 3.4</w:t>
            </w:r>
          </w:p>
        </w:tc>
      </w:tr>
    </w:tbl>
    <w:p>
      <w:pPr>
        <w:pStyle w:val="BodyText"/>
        <w:spacing w:before="160"/>
      </w:pPr>
      <w:r>
        <w:t xml:space="preserve">The text spells out most names. These abbreviations remain.</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949"/>
        <w:gridCol w:w="6555"/>
      </w:tblGrid>
      <w:tr>
        <w:trPr>
          <w:tblHeader w:val="true"/>
          <w:cantSplit/>
          <w:tblHeader/>
        </w:trPr>
        <w:tc>
          <w:tcPr>
            <w:tcW w:w="1949" w:type="dxa"/>
            <w:tcBorders>
              <w:bottom w:val="single" w:sz="5" w:space="0" w:color="000000"/>
            </w:tcBorders>
          </w:tcPr>
          <w:p>
            <w:pPr>
              <w:pStyle w:val="Compact"/>
              <w:keepNext/>
              <w:spacing w:before="0" w:after="0" w:lineRule="exact" w:line="220"/>
              <w:jc w:val="left"/>
            </w:pPr>
            <w:r>
              <w:rPr>
                <w:b/>
                <w:sz w:val="18"/>
              </w:rPr>
              <w:t xml:space="preserve">Abbreviation</w:t>
            </w:r>
          </w:p>
        </w:tc>
        <w:tc>
          <w:tcPr>
            <w:tcW w:w="6555" w:type="dxa"/>
            <w:tcBorders>
              <w:bottom w:val="single" w:sz="5" w:space="0" w:color="000000"/>
            </w:tcBorders>
          </w:tcPr>
          <w:p>
            <w:pPr>
              <w:pStyle w:val="Compact"/>
              <w:keepNext/>
              <w:spacing w:before="0" w:after="0" w:lineRule="exact" w:line="220"/>
              <w:jc w:val="left"/>
            </w:pPr>
            <w:r>
              <w:rPr>
                <w:b/>
                <w:sz w:val="18"/>
              </w:rPr>
              <w:t xml:space="preserve">Meaning</w:t>
            </w:r>
          </w:p>
        </w:tc>
      </w:tr>
      <w:tr>
        <w:trPr>
          <w:cantSplit/>
        </w:trPr>
        <w:tc>
          <w:tcPr>
            <w:tcW w:w="1949" w:type="dxa"/>
          </w:tcPr>
          <w:p>
            <w:pPr>
              <w:pStyle w:val="Compact"/>
              <w:keepNext/>
              <w:spacing w:before="0" w:after="0" w:lineRule="exact" w:line="220"/>
              <w:jc w:val="left"/>
            </w:pPr>
            <w:r>
              <w:rPr>
                <w:sz w:val="18"/>
              </w:rPr>
              <w:t xml:space="preserve">BPS</w:t>
            </w:r>
          </w:p>
        </w:tc>
        <w:tc>
          <w:tcPr>
            <w:tcW w:w="6555" w:type="dxa"/>
          </w:tcPr>
          <w:p>
            <w:pPr>
              <w:pStyle w:val="Compact"/>
              <w:keepNext/>
              <w:spacing w:before="0" w:after="0" w:lineRule="exact" w:line="220"/>
              <w:jc w:val="left"/>
            </w:pPr>
            <w:r>
              <w:rPr>
                <w:sz w:val="18"/>
              </w:rPr>
              <w:t xml:space="preserve">Badan Pusat Statistik, Statistics Indonesia</w:t>
            </w:r>
          </w:p>
        </w:tc>
      </w:tr>
      <w:tr>
        <w:trPr>
          <w:cantSplit/>
        </w:trPr>
        <w:tc>
          <w:tcPr>
            <w:tcW w:w="1949" w:type="dxa"/>
          </w:tcPr>
          <w:p>
            <w:pPr>
              <w:pStyle w:val="Compact"/>
              <w:keepNext/>
              <w:spacing w:before="0" w:after="0" w:lineRule="exact" w:line="220"/>
              <w:jc w:val="left"/>
            </w:pPr>
            <w:r>
              <w:rPr>
                <w:sz w:val="18"/>
              </w:rPr>
              <w:t xml:space="preserve">GMV, GTV, TPV</w:t>
            </w:r>
          </w:p>
        </w:tc>
        <w:tc>
          <w:tcPr>
            <w:tcW w:w="6555" w:type="dxa"/>
          </w:tcPr>
          <w:p>
            <w:pPr>
              <w:pStyle w:val="Compact"/>
              <w:keepNext/>
              <w:spacing w:before="0" w:after="0" w:lineRule="exact" w:line="220"/>
              <w:jc w:val="left"/>
            </w:pPr>
            <w:r>
              <w:rPr>
                <w:sz w:val="18"/>
              </w:rPr>
              <w:t xml:space="preserve">Gross merchandise value, gross transaction value, total payment volume: company names for transaction value</w:t>
            </w:r>
          </w:p>
        </w:tc>
      </w:tr>
      <w:tr>
        <w:trPr>
          <w:cantSplit/>
        </w:trPr>
        <w:tc>
          <w:tcPr>
            <w:tcW w:w="1949" w:type="dxa"/>
          </w:tcPr>
          <w:p>
            <w:pPr>
              <w:pStyle w:val="Compact"/>
              <w:keepNext/>
              <w:spacing w:before="0" w:after="0" w:lineRule="exact" w:line="220"/>
              <w:jc w:val="left"/>
            </w:pPr>
            <w:r>
              <w:rPr>
                <w:sz w:val="18"/>
              </w:rPr>
              <w:t xml:space="preserve">IASB, IFRS 15</w:t>
            </w:r>
          </w:p>
        </w:tc>
        <w:tc>
          <w:tcPr>
            <w:tcW w:w="6555" w:type="dxa"/>
          </w:tcPr>
          <w:p>
            <w:pPr>
              <w:pStyle w:val="Compact"/>
              <w:keepNext/>
              <w:spacing w:before="0" w:after="0" w:lineRule="exact" w:line="220"/>
              <w:jc w:val="left"/>
            </w:pPr>
            <w:r>
              <w:rPr>
                <w:sz w:val="18"/>
              </w:rPr>
              <w:t xml:space="preserve">International Accounting Standards Board; International Financial Reporting Standard 15, its revenue standard</w:t>
            </w:r>
          </w:p>
        </w:tc>
      </w:tr>
      <w:tr>
        <w:trPr>
          <w:cantSplit/>
        </w:trPr>
        <w:tc>
          <w:tcPr>
            <w:tcW w:w="1949" w:type="dxa"/>
          </w:tcPr>
          <w:p>
            <w:pPr>
              <w:pStyle w:val="Compact"/>
              <w:keepNext/>
              <w:spacing w:before="0" w:after="0" w:lineRule="exact" w:line="220"/>
              <w:jc w:val="left"/>
            </w:pPr>
            <w:r>
              <w:rPr>
                <w:sz w:val="18"/>
              </w:rPr>
              <w:t xml:space="preserve">LSEG</w:t>
            </w:r>
          </w:p>
        </w:tc>
        <w:tc>
          <w:tcPr>
            <w:tcW w:w="6555" w:type="dxa"/>
          </w:tcPr>
          <w:p>
            <w:pPr>
              <w:pStyle w:val="Compact"/>
              <w:keepNext/>
              <w:spacing w:before="0" w:after="0" w:lineRule="exact" w:line="220"/>
              <w:jc w:val="left"/>
            </w:pPr>
            <w:r>
              <w:rPr>
                <w:sz w:val="18"/>
              </w:rPr>
              <w:t xml:space="preserve">London Stock Exchange Group, the source of market values</w:t>
            </w:r>
          </w:p>
        </w:tc>
      </w:tr>
      <w:tr>
        <w:trPr>
          <w:cantSplit/>
        </w:trPr>
        <w:tc>
          <w:tcPr>
            <w:tcW w:w="1949" w:type="dxa"/>
          </w:tcPr>
          <w:p>
            <w:pPr>
              <w:pStyle w:val="Compact"/>
              <w:keepNext/>
              <w:spacing w:before="0" w:after="0" w:lineRule="exact" w:line="220"/>
              <w:jc w:val="left"/>
            </w:pPr>
            <w:r>
              <w:rPr>
                <w:sz w:val="18"/>
              </w:rPr>
              <w:t xml:space="preserve">OECD</w:t>
            </w:r>
          </w:p>
        </w:tc>
        <w:tc>
          <w:tcPr>
            <w:tcW w:w="6555" w:type="dxa"/>
          </w:tcPr>
          <w:p>
            <w:pPr>
              <w:pStyle w:val="Compact"/>
              <w:keepNext/>
              <w:spacing w:before="0" w:after="0" w:lineRule="exact" w:line="220"/>
              <w:jc w:val="left"/>
            </w:pPr>
            <w:r>
              <w:rPr>
                <w:sz w:val="18"/>
              </w:rPr>
              <w:t xml:space="preserve">Organisation for Economic Co-operation and Development</w:t>
            </w:r>
          </w:p>
        </w:tc>
      </w:tr>
      <w:tr>
        <w:trPr>
          <w:cantSplit/>
        </w:trPr>
        <w:tc>
          <w:tcPr>
            <w:tcW w:w="1949" w:type="dxa"/>
          </w:tcPr>
          <w:p>
            <w:pPr>
              <w:pStyle w:val="Compact"/>
              <w:keepNext/>
              <w:spacing w:before="0" w:after="0" w:lineRule="exact" w:line="220"/>
              <w:jc w:val="left"/>
            </w:pPr>
            <w:r>
              <w:rPr>
                <w:sz w:val="18"/>
              </w:rPr>
              <w:t xml:space="preserve">QRIS</w:t>
            </w:r>
          </w:p>
        </w:tc>
        <w:tc>
          <w:tcPr>
            <w:tcW w:w="6555" w:type="dxa"/>
          </w:tcPr>
          <w:p>
            <w:pPr>
              <w:pStyle w:val="Compact"/>
              <w:keepNext/>
              <w:spacing w:before="0" w:after="0" w:lineRule="exact" w:line="220"/>
              <w:jc w:val="left"/>
            </w:pPr>
            <w:r>
              <w:rPr>
                <w:sz w:val="18"/>
              </w:rPr>
              <w:t xml:space="preserve">Quick Response Code Indonesian Standard, the national QR-code payment system</w:t>
            </w:r>
          </w:p>
        </w:tc>
      </w:tr>
      <w:tr>
        <w:trPr>
          <w:cantSplit/>
        </w:trPr>
        <w:tc>
          <w:tcPr>
            <w:tcW w:w="1949" w:type="dxa"/>
          </w:tcPr>
          <w:p>
            <w:pPr>
              <w:pStyle w:val="Compact"/>
              <w:keepNext/>
              <w:spacing w:before="0" w:after="0" w:lineRule="exact" w:line="220"/>
              <w:jc w:val="left"/>
            </w:pPr>
            <w:r>
              <w:rPr>
                <w:sz w:val="18"/>
              </w:rPr>
              <w:t xml:space="preserve">UNCTAD</w:t>
            </w:r>
          </w:p>
        </w:tc>
        <w:tc>
          <w:tcPr>
            <w:tcW w:w="6555" w:type="dxa"/>
          </w:tcPr>
          <w:p>
            <w:pPr>
              <w:pStyle w:val="Compact"/>
              <w:keepNext/>
              <w:spacing w:before="0" w:after="0" w:lineRule="exact" w:line="220"/>
              <w:jc w:val="left"/>
            </w:pPr>
            <w:r>
              <w:rPr>
                <w:sz w:val="18"/>
              </w:rPr>
              <w:t xml:space="preserve">United Nations Conference on Trade and Development</w:t>
            </w:r>
          </w:p>
        </w:tc>
      </w:tr>
      <w:tr>
        <w:trPr>
          <w:cantSplit/>
        </w:trPr>
        <w:tc>
          <w:tcPr>
            <w:tcW w:w="1949" w:type="dxa"/>
          </w:tcPr>
          <w:p>
            <w:pPr>
              <w:pStyle w:val="Compact"/>
              <w:spacing w:before="0" w:after="0" w:lineRule="exact" w:line="220"/>
              <w:jc w:val="left"/>
            </w:pPr>
            <w:r>
              <w:rPr>
                <w:sz w:val="18"/>
              </w:rPr>
              <w:t xml:space="preserve">Rp, US$</w:t>
            </w:r>
          </w:p>
        </w:tc>
        <w:tc>
          <w:tcPr>
            <w:tcW w:w="6555" w:type="dxa"/>
          </w:tcPr>
          <w:p>
            <w:pPr>
              <w:pStyle w:val="Compact"/>
              <w:spacing w:before="0" w:after="0" w:lineRule="exact" w:line="220"/>
              <w:jc w:val="left"/>
            </w:pPr>
            <w:r>
              <w:rPr>
                <w:sz w:val="18"/>
              </w:rPr>
              <w:t xml:space="preserve">Indonesian rupiah, US dollar</w:t>
            </w:r>
          </w:p>
        </w:tc>
      </w:tr>
    </w:tbl>
    <w:p>
      <w:pPr>
        <w:sectPr>
          <w:footerReference r:id="rId9" w:type="default"/>
          <w:footerReference w:type="first" r:id="rId10"/>
          <w:pgSz w:h="16838" w:w="11906"/>
          <w:pgMar w:bottom="1134" w:footer="567" w:header="850" w:left="2268" w:right="1134" w:top="1984"/>
          <w:pgNumType w:fmt="lowerRoman" w:start="1"/>
          <w:titlePg/>
        </w:sectPr>
      </w:pPr>
    </w:p>
    <w:bookmarkStart w:id="23" w:name="chapter-1-introduction"/>
    <w:p>
      <w:pPr>
        <w:pStyle w:val="Heading1"/>
      </w:pPr>
      <w:r>
        <w:t xml:space="preserve">Chapter 1 Introduction</w:t>
      </w:r>
    </w:p>
    <w:p>
      <w:pPr>
        <w:pStyle w:val="FirstParagraph"/>
      </w:pPr>
      <w:r>
        <w:t xml:space="preserve">Digital commerce has changed how goods and services are bought and sold. A growing part of it passes through platforms, such as online marketplaces and ride and delivery apps. Investors value platforms largely on their reported growth, and governments use the same figures to size their digital economies and to tax online sellers. The trade is large: businesses in 43 economies sold almost US$27 trillion online in 2022, by the United Nations’ estimate (UNCTAD 2024).</w:t>
      </w:r>
    </w:p>
    <w:p>
      <w:pPr>
        <w:pStyle w:val="BodyText"/>
      </w:pPr>
      <w:r>
        <w:t xml:space="preserve">Investors and governments each treat a figure as a stand-in for the commerce behind it, and a stand-in follows the commerce only while the link between them holds. A platform keeps just part of each sale, as commissions and fees, and the rest is the seller’s receipts, the driver’s fare or another amount that passes through. The share a platform keeps is not fixed, so revenue can grow even when the commerce it carries falls. National figures face a similar problem, because a survey can reach more, or different, businesses from one year to the next.</w:t>
      </w:r>
    </w:p>
    <w:p>
      <w:pPr>
        <w:pStyle w:val="BodyText"/>
      </w:pPr>
      <w:r>
        <w:t xml:space="preserve">In 2023, Indonesia’s figures moved away from the commerce they stand for. Tokopedia, an Indonesian online marketplace, saw its net revenue rise by 53 percent. Its transaction value, the value of what was bought through the platform, fell by 9 percent (GoTo Gojek Tokopedia 2024a, 2024b). Nationally, the statistics office, BPS, reported that online sales rose by about 41 percent (BPS 2025a), while the central bank’s measure of online shopping fell by about 5 percent (Bank Indonesia 2023; KabarBursa 2024).</w:t>
      </w:r>
    </w:p>
    <w:p>
      <w:pPr>
        <w:pStyle w:val="BodyText"/>
      </w:pPr>
      <w:r>
        <w:t xml:space="preserve">At Tokopedia, about 60 percent of the extra revenue came from smaller discounts and incentives, which a platform pays out of its own earnings (GoTo Gojek Tokopedia 2024b). So the share the platform kept had changed, not only the commerce. This thesis calls what a revenue-only measure leaves out the invisible wedge. It does not mean activity that goes unrecorded.</w:t>
      </w:r>
    </w:p>
    <w:p>
      <w:pPr>
        <w:pStyle w:val="BodyText"/>
      </w:pPr>
      <w:r>
        <w:t xml:space="preserve">Research explains why platform revenue and national sales figures can differ. It does not say when a figure stops moving with the activity it represents, or by how much. Answering that takes a platform’s revenue and transaction value over several years, and a national count of online sellers whose underlying answers can be examined.</w:t>
      </w:r>
    </w:p>
    <w:p>
      <w:pPr>
        <w:pStyle w:val="BodyText"/>
      </w:pPr>
      <w:r>
        <w:t xml:space="preserve">Indonesia allows the question to be tested. Several platforms report revenue and transaction value each year, and BPS asks online sellers when they began and how their sales changed. The two sources already differ on scale: for 2024, BPS gives about US$81 billion for online sales and the central bank about US$31 billion (BPS 2025b; Bank Indonesia 2025). New rules on platform commissions, discounts and tax act on these figures.</w:t>
      </w:r>
    </w:p>
    <w:p>
      <w:pPr>
        <w:pStyle w:val="BodyText"/>
      </w:pPr>
      <w:r>
        <w:t xml:space="preserve">Most online sellers work through messaging and social media, outside the marketplaces, so platform and survey figures are likely to disagree. In 2023, traders at Tanah Abang, a wholesale market in Jakarta, said their customers had moved to sellers on TikTok Shop (Agence France-Presse 2023). The government then banned transactions on social media platforms, and TikTok Shop closed in Indonesia soon after (Ministry of Trade of the Republic of Indonesia 2023; Mandagie 2023). The events of 2023 suggest that they did.</w:t>
      </w:r>
    </w:p>
    <w:bookmarkStart w:id="20" w:name="research-question-and-objectives"/>
    <w:p>
      <w:pPr>
        <w:pStyle w:val="Heading2"/>
      </w:pPr>
      <w:r>
        <w:t xml:space="preserve">1.1 Research question and objectives</w:t>
      </w:r>
    </w:p>
    <w:p>
      <w:pPr>
        <w:pStyle w:val="FirstParagraph"/>
      </w:pPr>
      <w:r>
        <w:t xml:space="preserve">This thesis sets out to change how the digital economy is measured. Most online commerce is missing from the platform figures on which companies are valued and sellers are taxed, and millions of the people who sell online are outside those figures altogether. Decisions worth trillions of dollars rest on numbers that show a fraction of the activity they are taken to describe. The ambition of this thesis is to bring the rest into view: to show how much of the online economy the current figures miss, where it is, and who is in it.</w:t>
      </w:r>
    </w:p>
    <w:p>
      <w:pPr>
        <w:pStyle w:val="BodyText"/>
      </w:pPr>
      <w:r>
        <w:t xml:space="preserve">Measuring what the current figures miss begins with one question: how much economic activity remains invisible when digital platforms are measured through their reported revenue, and when does that choice change the conclusion about growth? The question has two halves. The first concerns size, which is how much of the activity lies outside the figure. The second concerns growth, which is whether the figure still moves with the activity once prices or coverage change. A large wedge would matter less if it stayed in proportion; the second half asks whether it did.</w:t>
      </w:r>
    </w:p>
    <w:p>
      <w:pPr>
        <w:pStyle w:val="BodyText"/>
      </w:pPr>
      <w:r>
        <w:t xml:space="preserve">The research question is addressed through three objectives. The first is to measure the invisible wedge across the platform histories available from 2020 to 2025. The second is to reconcile selected large movements with disclosed changes in monetization, customer incentives, revenue recognition and reporting scope. The third is to compare the platform evidence with national e-commerce and payment figures, to test whether they give the same account of economic scale and growth.</w:t>
      </w:r>
    </w:p>
    <w:p>
      <w:pPr>
        <w:pStyle w:val="BodyText"/>
      </w:pPr>
      <w:r>
        <w:t xml:space="preserve">The thesis tests two hypotheses. H1 says that a platform’s revenue grows in proportion to its transaction value. H2 says that national e-commerce growth comes mainly from more businesses selling online, and less from higher sales per business. An entry test then asks whether a rise in the count of online sellers comes from sellers entering for the first time. A further analysis estimates how many sellers a rule built on platform records can reach.</w:t>
      </w:r>
    </w:p>
    <w:p>
      <w:pPr>
        <w:pStyle w:val="BodyText"/>
      </w:pPr>
      <w:r>
        <w:t xml:space="preserve">In brief: revenue shows only a small part of the commerce platforms carry, and marketplaces carry only about a fifth of online sales value in BPS’s survey. In Indonesia, platform revenue grew faster than the commerce behind it, mainly because platforms kept a larger share of each sale, not because buyers bought more. National growth came mainly from more sellers, as H2 states. But about half of the 2023 rise in the count of sellers is not explained by first-time entry.</w:t>
      </w:r>
    </w:p>
    <w:bookmarkEnd w:id="20"/>
    <w:bookmarkStart w:id="21" w:name="contributions"/>
    <w:p>
      <w:pPr>
        <w:pStyle w:val="Heading2"/>
      </w:pPr>
      <w:r>
        <w:t xml:space="preserve">1.2 Contributions</w:t>
      </w:r>
    </w:p>
    <w:p>
      <w:pPr>
        <w:pStyle w:val="FirstParagraph"/>
      </w:pPr>
      <w:r>
        <w:t xml:space="preserve">The thesis makes three contributions, one for each group that relies on these figures. They are investors, statistics offices, and the authorities that tax and regulate online selling.</w:t>
      </w:r>
    </w:p>
    <w:p>
      <w:pPr>
        <w:pStyle w:val="BodyText"/>
      </w:pPr>
      <w:r>
        <w:t xml:space="preserve">For investors, the thesis shows how small a part of the commerce a platform’s revenue records. That matters for value, because the market values of internet firms track revenue (Bowen, Davis and Rajgopal 2002). It matters for growth too: the larger the wedge is next to revenue, the more a small change in fees or discounts moves revenue growth. The thesis traces why revenue moved, which lets an investor check whether reported growth came from more commerce or from a larger share of each sale. A prediction registered in advance then tests how market value moves with revenue and with commerce.</w:t>
      </w:r>
    </w:p>
    <w:p>
      <w:pPr>
        <w:pStyle w:val="BodyText"/>
      </w:pPr>
      <w:r>
        <w:t xml:space="preserve">For statistics offices, the thesis shows where the commerce outside the platforms sits and tests what a rise in the count of online sellers represents. Most online sellers are small businesses that keep no financial statements. Each reports the year it began selling online, so the survey shows how much of a rise is first-time entry. The test was specified before the survey files were opened.</w:t>
      </w:r>
    </w:p>
    <w:p>
      <w:pPr>
        <w:pStyle w:val="BodyText"/>
      </w:pPr>
      <w:r>
        <w:t xml:space="preserve">For tax authorities and regulators, the thesis measures how far rules based on platform records reach. Such a rule reaches only the sellers who use platforms, so where most sellers work outside them, it covers a minority. The thesis also sets each recent rule, from the cap on ride-hailing commissions to the limit on discounts, against the figure it acts on. Several other countries have adopted similar rules, so the same question applies there.</w:t>
      </w:r>
    </w:p>
    <w:p>
      <w:pPr>
        <w:pStyle w:val="BodyText"/>
      </w:pPr>
      <w:r>
        <w:t xml:space="preserve">Earlier work has already compared platform transaction values with national e-commerce statistics. This thesis adds connected evidence for one country. It draws on the platforms’ accounts, the sellers’ own survey responses and the rules that act on both.</w:t>
      </w:r>
    </w:p>
    <w:bookmarkEnd w:id="21"/>
    <w:bookmarkStart w:id="22" w:name="structure-of-the-thesis"/>
    <w:p>
      <w:pPr>
        <w:pStyle w:val="Heading2"/>
      </w:pPr>
      <w:r>
        <w:t xml:space="preserve">1.3 Structure of the thesis</w:t>
      </w:r>
    </w:p>
    <w:p>
      <w:pPr>
        <w:pStyle w:val="FirstParagraph"/>
      </w:pPr>
      <w:r>
        <w:t xml:space="preserve">The thesis moves from ideas to evidence and then to what follows from it. Chapter 2 reviews why platform revenue differs from the commerce behind it, how online selling is measured, and what platform records can show. It ends with the questions the literature leaves open. Chapter 3 turns those questions into measures, two hypotheses, the entry test and four further analyses. Chapter 4 describes the data and the tests that use them. Chapter 5 gives the results, first for the platforms and then for the national figures. Chapter 6 asks how far Indonesia’s recent rules reach and what the findings mean for other countries. Chapter 7 concludes and states the limits of the evidence.</w:t>
      </w:r>
    </w:p>
    <w:bookmarkEnd w:id="22"/>
    <w:bookmarkEnd w:id="23"/>
    <w:bookmarkStart w:id="28" w:name="chapter-2-literature-review"/>
    <w:p>
      <w:pPr>
        <w:pStyle w:val="Heading1"/>
      </w:pPr>
      <w:r>
        <w:t xml:space="preserve">Chapter 2 Literature Review</w:t>
      </w:r>
    </w:p>
    <w:p>
      <w:pPr>
        <w:pStyle w:val="FirstParagraph"/>
      </w:pPr>
      <w:r>
        <w:t xml:space="preserve">Digital platforms sit between economic activity and the figures used to measure it. A platform carries a sale between a buyer and a seller. It records part of the payment as its own revenue, and it keeps a record of the whole sale. Different bodies of research study these steps. Platform economics and accounting explain why revenue is only part of each payment (Section 2.1). Official statistics explain how online sales across the country are measured (Section 2.2). Research on third-party information explains what a platform’s records can show to tax authorities (Section 2.3). Each body of research explains why the figures differ, but none measures how far they differ in practice. Section 2.4 sets out this research gap.</w:t>
      </w:r>
    </w:p>
    <w:bookmarkStart w:id="24" w:name="X2419545b11582f22f334485db35f4409c183a23"/>
    <w:p>
      <w:pPr>
        <w:pStyle w:val="Heading2"/>
      </w:pPr>
      <w:r>
        <w:t xml:space="preserve">2.1 Platform economics and revenue recognition</w:t>
      </w:r>
    </w:p>
    <w:p>
      <w:pPr>
        <w:pStyle w:val="FirstParagraph"/>
      </w:pPr>
      <w:r>
        <w:t xml:space="preserve">A platform reports two figures that describe its business: the value of the commerce it carries, and the revenue it keeps from them. Investors price that revenue: market values of internet firms track it, and share prices respond to revenue news beyond earnings news (Bowen, Davis and Rajgopal 2002; Davis 2002). Revenue is a fair guide to the commerce only if it keeps a steady share of that commerce.</w:t>
      </w:r>
    </w:p>
    <w:p>
      <w:pPr>
        <w:pStyle w:val="BodyText"/>
      </w:pPr>
      <w:r>
        <w:t xml:space="preserve">Platform economics explains why revenue is only a small share of the commerce. A platform serves two groups that need each other, such as shoppers and merchants, or riders and drivers. It sets its charges for both groups together and earns fees for arranging trades, not the value of each sale (Rochet and Tirole 2003; Armstrong 2006; Evans and Schmalensee 2016). The level of its charges and the split between the two groups are choices, so the platform can take more or less revenue from the same commerce (Rochet and Tirole 2003; Caillaud and Jullien 2003).</w:t>
      </w:r>
    </w:p>
    <w:p>
      <w:pPr>
        <w:pStyle w:val="BodyText"/>
      </w:pPr>
      <w:r>
        <w:t xml:space="preserve">Accounting rules add a second reason. Under the international standard, International Financial Reporting Standard 15 (IFRS 15), a company that only arranges a sale records its fee and not the full payment. If a rider pays 100 for a trip and the driver keeps 80, such a company records 20. Discounts and vouchers that it pays for are normally deducted from its revenue (International Accounting Standards Board 2014). So revenue can rise when a platform raises its fees or cuts its discounts, with no change in what customers buy.</w:t>
      </w:r>
    </w:p>
    <w:p>
      <w:pPr>
        <w:pStyle w:val="BodyText"/>
      </w:pPr>
      <w:r>
        <w:t xml:space="preserve">Platform economics and accounting explain why the share is small and why it can move, but they leave its actual size and movement to be measured. The pricing models were built to explain how a platform sets its charges, so they predict the direction of a change, not its size in a given market. The accounting studies asked how internet firms around 2000 chose to report revenue, not how far that revenue drifted from the commerce behind it (Bowen, Davis and Rajgopal 2002). Studies of how investors valued those firms, and how analysts forecast their revenue, relied on web traffic as their measure of activity (Trueman, Wong and Zhang 2000, 2001; Rajgopal, Venkatachalam and Kotha 2003).</w:t>
      </w:r>
    </w:p>
    <w:p>
      <w:pPr>
        <w:pStyle w:val="BodyText"/>
      </w:pPr>
      <w:r>
        <w:t xml:space="preserve">Transaction value also needs care, because each company defines it for itself. A figure of this kind loses information when its definition changes (Givoly, Li, Lourie and Nekrasov 2019). Testing whether revenue stays a fair guide needs the reported revenue and transaction value of the same platforms, over several years and on one definition. The studies reviewed here do not make that comparison, and none covers Indonesian platforms.</w:t>
      </w:r>
    </w:p>
    <w:bookmarkEnd w:id="24"/>
    <w:bookmarkStart w:id="25" w:name="measuring-the-digital-economy"/>
    <w:p>
      <w:pPr>
        <w:pStyle w:val="Heading2"/>
      </w:pPr>
      <w:r>
        <w:t xml:space="preserve">2.2 Measuring the digital economy</w:t>
      </w:r>
    </w:p>
    <w:p>
      <w:pPr>
        <w:pStyle w:val="FirstParagraph"/>
      </w:pPr>
      <w:r>
        <w:t xml:space="preserve">A country’s online commerce is larger than what platforms carry, because many sellers trade outside platforms. Several producers measure it, and each counts something different. Industry reports add up the value of goods sold through platforms (Google, Temasek and Bain 2024). Statistics offices, such as BPS in Indonesia, survey businesses about their online sales (BPS 2025a, 2025b). Central banks count electronic payments (Bank Indonesia 2025). The resulting values change with the definition used (UNCTAD 2023, 2024).</w:t>
      </w:r>
    </w:p>
    <w:p>
      <w:pPr>
        <w:pStyle w:val="BodyText"/>
      </w:pPr>
      <w:r>
        <w:t xml:space="preserve">National accounts separate the sale between a buyer and a seller from the platform’s fee, and they count only the fee as the platform’s output (Ahmad and Schreyer 2016; International Monetary Fund 2018; Organisation for Economic Co-operation and Development [OECD] 2023; European Commission et al. 2025).</w:t>
      </w:r>
    </w:p>
    <w:p>
      <w:pPr>
        <w:pStyle w:val="BodyText"/>
      </w:pPr>
      <w:r>
        <w:t xml:space="preserve">Research on measurement offers a method: test a figure against the activity it stands for, as studies of night-time lights do for national income (Henderson, Storeygard and Weil 2012). Growth in online sales can be split in the same spirit, into more sales by existing sellers and more sellers entering. Trade economists split a country’s exports in this way, into more of each good and more kinds of goods (Hummels and Klenow 2005).</w:t>
      </w:r>
    </w:p>
    <w:p>
      <w:pPr>
        <w:pStyle w:val="BodyText"/>
      </w:pPr>
      <w:r>
        <w:t xml:space="preserve">Official statistics and measurement research say what to count and how to check one figure against another. Neither follows platform figures and national figures through time in one country. The test of one figure against another has been applied to national income and night-time lights. Among the studies reviewed here, it has not been applied to platform commerce and national online sales.</w:t>
      </w:r>
    </w:p>
    <w:p>
      <w:pPr>
        <w:pStyle w:val="BodyText"/>
      </w:pPr>
      <w:r>
        <w:t xml:space="preserve">The growth split has its own difficulty, because it rests on a count of sellers. Such counts can mislead for known reasons. A change in survey design can create a break that looks like real change (van den Brakel, Smith and Compton 2008; van den Brakel, Zhang and Tam 2020). People tend to report past events as more recent than they were (Neter and Waksberg 1964). Small firms that stop are more often young firms with young owners (McKenzie and Paffhausen 2019). Published totals cannot show whether a rise in the count reflects new sellers or a wider survey, because they do not record when each seller began. That question needs the answers of the sellers themselves.</w:t>
      </w:r>
    </w:p>
    <w:bookmarkEnd w:id="25"/>
    <w:bookmarkStart w:id="26" w:name="X3ee77a008a85c18fceb22937f1808424e318f12"/>
    <w:p>
      <w:pPr>
        <w:pStyle w:val="Heading2"/>
      </w:pPr>
      <w:r>
        <w:t xml:space="preserve">2.3 Digital records and third-party information</w:t>
      </w:r>
    </w:p>
    <w:p>
      <w:pPr>
        <w:pStyle w:val="FirstParagraph"/>
      </w:pPr>
      <w:r>
        <w:t xml:space="preserve">A platform records every sale it carries: who sold what, to whom, for how much and when. Governments have begun to use these records for tax. The OECD, a group of mostly high-income countries, set out model rules under which platforms report what their sellers earn (OECD 2020). The European Union applies these rules through its DAC7 directive (European Union 2021). Indonesia goes further and requires marketplaces to collect tax from their sellers (Ministry of Finance of the Republic of Indonesia 2025).</w:t>
      </w:r>
    </w:p>
    <w:p>
      <w:pPr>
        <w:pStyle w:val="BodyText"/>
      </w:pPr>
      <w:r>
        <w:t xml:space="preserve">Tax research explains why such records matter. Reports from third parties improve compliance. In Denmark, evasion was close to zero on income that employers and banks reported, and substantial on income that taxpayers reported themselves (Kleven et al. 2011). In Chile, the paper trail of the value-added tax deters evasion, and enforcement spreads up the supply chain (Pomeranz 2015). In Brazil, rewards for asking for receipts raised the sales that firms reported (Naritomi 2019). Digital records can also hold information that conventional records lack (Berg, Burg, Gombovic and Puri 2020).</w:t>
      </w:r>
    </w:p>
    <w:p>
      <w:pPr>
        <w:pStyle w:val="BodyText"/>
      </w:pPr>
      <w:r>
        <w:t xml:space="preserve">Tax research shows that platform records are valuable where they exist. Its evidence comes from settings where a third party already sees the transaction, such as an employer paying wages or a firm buying from another firm. Online selling differs, because many sellers trade through messaging apps and social media, where no marketplace records the sale (BPS 2025a). How far a rule built on platform records can reach depends on how much selling happens on platforms. The studies reviewed here do not estimate that share for Indonesia.</w:t>
      </w:r>
    </w:p>
    <w:bookmarkEnd w:id="26"/>
    <w:bookmarkStart w:id="27" w:name="research-gap"/>
    <w:p>
      <w:pPr>
        <w:pStyle w:val="Heading2"/>
      </w:pPr>
      <w:r>
        <w:t xml:space="preserve">2.4 Research gap</w:t>
      </w:r>
    </w:p>
    <w:p>
      <w:pPr>
        <w:pStyle w:val="FirstParagraph"/>
      </w:pPr>
      <w:r>
        <w:t xml:space="preserve">The shortfalls identified in Sections 2.1 to 2.3 define the research gap. Table 1 sets them side by side.</w:t>
      </w:r>
    </w:p>
    <w:p>
      <w:pPr>
        <w:pStyle w:val="TableCaption"/>
      </w:pPr>
      <w:r>
        <w:rPr>
          <w:b/>
        </w:rPr>
        <w:t>Table 1.</w:t>
      </w:r>
      <w:r>
        <w:rPr>
          <w:b w:val="0"/>
        </w:rPr>
        <w:t xml:space="preserve"> What the literature establishes and where it stops</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325"/>
        <w:gridCol w:w="2393"/>
        <w:gridCol w:w="2393"/>
        <w:gridCol w:w="2393"/>
      </w:tblGrid>
      <w:tr>
        <w:trPr>
          <w:tblHeader w:val="true"/>
          <w:cantSplit/>
          <w:tblHeader/>
        </w:trPr>
        <w:tc>
          <w:tcPr>
            <w:tcW w:w="1325" w:type="dxa"/>
            <w:tcBorders>
              <w:bottom w:val="single" w:sz="5" w:space="0" w:color="000000"/>
            </w:tcBorders>
          </w:tcPr>
          <w:p>
            <w:pPr>
              <w:pStyle w:val="Compact"/>
              <w:keepNext/>
              <w:spacing w:before="0" w:after="0" w:lineRule="exact" w:line="220"/>
              <w:jc w:val="left"/>
            </w:pPr>
            <w:r>
              <w:rPr>
                <w:b/>
                <w:sz w:val="18"/>
              </w:rPr>
              <w:t xml:space="preserve">Section</w:t>
            </w:r>
          </w:p>
        </w:tc>
        <w:tc>
          <w:tcPr>
            <w:tcW w:w="2393" w:type="dxa"/>
            <w:tcBorders>
              <w:bottom w:val="single" w:sz="5" w:space="0" w:color="000000"/>
            </w:tcBorders>
          </w:tcPr>
          <w:p>
            <w:pPr>
              <w:pStyle w:val="Compact"/>
              <w:keepNext/>
              <w:spacing w:before="0" w:after="0" w:lineRule="exact" w:line="220"/>
              <w:jc w:val="left"/>
            </w:pPr>
            <w:r>
              <w:rPr>
                <w:b/>
                <w:sz w:val="18"/>
              </w:rPr>
              <w:t xml:space="preserve">What it establishes</w:t>
            </w:r>
          </w:p>
        </w:tc>
        <w:tc>
          <w:tcPr>
            <w:tcW w:w="2393" w:type="dxa"/>
            <w:tcBorders>
              <w:bottom w:val="single" w:sz="5" w:space="0" w:color="000000"/>
            </w:tcBorders>
          </w:tcPr>
          <w:p>
            <w:pPr>
              <w:pStyle w:val="Compact"/>
              <w:keepNext/>
              <w:spacing w:before="0" w:after="0" w:lineRule="exact" w:line="220"/>
              <w:jc w:val="left"/>
            </w:pPr>
            <w:r>
              <w:rPr>
                <w:b/>
                <w:sz w:val="18"/>
              </w:rPr>
              <w:t xml:space="preserve">Main sources</w:t>
            </w:r>
          </w:p>
        </w:tc>
        <w:tc>
          <w:tcPr>
            <w:tcW w:w="2393" w:type="dxa"/>
            <w:tcBorders>
              <w:bottom w:val="single" w:sz="5" w:space="0" w:color="000000"/>
            </w:tcBorders>
          </w:tcPr>
          <w:p>
            <w:pPr>
              <w:pStyle w:val="Compact"/>
              <w:keepNext/>
              <w:spacing w:before="0" w:after="0" w:lineRule="exact" w:line="220"/>
              <w:jc w:val="left"/>
            </w:pPr>
            <w:r>
              <w:rPr>
                <w:b/>
                <w:sz w:val="18"/>
              </w:rPr>
              <w:t xml:space="preserve">Where it stops</w:t>
            </w:r>
          </w:p>
        </w:tc>
      </w:tr>
      <w:tr>
        <w:trPr>
          <w:cantSplit/>
        </w:trPr>
        <w:tc>
          <w:tcPr>
            <w:tcW w:w="1325" w:type="dxa"/>
          </w:tcPr>
          <w:p>
            <w:pPr>
              <w:pStyle w:val="Compact"/>
              <w:keepNext/>
              <w:spacing w:before="0" w:after="0" w:lineRule="exact" w:line="220"/>
              <w:jc w:val="left"/>
            </w:pPr>
            <w:r>
              <w:rPr>
                <w:sz w:val="18"/>
              </w:rPr>
              <w:t xml:space="preserve">2.1 Platform economics and accounting</w:t>
            </w:r>
          </w:p>
        </w:tc>
        <w:tc>
          <w:tcPr>
            <w:tcW w:w="2393" w:type="dxa"/>
          </w:tcPr>
          <w:p>
            <w:pPr>
              <w:pStyle w:val="Compact"/>
              <w:keepNext/>
              <w:spacing w:before="0" w:after="0" w:lineRule="exact" w:line="220"/>
              <w:jc w:val="left"/>
            </w:pPr>
            <w:r>
              <w:rPr>
                <w:sz w:val="18"/>
              </w:rPr>
              <w:t xml:space="preserve">Revenue is a fee that is a small share of the commerce, and the share can move with pricing, discounts and accounting</w:t>
            </w:r>
          </w:p>
        </w:tc>
        <w:tc>
          <w:tcPr>
            <w:tcW w:w="2393" w:type="dxa"/>
          </w:tcPr>
          <w:p>
            <w:pPr>
              <w:pStyle w:val="Compact"/>
              <w:keepNext/>
              <w:spacing w:before="0" w:after="0" w:lineRule="exact" w:line="220"/>
              <w:jc w:val="left"/>
            </w:pPr>
            <w:r>
              <w:rPr>
                <w:sz w:val="18"/>
              </w:rPr>
              <w:t xml:space="preserve">Rochet and Tirole 2003; Armstrong 2006; IASB 2014</w:t>
            </w:r>
          </w:p>
        </w:tc>
        <w:tc>
          <w:tcPr>
            <w:tcW w:w="2393" w:type="dxa"/>
          </w:tcPr>
          <w:p>
            <w:pPr>
              <w:pStyle w:val="Compact"/>
              <w:keepNext/>
              <w:spacing w:before="0" w:after="0" w:lineRule="exact" w:line="220"/>
              <w:jc w:val="left"/>
            </w:pPr>
            <w:r>
              <w:rPr>
                <w:sz w:val="18"/>
              </w:rPr>
              <w:t xml:space="preserve">Whether reported revenue stays a fair guide to reported transaction value has not been tested, and not for Indonesian platforms</w:t>
            </w:r>
          </w:p>
        </w:tc>
      </w:tr>
      <w:tr>
        <w:trPr>
          <w:cantSplit/>
        </w:trPr>
        <w:tc>
          <w:tcPr>
            <w:tcW w:w="1325" w:type="dxa"/>
          </w:tcPr>
          <w:p>
            <w:pPr>
              <w:pStyle w:val="Compact"/>
              <w:keepNext/>
              <w:spacing w:before="0" w:after="0" w:lineRule="exact" w:line="220"/>
              <w:jc w:val="left"/>
            </w:pPr>
            <w:r>
              <w:rPr>
                <w:sz w:val="18"/>
              </w:rPr>
              <w:t xml:space="preserve">2.2 Official statistics and surveys</w:t>
            </w:r>
          </w:p>
        </w:tc>
        <w:tc>
          <w:tcPr>
            <w:tcW w:w="2393" w:type="dxa"/>
          </w:tcPr>
          <w:p>
            <w:pPr>
              <w:pStyle w:val="Compact"/>
              <w:keepNext/>
              <w:spacing w:before="0" w:after="0" w:lineRule="exact" w:line="220"/>
              <w:jc w:val="left"/>
            </w:pPr>
            <w:r>
              <w:rPr>
                <w:sz w:val="18"/>
              </w:rPr>
              <w:t xml:space="preserve">Platform commerce and platform revenue differ; sources differ; a count of sellers can break</w:t>
            </w:r>
          </w:p>
        </w:tc>
        <w:tc>
          <w:tcPr>
            <w:tcW w:w="2393" w:type="dxa"/>
          </w:tcPr>
          <w:p>
            <w:pPr>
              <w:pStyle w:val="Compact"/>
              <w:keepNext/>
              <w:spacing w:before="0" w:after="0" w:lineRule="exact" w:line="220"/>
              <w:jc w:val="left"/>
            </w:pPr>
            <w:r>
              <w:rPr>
                <w:sz w:val="18"/>
              </w:rPr>
              <w:t xml:space="preserve">Ahmad and Schreyer 2016; Henderson et al. 2012; van den Brakel et al. 2008</w:t>
            </w:r>
          </w:p>
        </w:tc>
        <w:tc>
          <w:tcPr>
            <w:tcW w:w="2393" w:type="dxa"/>
          </w:tcPr>
          <w:p>
            <w:pPr>
              <w:pStyle w:val="Compact"/>
              <w:keepNext/>
              <w:spacing w:before="0" w:after="0" w:lineRule="exact" w:line="220"/>
              <w:jc w:val="left"/>
            </w:pPr>
            <w:r>
              <w:rPr>
                <w:sz w:val="18"/>
              </w:rPr>
              <w:t xml:space="preserve">Platform and national figures have not been followed through time in one country, and published totals cannot show what a rise in the count of sellers contains</w:t>
            </w:r>
          </w:p>
        </w:tc>
      </w:tr>
      <w:tr>
        <w:trPr>
          <w:cantSplit/>
        </w:trPr>
        <w:tc>
          <w:tcPr>
            <w:tcW w:w="1325" w:type="dxa"/>
          </w:tcPr>
          <w:p>
            <w:pPr>
              <w:pStyle w:val="Compact"/>
              <w:spacing w:before="0" w:after="0" w:lineRule="exact" w:line="220"/>
              <w:jc w:val="left"/>
            </w:pPr>
            <w:r>
              <w:rPr>
                <w:sz w:val="18"/>
              </w:rPr>
              <w:t xml:space="preserve">2.3 Third-party information</w:t>
            </w:r>
          </w:p>
        </w:tc>
        <w:tc>
          <w:tcPr>
            <w:tcW w:w="2393" w:type="dxa"/>
          </w:tcPr>
          <w:p>
            <w:pPr>
              <w:pStyle w:val="Compact"/>
              <w:spacing w:before="0" w:after="0" w:lineRule="exact" w:line="220"/>
              <w:jc w:val="left"/>
            </w:pPr>
            <w:r>
              <w:rPr>
                <w:sz w:val="18"/>
              </w:rPr>
              <w:t xml:space="preserve">Platform records show sales, and third-party reports improve compliance</w:t>
            </w:r>
          </w:p>
        </w:tc>
        <w:tc>
          <w:tcPr>
            <w:tcW w:w="2393" w:type="dxa"/>
          </w:tcPr>
          <w:p>
            <w:pPr>
              <w:pStyle w:val="Compact"/>
              <w:spacing w:before="0" w:after="0" w:lineRule="exact" w:line="220"/>
              <w:jc w:val="left"/>
            </w:pPr>
            <w:r>
              <w:rPr>
                <w:sz w:val="18"/>
              </w:rPr>
              <w:t xml:space="preserve">Kleven et al. 2011; OECD 2020</w:t>
            </w:r>
          </w:p>
        </w:tc>
        <w:tc>
          <w:tcPr>
            <w:tcW w:w="2393" w:type="dxa"/>
          </w:tcPr>
          <w:p>
            <w:pPr>
              <w:pStyle w:val="Compact"/>
              <w:spacing w:before="0" w:after="0" w:lineRule="exact" w:line="220"/>
              <w:jc w:val="left"/>
            </w:pPr>
            <w:r>
              <w:rPr>
                <w:sz w:val="18"/>
              </w:rPr>
              <w:t xml:space="preserve">How much of online selling platform records cover has not been estimated for Indonesia</w:t>
            </w:r>
          </w:p>
        </w:tc>
      </w:tr>
    </w:tbl>
    <w:p>
      <w:pPr>
        <w:pStyle w:val="BodyText"/>
        <w:spacing w:before="160"/>
      </w:pPr>
      <w:r>
        <w:t xml:space="preserve">Each shortfall becomes one question for the thesis, and Chapter 3 sets out the tools that answer each.</w:t>
      </w:r>
    </w:p>
    <w:p>
      <w:pPr>
        <w:numPr>
          <w:ilvl w:val="0"/>
          <w:numId w:val="1001"/>
        </w:numPr>
        <w:pStyle w:val="Compact"/>
      </w:pPr>
      <w:r>
        <w:rPr>
          <w:bCs/>
          <w:b/>
        </w:rPr>
        <w:t xml:space="preserve">How large is the difference between transaction value and revenue, and does it last?</w:t>
      </w:r>
      <w:r>
        <w:t xml:space="preserve"> </w:t>
      </w:r>
      <w:r>
        <w:t xml:space="preserve">This follows from Section 2.1. It explains why the share is small and can move, but it does not test whether revenue stays a fair guide to the commerce.</w:t>
      </w:r>
    </w:p>
    <w:p>
      <w:pPr>
        <w:numPr>
          <w:ilvl w:val="0"/>
          <w:numId w:val="1001"/>
        </w:numPr>
        <w:pStyle w:val="Compact"/>
      </w:pPr>
      <w:r>
        <w:rPr>
          <w:bCs/>
          <w:b/>
        </w:rPr>
        <w:t xml:space="preserve">Does the choice of figure change the conclusion about growth?</w:t>
      </w:r>
      <w:r>
        <w:t xml:space="preserve"> </w:t>
      </w:r>
      <w:r>
        <w:t xml:space="preserve">This follows from Section 2.2. It shows that figures differ, but it does not test whether they grow for the same reasons, or what a rise in the count of sellers contains.</w:t>
      </w:r>
    </w:p>
    <w:p>
      <w:pPr>
        <w:numPr>
          <w:ilvl w:val="0"/>
          <w:numId w:val="1001"/>
        </w:numPr>
        <w:pStyle w:val="Compact"/>
      </w:pPr>
      <w:r>
        <w:rPr>
          <w:bCs/>
          <w:b/>
        </w:rPr>
        <w:t xml:space="preserve">How far can rules built on platform records reach?</w:t>
      </w:r>
      <w:r>
        <w:t xml:space="preserve"> </w:t>
      </w:r>
      <w:r>
        <w:t xml:space="preserve">This follows from Section 2.3. It shows that platform records are valuable, but not how much of online selling they cover.</w:t>
      </w:r>
    </w:p>
    <w:bookmarkEnd w:id="27"/>
    <w:bookmarkEnd w:id="28"/>
    <w:bookmarkStart w:id="38" w:name="chapter-3-framework-and-hypotheses"/>
    <w:p>
      <w:pPr>
        <w:pStyle w:val="Heading1"/>
      </w:pPr>
      <w:r>
        <w:t xml:space="preserve">Chapter 3 Framework and Hypotheses</w:t>
      </w:r>
    </w:p>
    <w:p>
      <w:pPr>
        <w:pStyle w:val="FirstParagraph"/>
      </w:pPr>
      <w:r>
        <w:t xml:space="preserve">Platform activity can be observed through several figures, and these figures do not measure the same economic object. Transaction value measures the commerce a platform carries. Revenue measures the part of that commerce the platform keeps. National statistics measure online sales across all sellers, whether or not they use a platform.</w:t>
      </w:r>
    </w:p>
    <w:p>
      <w:pPr>
        <w:pStyle w:val="BodyText"/>
      </w:pPr>
      <w:r>
        <w:t xml:space="preserve">The framework tests each figure against the activity it is used to represent, as studies of night-time lights do for national income (Henderson, Storeygard and Weil 2012). It starts from the difference between the value a platform processes and the revenue it recognizes. It then asks whether that relationship stays stable over time, and whether figures from other sources give the same account of online activity. Figure 1 shows the structure.</w:t>
      </w:r>
    </w:p>
    <w:p>
      <w:pPr>
        <w:pStyle w:val="BodyText"/>
      </w:pPr>
      <w:r>
        <w:t xml:space="preserve">Figure 1 places the three quantities inside one another. Revenue sits inside platform commerce, because a platform keeps only part of each sale. Platform commerce sits inside all online commerce, because many sellers trade outside platforms. The first hypothesis, H1, tests the inner link between revenue and platform commerce. The second, H2, tests the outer link between platform commerce and national online commerce.</w:t>
      </w:r>
    </w:p>
    <w:p>
      <w:pPr>
        <w:pStyle w:val="BodyText"/>
        <w:keepNext/>
        <w:spacing w:before="200" w:after="0" w:line="240" w:lineRule="auto"/>
        <w:jc w:val="center"/>
      </w:pPr>
      <w:r>
        <w:drawing>
          <wp:inline>
            <wp:extent cx="5400000" cy="2949134"/>
            <wp:effectExtent b="0" l="0" r="0" t="0"/>
            <wp:docPr descr="" title="" id="30" name="Picture"/>
            <a:graphic>
              <a:graphicData uri="http://schemas.openxmlformats.org/drawingml/2006/picture">
                <pic:pic>
                  <pic:nvPicPr>
                    <pic:cNvPr descr="figures/fig3_1_two_links.png" id="31" name="Picture"/>
                    <pic:cNvPicPr>
                      <a:picLocks noChangeArrowheads="1" noChangeAspect="1"/>
                    </pic:cNvPicPr>
                  </pic:nvPicPr>
                  <pic:blipFill>
                    <a:blip r:embed="rId29"/>
                    <a:stretch>
                      <a:fillRect/>
                    </a:stretch>
                  </pic:blipFill>
                  <pic:spPr bwMode="auto">
                    <a:xfrm>
                      <a:off x="0" y="0"/>
                      <a:ext cx="5400000" cy="2949134"/>
                    </a:xfrm>
                    <a:prstGeom prst="rect">
                      <a:avLst/>
                    </a:prstGeom>
                    <a:noFill/>
                    <a:ln w="9525">
                      <a:noFill/>
                      <a:headEnd/>
                      <a:tailEnd/>
                    </a:ln>
                  </pic:spPr>
                </pic:pic>
              </a:graphicData>
            </a:graphic>
          </wp:inline>
        </w:drawing>
      </w:r>
    </w:p>
    <w:p>
      <w:pPr>
        <w:pStyle w:val="FigureCaption"/>
        <w:keepNext/>
      </w:pPr>
      <w:r>
        <w:rPr>
          <w:b/>
        </w:rPr>
        <w:t>Figure 1.</w:t>
      </w:r>
      <w:r>
        <w:rPr>
          <w:b w:val="0"/>
        </w:rPr>
        <w:t xml:space="preserve"> Three nested quantities and the two links.</w:t>
      </w:r>
    </w:p>
    <w:p>
      <w:pPr>
        <w:pStyle w:val="TableNote"/>
      </w:pPr>
      <w:r>
        <w:t xml:space="preserve">Revenue sits inside platform commerce, which sits inside all online commerce. H1 tests the inner link and H2 the outer link.</w:t>
      </w:r>
    </w:p>
    <w:p>
      <w:pPr>
        <w:pStyle w:val="TableNote"/>
      </w:pPr>
      <w:r>
        <w:rPr>
          <w:iCs/>
          <w:i/>
        </w:rPr>
        <w:t xml:space="preserve">Note:</w:t>
      </w:r>
      <w:r>
        <w:t xml:space="preserve"> </w:t>
      </w:r>
      <w:r>
        <w:t xml:space="preserve">The figure is illustrative, and the sizes are not to scale. The platform circle differs from the marketplace channel in BPS’s survey of online sellers.</w:t>
      </w:r>
    </w:p>
    <w:p>
      <w:pPr>
        <w:pStyle w:val="BodyText"/>
      </w:pPr>
      <w:r>
        <w:t xml:space="preserve">The research question asks how much activity remains invisible when platforms are measured through revenue, and when that choice changes the conclusion about growth. The literature leaves three parts of it open (Section 2.4). The framework answers each with its own tools:</w:t>
      </w:r>
    </w:p>
    <w:p>
      <w:pPr>
        <w:numPr>
          <w:ilvl w:val="0"/>
          <w:numId w:val="1002"/>
        </w:numPr>
        <w:pStyle w:val="Compact"/>
      </w:pPr>
      <w:r>
        <w:rPr>
          <w:bCs/>
          <w:b/>
        </w:rPr>
        <w:t xml:space="preserve">How large the difference between transaction value and revenue is, and whether it lasts:</w:t>
      </w:r>
      <w:r>
        <w:t xml:space="preserve"> </w:t>
      </w:r>
      <w:r>
        <w:t xml:space="preserve">three measures, a split of revenue growth, and H1 (Sections 3.2 to 3.4).</w:t>
      </w:r>
    </w:p>
    <w:p>
      <w:pPr>
        <w:numPr>
          <w:ilvl w:val="0"/>
          <w:numId w:val="1002"/>
        </w:numPr>
        <w:pStyle w:val="Compact"/>
      </w:pPr>
      <w:r>
        <w:rPr>
          <w:bCs/>
          <w:b/>
        </w:rPr>
        <w:t xml:space="preserve">Whether the choice of figure changes the conclusion about growth:</w:t>
      </w:r>
      <w:r>
        <w:t xml:space="preserve"> </w:t>
      </w:r>
      <w:r>
        <w:t xml:space="preserve">H2, the entry test and a comparison of national figures (Sections 3.4 to 3.6).</w:t>
      </w:r>
    </w:p>
    <w:p>
      <w:pPr>
        <w:numPr>
          <w:ilvl w:val="0"/>
          <w:numId w:val="1002"/>
        </w:numPr>
        <w:pStyle w:val="Compact"/>
      </w:pPr>
      <w:r>
        <w:rPr>
          <w:bCs/>
          <w:b/>
        </w:rPr>
        <w:t xml:space="preserve">How far rules built on platform records reach:</w:t>
      </w:r>
      <w:r>
        <w:t xml:space="preserve"> </w:t>
      </w:r>
      <w:r>
        <w:t xml:space="preserve">how online selling divides between marketplaces and other channels (Section 3.6).</w:t>
      </w:r>
    </w:p>
    <w:p>
      <w:pPr>
        <w:pStyle w:val="FirstParagraph"/>
      </w:pPr>
      <w:r>
        <w:t xml:space="preserve">The three objectives set in Chapter 1 sit inside this map. Measuring the wedge and tracing its large moves serve the first question, and comparing platform figures with national and payment figures serves the second. The third question is answered by a further analysis.</w:t>
      </w:r>
    </w:p>
    <w:bookmarkStart w:id="32" w:name="terms-and-rules-for-comparison"/>
    <w:p>
      <w:pPr>
        <w:pStyle w:val="Heading2"/>
      </w:pPr>
      <w:r>
        <w:t xml:space="preserve">3.1 Terms and rules for comparison</w:t>
      </w:r>
    </w:p>
    <w:p>
      <w:pPr>
        <w:pStyle w:val="FirstParagraph"/>
      </w:pPr>
      <w:r>
        <w:t xml:space="preserve">Table 2 defines the terms used throughout the thesis, each once, with the symbol used in the formulas.</w:t>
      </w:r>
    </w:p>
    <w:p>
      <w:pPr>
        <w:pStyle w:val="TableCaption"/>
      </w:pPr>
      <w:r>
        <w:rPr>
          <w:b/>
        </w:rPr>
        <w:t>Table 2.</w:t>
      </w:r>
      <w:r>
        <w:rPr>
          <w:b w:val="0"/>
        </w:rPr>
        <w:t xml:space="preserve"> Terms and symbols</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778"/>
        <w:gridCol w:w="1005"/>
        <w:gridCol w:w="5721"/>
      </w:tblGrid>
      <w:tr>
        <w:trPr>
          <w:tblHeader w:val="true"/>
          <w:cantSplit/>
          <w:tblHeader/>
        </w:trPr>
        <w:tc>
          <w:tcPr>
            <w:tcW w:w="1778" w:type="dxa"/>
            <w:tcBorders>
              <w:bottom w:val="single" w:sz="5" w:space="0" w:color="000000"/>
            </w:tcBorders>
          </w:tcPr>
          <w:p>
            <w:pPr>
              <w:pStyle w:val="Compact"/>
              <w:keepNext/>
              <w:spacing w:before="0" w:after="0" w:lineRule="exact" w:line="220"/>
              <w:jc w:val="left"/>
            </w:pPr>
            <w:r>
              <w:rPr>
                <w:b/>
                <w:sz w:val="18"/>
              </w:rPr>
              <w:t xml:space="preserve">Term</w:t>
            </w:r>
          </w:p>
        </w:tc>
        <w:tc>
          <w:tcPr>
            <w:tcW w:w="1005" w:type="dxa"/>
            <w:tcBorders>
              <w:bottom w:val="single" w:sz="5" w:space="0" w:color="000000"/>
            </w:tcBorders>
          </w:tcPr>
          <w:p>
            <w:pPr>
              <w:pStyle w:val="Compact"/>
              <w:keepNext/>
              <w:spacing w:before="0" w:after="0" w:lineRule="exact" w:line="220"/>
              <w:jc w:val="left"/>
            </w:pPr>
            <w:r>
              <w:rPr>
                <w:b/>
                <w:sz w:val="18"/>
              </w:rPr>
              <w:t xml:space="preserve">Symbol</w:t>
            </w:r>
          </w:p>
        </w:tc>
        <w:tc>
          <w:tcPr>
            <w:tcW w:w="5721" w:type="dxa"/>
            <w:tcBorders>
              <w:bottom w:val="single" w:sz="5" w:space="0" w:color="000000"/>
            </w:tcBorders>
          </w:tcPr>
          <w:p>
            <w:pPr>
              <w:pStyle w:val="Compact"/>
              <w:keepNext/>
              <w:spacing w:before="0" w:after="0" w:lineRule="exact" w:line="220"/>
              <w:jc w:val="left"/>
            </w:pPr>
            <w:r>
              <w:rPr>
                <w:b/>
                <w:sz w:val="18"/>
              </w:rPr>
              <w:t xml:space="preserve">Meaning</w:t>
            </w:r>
          </w:p>
        </w:tc>
      </w:tr>
      <w:tr>
        <w:trPr>
          <w:cantSplit/>
        </w:trPr>
        <w:tc>
          <w:tcPr>
            <w:tcW w:w="1778" w:type="dxa"/>
          </w:tcPr>
          <w:p>
            <w:pPr>
              <w:pStyle w:val="Compact"/>
              <w:keepNext/>
              <w:spacing w:before="0" w:after="0" w:lineRule="exact" w:line="220"/>
              <w:jc w:val="left"/>
            </w:pPr>
            <w:r>
              <w:rPr>
                <w:sz w:val="18"/>
              </w:rPr>
              <w:t xml:space="preserve">Transaction value</w:t>
            </w:r>
          </w:p>
        </w:tc>
        <w:tc>
          <w:tcPr>
            <w:tcW w:w="1005" w:type="dxa"/>
          </w:tcPr>
          <w:p>
            <w:pPr>
              <w:pStyle w:val="Compact"/>
              <w:keepNext/>
              <w:spacing w:before="0" w:after="0" w:lineRule="exact" w:line="220"/>
              <w:jc w:val="left"/>
            </w:pPr>
            <w:r>
              <w:rPr>
                <w:sz w:val="18"/>
              </w:rPr>
              <w:t xml:space="preserve">V</w:t>
            </w:r>
          </w:p>
        </w:tc>
        <w:tc>
          <w:tcPr>
            <w:tcW w:w="5721" w:type="dxa"/>
          </w:tcPr>
          <w:p>
            <w:pPr>
              <w:pStyle w:val="Compact"/>
              <w:keepNext/>
              <w:spacing w:before="0" w:after="0" w:lineRule="exact" w:line="220"/>
              <w:jc w:val="left"/>
            </w:pPr>
            <w:r>
              <w:rPr>
                <w:sz w:val="18"/>
              </w:rPr>
              <w:t xml:space="preserve">Everything bought through a platform in a period, also called the commerce the platform carries. Companies call it gross merchandise value (GMV), gross transaction value (GTV) or total payment volume (TPV); the thesis treats these as one measure and notes where a company’s scope differs.</w:t>
            </w:r>
          </w:p>
        </w:tc>
      </w:tr>
      <w:tr>
        <w:trPr>
          <w:cantSplit/>
        </w:trPr>
        <w:tc>
          <w:tcPr>
            <w:tcW w:w="1778" w:type="dxa"/>
          </w:tcPr>
          <w:p>
            <w:pPr>
              <w:pStyle w:val="Compact"/>
              <w:keepNext/>
              <w:spacing w:before="0" w:after="0" w:lineRule="exact" w:line="220"/>
              <w:jc w:val="left"/>
            </w:pPr>
            <w:r>
              <w:rPr>
                <w:sz w:val="18"/>
              </w:rPr>
              <w:t xml:space="preserve">Revenue</w:t>
            </w:r>
          </w:p>
        </w:tc>
        <w:tc>
          <w:tcPr>
            <w:tcW w:w="1005" w:type="dxa"/>
          </w:tcPr>
          <w:p>
            <w:pPr>
              <w:pStyle w:val="Compact"/>
              <w:keepNext/>
              <w:spacing w:before="0" w:after="0" w:lineRule="exact" w:line="220"/>
              <w:jc w:val="left"/>
            </w:pPr>
            <w:r>
              <w:rPr>
                <w:sz w:val="18"/>
              </w:rPr>
              <w:t xml:space="preserve">R</w:t>
            </w:r>
          </w:p>
        </w:tc>
        <w:tc>
          <w:tcPr>
            <w:tcW w:w="5721" w:type="dxa"/>
          </w:tcPr>
          <w:p>
            <w:pPr>
              <w:pStyle w:val="Compact"/>
              <w:keepNext/>
              <w:spacing w:before="0" w:after="0" w:lineRule="exact" w:line="220"/>
              <w:jc w:val="left"/>
            </w:pPr>
            <w:r>
              <w:rPr>
                <w:sz w:val="18"/>
              </w:rPr>
              <w:t xml:space="preserve">What the platform recognizes as its own income in its accounts.</w:t>
            </w:r>
          </w:p>
        </w:tc>
      </w:tr>
      <w:tr>
        <w:trPr>
          <w:cantSplit/>
        </w:trPr>
        <w:tc>
          <w:tcPr>
            <w:tcW w:w="1778" w:type="dxa"/>
          </w:tcPr>
          <w:p>
            <w:pPr>
              <w:pStyle w:val="Compact"/>
              <w:spacing w:before="0" w:after="0" w:lineRule="exact" w:line="220"/>
              <w:jc w:val="left"/>
            </w:pPr>
            <w:r>
              <w:rPr>
                <w:sz w:val="18"/>
              </w:rPr>
              <w:t xml:space="preserve">Take rate</w:t>
            </w:r>
          </w:p>
        </w:tc>
        <w:tc>
          <w:tcPr>
            <w:tcW w:w="1005" w:type="dxa"/>
          </w:tcPr>
          <w:p>
            <w:pPr>
              <w:pStyle w:val="Compact"/>
              <w:spacing w:before="0" w:after="0" w:lineRule="exact" w:line="220"/>
              <w:jc w:val="left"/>
            </w:pPr>
            <w:r>
              <w:rPr>
                <w:sz w:val="18"/>
              </w:rPr>
              <w:t xml:space="preserve">m</w:t>
            </w:r>
          </w:p>
        </w:tc>
        <w:tc>
          <w:tcPr>
            <w:tcW w:w="5721" w:type="dxa"/>
          </w:tcPr>
          <w:p>
            <w:pPr>
              <w:pStyle w:val="Compact"/>
              <w:spacing w:before="0" w:after="0" w:lineRule="exact" w:line="220"/>
              <w:jc w:val="left"/>
            </w:pPr>
            <w:r>
              <w:rPr>
                <w:sz w:val="18"/>
              </w:rPr>
              <w:t xml:space="preserve">Revenue divided by transaction value: the share of each sale that the platform keeps.</w:t>
            </w:r>
          </w:p>
        </w:tc>
      </w:tr>
      <w:tr>
        <w:trPr>
          <w:cantSplit/>
        </w:trPr>
        <w:tc>
          <w:tcPr>
            <w:tcW w:w="1778" w:type="dxa"/>
          </w:tcPr>
          <w:p>
            <w:pPr>
              <w:pStyle w:val="Compact"/>
              <w:spacing w:before="0" w:after="0" w:lineRule="exact" w:line="220"/>
              <w:jc w:val="left"/>
            </w:pPr>
            <w:r>
              <w:rPr>
                <w:sz w:val="18"/>
              </w:rPr>
              <w:t xml:space="preserve">Customer incentives</w:t>
            </w:r>
          </w:p>
        </w:tc>
        <w:tc>
          <w:tcPr>
            <w:tcW w:w="1005" w:type="dxa"/>
          </w:tcPr>
          <w:p>
            <w:pPr>
              <w:pStyle w:val="Compact"/>
              <w:spacing w:before="0" w:after="0" w:lineRule="exact" w:line="220"/>
              <w:jc w:val="left"/>
            </w:pPr>
          </w:p>
        </w:tc>
        <w:tc>
          <w:tcPr>
            <w:tcW w:w="5721" w:type="dxa"/>
          </w:tcPr>
          <w:p>
            <w:pPr>
              <w:pStyle w:val="Compact"/>
              <w:spacing w:before="0" w:after="0" w:lineRule="exact" w:line="220"/>
              <w:jc w:val="left"/>
            </w:pPr>
            <w:r>
              <w:rPr>
                <w:sz w:val="18"/>
              </w:rPr>
              <w:t xml:space="preserve">Discounts, vouchers and other promotions that a platform pays for. Accounting rules normally deduct them from revenue, and Tokopedia reports the deduction as a separate line.</w:t>
            </w:r>
          </w:p>
        </w:tc>
      </w:tr>
      <w:tr>
        <w:trPr>
          <w:cantSplit/>
        </w:trPr>
        <w:tc>
          <w:tcPr>
            <w:tcW w:w="1778" w:type="dxa"/>
          </w:tcPr>
          <w:p>
            <w:pPr>
              <w:pStyle w:val="Compact"/>
              <w:spacing w:before="0" w:after="0" w:lineRule="exact" w:line="220"/>
              <w:jc w:val="left"/>
            </w:pPr>
            <w:r>
              <w:rPr>
                <w:sz w:val="18"/>
              </w:rPr>
              <w:t xml:space="preserve">Fee rate</w:t>
            </w:r>
          </w:p>
        </w:tc>
        <w:tc>
          <w:tcPr>
            <w:tcW w:w="1005" w:type="dxa"/>
          </w:tcPr>
          <w:p>
            <w:pPr>
              <w:pStyle w:val="Compact"/>
              <w:spacing w:before="0" w:after="0" w:lineRule="exact" w:line="220"/>
              <w:jc w:val="left"/>
            </w:pPr>
            <w:r>
              <w:rPr>
                <w:sz w:val="18"/>
              </w:rPr>
              <w:t xml:space="preserve">f</w:t>
            </w:r>
          </w:p>
        </w:tc>
        <w:tc>
          <w:tcPr>
            <w:tcW w:w="5721" w:type="dxa"/>
          </w:tcPr>
          <w:p>
            <w:pPr>
              <w:pStyle w:val="Compact"/>
              <w:spacing w:before="0" w:after="0" w:lineRule="exact" w:line="220"/>
              <w:jc w:val="left"/>
            </w:pPr>
            <w:r>
              <w:rPr>
                <w:sz w:val="18"/>
              </w:rPr>
              <w:t xml:space="preserve">The platform’s revenue before customer incentives, divided by transaction value.</w:t>
            </w:r>
          </w:p>
        </w:tc>
      </w:tr>
      <w:tr>
        <w:trPr>
          <w:cantSplit/>
        </w:trPr>
        <w:tc>
          <w:tcPr>
            <w:tcW w:w="1778" w:type="dxa"/>
          </w:tcPr>
          <w:p>
            <w:pPr>
              <w:pStyle w:val="Compact"/>
              <w:spacing w:before="0" w:after="0" w:lineRule="exact" w:line="220"/>
              <w:jc w:val="left"/>
            </w:pPr>
            <w:r>
              <w:rPr>
                <w:sz w:val="18"/>
              </w:rPr>
              <w:t xml:space="preserve">Incentive rate</w:t>
            </w:r>
          </w:p>
        </w:tc>
        <w:tc>
          <w:tcPr>
            <w:tcW w:w="1005" w:type="dxa"/>
          </w:tcPr>
          <w:p>
            <w:pPr>
              <w:pStyle w:val="Compact"/>
              <w:spacing w:before="0" w:after="0" w:lineRule="exact" w:line="220"/>
              <w:jc w:val="left"/>
            </w:pPr>
            <w:r>
              <w:rPr>
                <w:sz w:val="18"/>
              </w:rPr>
              <w:t xml:space="preserve">s</w:t>
            </w:r>
          </w:p>
        </w:tc>
        <w:tc>
          <w:tcPr>
            <w:tcW w:w="5721" w:type="dxa"/>
          </w:tcPr>
          <w:p>
            <w:pPr>
              <w:pStyle w:val="Compact"/>
              <w:spacing w:before="0" w:after="0" w:lineRule="exact" w:line="220"/>
              <w:jc w:val="left"/>
            </w:pPr>
            <w:r>
              <w:rPr>
                <w:sz w:val="18"/>
              </w:rPr>
              <w:t xml:space="preserve">Customer incentives divided by transaction value.</w:t>
            </w:r>
          </w:p>
        </w:tc>
      </w:tr>
      <w:tr>
        <w:trPr>
          <w:cantSplit/>
        </w:trPr>
        <w:tc>
          <w:tcPr>
            <w:tcW w:w="1778" w:type="dxa"/>
          </w:tcPr>
          <w:p>
            <w:pPr>
              <w:pStyle w:val="Compact"/>
              <w:spacing w:before="0" w:after="0" w:lineRule="exact" w:line="220"/>
              <w:jc w:val="left"/>
            </w:pPr>
            <w:r>
              <w:rPr>
                <w:sz w:val="18"/>
              </w:rPr>
              <w:t xml:space="preserve">Invisible wedge</w:t>
            </w:r>
          </w:p>
        </w:tc>
        <w:tc>
          <w:tcPr>
            <w:tcW w:w="1005" w:type="dxa"/>
          </w:tcPr>
          <w:p>
            <w:pPr>
              <w:pStyle w:val="Compact"/>
              <w:spacing w:before="0" w:after="0" w:lineRule="exact" w:line="220"/>
              <w:jc w:val="left"/>
            </w:pPr>
            <w:r>
              <w:rPr>
                <w:sz w:val="18"/>
              </w:rPr>
              <w:t xml:space="preserve">W</w:t>
            </w:r>
          </w:p>
        </w:tc>
        <w:tc>
          <w:tcPr>
            <w:tcW w:w="5721" w:type="dxa"/>
          </w:tcPr>
          <w:p>
            <w:pPr>
              <w:pStyle w:val="Compact"/>
              <w:spacing w:before="0" w:after="0" w:lineRule="exact" w:line="220"/>
              <w:jc w:val="left"/>
            </w:pPr>
            <w:r>
              <w:rPr>
                <w:sz w:val="18"/>
              </w:rPr>
              <w:t xml:space="preserve">Transaction value minus revenue: what a revenue figure leaves out. It is defined for one platform. The thesis sums it over three platforms in Indonesia for 2023 and computes no national total.</w:t>
            </w:r>
          </w:p>
        </w:tc>
      </w:tr>
      <w:tr>
        <w:trPr>
          <w:cantSplit/>
        </w:trPr>
        <w:tc>
          <w:tcPr>
            <w:tcW w:w="1778" w:type="dxa"/>
          </w:tcPr>
          <w:p>
            <w:pPr>
              <w:pStyle w:val="Compact"/>
              <w:spacing w:before="0" w:after="0" w:lineRule="exact" w:line="220"/>
              <w:jc w:val="left"/>
            </w:pPr>
            <w:r>
              <w:rPr>
                <w:sz w:val="18"/>
              </w:rPr>
              <w:t xml:space="preserve">Ecosystem ratio</w:t>
            </w:r>
          </w:p>
        </w:tc>
        <w:tc>
          <w:tcPr>
            <w:tcW w:w="1005" w:type="dxa"/>
          </w:tcPr>
          <w:p>
            <w:pPr>
              <w:pStyle w:val="Compact"/>
              <w:spacing w:before="0" w:after="0" w:lineRule="exact" w:line="220"/>
              <w:jc w:val="left"/>
            </w:pPr>
            <w:r>
              <w:rPr>
                <w:sz w:val="18"/>
              </w:rPr>
              <w:t xml:space="preserve">E</w:t>
            </w:r>
          </w:p>
        </w:tc>
        <w:tc>
          <w:tcPr>
            <w:tcW w:w="5721" w:type="dxa"/>
          </w:tcPr>
          <w:p>
            <w:pPr>
              <w:pStyle w:val="Compact"/>
              <w:spacing w:before="0" w:after="0" w:lineRule="exact" w:line="220"/>
              <w:jc w:val="left"/>
            </w:pPr>
            <w:r>
              <w:rPr>
                <w:sz w:val="18"/>
              </w:rPr>
              <w:t xml:space="preserve">The wedge divided by revenue. It equals one divided by the take rate, minus one. This is the author’s own measure, built for this thesis.</w:t>
            </w:r>
          </w:p>
        </w:tc>
      </w:tr>
      <w:tr>
        <w:trPr>
          <w:cantSplit/>
        </w:trPr>
        <w:tc>
          <w:tcPr>
            <w:tcW w:w="1778" w:type="dxa"/>
          </w:tcPr>
          <w:p>
            <w:pPr>
              <w:pStyle w:val="Compact"/>
              <w:spacing w:before="0" w:after="0" w:lineRule="exact" w:line="220"/>
              <w:jc w:val="left"/>
            </w:pPr>
            <w:r>
              <w:rPr>
                <w:sz w:val="18"/>
              </w:rPr>
              <w:t xml:space="preserve">Growth</w:t>
            </w:r>
          </w:p>
        </w:tc>
        <w:tc>
          <w:tcPr>
            <w:tcW w:w="1005" w:type="dxa"/>
          </w:tcPr>
          <w:p>
            <w:pPr>
              <w:pStyle w:val="Compact"/>
              <w:spacing w:before="0" w:after="0" w:lineRule="exact" w:line="220"/>
              <w:jc w:val="left"/>
            </w:pPr>
            <w:r>
              <w:rPr>
                <w:sz w:val="18"/>
              </w:rPr>
              <w:t xml:space="preserve">g</w:t>
            </w:r>
          </w:p>
        </w:tc>
        <w:tc>
          <w:tcPr>
            <w:tcW w:w="5721" w:type="dxa"/>
          </w:tcPr>
          <w:p>
            <w:pPr>
              <w:pStyle w:val="Compact"/>
              <w:spacing w:before="0" w:after="0" w:lineRule="exact" w:line="220"/>
              <w:jc w:val="left"/>
            </w:pPr>
            <w:r>
              <w:rPr>
                <w:sz w:val="18"/>
              </w:rPr>
              <w:t xml:space="preserve">The change from one year to the next as a share of the first year: 0.09 means 9 percent.</w:t>
            </w:r>
          </w:p>
        </w:tc>
      </w:tr>
      <w:tr>
        <w:trPr>
          <w:cantSplit/>
        </w:trPr>
        <w:tc>
          <w:tcPr>
            <w:tcW w:w="1778" w:type="dxa"/>
          </w:tcPr>
          <w:p>
            <w:pPr>
              <w:pStyle w:val="Compact"/>
              <w:spacing w:before="0" w:after="0" w:lineRule="exact" w:line="220"/>
              <w:jc w:val="left"/>
            </w:pPr>
            <w:r>
              <w:rPr>
                <w:sz w:val="18"/>
              </w:rPr>
              <w:t xml:space="preserve">Growth divergence</w:t>
            </w:r>
          </w:p>
        </w:tc>
        <w:tc>
          <w:tcPr>
            <w:tcW w:w="1005" w:type="dxa"/>
          </w:tcPr>
          <w:p>
            <w:pPr>
              <w:pStyle w:val="Compact"/>
              <w:spacing w:before="0" w:after="0" w:lineRule="exact" w:line="220"/>
              <w:jc w:val="left"/>
            </w:pPr>
            <w:r>
              <w:rPr>
                <w:sz w:val="18"/>
              </w:rPr>
              <w:t xml:space="preserve">D</w:t>
            </w:r>
          </w:p>
        </w:tc>
        <w:tc>
          <w:tcPr>
            <w:tcW w:w="5721" w:type="dxa"/>
          </w:tcPr>
          <w:p>
            <w:pPr>
              <w:pStyle w:val="Compact"/>
              <w:spacing w:before="0" w:after="0" w:lineRule="exact" w:line="220"/>
              <w:jc w:val="left"/>
            </w:pPr>
            <w:r>
              <w:rPr>
                <w:sz w:val="18"/>
              </w:rPr>
              <w:t xml:space="preserve">Growth of revenue minus growth of transaction value in the same year: 0.62 means 62 percentage points.</w:t>
            </w:r>
          </w:p>
        </w:tc>
      </w:tr>
      <w:tr>
        <w:trPr>
          <w:cantSplit/>
        </w:trPr>
        <w:tc>
          <w:tcPr>
            <w:tcW w:w="1778" w:type="dxa"/>
          </w:tcPr>
          <w:p>
            <w:pPr>
              <w:pStyle w:val="Compact"/>
              <w:keepNext/>
              <w:spacing w:before="0" w:after="0" w:lineRule="exact" w:line="220"/>
              <w:jc w:val="left"/>
            </w:pPr>
            <w:r>
              <w:rPr>
                <w:sz w:val="18"/>
              </w:rPr>
              <w:t xml:space="preserve">Online seller</w:t>
            </w:r>
          </w:p>
        </w:tc>
        <w:tc>
          <w:tcPr>
            <w:tcW w:w="1005" w:type="dxa"/>
          </w:tcPr>
          <w:p>
            <w:pPr>
              <w:pStyle w:val="Compact"/>
              <w:keepNext/>
              <w:spacing w:before="0" w:after="0" w:lineRule="exact" w:line="220"/>
              <w:jc w:val="left"/>
            </w:pPr>
          </w:p>
        </w:tc>
        <w:tc>
          <w:tcPr>
            <w:tcW w:w="5721" w:type="dxa"/>
          </w:tcPr>
          <w:p>
            <w:pPr>
              <w:pStyle w:val="Compact"/>
              <w:keepNext/>
              <w:spacing w:before="0" w:after="0" w:lineRule="exact" w:line="220"/>
              <w:jc w:val="left"/>
            </w:pPr>
            <w:r>
              <w:rPr>
                <w:sz w:val="18"/>
              </w:rPr>
              <w:t xml:space="preserve">A business that the national statistics office, BPS, counts as selling online; the text also calls it a seller or a business. The count of online sellers is BPS’s estimate of how many there are in a year.</w:t>
            </w:r>
          </w:p>
        </w:tc>
      </w:tr>
      <w:tr>
        <w:trPr>
          <w:cantSplit/>
        </w:trPr>
        <w:tc>
          <w:tcPr>
            <w:tcW w:w="1778" w:type="dxa"/>
          </w:tcPr>
          <w:p>
            <w:pPr>
              <w:pStyle w:val="Compact"/>
              <w:spacing w:before="0" w:after="0" w:lineRule="exact" w:line="220"/>
              <w:jc w:val="left"/>
            </w:pPr>
            <w:r>
              <w:rPr>
                <w:sz w:val="18"/>
              </w:rPr>
              <w:t xml:space="preserve">First-time entry</w:t>
            </w:r>
          </w:p>
        </w:tc>
        <w:tc>
          <w:tcPr>
            <w:tcW w:w="1005" w:type="dxa"/>
          </w:tcPr>
          <w:p>
            <w:pPr>
              <w:pStyle w:val="Compact"/>
              <w:spacing w:before="0" w:after="0" w:lineRule="exact" w:line="220"/>
              <w:jc w:val="left"/>
            </w:pPr>
          </w:p>
        </w:tc>
        <w:tc>
          <w:tcPr>
            <w:tcW w:w="5721" w:type="dxa"/>
          </w:tcPr>
          <w:p>
            <w:pPr>
              <w:pStyle w:val="Compact"/>
              <w:spacing w:before="0" w:after="0" w:lineRule="exact" w:line="220"/>
              <w:jc w:val="left"/>
            </w:pPr>
            <w:r>
              <w:rPr>
                <w:sz w:val="18"/>
              </w:rPr>
              <w:t xml:space="preserve">A seller that began selling online in the year being measured.</w:t>
            </w:r>
          </w:p>
        </w:tc>
      </w:tr>
    </w:tbl>
    <w:p>
      <w:pPr>
        <w:pStyle w:val="BodyText"/>
        <w:spacing w:before="160"/>
      </w:pPr>
      <w:r>
        <w:t xml:space="preserve">Three rules decide which figures can be set against each other. First, transaction value and revenue are paired only when they refer to the same period and the same business. A take rate built from figures of different scope would measure the mismatch, not the platform.</w:t>
      </w:r>
    </w:p>
    <w:p>
      <w:pPr>
        <w:pStyle w:val="BodyText"/>
      </w:pPr>
      <w:r>
        <w:t xml:space="preserve">Second, each platform is compared only with itself from one year to the next. Companies define transaction value in their own ways, and a disclosed measure tells less when the way it is computed changes (Givoly, Li, Lourie and Nekrasov 2019). Within one company the definition cancels out of the yearly change, as long as the company keeps it.</w:t>
      </w:r>
    </w:p>
    <w:p>
      <w:pPr>
        <w:pStyle w:val="BodyText"/>
      </w:pPr>
      <w:r>
        <w:t xml:space="preserve">Third, companies that mainly sell goods themselves are kept out. Such a company reports the whole sale as revenue, while a platform that only arranges the sale reports its fee (International Accounting Standards Board 2014). The two business models differ in kind (Hagiu and Wright 2015), and their take rates cannot be compared.</w:t>
      </w:r>
    </w:p>
    <w:p>
      <w:pPr>
        <w:pStyle w:val="BodyText"/>
      </w:pPr>
      <w:r>
        <w:t xml:space="preserve">Every figure also keeps a label for where it comes from. Figures that companies report are kept apart from figures that the thesis constructs, and both are kept apart from national statistics and payment figures. Chapter 4 applies these rules platform by platform.</w:t>
      </w:r>
    </w:p>
    <w:bookmarkEnd w:id="32"/>
    <w:bookmarkStart w:id="33" w:name="three-measures"/>
    <w:p>
      <w:pPr>
        <w:pStyle w:val="Heading2"/>
      </w:pPr>
      <w:r>
        <w:t xml:space="preserve">3.2 Three measures</w:t>
      </w:r>
    </w:p>
    <w:p>
      <w:pPr>
        <w:pStyle w:val="FirstParagraph"/>
      </w:pPr>
      <w:r>
        <w:t xml:space="preserve">The invisible wedge measures, in currency, the part of transaction value that lies outside a platform’s revenue:</w:t>
      </w:r>
    </w:p>
    <w:p>
      <w:pPr>
        <w:pStyle w:val="Equation"/>
      </w:pPr>
      <w:r>
        <w:tab/>
        <w:t>W</w:t>
      </w:r>
      <w:r>
        <w:rPr>
          <w:vertAlign w:val="subscript"/>
        </w:rPr>
        <w:t xml:space="preserve">it</w:t>
      </w:r>
      <w:r>
        <w:t xml:space="preserve"> </w:t>
      </w:r>
      <w:r>
        <w:t xml:space="preserve">= V</w:t>
      </w:r>
      <w:r>
        <w:rPr>
          <w:vertAlign w:val="subscript"/>
        </w:rPr>
        <w:t xml:space="preserve">it</w:t>
      </w:r>
      <w:r>
        <w:t xml:space="preserve"> </w:t>
      </w:r>
      <w:r>
        <w:t xml:space="preserve">− R</w:t>
      </w:r>
      <w:r>
        <w:rPr>
          <w:vertAlign w:val="subscript"/>
        </w:rPr>
        <w:t xml:space="preserve">it</w:t>
      </w:r>
      <w:r>
        <w:tab/>
        <w:t>(1)</w:t>
      </w:r>
    </w:p>
    <w:p>
      <w:pPr>
        <w:pStyle w:val="BodyText"/>
      </w:pPr>
      <w:r>
        <w:t xml:space="preserve">where V</w:t>
      </w:r>
      <w:r>
        <w:rPr>
          <w:vertAlign w:val="subscript"/>
        </w:rPr>
        <w:t xml:space="preserve">it</w:t>
      </w:r>
      <w:r>
        <w:t xml:space="preserve"> </w:t>
      </w:r>
      <w:r>
        <w:t xml:space="preserve">is the transaction value of platform i in year t and R</w:t>
      </w:r>
      <w:r>
        <w:rPr>
          <w:vertAlign w:val="subscript"/>
        </w:rPr>
        <w:t xml:space="preserve">it</w:t>
      </w:r>
      <w:r>
        <w:t xml:space="preserve"> </w:t>
      </w:r>
      <w:r>
        <w:t xml:space="preserve">is the revenue it recognizes for the same year and business. The wedge is not an accounting error, because both amounts may appear in the same company report. It is a measure of transaction value, not of income or value added, so it does not measure missing output.</w:t>
      </w:r>
    </w:p>
    <w:p>
      <w:pPr>
        <w:pStyle w:val="BodyText"/>
      </w:pPr>
      <w:r>
        <w:t xml:space="preserve">To compare platforms of different size, the thesis also expresses the wedge relative to revenue, as the ecosystem ratio:</w:t>
      </w:r>
    </w:p>
    <w:p>
      <w:pPr>
        <w:pStyle w:val="Equation"/>
      </w:pPr>
      <w:r>
        <w:tab/>
        <w:t>E</w:t>
      </w:r>
      <w:r>
        <w:rPr>
          <w:vertAlign w:val="subscript"/>
        </w:rPr>
        <w:t xml:space="preserve">it</w:t>
      </w:r>
      <w:r>
        <w:t xml:space="preserve"> </w:t>
      </w:r>
      <w:r>
        <w:t xml:space="preserve">= W</w:t>
      </w:r>
      <w:r>
        <w:rPr>
          <w:vertAlign w:val="subscript"/>
        </w:rPr>
        <w:t xml:space="preserve">it</w:t>
      </w:r>
      <w:r>
        <w:t xml:space="preserve"> </w:t>
      </w:r>
      <w:r>
        <w:t xml:space="preserve">/ R</w:t>
      </w:r>
      <w:r>
        <w:rPr>
          <w:vertAlign w:val="subscript"/>
        </w:rPr>
        <w:t xml:space="preserve">it</w:t>
      </w:r>
      <w:r>
        <w:t xml:space="preserve"> </w:t>
      </w:r>
      <w:r>
        <w:t xml:space="preserve">= 1 / m</w:t>
      </w:r>
      <w:r>
        <w:rPr>
          <w:vertAlign w:val="subscript"/>
        </w:rPr>
        <w:t xml:space="preserve">it</w:t>
      </w:r>
      <w:r>
        <w:t xml:space="preserve"> </w:t>
      </w:r>
      <w:r>
        <w:t>− 1</w:t>
        <w:tab/>
        <w:t>(2)</w:t>
      </w:r>
    </w:p>
    <w:p>
      <w:pPr>
        <w:pStyle w:val="BodyText"/>
      </w:pPr>
      <w:r>
        <w:t xml:space="preserve">where m</w:t>
      </w:r>
      <w:r>
        <w:rPr>
          <w:vertAlign w:val="subscript"/>
        </w:rPr>
        <w:t xml:space="preserve">it</w:t>
      </w:r>
      <w:r>
        <w:t xml:space="preserve"> </w:t>
      </w:r>
      <w:r>
        <w:t xml:space="preserve">= R</w:t>
      </w:r>
      <w:r>
        <w:rPr>
          <w:vertAlign w:val="subscript"/>
        </w:rPr>
        <w:t xml:space="preserve">it</w:t>
      </w:r>
      <w:r>
        <w:t xml:space="preserve"> </w:t>
      </w:r>
      <w:r>
        <w:t xml:space="preserve">/ V</w:t>
      </w:r>
      <w:r>
        <w:rPr>
          <w:vertAlign w:val="subscript"/>
        </w:rPr>
        <w:t xml:space="preserve">it</w:t>
      </w:r>
      <w:r>
        <w:t xml:space="preserve"> </w:t>
      </w:r>
      <w:r>
        <w:t xml:space="preserve">is the take rate, the share of each sale that the platform keeps. The ecosystem ratio is the author’s own measure, and it restates the take rate. An ecosystem ratio of 9 means that 9 units of transaction value lie outside revenue for every unit recorded as revenue. Equivalently, the platform keeps 10 percent of each sale.</w:t>
      </w:r>
    </w:p>
    <w:p>
      <w:pPr>
        <w:pStyle w:val="BodyText"/>
      </w:pPr>
      <w:r>
        <w:t xml:space="preserve">A single ratio does not show whether the relationship holds over time, so the thesis defines growth divergence:</w:t>
      </w:r>
    </w:p>
    <w:p>
      <w:pPr>
        <w:pStyle w:val="Equation"/>
      </w:pPr>
      <w:r>
        <w:tab/>
        <w:t>D</w:t>
      </w:r>
      <w:r>
        <w:rPr>
          <w:vertAlign w:val="subscript"/>
        </w:rPr>
        <w:t xml:space="preserve">it</w:t>
      </w:r>
      <w:r>
        <w:t xml:space="preserve"> </w:t>
      </w:r>
      <w:r>
        <w:t xml:space="preserve">= g(R</w:t>
      </w:r>
      <w:r>
        <w:rPr>
          <w:vertAlign w:val="subscript"/>
        </w:rPr>
        <w:t xml:space="preserve">it</w:t>
      </w:r>
      <w:r>
        <w:t xml:space="preserve">) − g(V</w:t>
      </w:r>
      <w:r>
        <w:rPr>
          <w:vertAlign w:val="subscript"/>
        </w:rPr>
        <w:t xml:space="preserve">it</w:t>
      </w:r>
      <w:r>
        <w:t>)</w:t>
        <w:tab/>
        <w:t>(3)</w:t>
      </w:r>
    </w:p>
    <w:p>
      <w:pPr>
        <w:pStyle w:val="BodyText"/>
      </w:pPr>
      <w:r>
        <w:t xml:space="preserve">where g(X) is the growth of X from one year to the next, as a share of the first year. A positive D means that revenue grew faster than transaction value, so the take rate rose. A negative D means the reverse. If revenue were a stable proxy for transaction value, D would stay close to zero. Revenue equals the take rate times transaction value, so D can also be written with the take rate alone:</w:t>
      </w:r>
    </w:p>
    <w:p>
      <w:pPr>
        <w:pStyle w:val="Equation"/>
      </w:pPr>
      <w:r>
        <w:tab/>
        <w:t>D</w:t>
      </w:r>
      <w:r>
        <w:rPr>
          <w:vertAlign w:val="subscript"/>
        </w:rPr>
        <w:t xml:space="preserve">it</w:t>
      </w:r>
      <w:r>
        <w:t xml:space="preserve"> </w:t>
      </w:r>
      <w:r>
        <w:t xml:space="preserve">= (1 + g(V</w:t>
      </w:r>
      <w:r>
        <w:rPr>
          <w:vertAlign w:val="subscript"/>
        </w:rPr>
        <w:t xml:space="preserve">it</w:t>
      </w:r>
      <w:r>
        <w:t xml:space="preserve">)) × (m</w:t>
      </w:r>
      <w:r>
        <w:rPr>
          <w:vertAlign w:val="subscript"/>
        </w:rPr>
        <w:t xml:space="preserve">it</w:t>
      </w:r>
      <w:r>
        <w:t xml:space="preserve"> </w:t>
      </w:r>
      <w:r>
        <w:t xml:space="preserve">− m</w:t>
      </w:r>
      <w:r>
        <w:rPr>
          <w:vertAlign w:val="subscript"/>
        </w:rPr>
        <w:t xml:space="preserve">i,t−1</w:t>
      </w:r>
      <w:r>
        <w:t xml:space="preserve">) / m</w:t>
      </w:r>
      <w:r>
        <w:rPr>
          <w:vertAlign w:val="subscript"/>
        </w:rPr>
        <w:t xml:space="preserve">i,t−1</w:t>
      </w:r>
      <w:r>
        <w:tab/>
        <w:t>(4)</w:t>
      </w:r>
    </w:p>
    <w:p>
      <w:pPr>
        <w:pStyle w:val="BodyText"/>
      </w:pPr>
      <w:r>
        <w:t xml:space="preserve">where m</w:t>
      </w:r>
      <w:r>
        <w:rPr>
          <w:vertAlign w:val="subscript"/>
        </w:rPr>
        <w:t xml:space="preserve">i,t−1</w:t>
      </w:r>
      <w:r>
        <w:t xml:space="preserve"> </w:t>
      </w:r>
      <w:r>
        <w:t xml:space="preserve">is the take rate in the earlier year and m</w:t>
      </w:r>
      <w:r>
        <w:rPr>
          <w:vertAlign w:val="subscript"/>
        </w:rPr>
        <w:t xml:space="preserve">it</w:t>
      </w:r>
      <w:r>
        <w:t xml:space="preserve"> </w:t>
      </w:r>
      <w:r>
        <w:t xml:space="preserve">the take rate in the later year. If the take rate is steady, D is zero and revenue grows exactly as fast as transaction value.</w:t>
      </w:r>
    </w:p>
    <w:p>
      <w:pPr>
        <w:pStyle w:val="BodyText"/>
      </w:pPr>
      <w:r>
        <w:t xml:space="preserve">Tokopedia between 2022 and 2023 illustrates the three measures. Its take rate rose from about 1.5 to about 2.5 percent, so it kept about two thirds more of each sale. Its transaction value fell by about 9 percent and its revenue rose by about 53 percent, so D was 0.91 × 0.68 = 0.62, or 62 percentage points. Its wedge stayed at about 98 percent of transaction value and fell with it, by about 10 percent.</w:t>
      </w:r>
    </w:p>
    <w:p>
      <w:pPr>
        <w:pStyle w:val="BodyText"/>
      </w:pPr>
      <w:r>
        <w:t xml:space="preserve">The three measures do different jobs. The wedge gives the size of what revenue leaves out, and at a marketplace that keeps a few percent of each sale it is almost all of transaction value. The ecosystem ratio expresses that size relative to revenue. Growth divergence carries the central test: whether revenue and transaction value keep the same relationship from year to year.</w:t>
      </w:r>
    </w:p>
    <w:p>
      <w:pPr>
        <w:pStyle w:val="BodyText"/>
      </w:pPr>
      <w:r>
        <w:t xml:space="preserve">The ecosystem ratio also governs how far a change in the take rate moves revenue growth. Equation (4) shows that D is the change in the take rate divided by its starting level.</w:t>
      </w:r>
    </w:p>
    <w:p>
      <w:pPr>
        <w:pStyle w:val="BodyText"/>
      </w:pPr>
      <w:r>
        <w:t xml:space="preserve">A platform that keeps 2 percent of each sale has an ecosystem ratio of 49. If its transaction value is flat, a rise in its take rate to 3 percent raises its revenue by 50 percent. A platform that keeps 17 percent has an ecosystem ratio near 5, and a rise to 18 percent raises its revenue by about 6 percent. So a large ecosystem ratio means that ordinary changes in fees or discounts can produce large swings in reported revenue growth.</w:t>
      </w:r>
    </w:p>
    <w:bookmarkEnd w:id="33"/>
    <w:bookmarkStart w:id="34" w:name="tracing-a-movement"/>
    <w:p>
      <w:pPr>
        <w:pStyle w:val="Heading2"/>
      </w:pPr>
      <w:r>
        <w:t xml:space="preserve">3.3 Tracing a movement</w:t>
      </w:r>
    </w:p>
    <w:p>
      <w:pPr>
        <w:pStyle w:val="FirstParagraph"/>
      </w:pPr>
      <w:r>
        <w:t xml:space="preserve">A large divergence calls for an explanation, and the same definitions supply it. Measured in logarithms, the growth of revenue splits exactly into the growth of transaction value and the change in the take rate:</w:t>
      </w:r>
    </w:p>
    <w:p>
      <w:pPr>
        <w:pStyle w:val="Equation"/>
      </w:pPr>
      <w:r>
        <w:tab/>
        <w:t>Δln R</w:t>
      </w:r>
      <w:r>
        <w:rPr>
          <w:vertAlign w:val="subscript"/>
        </w:rPr>
        <w:t xml:space="preserve">it</w:t>
      </w:r>
      <w:r>
        <w:t xml:space="preserve"> </w:t>
      </w:r>
      <w:r>
        <w:t xml:space="preserve">= Δln V</w:t>
      </w:r>
      <w:r>
        <w:rPr>
          <w:vertAlign w:val="subscript"/>
        </w:rPr>
        <w:t xml:space="preserve">it</w:t>
      </w:r>
      <w:r>
        <w:t xml:space="preserve"> </w:t>
      </w:r>
      <w:r>
        <w:t xml:space="preserve">+ Δln m</w:t>
      </w:r>
      <w:r>
        <w:rPr>
          <w:vertAlign w:val="subscript"/>
        </w:rPr>
        <w:t xml:space="preserve">it</w:t>
      </w:r>
      <w:r>
        <w:tab/>
        <w:t>(5)</w:t>
      </w:r>
    </w:p>
    <w:p>
      <w:pPr>
        <w:pStyle w:val="BodyText"/>
      </w:pPr>
      <w:r>
        <w:t xml:space="preserve">where Δln X is the change in the natural logarithm of X from one year to the next. The first term is the volume effect, more or less commerce. The second is the take-rate effect, a larger or smaller share of each sale. A log change treats a rise and a fall by the same factor as equal in size, so the two effects can be compared directly. The take rate itself has two parts:</w:t>
      </w:r>
    </w:p>
    <w:p>
      <w:pPr>
        <w:pStyle w:val="Equation"/>
      </w:pPr>
      <w:r>
        <w:tab/>
        <w:t>m</w:t>
      </w:r>
      <w:r>
        <w:rPr>
          <w:vertAlign w:val="subscript"/>
        </w:rPr>
        <w:t xml:space="preserve">it</w:t>
      </w:r>
      <w:r>
        <w:t xml:space="preserve"> </w:t>
      </w:r>
      <w:r>
        <w:t xml:space="preserve">= f</w:t>
      </w:r>
      <w:r>
        <w:rPr>
          <w:vertAlign w:val="subscript"/>
        </w:rPr>
        <w:t xml:space="preserve">it</w:t>
      </w:r>
      <w:r>
        <w:t xml:space="preserve"> </w:t>
      </w:r>
      <w:r>
        <w:t xml:space="preserve">− s</w:t>
      </w:r>
      <w:r>
        <w:rPr>
          <w:vertAlign w:val="subscript"/>
        </w:rPr>
        <w:t xml:space="preserve">it</w:t>
      </w:r>
      <w:r>
        <w:tab/>
        <w:t>(6)</w:t>
      </w:r>
    </w:p>
    <w:p>
      <w:pPr>
        <w:pStyle w:val="BodyText"/>
      </w:pPr>
      <w:r>
        <w:t xml:space="preserve">where f</w:t>
      </w:r>
      <w:r>
        <w:rPr>
          <w:vertAlign w:val="subscript"/>
        </w:rPr>
        <w:t xml:space="preserve">it</w:t>
      </w:r>
      <w:r>
        <w:t xml:space="preserve"> </w:t>
      </w:r>
      <w:r>
        <w:t xml:space="preserve">is the fee rate and s</w:t>
      </w:r>
      <w:r>
        <w:rPr>
          <w:vertAlign w:val="subscript"/>
        </w:rPr>
        <w:t xml:space="preserve">it</w:t>
      </w:r>
      <w:r>
        <w:t xml:space="preserve"> </w:t>
      </w:r>
      <w:r>
        <w:t xml:space="preserve">the incentive rate, both measured against transaction value. A take rate can rise because a platform charges more or because it spends less on discounts and vouchers. Accounting rules normally deduct such incentives from revenue (International Accounting Standards Board 2014). So a cut in incentives raises revenue even when no fee changes.</w:t>
      </w:r>
    </w:p>
    <w:p>
      <w:pPr>
        <w:pStyle w:val="BodyText"/>
      </w:pPr>
      <w:r>
        <w:t xml:space="preserve">Equations (5) and (6) together divide a movement in revenue into more commerce, higher fees and lower incentives. A change in the mix of a company’s businesses is a further source, read from its reports where they describe one. The split shows how a movement happened. It does not show why the company chose it, and company explanations are read as reports.</w:t>
      </w:r>
    </w:p>
    <w:p>
      <w:pPr>
        <w:pStyle w:val="BodyText"/>
      </w:pPr>
      <w:r>
        <w:t xml:space="preserve">Equation (6) also shows where a rule acts. A cap on commissions acts on the fee rate, and a limit on discounts acts on the incentive rate. Chapter 6 sets Indonesia’s recent rules against these parts of the take rate.</w:t>
      </w:r>
    </w:p>
    <w:bookmarkEnd w:id="34"/>
    <w:bookmarkStart w:id="35" w:name="hypotheses"/>
    <w:p>
      <w:pPr>
        <w:pStyle w:val="Heading2"/>
      </w:pPr>
      <w:r>
        <w:t xml:space="preserve">3.4 Hypotheses</w:t>
      </w:r>
    </w:p>
    <w:p>
      <w:pPr>
        <w:pStyle w:val="FirstParagraph"/>
      </w:pPr>
      <w:r>
        <w:t xml:space="preserve">Two hypotheses follow from the research question. H1 asks whether revenue follows the commerce carried within a platform. H2 asks where national online growth comes from, which decides whether the commerce on platforms can stand for national online commerce. Together they test the two links in Figure 1. Table 3 pairs each hypothesis, and the entry test of Section 3.5, with its main test and with the result that would count against it.</w:t>
      </w:r>
    </w:p>
    <w:p>
      <w:pPr>
        <w:pStyle w:val="TableCaption"/>
      </w:pPr>
      <w:r>
        <w:rPr>
          <w:b/>
        </w:rPr>
        <w:t>Table 3.</w:t>
      </w:r>
      <w:r>
        <w:rPr>
          <w:b w:val="0"/>
        </w:rPr>
        <w:t xml:space="preserve"> Hypotheses, tests and what would count against them</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655"/>
        <w:gridCol w:w="2671"/>
        <w:gridCol w:w="2797"/>
        <w:gridCol w:w="2381"/>
      </w:tblGrid>
      <w:tr>
        <w:trPr>
          <w:tblHeader w:val="true"/>
          <w:cantSplit/>
          <w:tblHeader/>
        </w:trPr>
        <w:tc>
          <w:tcPr>
            <w:tcW w:w="655" w:type="dxa"/>
            <w:tcBorders>
              <w:bottom w:val="single" w:sz="5" w:space="0" w:color="000000"/>
            </w:tcBorders>
          </w:tcPr>
          <w:p>
            <w:pPr>
              <w:pStyle w:val="Compact"/>
              <w:keepNext/>
              <w:spacing w:before="0" w:after="0" w:lineRule="exact" w:line="220"/>
              <w:jc w:val="left"/>
            </w:pPr>
            <w:r>
              <w:rPr>
                <w:b/>
                <w:sz w:val="18"/>
              </w:rPr>
              <w:t xml:space="preserve">Test</w:t>
            </w:r>
          </w:p>
        </w:tc>
        <w:tc>
          <w:tcPr>
            <w:tcW w:w="2671" w:type="dxa"/>
            <w:tcBorders>
              <w:bottom w:val="single" w:sz="5" w:space="0" w:color="000000"/>
            </w:tcBorders>
          </w:tcPr>
          <w:p>
            <w:pPr>
              <w:pStyle w:val="Compact"/>
              <w:keepNext/>
              <w:spacing w:before="0" w:after="0" w:lineRule="exact" w:line="220"/>
              <w:jc w:val="left"/>
            </w:pPr>
            <w:r>
              <w:rPr>
                <w:b/>
                <w:sz w:val="18"/>
              </w:rPr>
              <w:t xml:space="preserve">What it asks</w:t>
            </w:r>
          </w:p>
        </w:tc>
        <w:tc>
          <w:tcPr>
            <w:tcW w:w="2797" w:type="dxa"/>
            <w:tcBorders>
              <w:bottom w:val="single" w:sz="5" w:space="0" w:color="000000"/>
            </w:tcBorders>
          </w:tcPr>
          <w:p>
            <w:pPr>
              <w:pStyle w:val="Compact"/>
              <w:keepNext/>
              <w:spacing w:before="0" w:after="0" w:lineRule="exact" w:line="220"/>
              <w:jc w:val="left"/>
            </w:pPr>
            <w:r>
              <w:rPr>
                <w:b/>
                <w:sz w:val="18"/>
              </w:rPr>
              <w:t xml:space="preserve">Main test</w:t>
            </w:r>
          </w:p>
        </w:tc>
        <w:tc>
          <w:tcPr>
            <w:tcW w:w="2381" w:type="dxa"/>
            <w:tcBorders>
              <w:bottom w:val="single" w:sz="5" w:space="0" w:color="000000"/>
            </w:tcBorders>
          </w:tcPr>
          <w:p>
            <w:pPr>
              <w:pStyle w:val="Compact"/>
              <w:keepNext/>
              <w:spacing w:before="0" w:after="0" w:lineRule="exact" w:line="220"/>
              <w:jc w:val="left"/>
            </w:pPr>
            <w:r>
              <w:rPr>
                <w:b/>
                <w:sz w:val="18"/>
              </w:rPr>
              <w:t xml:space="preserve">What would count against it</w:t>
            </w:r>
          </w:p>
        </w:tc>
      </w:tr>
      <w:tr>
        <w:trPr>
          <w:cantSplit/>
        </w:trPr>
        <w:tc>
          <w:tcPr>
            <w:tcW w:w="655" w:type="dxa"/>
          </w:tcPr>
          <w:p>
            <w:pPr>
              <w:pStyle w:val="Compact"/>
              <w:keepNext/>
              <w:spacing w:before="0" w:after="0" w:lineRule="exact" w:line="220"/>
              <w:jc w:val="left"/>
            </w:pPr>
            <w:r>
              <w:rPr>
                <w:sz w:val="18"/>
              </w:rPr>
              <w:t xml:space="preserve">H1</w:t>
            </w:r>
          </w:p>
        </w:tc>
        <w:tc>
          <w:tcPr>
            <w:tcW w:w="2671" w:type="dxa"/>
          </w:tcPr>
          <w:p>
            <w:pPr>
              <w:pStyle w:val="Compact"/>
              <w:keepNext/>
              <w:spacing w:before="0" w:after="0" w:lineRule="exact" w:line="220"/>
              <w:jc w:val="left"/>
            </w:pPr>
            <w:r>
              <w:rPr>
                <w:sz w:val="18"/>
              </w:rPr>
              <w:t xml:space="preserve">Do revenue and transaction value grow together within a platform?</w:t>
            </w:r>
          </w:p>
        </w:tc>
        <w:tc>
          <w:tcPr>
            <w:tcW w:w="2797" w:type="dxa"/>
          </w:tcPr>
          <w:p>
            <w:pPr>
              <w:pStyle w:val="Compact"/>
              <w:keepNext/>
              <w:spacing w:before="0" w:after="0" w:lineRule="exact" w:line="220"/>
              <w:jc w:val="left"/>
            </w:pPr>
            <w:r>
              <w:rPr>
                <w:sz w:val="18"/>
              </w:rPr>
              <w:t xml:space="preserve">Size of yearly changes in the take rate, Indonesian and regional platforms against listed platforms abroad</w:t>
            </w:r>
          </w:p>
        </w:tc>
        <w:tc>
          <w:tcPr>
            <w:tcW w:w="2381" w:type="dxa"/>
          </w:tcPr>
          <w:p>
            <w:pPr>
              <w:pStyle w:val="Compact"/>
              <w:keepNext/>
              <w:spacing w:before="0" w:after="0" w:lineRule="exact" w:line="220"/>
              <w:jc w:val="left"/>
            </w:pPr>
            <w:r>
              <w:rPr>
                <w:sz w:val="18"/>
              </w:rPr>
              <w:t xml:space="preserve">Changes in Indonesia far larger than abroad</w:t>
            </w:r>
          </w:p>
        </w:tc>
      </w:tr>
      <w:tr>
        <w:trPr>
          <w:cantSplit/>
        </w:trPr>
        <w:tc>
          <w:tcPr>
            <w:tcW w:w="655" w:type="dxa"/>
          </w:tcPr>
          <w:p>
            <w:pPr>
              <w:pStyle w:val="Compact"/>
              <w:keepNext/>
              <w:spacing w:before="0" w:after="0" w:lineRule="exact" w:line="220"/>
              <w:jc w:val="left"/>
            </w:pPr>
            <w:r>
              <w:rPr>
                <w:sz w:val="18"/>
              </w:rPr>
              <w:t xml:space="preserve">H2</w:t>
            </w:r>
          </w:p>
        </w:tc>
        <w:tc>
          <w:tcPr>
            <w:tcW w:w="2671" w:type="dxa"/>
          </w:tcPr>
          <w:p>
            <w:pPr>
              <w:pStyle w:val="Compact"/>
              <w:keepNext/>
              <w:spacing w:before="0" w:after="0" w:lineRule="exact" w:line="220"/>
              <w:jc w:val="left"/>
            </w:pPr>
            <w:r>
              <w:rPr>
                <w:sz w:val="18"/>
              </w:rPr>
              <w:t xml:space="preserve">Does national e-commerce value grow because of more businesses or because of higher sales per business?</w:t>
            </w:r>
          </w:p>
        </w:tc>
        <w:tc>
          <w:tcPr>
            <w:tcW w:w="2797" w:type="dxa"/>
          </w:tcPr>
          <w:p>
            <w:pPr>
              <w:pStyle w:val="Compact"/>
              <w:keepNext/>
              <w:spacing w:before="0" w:after="0" w:lineRule="exact" w:line="220"/>
              <w:jc w:val="left"/>
            </w:pPr>
            <w:r>
              <w:rPr>
                <w:sz w:val="18"/>
              </w:rPr>
              <w:t xml:space="preserve">BPS’s national e-commerce value split into the number of businesses and sales per business</w:t>
            </w:r>
          </w:p>
        </w:tc>
        <w:tc>
          <w:tcPr>
            <w:tcW w:w="2381" w:type="dxa"/>
          </w:tcPr>
          <w:p>
            <w:pPr>
              <w:pStyle w:val="Compact"/>
              <w:keepNext/>
              <w:spacing w:before="0" w:after="0" w:lineRule="exact" w:line="220"/>
              <w:jc w:val="left"/>
            </w:pPr>
            <w:r>
              <w:rPr>
                <w:sz w:val="18"/>
              </w:rPr>
              <w:t xml:space="preserve">Higher sales per business accounting for most of the growth</w:t>
            </w:r>
          </w:p>
        </w:tc>
      </w:tr>
      <w:tr>
        <w:trPr>
          <w:cantSplit/>
        </w:trPr>
        <w:tc>
          <w:tcPr>
            <w:tcW w:w="655" w:type="dxa"/>
          </w:tcPr>
          <w:p>
            <w:pPr>
              <w:pStyle w:val="Compact"/>
              <w:spacing w:before="0" w:after="0" w:lineRule="exact" w:line="220"/>
              <w:jc w:val="left"/>
            </w:pPr>
            <w:r>
              <w:rPr>
                <w:sz w:val="18"/>
              </w:rPr>
              <w:t xml:space="preserve">Entry test</w:t>
            </w:r>
          </w:p>
        </w:tc>
        <w:tc>
          <w:tcPr>
            <w:tcW w:w="2671" w:type="dxa"/>
          </w:tcPr>
          <w:p>
            <w:pPr>
              <w:pStyle w:val="Compact"/>
              <w:spacing w:before="0" w:after="0" w:lineRule="exact" w:line="220"/>
              <w:jc w:val="left"/>
            </w:pPr>
            <w:r>
              <w:rPr>
                <w:sz w:val="18"/>
              </w:rPr>
              <w:t xml:space="preserve">Does a rise in the count of online sellers come from first-time entry?</w:t>
            </w:r>
          </w:p>
        </w:tc>
        <w:tc>
          <w:tcPr>
            <w:tcW w:w="2797" w:type="dxa"/>
          </w:tcPr>
          <w:p>
            <w:pPr>
              <w:pStyle w:val="Compact"/>
              <w:spacing w:before="0" w:after="0" w:lineRule="exact" w:line="220"/>
              <w:jc w:val="left"/>
            </w:pPr>
            <w:r>
              <w:rPr>
                <w:sz w:val="18"/>
              </w:rPr>
              <w:t xml:space="preserve">Share of 2023 sellers in BPS’s survey files who began selling online in 2023</w:t>
            </w:r>
          </w:p>
        </w:tc>
        <w:tc>
          <w:tcPr>
            <w:tcW w:w="2381" w:type="dxa"/>
          </w:tcPr>
          <w:p>
            <w:pPr>
              <w:pStyle w:val="Compact"/>
              <w:spacing w:before="0" w:after="0" w:lineRule="exact" w:line="220"/>
              <w:jc w:val="left"/>
            </w:pPr>
            <w:r>
              <w:rPr>
                <w:sz w:val="18"/>
              </w:rPr>
              <w:t xml:space="preserve">Fewer new sellers than the rise requires</w:t>
            </w:r>
          </w:p>
        </w:tc>
      </w:tr>
    </w:tbl>
    <w:p>
      <w:pPr>
        <w:pStyle w:val="BodyText"/>
        <w:spacing w:before="160"/>
      </w:pPr>
      <w:r>
        <w:t xml:space="preserve">The share of transaction value that a platform keeps is not fixed. A platform sets its charges on both sides of the market together, and both the level and the split are choices (Rochet and Tirole 2003). Platforms often hold down the price to one side to draw it in. They can raise that price once both sides have joined (Evans and Schmalensee 2016).</w:t>
      </w:r>
    </w:p>
    <w:p>
      <w:pPr>
        <w:pStyle w:val="BodyText"/>
      </w:pPr>
      <w:r>
        <w:t xml:space="preserve">Accounting rules move the share in two ways. The discounts a platform pays for come out of its revenue. A platform that sells goods itself, a different business model (Hagiu and Wright 2015), records more of each sale than one that only arranges it (International Accounting Standards Board 2014). Both can change as a platform changes its business model or scope.</w:t>
      </w:r>
    </w:p>
    <w:p>
      <w:pPr>
        <w:pStyle w:val="BodyText"/>
      </w:pPr>
      <w:r>
        <w:t xml:space="preserve">Revenue follows transaction value only while the take rate holds steady, that is, while D stays near zero. In that case revenue would be a workable proxy for the commerce a platform carries, and the ecosystem ratio would not change. The first hypothesis states this case.</w:t>
      </w:r>
    </w:p>
    <w:p>
      <w:pPr>
        <w:pStyle w:val="BlockText"/>
      </w:pPr>
      <w:r>
        <w:rPr>
          <w:bCs/>
          <w:b/>
        </w:rPr>
        <w:t xml:space="preserve">H1.</w:t>
      </w:r>
      <w:r>
        <w:t xml:space="preserve"> </w:t>
      </w:r>
      <w:r>
        <w:t xml:space="preserve">Transaction value and revenue recognized by the same platform grow in proportion over time.</w:t>
      </w:r>
    </w:p>
    <w:p>
      <w:pPr>
        <w:pStyle w:val="FirstParagraph"/>
      </w:pPr>
      <w:r>
        <w:t xml:space="preserve">Growth rates never match exactly, so H1 is tested by comparison. The test compares the size of yearly changes in the take rate, measured in logs as in equation (5), between two groups. One group is the Indonesian and regional platforms. The other is listed platforms abroad, where revenue and transaction value broadly move together. Changes far larger in Indonesia would count against H1. Chapter 4 describes the two groups and the test.</w:t>
      </w:r>
    </w:p>
    <w:p>
      <w:pPr>
        <w:pStyle w:val="BodyText"/>
      </w:pPr>
      <w:r>
        <w:t xml:space="preserve">National e-commerce value can grow in two ways. Existing businesses can sell more, which is the intensive margin. More businesses can sell online, which is the extensive margin.</w:t>
      </w:r>
    </w:p>
    <w:p>
      <w:pPr>
        <w:pStyle w:val="BodyText"/>
      </w:pPr>
      <w:r>
        <w:t xml:space="preserve">The distinction matters for measurement. Growth driven by new sellers can take place in channels that platform accounts do not cover, such as social media and instant messaging, which BPS reports are widely used (BPS 2025a). Platform figures can then miss that growth even when every platform reports accurately.</w:t>
      </w:r>
    </w:p>
    <w:p>
      <w:pPr>
        <w:pStyle w:val="BodyText"/>
      </w:pPr>
      <w:r>
        <w:t xml:space="preserve">BPS publishes both the number of businesses selling online, N, and their total online sales value, Y. Since Y equals N times the sales per business, its growth in logarithms splits exactly in two:</w:t>
      </w:r>
    </w:p>
    <w:p>
      <w:pPr>
        <w:pStyle w:val="Equation"/>
      </w:pPr>
      <w:r>
        <w:tab/>
        <w:t>Δln Y</w:t>
      </w:r>
      <w:r>
        <w:rPr>
          <w:vertAlign w:val="subscript"/>
        </w:rPr>
        <w:t xml:space="preserve">t</w:t>
      </w:r>
      <w:r>
        <w:t xml:space="preserve"> </w:t>
      </w:r>
      <w:r>
        <w:t xml:space="preserve">= Δln N</w:t>
      </w:r>
      <w:r>
        <w:rPr>
          <w:vertAlign w:val="subscript"/>
        </w:rPr>
        <w:t xml:space="preserve">t</w:t>
      </w:r>
      <w:r>
        <w:t xml:space="preserve"> </w:t>
      </w:r>
      <w:r>
        <w:t xml:space="preserve">+ Δln (Y</w:t>
      </w:r>
      <w:r>
        <w:rPr>
          <w:vertAlign w:val="subscript"/>
        </w:rPr>
        <w:t xml:space="preserve">t</w:t>
      </w:r>
      <w:r>
        <w:t xml:space="preserve"> </w:t>
      </w:r>
      <w:r>
        <w:t xml:space="preserve">/ N</w:t>
      </w:r>
      <w:r>
        <w:rPr>
          <w:vertAlign w:val="subscript"/>
        </w:rPr>
        <w:t xml:space="preserve">t</w:t>
      </w:r>
      <w:r>
        <w:t>)</w:t>
        <w:tab/>
        <w:t>(7)</w:t>
      </w:r>
    </w:p>
    <w:p>
      <w:pPr>
        <w:pStyle w:val="BodyText"/>
      </w:pPr>
      <w:r>
        <w:t xml:space="preserve">where the first term is the extensive margin and the second the intensive margin. H2 holds if the first term is more than half of the total. The second hypothesis states the case in which more businesses drive growth.</w:t>
      </w:r>
    </w:p>
    <w:p>
      <w:pPr>
        <w:pStyle w:val="BlockText"/>
      </w:pPr>
      <w:r>
        <w:rPr>
          <w:bCs/>
          <w:b/>
        </w:rPr>
        <w:t xml:space="preserve">H2.</w:t>
      </w:r>
      <w:r>
        <w:t xml:space="preserve"> </w:t>
      </w:r>
      <w:r>
        <w:t xml:space="preserve">The growth of national e-commerce value comes mainly from more businesses selling online, and less from higher sales per business.</w:t>
      </w:r>
    </w:p>
    <w:p>
      <w:pPr>
        <w:pStyle w:val="FirstParagraph"/>
      </w:pPr>
      <w:r>
        <w:t xml:space="preserve">The H2 split is arithmetic. It does not assign new businesses to channels, and it does not show whether the businesses in the count are new.</w:t>
      </w:r>
    </w:p>
    <w:bookmarkEnd w:id="35"/>
    <w:bookmarkStart w:id="36" w:name="the-entry-test"/>
    <w:p>
      <w:pPr>
        <w:pStyle w:val="Heading2"/>
      </w:pPr>
      <w:r>
        <w:t xml:space="preserve">3.5 The entry test</w:t>
      </w:r>
    </w:p>
    <w:p>
      <w:pPr>
        <w:pStyle w:val="FirstParagraph"/>
      </w:pPr>
      <w:r>
        <w:t xml:space="preserve">H2 rests on BPS’s count of businesses selling online, and a rise in that count can mean two different things. Either more businesses started selling, or the survey reached businesses that were already selling. A change in how a survey finds its respondents can create a break in a series that looks like real change (van den Brakel, Smith and Compton 2008).</w:t>
      </w:r>
    </w:p>
    <w:p>
      <w:pPr>
        <w:pStyle w:val="BodyText"/>
      </w:pPr>
      <w:r>
        <w:t xml:space="preserve">The published figures cannot tell the two apart. The survey can, because it asks every seller in which year it began selling online. The thesis checks what the count contains with a test written down before the survey files were opened.</w:t>
      </w:r>
    </w:p>
    <w:p>
      <w:pPr>
        <w:pStyle w:val="BlockText"/>
      </w:pPr>
      <w:r>
        <w:rPr>
          <w:bCs/>
          <w:b/>
        </w:rPr>
        <w:t xml:space="preserve">Entry test.</w:t>
      </w:r>
      <w:r>
        <w:t xml:space="preserve"> </w:t>
      </w:r>
      <w:r>
        <w:t xml:space="preserve">In BPS’s survey of online sellers for 2023, at least 21.5 percent of online sellers must report that they began selling online in 2023.</w:t>
      </w:r>
    </w:p>
    <w:p>
      <w:pPr>
        <w:pStyle w:val="FirstParagraph"/>
      </w:pPr>
      <w:r>
        <w:t xml:space="preserve">The 21.5 percent threshold comes from arithmetic. The published count of online sellers rose by 27.4 percent in 2023. Suppose every extra seller was new and no seller stopped. Then for every 100 sellers a year earlier there were 127.4, and 27.4 of those were new. New sellers would make up 21.5 percent of all sellers, which is 27.4 divided by 127.4.</w:t>
      </w:r>
    </w:p>
    <w:p>
      <w:pPr>
        <w:pStyle w:val="BodyText"/>
      </w:pPr>
      <w:r>
        <w:t xml:space="preserve">Sellers who stopped would have to be replaced as well, which only raises the share needed. The threshold is the smallest share of new sellers that can produce the rise. The test does not test H2 itself. It tests what</w:t>
      </w:r>
      <w:r>
        <w:t xml:space="preserve"> </w:t>
      </w:r>
      <w:r>
        <w:t xml:space="preserve">“</w:t>
      </w:r>
      <w:r>
        <w:t xml:space="preserve">more businesses</w:t>
      </w:r>
      <w:r>
        <w:t xml:space="preserve">”</w:t>
      </w:r>
      <w:r>
        <w:t xml:space="preserve"> </w:t>
      </w:r>
      <w:r>
        <w:t xml:space="preserve">means.</w:t>
      </w:r>
    </w:p>
    <w:p>
      <w:pPr>
        <w:pStyle w:val="BodyText"/>
      </w:pPr>
      <w:r>
        <w:t xml:space="preserve">Sellers’ memory works in favour of passing the test, as Section 2.2 noted: a seller who began in 2022 but reports 2023 raises the share of new sellers. Recall error of this kind makes the threshold easier to reach, so a share below it is a cautious finding.</w:t>
      </w:r>
    </w:p>
    <w:p>
      <w:pPr>
        <w:pStyle w:val="BodyText"/>
      </w:pPr>
      <w:r>
        <w:t xml:space="preserve">If the share of new sellers falls short, part of the rise is something other than first-time entry. Two readings are open. The survey may have reached more of the sellers who were already there. Or sellers may have come back after a pause, since a returning seller keeps an old start year. The age of the sellers behind the rise bears on the second reading, because small firms that stop are more often young (Section 2.2). Chapter 5 weighs the two readings with that evidence.</w:t>
      </w:r>
    </w:p>
    <w:bookmarkEnd w:id="36"/>
    <w:bookmarkStart w:id="37" w:name="further-analyses"/>
    <w:p>
      <w:pPr>
        <w:pStyle w:val="Heading2"/>
      </w:pPr>
      <w:r>
        <w:t xml:space="preserve">3.6 Further analyses</w:t>
      </w:r>
    </w:p>
    <w:p>
      <w:pPr>
        <w:pStyle w:val="FirstParagraph"/>
      </w:pPr>
      <w:r>
        <w:t xml:space="preserve">Four further analyses complete the framework without forming hypotheses of their own. Each answers a part of the research question that H1, H2 and the entry test leave open. Table 4 lists them.</w:t>
      </w:r>
    </w:p>
    <w:p>
      <w:pPr>
        <w:pStyle w:val="TableCaption"/>
      </w:pPr>
      <w:r>
        <w:rPr>
          <w:b/>
        </w:rPr>
        <w:t>Table 4.</w:t>
      </w:r>
      <w:r>
        <w:rPr>
          <w:b w:val="0"/>
        </w:rPr>
        <w:t xml:space="preserve"> Further analyses</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500"/>
        <w:gridCol w:w="3702"/>
        <w:gridCol w:w="3301"/>
      </w:tblGrid>
      <w:tr>
        <w:trPr>
          <w:tblHeader w:val="true"/>
          <w:cantSplit/>
          <w:tblHeader/>
        </w:trPr>
        <w:tc>
          <w:tcPr>
            <w:tcW w:w="1500" w:type="dxa"/>
            <w:tcBorders>
              <w:bottom w:val="single" w:sz="5" w:space="0" w:color="000000"/>
            </w:tcBorders>
          </w:tcPr>
          <w:p>
            <w:pPr>
              <w:pStyle w:val="Compact"/>
              <w:keepNext/>
              <w:spacing w:before="0" w:after="0" w:lineRule="exact" w:line="220"/>
              <w:jc w:val="left"/>
            </w:pPr>
            <w:r>
              <w:rPr>
                <w:b/>
                <w:sz w:val="18"/>
              </w:rPr>
              <w:t xml:space="preserve">Analysis</w:t>
            </w:r>
          </w:p>
        </w:tc>
        <w:tc>
          <w:tcPr>
            <w:tcW w:w="3702" w:type="dxa"/>
            <w:tcBorders>
              <w:bottom w:val="single" w:sz="5" w:space="0" w:color="000000"/>
            </w:tcBorders>
          </w:tcPr>
          <w:p>
            <w:pPr>
              <w:pStyle w:val="Compact"/>
              <w:keepNext/>
              <w:spacing w:before="0" w:after="0" w:lineRule="exact" w:line="220"/>
              <w:jc w:val="left"/>
            </w:pPr>
            <w:r>
              <w:rPr>
                <w:b/>
                <w:sz w:val="18"/>
              </w:rPr>
              <w:t xml:space="preserve">What it asks</w:t>
            </w:r>
          </w:p>
        </w:tc>
        <w:tc>
          <w:tcPr>
            <w:tcW w:w="3301" w:type="dxa"/>
            <w:tcBorders>
              <w:bottom w:val="single" w:sz="5" w:space="0" w:color="000000"/>
            </w:tcBorders>
          </w:tcPr>
          <w:p>
            <w:pPr>
              <w:pStyle w:val="Compact"/>
              <w:keepNext/>
              <w:spacing w:before="0" w:after="0" w:lineRule="exact" w:line="220"/>
              <w:jc w:val="left"/>
            </w:pPr>
            <w:r>
              <w:rPr>
                <w:b/>
                <w:sz w:val="18"/>
              </w:rPr>
              <w:t xml:space="preserve">Main evidence</w:t>
            </w:r>
          </w:p>
        </w:tc>
      </w:tr>
      <w:tr>
        <w:trPr>
          <w:cantSplit/>
        </w:trPr>
        <w:tc>
          <w:tcPr>
            <w:tcW w:w="1500" w:type="dxa"/>
          </w:tcPr>
          <w:p>
            <w:pPr>
              <w:pStyle w:val="Compact"/>
              <w:keepNext/>
              <w:spacing w:before="0" w:after="0" w:lineRule="exact" w:line="220"/>
              <w:jc w:val="left"/>
            </w:pPr>
            <w:r>
              <w:rPr>
                <w:sz w:val="18"/>
              </w:rPr>
              <w:t xml:space="preserve">Tracing large movements</w:t>
            </w:r>
          </w:p>
        </w:tc>
        <w:tc>
          <w:tcPr>
            <w:tcW w:w="3702" w:type="dxa"/>
          </w:tcPr>
          <w:p>
            <w:pPr>
              <w:pStyle w:val="Compact"/>
              <w:keepNext/>
              <w:spacing w:before="0" w:after="0" w:lineRule="exact" w:line="220"/>
              <w:jc w:val="left"/>
            </w:pPr>
            <w:r>
              <w:rPr>
                <w:sz w:val="18"/>
              </w:rPr>
              <w:t xml:space="preserve">What moved revenue when it parted from transaction value?</w:t>
            </w:r>
          </w:p>
        </w:tc>
        <w:tc>
          <w:tcPr>
            <w:tcW w:w="3301" w:type="dxa"/>
          </w:tcPr>
          <w:p>
            <w:pPr>
              <w:pStyle w:val="Compact"/>
              <w:keepNext/>
              <w:spacing w:before="0" w:after="0" w:lineRule="exact" w:line="220"/>
              <w:jc w:val="left"/>
            </w:pPr>
            <w:r>
              <w:rPr>
                <w:sz w:val="18"/>
              </w:rPr>
              <w:t xml:space="preserve">Equations (5) and (6), applied to company reports</w:t>
            </w:r>
          </w:p>
        </w:tc>
      </w:tr>
      <w:tr>
        <w:trPr>
          <w:cantSplit/>
        </w:trPr>
        <w:tc>
          <w:tcPr>
            <w:tcW w:w="1500" w:type="dxa"/>
          </w:tcPr>
          <w:p>
            <w:pPr>
              <w:pStyle w:val="Compact"/>
              <w:keepNext/>
              <w:spacing w:before="0" w:after="0" w:lineRule="exact" w:line="220"/>
              <w:jc w:val="left"/>
            </w:pPr>
            <w:r>
              <w:rPr>
                <w:sz w:val="18"/>
              </w:rPr>
              <w:t xml:space="preserve">Market values</w:t>
            </w:r>
          </w:p>
        </w:tc>
        <w:tc>
          <w:tcPr>
            <w:tcW w:w="3702" w:type="dxa"/>
          </w:tcPr>
          <w:p>
            <w:pPr>
              <w:pStyle w:val="Compact"/>
              <w:keepNext/>
              <w:spacing w:before="0" w:after="0" w:lineRule="exact" w:line="220"/>
              <w:jc w:val="left"/>
            </w:pPr>
            <w:r>
              <w:rPr>
                <w:sz w:val="18"/>
              </w:rPr>
              <w:t xml:space="preserve">Do markets value growth from more commerce differently from growth in the take rate?</w:t>
            </w:r>
          </w:p>
        </w:tc>
        <w:tc>
          <w:tcPr>
            <w:tcW w:w="3301" w:type="dxa"/>
          </w:tcPr>
          <w:p>
            <w:pPr>
              <w:pStyle w:val="Compact"/>
              <w:keepNext/>
              <w:spacing w:before="0" w:after="0" w:lineRule="exact" w:line="220"/>
              <w:jc w:val="left"/>
            </w:pPr>
            <w:r>
              <w:rPr>
                <w:sz w:val="18"/>
              </w:rPr>
              <w:t xml:space="preserve">Year-end market values of listed platforms</w:t>
            </w:r>
          </w:p>
        </w:tc>
      </w:tr>
      <w:tr>
        <w:trPr>
          <w:cantSplit/>
        </w:trPr>
        <w:tc>
          <w:tcPr>
            <w:tcW w:w="1500" w:type="dxa"/>
          </w:tcPr>
          <w:p>
            <w:pPr>
              <w:pStyle w:val="Compact"/>
              <w:keepNext/>
              <w:spacing w:before="0" w:after="0" w:lineRule="exact" w:line="220"/>
              <w:jc w:val="left"/>
            </w:pPr>
            <w:r>
              <w:rPr>
                <w:sz w:val="18"/>
              </w:rPr>
              <w:t xml:space="preserve">Channels and reach</w:t>
            </w:r>
          </w:p>
        </w:tc>
        <w:tc>
          <w:tcPr>
            <w:tcW w:w="3702" w:type="dxa"/>
          </w:tcPr>
          <w:p>
            <w:pPr>
              <w:pStyle w:val="Compact"/>
              <w:keepNext/>
              <w:spacing w:before="0" w:after="0" w:lineRule="exact" w:line="220"/>
              <w:jc w:val="left"/>
            </w:pPr>
            <w:r>
              <w:rPr>
                <w:sz w:val="18"/>
              </w:rPr>
              <w:t xml:space="preserve">How much online selling passes through marketplaces, and how far can rules built on platform records reach?</w:t>
            </w:r>
          </w:p>
        </w:tc>
        <w:tc>
          <w:tcPr>
            <w:tcW w:w="3301" w:type="dxa"/>
          </w:tcPr>
          <w:p>
            <w:pPr>
              <w:pStyle w:val="Compact"/>
              <w:keepNext/>
              <w:spacing w:before="0" w:after="0" w:lineRule="exact" w:line="220"/>
              <w:jc w:val="left"/>
            </w:pPr>
            <w:r>
              <w:rPr>
                <w:sz w:val="18"/>
              </w:rPr>
              <w:t xml:space="preserve">BPS’s channel shares and survey files</w:t>
            </w:r>
          </w:p>
        </w:tc>
      </w:tr>
      <w:tr>
        <w:trPr>
          <w:cantSplit/>
        </w:trPr>
        <w:tc>
          <w:tcPr>
            <w:tcW w:w="1500" w:type="dxa"/>
          </w:tcPr>
          <w:p>
            <w:pPr>
              <w:pStyle w:val="Compact"/>
              <w:spacing w:before="0" w:after="0" w:lineRule="exact" w:line="220"/>
              <w:jc w:val="left"/>
            </w:pPr>
            <w:r>
              <w:rPr>
                <w:sz w:val="18"/>
              </w:rPr>
              <w:t xml:space="preserve">Comparing national figures</w:t>
            </w:r>
          </w:p>
        </w:tc>
        <w:tc>
          <w:tcPr>
            <w:tcW w:w="3702" w:type="dxa"/>
          </w:tcPr>
          <w:p>
            <w:pPr>
              <w:pStyle w:val="Compact"/>
              <w:spacing w:before="0" w:after="0" w:lineRule="exact" w:line="220"/>
              <w:jc w:val="left"/>
            </w:pPr>
            <w:r>
              <w:rPr>
                <w:sz w:val="18"/>
              </w:rPr>
              <w:t xml:space="preserve">Do national figures tell the same story of growth?</w:t>
            </w:r>
          </w:p>
        </w:tc>
        <w:tc>
          <w:tcPr>
            <w:tcW w:w="3301" w:type="dxa"/>
          </w:tcPr>
          <w:p>
            <w:pPr>
              <w:pStyle w:val="Compact"/>
              <w:spacing w:before="0" w:after="0" w:lineRule="exact" w:line="220"/>
              <w:jc w:val="left"/>
            </w:pPr>
            <w:r>
              <w:rPr>
                <w:sz w:val="18"/>
              </w:rPr>
              <w:t xml:space="preserve">BPS, Bank Indonesia, industry estimates and household spending</w:t>
            </w:r>
          </w:p>
        </w:tc>
      </w:tr>
    </w:tbl>
    <w:p>
      <w:pPr>
        <w:pStyle w:val="BodyText"/>
        <w:spacing w:before="160"/>
      </w:pPr>
      <w:r>
        <w:t xml:space="preserve">Tracing large movements applies the split of Section 3.3. Wherever H1 finds a large change in the take rate, the thesis divides the change in revenue into its parts. It also reads the company’s reports for changes in the mix of businesses and in reporting scope.</w:t>
      </w:r>
    </w:p>
    <w:p>
      <w:pPr>
        <w:pStyle w:val="BodyText"/>
      </w:pPr>
      <w:r>
        <w:t xml:space="preserve">The market-value analysis asks whether investors, who price revenue (Section 2.1), treat its two sources alike. Equation (5) shows that revenue can grow in two ways, through more commerce or through a larger take rate.</w:t>
      </w:r>
    </w:p>
    <w:p>
      <w:pPr>
        <w:pStyle w:val="BodyText"/>
      </w:pPr>
      <w:r>
        <w:t xml:space="preserve">The two sources of growth need not be worth the same. Growth from the take rate has a limit, because a platform cannot raise its share of each sale without end. A higher price to one side of a platform can also reduce how much that side uses it (Rochet and Tirole 2003).</w:t>
      </w:r>
    </w:p>
    <w:p>
      <w:pPr>
        <w:pStyle w:val="BodyText"/>
      </w:pPr>
      <w:r>
        <w:t xml:space="preserve">The thesis relates the yearly change in a platform’s market value, MV, to the two sources of revenue growth:</w:t>
      </w:r>
    </w:p>
    <w:p>
      <w:pPr>
        <w:pStyle w:val="Equation"/>
      </w:pPr>
      <w:r>
        <w:tab/>
        <w:t>Δln MV</w:t>
      </w:r>
      <w:r>
        <w:rPr>
          <w:vertAlign w:val="subscript"/>
        </w:rPr>
        <w:t xml:space="preserve">it</w:t>
      </w:r>
      <w:r>
        <w:t xml:space="preserve"> </w:t>
      </w:r>
      <w:r>
        <w:t xml:space="preserve">= β</w:t>
      </w:r>
      <w:r>
        <w:rPr>
          <w:vertAlign w:val="subscript"/>
        </w:rPr>
        <w:t xml:space="preserve">V</w:t>
      </w:r>
      <w:r>
        <w:t xml:space="preserve"> </w:t>
      </w:r>
      <w:r>
        <w:t xml:space="preserve">Δln V</w:t>
      </w:r>
      <w:r>
        <w:rPr>
          <w:vertAlign w:val="subscript"/>
        </w:rPr>
        <w:t xml:space="preserve">it</w:t>
      </w:r>
      <w:r>
        <w:t xml:space="preserve"> </w:t>
      </w:r>
      <w:r>
        <w:t xml:space="preserve">+ β</w:t>
      </w:r>
      <w:r>
        <w:rPr>
          <w:vertAlign w:val="subscript"/>
        </w:rPr>
        <w:t xml:space="preserve">m</w:t>
      </w:r>
      <w:r>
        <w:t xml:space="preserve"> </w:t>
      </w:r>
      <w:r>
        <w:t xml:space="preserve">Δln m</w:t>
      </w:r>
      <w:r>
        <w:rPr>
          <w:vertAlign w:val="subscript"/>
        </w:rPr>
        <w:t xml:space="preserve">it</w:t>
      </w:r>
      <w:r>
        <w:t xml:space="preserve"> </w:t>
      </w:r>
      <w:r>
        <w:t>+ year effect + error</w:t>
        <w:tab/>
        <w:t>(8)</w:t>
      </w:r>
    </w:p>
    <w:p>
      <w:pPr>
        <w:pStyle w:val="BodyText"/>
      </w:pPr>
      <w:r>
        <w:t xml:space="preserve">where β</w:t>
      </w:r>
      <w:r>
        <w:rPr>
          <w:vertAlign w:val="subscript"/>
        </w:rPr>
        <w:t xml:space="preserve">V</w:t>
      </w:r>
      <w:r>
        <w:t xml:space="preserve"> </w:t>
      </w:r>
      <w:r>
        <w:t xml:space="preserve">shows how market value moves with transaction value, and β</w:t>
      </w:r>
      <w:r>
        <w:rPr>
          <w:vertAlign w:val="subscript"/>
        </w:rPr>
        <w:t xml:space="preserve">m</w:t>
      </w:r>
      <w:r>
        <w:t xml:space="preserve"> </w:t>
      </w:r>
      <w:r>
        <w:t xml:space="preserve">how it moves with the take rate. Two predictions were written down before the market values were collected. The first is that market value moves with transaction value, so β</w:t>
      </w:r>
      <w:r>
        <w:rPr>
          <w:vertAlign w:val="subscript"/>
        </w:rPr>
        <w:t xml:space="preserve">V</w:t>
      </w:r>
      <w:r>
        <w:t xml:space="preserve"> </w:t>
      </w:r>
      <w:r>
        <w:t xml:space="preserve">is positive. The second is that markets value growth from more commerce more than growth from a higher take rate, so β</w:t>
      </w:r>
      <w:r>
        <w:rPr>
          <w:vertAlign w:val="subscript"/>
        </w:rPr>
        <w:t xml:space="preserve">V</w:t>
      </w:r>
      <w:r>
        <w:t xml:space="preserve"> </w:t>
      </w:r>
      <w:r>
        <w:t xml:space="preserve">is larger than β</w:t>
      </w:r>
      <w:r>
        <w:rPr>
          <w:vertAlign w:val="subscript"/>
        </w:rPr>
        <w:t xml:space="preserve">m</w:t>
      </w:r>
      <w:r>
        <w:t xml:space="preserve">.</w:t>
      </w:r>
    </w:p>
    <w:p>
      <w:pPr>
        <w:pStyle w:val="BodyText"/>
      </w:pPr>
      <w:r>
        <w:t xml:space="preserve">The channel analysis answers the third question of Section 2.4. A rule built on platform records reaches only the sellers whose sales pass through a platform. Its reach depends on how online selling divides between marketplaces and channels that no marketplace records, such as messaging apps and social media. The thesis measures that division by sellers and by sales value. It also counts the marketplace sellers who may be large enough to fall under the marketplace tax.</w:t>
      </w:r>
    </w:p>
    <w:p>
      <w:pPr>
        <w:pStyle w:val="BodyText"/>
      </w:pPr>
      <w:r>
        <w:t xml:space="preserve">Record keeping is the second part of this analysis. The thesis compares how often marketplace sellers and other sellers keep financial statements. The comparison bears on the information that platform records can add.</w:t>
      </w:r>
    </w:p>
    <w:p>
      <w:pPr>
        <w:pStyle w:val="BodyText"/>
      </w:pPr>
      <w:r>
        <w:t xml:space="preserve">The comparison of national figures extends the outer link in Figure 1. Platform reports, BPS’s survey, Bank Indonesia’s statistics and industry estimates count different things.</w:t>
      </w:r>
    </w:p>
    <w:p>
      <w:pPr>
        <w:pStyle w:val="BodyText"/>
      </w:pPr>
      <w:r>
        <w:t xml:space="preserve">If two national figures move in opposite directions in one year, the conclusion about growth depends on the figure chosen. The thesis compares growth rates, each in its own unit, and levels only after reconciling what each source covers. Household spending is a further point of comparison.</w:t>
      </w:r>
    </w:p>
    <w:bookmarkEnd w:id="37"/>
    <w:bookmarkEnd w:id="38"/>
    <w:bookmarkStart w:id="49" w:name="chapter-4-data-and-methods"/>
    <w:p>
      <w:pPr>
        <w:pStyle w:val="Heading1"/>
      </w:pPr>
      <w:r>
        <w:t xml:space="preserve">Chapter 4 Data and Methods</w:t>
      </w:r>
    </w:p>
    <w:p>
      <w:pPr>
        <w:pStyle w:val="FirstParagraph"/>
      </w:pPr>
      <w:r>
        <w:t xml:space="preserve">The figures this thesis compares come from sources that were never designed to be read together. Platforms publish in their own formats, and the answers of individual sellers are released only under a data-use agreement. The methods in this chapter are built around these conditions.</w:t>
      </w:r>
    </w:p>
    <w:p>
      <w:pPr>
        <w:pStyle w:val="BodyText"/>
      </w:pPr>
      <w:r>
        <w:t xml:space="preserve">On the platform side, the thesis reads revenue and transaction value from annual reports, audited statements and earnings releases. The extraction tables keep the source file and the quoted passage beside every value. The Indonesian platforms are three online marketplaces, Tokopedia, Bukalapak and Blibli, and GoTo, the group that runs the Gojek app for rides and deliveries. GoTo also controlled Tokopedia until 2024 and still holds a stake in it. Grab, a Singapore company that runs rides and deliveries across Southeast Asia, completes the group. Sea, also based in Singapore, owns the Shopee marketplace and is read with the foreign platforms (Section 4.1). Where a platform does not report Indonesia alone, as with Shopee and Grab, the thesis states what it derives or borrows and labels it.</w:t>
      </w:r>
    </w:p>
    <w:p>
      <w:pPr>
        <w:pStyle w:val="BodyText"/>
      </w:pPr>
      <w:r>
        <w:t xml:space="preserve">The national side rests on BPS’s survey of online sellers. BPS publishes a few totals, and the thesis obtained the answers behind them for three survey rounds, which show when each seller began selling online and how much it sold. The central bank’s own figure has no published method, so it serves only as a point of comparison.</w:t>
      </w:r>
    </w:p>
    <w:p>
      <w:pPr>
        <w:pStyle w:val="BodyText"/>
      </w:pPr>
      <w:r>
        <w:t xml:space="preserve">Setting the two sides against each other for one country is what makes the tests possible. Indonesia allows it. Five platform series report revenue and transaction value in the same year, and three of them report what they pay out in incentives. The survey asks every online seller when it began. The tests are built to ask only what these sources can answer, and each limit is stated where it applies.</w:t>
      </w:r>
    </w:p>
    <w:p>
      <w:pPr>
        <w:pStyle w:val="BodyText"/>
      </w:pPr>
      <w:r>
        <w:t xml:space="preserve">The chapter describes the evidence on each side and the tests that use it, platforms first (Sections 4.1 to 4.5) and then the survey (Sections 4.6 to 4.8). It ends with the comparison of national figures and with how every number is labelled and traced (Sections 4.9 and 4.10).</w:t>
      </w:r>
    </w:p>
    <w:bookmarkStart w:id="39" w:name="the-platform-data"/>
    <w:p>
      <w:pPr>
        <w:pStyle w:val="Heading2"/>
      </w:pPr>
      <w:r>
        <w:t xml:space="preserve">4.1 The platform data</w:t>
      </w:r>
    </w:p>
    <w:p>
      <w:pPr>
        <w:pStyle w:val="FirstParagraph"/>
      </w:pPr>
      <w:r>
        <w:t xml:space="preserve">The basic observation is one platform in one year, which this thesis calls a platform-year. Revenue comes from the company’s financial statements and transaction value from its annual report or earnings release. Both refer to the same year and, as closely as the filings allow, the same business.</w:t>
      </w:r>
    </w:p>
    <w:p>
      <w:pPr>
        <w:pStyle w:val="BodyText"/>
      </w:pPr>
      <w:r>
        <w:t xml:space="preserve">Companies define transaction value in different ways, and some include shipping charges, digital goods or travel. The thesis keeps each company’s own definition and records it. Under the second rule of Section 3.1, the definition cancels out of a take rate’s yearly changes. This holds as long as the company keeps both the definition and the mix of its businesses.</w:t>
      </w:r>
    </w:p>
    <w:p>
      <w:pPr>
        <w:pStyle w:val="BodyText"/>
      </w:pPr>
      <w:r>
        <w:t xml:space="preserve">Two groups of platforms are compared. The Indonesian and regional group has five platforms, listed in Table 5. Three are Indonesian marketplaces, and two are the on-demand businesses of Grab and GoTo, which cover rides and deliveries. The foreign group has 27 listed platforms in marketplaces, travel and ticketing, freelance work, resale and food delivery. Eight were chosen first, and 19 were added to widen the comparison. Ten more were examined and left out, six because they sell mostly their own goods and four because they do not disclose transaction value.</w:t>
      </w:r>
    </w:p>
    <w:p>
      <w:pPr>
        <w:pStyle w:val="TableCaption"/>
      </w:pPr>
      <w:r>
        <w:rPr>
          <w:b/>
        </w:rPr>
        <w:t>Table 5.</w:t>
      </w:r>
      <w:r>
        <w:rPr>
          <w:b w:val="0"/>
        </w:rPr>
        <w:t xml:space="preserve"> The Indonesian and regional group of platforms</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035"/>
        <w:gridCol w:w="2591"/>
        <w:gridCol w:w="1035"/>
        <w:gridCol w:w="750"/>
        <w:gridCol w:w="3092"/>
      </w:tblGrid>
      <w:tr>
        <w:trPr>
          <w:tblHeader w:val="true"/>
          <w:cantSplit/>
          <w:tblHeader/>
        </w:trPr>
        <w:tc>
          <w:tcPr>
            <w:tcW w:w="1035" w:type="dxa"/>
            <w:tcBorders>
              <w:bottom w:val="single" w:sz="5" w:space="0" w:color="000000"/>
            </w:tcBorders>
          </w:tcPr>
          <w:p>
            <w:pPr>
              <w:pStyle w:val="Compact"/>
              <w:keepNext/>
              <w:spacing w:before="0" w:after="0" w:lineRule="exact" w:line="220"/>
              <w:jc w:val="left"/>
            </w:pPr>
            <w:r>
              <w:rPr>
                <w:b/>
                <w:sz w:val="18"/>
              </w:rPr>
              <w:t xml:space="preserve">Platform series</w:t>
            </w:r>
          </w:p>
        </w:tc>
        <w:tc>
          <w:tcPr>
            <w:tcW w:w="2591" w:type="dxa"/>
            <w:tcBorders>
              <w:bottom w:val="single" w:sz="5" w:space="0" w:color="000000"/>
            </w:tcBorders>
          </w:tcPr>
          <w:p>
            <w:pPr>
              <w:pStyle w:val="Compact"/>
              <w:keepNext/>
              <w:spacing w:before="0" w:after="0" w:lineRule="exact" w:line="220"/>
              <w:jc w:val="left"/>
            </w:pPr>
            <w:r>
              <w:rPr>
                <w:b/>
                <w:sz w:val="18"/>
              </w:rPr>
              <w:t xml:space="preserve">What it covers</w:t>
            </w:r>
          </w:p>
        </w:tc>
        <w:tc>
          <w:tcPr>
            <w:tcW w:w="1035" w:type="dxa"/>
            <w:tcBorders>
              <w:bottom w:val="single" w:sz="5" w:space="0" w:color="000000"/>
            </w:tcBorders>
          </w:tcPr>
          <w:p>
            <w:pPr>
              <w:pStyle w:val="Compact"/>
              <w:keepNext/>
              <w:spacing w:before="0" w:after="0" w:lineRule="exact" w:line="220"/>
              <w:jc w:val="left"/>
            </w:pPr>
            <w:r>
              <w:rPr>
                <w:b/>
                <w:sz w:val="18"/>
              </w:rPr>
              <w:t xml:space="preserve">Years</w:t>
            </w:r>
          </w:p>
        </w:tc>
        <w:tc>
          <w:tcPr>
            <w:tcW w:w="750" w:type="dxa"/>
            <w:tcBorders>
              <w:bottom w:val="single" w:sz="5" w:space="0" w:color="000000"/>
            </w:tcBorders>
          </w:tcPr>
          <w:p>
            <w:pPr>
              <w:pStyle w:val="Compact"/>
              <w:keepNext/>
              <w:spacing w:before="0" w:after="0" w:lineRule="exact" w:line="220"/>
              <w:jc w:val="left"/>
            </w:pPr>
            <w:r>
              <w:rPr>
                <w:b/>
                <w:sz w:val="18"/>
              </w:rPr>
              <w:t xml:space="preserve">Yearly pairs</w:t>
            </w:r>
          </w:p>
        </w:tc>
        <w:tc>
          <w:tcPr>
            <w:tcW w:w="3092" w:type="dxa"/>
            <w:tcBorders>
              <w:bottom w:val="single" w:sz="5" w:space="0" w:color="000000"/>
            </w:tcBorders>
          </w:tcPr>
          <w:p>
            <w:pPr>
              <w:pStyle w:val="Compact"/>
              <w:keepNext/>
              <w:spacing w:before="0" w:after="0" w:lineRule="exact" w:line="220"/>
              <w:jc w:val="left"/>
            </w:pPr>
            <w:r>
              <w:rPr>
                <w:b/>
                <w:sz w:val="18"/>
              </w:rPr>
              <w:t xml:space="preserve">How it is labelled</w:t>
            </w:r>
          </w:p>
        </w:tc>
      </w:tr>
      <w:tr>
        <w:trPr>
          <w:cantSplit/>
        </w:trPr>
        <w:tc>
          <w:tcPr>
            <w:tcW w:w="1035" w:type="dxa"/>
          </w:tcPr>
          <w:p>
            <w:pPr>
              <w:pStyle w:val="Compact"/>
              <w:keepNext/>
              <w:spacing w:before="0" w:after="0" w:lineRule="exact" w:line="220"/>
              <w:jc w:val="left"/>
            </w:pPr>
            <w:r>
              <w:rPr>
                <w:sz w:val="18"/>
              </w:rPr>
              <w:t xml:space="preserve">Tokopedia</w:t>
            </w:r>
          </w:p>
        </w:tc>
        <w:tc>
          <w:tcPr>
            <w:tcW w:w="2591" w:type="dxa"/>
          </w:tcPr>
          <w:p>
            <w:pPr>
              <w:pStyle w:val="Compact"/>
              <w:keepNext/>
              <w:spacing w:before="0" w:after="0" w:lineRule="exact" w:line="220"/>
              <w:jc w:val="left"/>
            </w:pPr>
            <w:r>
              <w:rPr>
                <w:sz w:val="18"/>
              </w:rPr>
              <w:t xml:space="preserve">The e-commerce segment of GoTo, an Indonesian marketplace</w:t>
            </w:r>
          </w:p>
        </w:tc>
        <w:tc>
          <w:tcPr>
            <w:tcW w:w="1035" w:type="dxa"/>
          </w:tcPr>
          <w:p>
            <w:pPr>
              <w:pStyle w:val="Compact"/>
              <w:keepNext/>
              <w:spacing w:before="0" w:after="0" w:lineRule="exact" w:line="220"/>
              <w:jc w:val="left"/>
            </w:pPr>
            <w:r>
              <w:rPr>
                <w:sz w:val="18"/>
              </w:rPr>
              <w:t xml:space="preserve">2022–2023</w:t>
            </w:r>
          </w:p>
        </w:tc>
        <w:tc>
          <w:tcPr>
            <w:tcW w:w="750" w:type="dxa"/>
          </w:tcPr>
          <w:p>
            <w:pPr>
              <w:pStyle w:val="Compact"/>
              <w:keepNext/>
              <w:spacing w:before="0" w:after="0" w:lineRule="exact" w:line="220"/>
              <w:jc w:val="left"/>
            </w:pPr>
            <w:r>
              <w:rPr>
                <w:sz w:val="18"/>
              </w:rPr>
              <w:t xml:space="preserve">1</w:t>
            </w:r>
          </w:p>
        </w:tc>
        <w:tc>
          <w:tcPr>
            <w:tcW w:w="3092" w:type="dxa"/>
          </w:tcPr>
          <w:p>
            <w:pPr>
              <w:pStyle w:val="Compact"/>
              <w:keepNext/>
              <w:spacing w:before="0" w:after="0" w:lineRule="exact" w:line="220"/>
              <w:jc w:val="left"/>
            </w:pPr>
            <w:r>
              <w:rPr>
                <w:sz w:val="18"/>
              </w:rPr>
              <w:t xml:space="preserve">Direct segment disclosure</w:t>
            </w:r>
          </w:p>
        </w:tc>
      </w:tr>
      <w:tr>
        <w:trPr>
          <w:cantSplit/>
        </w:trPr>
        <w:tc>
          <w:tcPr>
            <w:tcW w:w="1035" w:type="dxa"/>
          </w:tcPr>
          <w:p>
            <w:pPr>
              <w:pStyle w:val="Compact"/>
              <w:keepNext/>
              <w:spacing w:before="0" w:after="0" w:lineRule="exact" w:line="220"/>
              <w:jc w:val="left"/>
            </w:pPr>
            <w:r>
              <w:rPr>
                <w:sz w:val="18"/>
              </w:rPr>
              <w:t xml:space="preserve">Blibli</w:t>
            </w:r>
          </w:p>
        </w:tc>
        <w:tc>
          <w:tcPr>
            <w:tcW w:w="2591" w:type="dxa"/>
          </w:tcPr>
          <w:p>
            <w:pPr>
              <w:pStyle w:val="Compact"/>
              <w:keepNext/>
              <w:spacing w:before="0" w:after="0" w:lineRule="exact" w:line="220"/>
              <w:jc w:val="left"/>
            </w:pPr>
            <w:r>
              <w:rPr>
                <w:sz w:val="18"/>
              </w:rPr>
              <w:t xml:space="preserve">Blibli’s third-party retail segment, which includes online travel</w:t>
            </w:r>
          </w:p>
        </w:tc>
        <w:tc>
          <w:tcPr>
            <w:tcW w:w="1035" w:type="dxa"/>
          </w:tcPr>
          <w:p>
            <w:pPr>
              <w:pStyle w:val="Compact"/>
              <w:keepNext/>
              <w:spacing w:before="0" w:after="0" w:lineRule="exact" w:line="220"/>
              <w:jc w:val="left"/>
            </w:pPr>
            <w:r>
              <w:rPr>
                <w:sz w:val="18"/>
              </w:rPr>
              <w:t xml:space="preserve">2021–2025</w:t>
            </w:r>
          </w:p>
        </w:tc>
        <w:tc>
          <w:tcPr>
            <w:tcW w:w="750" w:type="dxa"/>
          </w:tcPr>
          <w:p>
            <w:pPr>
              <w:pStyle w:val="Compact"/>
              <w:keepNext/>
              <w:spacing w:before="0" w:after="0" w:lineRule="exact" w:line="220"/>
              <w:jc w:val="left"/>
            </w:pPr>
            <w:r>
              <w:rPr>
                <w:sz w:val="18"/>
              </w:rPr>
              <w:t xml:space="preserve">4</w:t>
            </w:r>
          </w:p>
        </w:tc>
        <w:tc>
          <w:tcPr>
            <w:tcW w:w="3092" w:type="dxa"/>
          </w:tcPr>
          <w:p>
            <w:pPr>
              <w:pStyle w:val="Compact"/>
              <w:keepNext/>
              <w:spacing w:before="0" w:after="0" w:lineRule="exact" w:line="220"/>
              <w:jc w:val="left"/>
            </w:pPr>
            <w:r>
              <w:rPr>
                <w:sz w:val="18"/>
              </w:rPr>
              <w:t xml:space="preserve">Direct segment disclosure</w:t>
            </w:r>
          </w:p>
        </w:tc>
      </w:tr>
      <w:tr>
        <w:trPr>
          <w:cantSplit/>
        </w:trPr>
        <w:tc>
          <w:tcPr>
            <w:tcW w:w="1035" w:type="dxa"/>
          </w:tcPr>
          <w:p>
            <w:pPr>
              <w:pStyle w:val="Compact"/>
              <w:keepNext/>
              <w:spacing w:before="0" w:after="0" w:lineRule="exact" w:line="220"/>
              <w:jc w:val="left"/>
            </w:pPr>
            <w:r>
              <w:rPr>
                <w:sz w:val="18"/>
              </w:rPr>
              <w:t xml:space="preserve">Bukalapak</w:t>
            </w:r>
          </w:p>
        </w:tc>
        <w:tc>
          <w:tcPr>
            <w:tcW w:w="2591" w:type="dxa"/>
          </w:tcPr>
          <w:p>
            <w:pPr>
              <w:pStyle w:val="Compact"/>
              <w:keepNext/>
              <w:spacing w:before="0" w:after="0" w:lineRule="exact" w:line="220"/>
              <w:jc w:val="left"/>
            </w:pPr>
            <w:r>
              <w:rPr>
                <w:sz w:val="18"/>
              </w:rPr>
              <w:t xml:space="preserve">The whole Bukalapak group, mainly in Indonesia, including Mitra, its online-to-offline business</w:t>
            </w:r>
          </w:p>
        </w:tc>
        <w:tc>
          <w:tcPr>
            <w:tcW w:w="1035" w:type="dxa"/>
          </w:tcPr>
          <w:p>
            <w:pPr>
              <w:pStyle w:val="Compact"/>
              <w:keepNext/>
              <w:spacing w:before="0" w:after="0" w:lineRule="exact" w:line="220"/>
              <w:jc w:val="left"/>
            </w:pPr>
            <w:r>
              <w:rPr>
                <w:sz w:val="18"/>
              </w:rPr>
              <w:t xml:space="preserve">2020–2023</w:t>
            </w:r>
          </w:p>
        </w:tc>
        <w:tc>
          <w:tcPr>
            <w:tcW w:w="750" w:type="dxa"/>
          </w:tcPr>
          <w:p>
            <w:pPr>
              <w:pStyle w:val="Compact"/>
              <w:keepNext/>
              <w:spacing w:before="0" w:after="0" w:lineRule="exact" w:line="220"/>
              <w:jc w:val="left"/>
            </w:pPr>
            <w:r>
              <w:rPr>
                <w:sz w:val="18"/>
              </w:rPr>
              <w:t xml:space="preserve">3</w:t>
            </w:r>
          </w:p>
        </w:tc>
        <w:tc>
          <w:tcPr>
            <w:tcW w:w="3092" w:type="dxa"/>
          </w:tcPr>
          <w:p>
            <w:pPr>
              <w:pStyle w:val="Compact"/>
              <w:keepNext/>
              <w:spacing w:before="0" w:after="0" w:lineRule="exact" w:line="220"/>
              <w:jc w:val="left"/>
            </w:pPr>
            <w:r>
              <w:rPr>
                <w:sz w:val="18"/>
              </w:rPr>
              <w:t xml:space="preserve">Direct company disclosure</w:t>
            </w:r>
          </w:p>
        </w:tc>
      </w:tr>
      <w:tr>
        <w:trPr>
          <w:cantSplit/>
        </w:trPr>
        <w:tc>
          <w:tcPr>
            <w:tcW w:w="1035" w:type="dxa"/>
          </w:tcPr>
          <w:p>
            <w:pPr>
              <w:pStyle w:val="Compact"/>
              <w:keepNext/>
              <w:spacing w:before="0" w:after="0" w:lineRule="exact" w:line="220"/>
              <w:jc w:val="left"/>
            </w:pPr>
            <w:r>
              <w:rPr>
                <w:sz w:val="18"/>
              </w:rPr>
              <w:t xml:space="preserve">Grab on-demand</w:t>
            </w:r>
          </w:p>
        </w:tc>
        <w:tc>
          <w:tcPr>
            <w:tcW w:w="2591" w:type="dxa"/>
          </w:tcPr>
          <w:p>
            <w:pPr>
              <w:pStyle w:val="Compact"/>
              <w:keepNext/>
              <w:spacing w:before="0" w:after="0" w:lineRule="exact" w:line="220"/>
              <w:jc w:val="left"/>
            </w:pPr>
            <w:r>
              <w:rPr>
                <w:sz w:val="18"/>
              </w:rPr>
              <w:t xml:space="preserve">Grab’s rides and deliveries across Southeast Asia, not Indonesia alone</w:t>
            </w:r>
          </w:p>
        </w:tc>
        <w:tc>
          <w:tcPr>
            <w:tcW w:w="1035" w:type="dxa"/>
          </w:tcPr>
          <w:p>
            <w:pPr>
              <w:pStyle w:val="Compact"/>
              <w:keepNext/>
              <w:spacing w:before="0" w:after="0" w:lineRule="exact" w:line="220"/>
              <w:jc w:val="left"/>
            </w:pPr>
            <w:r>
              <w:rPr>
                <w:sz w:val="18"/>
              </w:rPr>
              <w:t xml:space="preserve">2020–2024</w:t>
            </w:r>
          </w:p>
        </w:tc>
        <w:tc>
          <w:tcPr>
            <w:tcW w:w="750" w:type="dxa"/>
          </w:tcPr>
          <w:p>
            <w:pPr>
              <w:pStyle w:val="Compact"/>
              <w:keepNext/>
              <w:spacing w:before="0" w:after="0" w:lineRule="exact" w:line="220"/>
              <w:jc w:val="left"/>
            </w:pPr>
            <w:r>
              <w:rPr>
                <w:sz w:val="18"/>
              </w:rPr>
              <w:t xml:space="preserve">4</w:t>
            </w:r>
          </w:p>
        </w:tc>
        <w:tc>
          <w:tcPr>
            <w:tcW w:w="3092" w:type="dxa"/>
          </w:tcPr>
          <w:p>
            <w:pPr>
              <w:pStyle w:val="Compact"/>
              <w:keepNext/>
              <w:spacing w:before="0" w:after="0" w:lineRule="exact" w:line="220"/>
              <w:jc w:val="left"/>
            </w:pPr>
            <w:r>
              <w:rPr>
                <w:sz w:val="18"/>
              </w:rPr>
              <w:t xml:space="preserve">Direct segment disclosure</w:t>
            </w:r>
          </w:p>
        </w:tc>
      </w:tr>
      <w:tr>
        <w:trPr>
          <w:cantSplit/>
        </w:trPr>
        <w:tc>
          <w:tcPr>
            <w:tcW w:w="1035" w:type="dxa"/>
          </w:tcPr>
          <w:p>
            <w:pPr>
              <w:pStyle w:val="Compact"/>
              <w:spacing w:before="0" w:after="0" w:lineRule="exact" w:line="220"/>
              <w:jc w:val="left"/>
            </w:pPr>
            <w:r>
              <w:rPr>
                <w:sz w:val="18"/>
              </w:rPr>
              <w:t xml:space="preserve">GoTo on-demand</w:t>
            </w:r>
          </w:p>
        </w:tc>
        <w:tc>
          <w:tcPr>
            <w:tcW w:w="2591" w:type="dxa"/>
          </w:tcPr>
          <w:p>
            <w:pPr>
              <w:pStyle w:val="Compact"/>
              <w:spacing w:before="0" w:after="0" w:lineRule="exact" w:line="220"/>
              <w:jc w:val="left"/>
            </w:pPr>
            <w:r>
              <w:rPr>
                <w:sz w:val="18"/>
              </w:rPr>
              <w:t xml:space="preserve">GoTo’s rides and deliveries segment, in Indonesia and Vietnam to 2024</w:t>
            </w:r>
          </w:p>
        </w:tc>
        <w:tc>
          <w:tcPr>
            <w:tcW w:w="1035" w:type="dxa"/>
          </w:tcPr>
          <w:p>
            <w:pPr>
              <w:pStyle w:val="Compact"/>
              <w:spacing w:before="0" w:after="0" w:lineRule="exact" w:line="220"/>
              <w:jc w:val="left"/>
            </w:pPr>
            <w:r>
              <w:rPr>
                <w:sz w:val="18"/>
              </w:rPr>
              <w:t xml:space="preserve">2022–2025</w:t>
            </w:r>
          </w:p>
        </w:tc>
        <w:tc>
          <w:tcPr>
            <w:tcW w:w="750" w:type="dxa"/>
          </w:tcPr>
          <w:p>
            <w:pPr>
              <w:pStyle w:val="Compact"/>
              <w:spacing w:before="0" w:after="0" w:lineRule="exact" w:line="220"/>
              <w:jc w:val="left"/>
            </w:pPr>
            <w:r>
              <w:rPr>
                <w:sz w:val="18"/>
              </w:rPr>
              <w:t xml:space="preserve">3</w:t>
            </w:r>
          </w:p>
        </w:tc>
        <w:tc>
          <w:tcPr>
            <w:tcW w:w="3092" w:type="dxa"/>
          </w:tcPr>
          <w:p>
            <w:pPr>
              <w:pStyle w:val="Compact"/>
              <w:spacing w:before="0" w:after="0" w:lineRule="exact" w:line="220"/>
              <w:jc w:val="left"/>
            </w:pPr>
            <w:r>
              <w:rPr>
                <w:sz w:val="18"/>
              </w:rPr>
              <w:t xml:space="preserve">Direct segment disclosure; the 2022 transaction value is an estimate</w:t>
            </w:r>
          </w:p>
        </w:tc>
      </w:tr>
    </w:tbl>
    <w:p>
      <w:pPr>
        <w:pStyle w:val="BodyText"/>
        <w:spacing w:before="160"/>
      </w:pPr>
      <w:r>
        <w:t xml:space="preserve">Table 5 states the scope of each series because the series differ, and only Tokopedia is an Indonesian segment alone. The thesis never adds the series together, and each platform enters the tests on its own. Sea, whose Shopee business has Indonesia as a main market, sits in the foreign group.</w:t>
      </w:r>
    </w:p>
    <w:p>
      <w:pPr>
        <w:pStyle w:val="BodyText"/>
      </w:pPr>
      <w:r>
        <w:t xml:space="preserve">Platform-years are compared in pairs, and three rules keep the pairs comparable. Two consecutive platform-years form a pair, and nothing else does. A missing year stays missing and is never filled in. Annual and quarterly pairs are never pooled. A take rate is a ratio of two amounts in one currency, so the tests need no exchange rate. Amounts in running text are in US dollars at the World Bank’s average rate for the year (World Bank 2026).</w:t>
      </w:r>
    </w:p>
    <w:p>
      <w:pPr>
        <w:pStyle w:val="BodyText"/>
      </w:pPr>
      <w:r>
        <w:t xml:space="preserve">The third rule of Section 3.1, which keeps out companies that mainly sell their own goods, is applied in two ways. For the 19 platforms added, the thesis drops any year in which own goods exceed half of revenue. For the eight chosen first, it keeps a pair only when the company’s reporting scope did not change between the two years.</w:t>
      </w:r>
    </w:p>
    <w:p>
      <w:pPr>
        <w:pStyle w:val="BodyText"/>
      </w:pPr>
      <w:r>
        <w:t xml:space="preserve">Two platforms sit close to that line. Zalando is one of the eight and sells part of what it carries, so Appendix B repeats the test without it. One added pair, Ozon from 2021 to 2022, ends in a kept year but starts in a dropped one. Appendix B repeats the test without Ozon as well. The result is 15 pairs for the Indonesian and regional group and 158 for the foreign group.</w:t>
      </w:r>
    </w:p>
    <w:bookmarkEnd w:id="39"/>
    <w:bookmarkStart w:id="40" w:name="measuring-the-wedge-in-indonesia"/>
    <w:p>
      <w:pPr>
        <w:pStyle w:val="Heading2"/>
      </w:pPr>
      <w:r>
        <w:t xml:space="preserve">4.2 Measuring the wedge in Indonesia</w:t>
      </w:r>
    </w:p>
    <w:p>
      <w:pPr>
        <w:pStyle w:val="FirstParagraph"/>
      </w:pPr>
      <w:r>
        <w:t xml:space="preserve">The first objective, the size of the invisible wedge, needs amounts for Indonesia alone. The thesis sums the transaction value and revenue of three major platforms in Indonesia in 2023: Tokopedia, Shopee and Grab. The wedge and the ecosystem ratio are then computed from the sums.</w:t>
      </w:r>
    </w:p>
    <w:p>
      <w:pPr>
        <w:pStyle w:val="BodyText"/>
      </w:pPr>
      <w:r>
        <w:t xml:space="preserve">Each platform reaches the sum by its own route. Tokopedia reports both amounts for its segment. Shopee’s transaction value is an outside estimate by Momentum Works, a research firm that tracks online commerce in Southeast Asia. Its revenue assumes a take rate of 10 percent, which the thesis varies from 9 to 11 percent. Grab reports its Indonesian revenue, and the thesis derives its Indonesian transaction value from Grab’s company-wide ratio of the two amounts. The thesis drops each platform in turn, and it repeats the exercise for every platform-year between 2020 and 2025 that the filings allow.</w:t>
      </w:r>
    </w:p>
    <w:bookmarkEnd w:id="40"/>
    <w:bookmarkStart w:id="41" w:name="testing-h1"/>
    <w:p>
      <w:pPr>
        <w:pStyle w:val="Heading2"/>
      </w:pPr>
      <w:r>
        <w:t xml:space="preserve">4.3 Testing H1</w:t>
      </w:r>
    </w:p>
    <w:p>
      <w:pPr>
        <w:pStyle w:val="FirstParagraph"/>
      </w:pPr>
      <w:r>
        <w:t xml:space="preserve">The test of H1 asks how far each platform’s take rate moves from one year to the next. For each pair of years it takes the change in the logarithm of the take rate, the take-rate term of equation (5). This change is growth divergence measured in logs, and it does not depend on how fast transaction value grew. Tokopedia’s log change in 2023 is 0.52, which is a rise by a factor of 1.68, or 68 percent.</w:t>
      </w:r>
    </w:p>
    <w:p>
      <w:pPr>
        <w:pStyle w:val="BodyText"/>
      </w:pPr>
      <w:r>
        <w:t xml:space="preserve">A move in either direction counts against H1, so the test uses the size of each yearly change in the take rate. Each platform gets one number, the median size of its yearly changes, because the pairs of one platform are not independent of one another.</w:t>
      </w:r>
    </w:p>
    <w:p>
      <w:pPr>
        <w:pStyle w:val="BodyText"/>
      </w:pPr>
      <w:r>
        <w:t xml:space="preserve">The test compares five numbers for the Indonesian and regional group with 27 for the foreign group. It asks whether the first group ranks higher than chance would give, using a one-sided Mann–Whitney test (Mann and Whitney 1947). It repeats the question by shuffling the group labels 9,999 times. The p-value is the chance of a result at least this lopsided if the groups did not differ.</w:t>
      </w:r>
    </w:p>
    <w:p>
      <w:pPr>
        <w:pStyle w:val="BodyText"/>
      </w:pPr>
      <w:r>
        <w:t xml:space="preserve">Appendix B lists the checks on this test. Some change the sample. They drop each platform in turn, drop two at a time, treat Tokopedia and GoTo as one company, move Sea to the regional group, keep only the first five years after listing, or narrow the test to the three marketplaces. Others change the measure: growth divergence in points as Chapter 3 defines it, exact tests, the change in the take rate in percentage points (to see whether a thin take rate explains the result), and the correlation of revenue growth with transaction value growth. One repeats the test with quarterly pairs.</w:t>
      </w:r>
    </w:p>
    <w:bookmarkEnd w:id="41"/>
    <w:bookmarkStart w:id="42" w:name="tracing-the-moves"/>
    <w:p>
      <w:pPr>
        <w:pStyle w:val="Heading2"/>
      </w:pPr>
      <w:r>
        <w:t xml:space="preserve">4.4 Tracing the moves</w:t>
      </w:r>
    </w:p>
    <w:p>
      <w:pPr>
        <w:pStyle w:val="FirstParagraph"/>
      </w:pPr>
      <w:r>
        <w:t xml:space="preserve">The second objective, to reconcile large movements in revenue with disclosed changes in fees, discounts and scope, is answered in two steps. The first divides each movement into volume and take rate with equation (5). The take-rate share is the size of the take-rate change divided by the sum of the sizes of both changes. The same split is made for the wedge.</w:t>
      </w:r>
    </w:p>
    <w:p>
      <w:pPr>
        <w:pStyle w:val="BodyText"/>
      </w:pPr>
      <w:r>
        <w:t xml:space="preserve">The second step splits the take-rate change with equation (6). Some companies disclose both their gross fees and their incentives. For them, the thesis splits the growth of revenue over a window into three parts: more commerce, a change in the fee rate and a change in the incentive rate. A change in the mix of businesses is recorded from the company’s reports.</w:t>
      </w:r>
    </w:p>
    <w:p>
      <w:pPr>
        <w:pStyle w:val="BodyText"/>
      </w:pPr>
      <w:r>
        <w:t xml:space="preserve">The sources differ by company. Tokopedia’s audited segment note gives gross revenue, incentives and net revenue, and the thesis checks them against the audited consolidated statements. For Tokopedia the thesis also reports the change line by line in rupiah, the usual way to read accounts, and says where the two views differ.</w:t>
      </w:r>
    </w:p>
    <w:p>
      <w:pPr>
        <w:pStyle w:val="BodyText"/>
      </w:pPr>
      <w:r>
        <w:t xml:space="preserve">Grab is read from its annual filings and GoTo from its audited statements. Blibli does not report incentives, so its split rests on a proxy built from its releases. Seven windows are traced, and Appendix A lists them. The thesis also records where accounting treatment or reporting scope matters, such as the deduction of incentives from revenue and the travel business inside Blibli’s retail segment. Company explanations are read as reports and are not tested.</w:t>
      </w:r>
    </w:p>
    <w:bookmarkEnd w:id="42"/>
    <w:bookmarkStart w:id="43" w:name="market-values"/>
    <w:p>
      <w:pPr>
        <w:pStyle w:val="Heading2"/>
      </w:pPr>
      <w:r>
        <w:t xml:space="preserve">4.5 Market values</w:t>
      </w:r>
    </w:p>
    <w:p>
      <w:pPr>
        <w:pStyle w:val="FirstParagraph"/>
      </w:pPr>
      <w:r>
        <w:t xml:space="preserve">The market-value analysis of Section 3.6 uses year-end market values from the financial data service LSEG, under the university licence. The main sample has 28 listed platforms and 138 platform-years, made up of Bukalapak and 27 platforms abroad, and it uses whole-company figures only. It is not the list of 27 used for H1. It adds Airbnb, Booking, DoorDash, Lyft and Uber, and it lacks Despegar, Mercado Libre, Ozon, Rakuten and Sea.</w:t>
      </w:r>
    </w:p>
    <w:p>
      <w:pPr>
        <w:pStyle w:val="BodyText"/>
      </w:pPr>
      <w:r>
        <w:t xml:space="preserve">Equation (8) is estimated with a fixed effect for each year, which removes what all platforms share in that year. Standard errors are clustered by company, which allows for the repeated observations of one company. Each prediction names a direction, so both tests are one-sided. The test was written down before the market values were pulled. The result is an association, and market value also changes when a company issues shares, so the thesis does not call it a stock return. A second run adds five segment series and Mercado Libre as a robustness check. Grab, GoTo and Sea enter only there, because their reported transaction value covers only part of the business that the market value prices.</w:t>
      </w:r>
    </w:p>
    <w:bookmarkEnd w:id="43"/>
    <w:bookmarkStart w:id="44" w:name="the-survey-files-and-h2"/>
    <w:p>
      <w:pPr>
        <w:pStyle w:val="Heading2"/>
      </w:pPr>
      <w:r>
        <w:t xml:space="preserve">4.6 The survey files and H2</w:t>
      </w:r>
    </w:p>
    <w:p>
      <w:pPr>
        <w:pStyle w:val="FirstParagraph"/>
      </w:pPr>
      <w:r>
        <w:t xml:space="preserve">The national evidence comes from the survey of online sellers that BPS runs. BPS publishes the number of businesses selling online, their total online sales and the shares by channel (BPS 2025a, 2025b). The survey rounds are named for the survey year, but their questions refer to the year before. The thesis names a file by its round and a year by the year of activity, so the file for the 2024 round describes 2023. Each round lists businesses in sampled areas and updates its sampling frame, so a change in who is found can change the count.</w:t>
      </w:r>
    </w:p>
    <w:p>
      <w:pPr>
        <w:pStyle w:val="BodyText"/>
      </w:pPr>
      <w:r>
        <w:t xml:space="preserve">H2 uses the published figures and the split of equation (7). BPS prints two counts of businesses for 2023, so the thesis computes the 2023 to 2024 split with both and reports both. The 2022 to 2023 split uses the count that the survey weights match.</w:t>
      </w:r>
    </w:p>
    <w:p>
      <w:pPr>
        <w:pStyle w:val="BodyText"/>
      </w:pPr>
      <w:r>
        <w:t xml:space="preserve">The published figures cannot tell a new seller from one counted for the first time, but the survey files can. Table 6 lists them. Each row is a business that sold online in the activity year. Its survey weight shows how many businesses it represents, so the weights add up to the national count.</w:t>
      </w:r>
    </w:p>
    <w:p>
      <w:pPr>
        <w:pStyle w:val="BodyText"/>
      </w:pPr>
      <w:r>
        <w:t xml:space="preserve">Two checks come before any test. The weighted total of each file must fall within 1 percent of the BPS count. The 2024 file must also reproduce two published shares of sellers who keep complete financial statements, 28.63 and 12.25 percent. All three files pass. The files carry no business identifier across rounds and no area variable below the province. So the rounds compare groups of sellers and not the same sellers over time.</w:t>
      </w:r>
    </w:p>
    <w:p>
      <w:pPr>
        <w:pStyle w:val="TableCaption"/>
      </w:pPr>
      <w:r>
        <w:rPr>
          <w:b/>
        </w:rPr>
        <w:t>Table 6.</w:t>
      </w:r>
      <w:r>
        <w:rPr>
          <w:b w:val="0"/>
        </w:rPr>
        <w:t xml:space="preserve"> The three BPS survey files</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879"/>
        <w:gridCol w:w="1681"/>
        <w:gridCol w:w="1285"/>
        <w:gridCol w:w="1780"/>
        <w:gridCol w:w="1879"/>
      </w:tblGrid>
      <w:tr>
        <w:trPr>
          <w:tblHeader w:val="true"/>
          <w:cantSplit/>
          <w:tblHeader/>
        </w:trPr>
        <w:tc>
          <w:tcPr>
            <w:tcW w:w="1879" w:type="dxa"/>
            <w:tcBorders>
              <w:bottom w:val="single" w:sz="5" w:space="0" w:color="000000"/>
            </w:tcBorders>
          </w:tcPr>
          <w:p>
            <w:pPr>
              <w:pStyle w:val="Compact"/>
              <w:keepNext/>
              <w:spacing w:before="0" w:after="0" w:lineRule="exact" w:line="220"/>
              <w:jc w:val="left"/>
            </w:pPr>
            <w:r>
              <w:rPr>
                <w:b/>
                <w:sz w:val="18"/>
              </w:rPr>
              <w:t xml:space="preserve">Survey round</w:t>
            </w:r>
          </w:p>
        </w:tc>
        <w:tc>
          <w:tcPr>
            <w:tcW w:w="1681" w:type="dxa"/>
            <w:tcBorders>
              <w:bottom w:val="single" w:sz="5" w:space="0" w:color="000000"/>
            </w:tcBorders>
          </w:tcPr>
          <w:p>
            <w:pPr>
              <w:pStyle w:val="Compact"/>
              <w:keepNext/>
              <w:spacing w:before="0" w:after="0" w:lineRule="exact" w:line="220"/>
              <w:jc w:val="left"/>
            </w:pPr>
            <w:r>
              <w:rPr>
                <w:b/>
                <w:sz w:val="18"/>
              </w:rPr>
              <w:t xml:space="preserve">Activity year</w:t>
            </w:r>
          </w:p>
        </w:tc>
        <w:tc>
          <w:tcPr>
            <w:tcW w:w="1285" w:type="dxa"/>
            <w:tcBorders>
              <w:bottom w:val="single" w:sz="5" w:space="0" w:color="000000"/>
            </w:tcBorders>
          </w:tcPr>
          <w:p>
            <w:pPr>
              <w:pStyle w:val="Compact"/>
              <w:keepNext/>
              <w:spacing w:before="0" w:after="0" w:lineRule="exact" w:line="220"/>
              <w:jc w:val="left"/>
            </w:pPr>
            <w:r>
              <w:rPr>
                <w:b/>
                <w:sz w:val="18"/>
              </w:rPr>
              <w:t xml:space="preserve">Rows</w:t>
            </w:r>
          </w:p>
        </w:tc>
        <w:tc>
          <w:tcPr>
            <w:tcW w:w="1780" w:type="dxa"/>
            <w:tcBorders>
              <w:bottom w:val="single" w:sz="5" w:space="0" w:color="000000"/>
            </w:tcBorders>
          </w:tcPr>
          <w:p>
            <w:pPr>
              <w:pStyle w:val="Compact"/>
              <w:keepNext/>
              <w:spacing w:before="0" w:after="0" w:lineRule="exact" w:line="220"/>
              <w:jc w:val="left"/>
            </w:pPr>
            <w:r>
              <w:rPr>
                <w:b/>
                <w:sz w:val="18"/>
              </w:rPr>
              <w:t xml:space="preserve">Weighted total</w:t>
            </w:r>
          </w:p>
        </w:tc>
        <w:tc>
          <w:tcPr>
            <w:tcW w:w="1879" w:type="dxa"/>
            <w:tcBorders>
              <w:bottom w:val="single" w:sz="5" w:space="0" w:color="000000"/>
            </w:tcBorders>
          </w:tcPr>
          <w:p>
            <w:pPr>
              <w:pStyle w:val="Compact"/>
              <w:keepNext/>
              <w:spacing w:before="0" w:after="0" w:lineRule="exact" w:line="220"/>
              <w:jc w:val="left"/>
            </w:pPr>
            <w:r>
              <w:rPr>
                <w:b/>
                <w:sz w:val="18"/>
              </w:rPr>
              <w:t xml:space="preserve">BPS count</w:t>
            </w:r>
          </w:p>
        </w:tc>
      </w:tr>
      <w:tr>
        <w:trPr>
          <w:cantSplit/>
        </w:trPr>
        <w:tc>
          <w:tcPr>
            <w:tcW w:w="1879" w:type="dxa"/>
          </w:tcPr>
          <w:p>
            <w:pPr>
              <w:pStyle w:val="Compact"/>
              <w:keepNext/>
              <w:spacing w:before="0" w:after="0" w:lineRule="exact" w:line="220"/>
              <w:jc w:val="left"/>
            </w:pPr>
            <w:r>
              <w:rPr>
                <w:sz w:val="18"/>
              </w:rPr>
              <w:t xml:space="preserve">E-Commerce 2021</w:t>
            </w:r>
          </w:p>
        </w:tc>
        <w:tc>
          <w:tcPr>
            <w:tcW w:w="1681" w:type="dxa"/>
          </w:tcPr>
          <w:p>
            <w:pPr>
              <w:pStyle w:val="Compact"/>
              <w:keepNext/>
              <w:spacing w:before="0" w:after="0" w:lineRule="exact" w:line="220"/>
              <w:jc w:val="left"/>
            </w:pPr>
            <w:r>
              <w:rPr>
                <w:sz w:val="18"/>
              </w:rPr>
              <w:t xml:space="preserve">2020</w:t>
            </w:r>
          </w:p>
        </w:tc>
        <w:tc>
          <w:tcPr>
            <w:tcW w:w="1285" w:type="dxa"/>
          </w:tcPr>
          <w:p>
            <w:pPr>
              <w:pStyle w:val="Compact"/>
              <w:keepNext/>
              <w:spacing w:before="0" w:after="0" w:lineRule="exact" w:line="220"/>
              <w:jc w:val="left"/>
            </w:pPr>
            <w:r>
              <w:rPr>
                <w:sz w:val="18"/>
              </w:rPr>
              <w:t xml:space="preserve">11,848</w:t>
            </w:r>
          </w:p>
        </w:tc>
        <w:tc>
          <w:tcPr>
            <w:tcW w:w="1780" w:type="dxa"/>
          </w:tcPr>
          <w:p>
            <w:pPr>
              <w:pStyle w:val="Compact"/>
              <w:keepNext/>
              <w:spacing w:before="0" w:after="0" w:lineRule="exact" w:line="220"/>
              <w:jc w:val="left"/>
            </w:pPr>
            <w:r>
              <w:rPr>
                <w:sz w:val="18"/>
              </w:rPr>
              <w:t xml:space="preserve">2,361,423</w:t>
            </w:r>
          </w:p>
        </w:tc>
        <w:tc>
          <w:tcPr>
            <w:tcW w:w="1879" w:type="dxa"/>
          </w:tcPr>
          <w:p>
            <w:pPr>
              <w:pStyle w:val="Compact"/>
              <w:keepNext/>
              <w:spacing w:before="0" w:after="0" w:lineRule="exact" w:line="220"/>
              <w:jc w:val="left"/>
            </w:pPr>
            <w:r>
              <w:rPr>
                <w:sz w:val="18"/>
              </w:rPr>
              <w:t xml:space="preserve">2,361,423</w:t>
            </w:r>
          </w:p>
        </w:tc>
      </w:tr>
      <w:tr>
        <w:trPr>
          <w:cantSplit/>
        </w:trPr>
        <w:tc>
          <w:tcPr>
            <w:tcW w:w="1879" w:type="dxa"/>
          </w:tcPr>
          <w:p>
            <w:pPr>
              <w:pStyle w:val="Compact"/>
              <w:keepNext/>
              <w:spacing w:before="0" w:after="0" w:lineRule="exact" w:line="220"/>
              <w:jc w:val="left"/>
            </w:pPr>
            <w:r>
              <w:rPr>
                <w:sz w:val="18"/>
              </w:rPr>
              <w:t xml:space="preserve">E-Commerce 2023</w:t>
            </w:r>
          </w:p>
        </w:tc>
        <w:tc>
          <w:tcPr>
            <w:tcW w:w="1681" w:type="dxa"/>
          </w:tcPr>
          <w:p>
            <w:pPr>
              <w:pStyle w:val="Compact"/>
              <w:keepNext/>
              <w:spacing w:before="0" w:after="0" w:lineRule="exact" w:line="220"/>
              <w:jc w:val="left"/>
            </w:pPr>
            <w:r>
              <w:rPr>
                <w:sz w:val="18"/>
              </w:rPr>
              <w:t xml:space="preserve">2022</w:t>
            </w:r>
          </w:p>
        </w:tc>
        <w:tc>
          <w:tcPr>
            <w:tcW w:w="1285" w:type="dxa"/>
          </w:tcPr>
          <w:p>
            <w:pPr>
              <w:pStyle w:val="Compact"/>
              <w:keepNext/>
              <w:spacing w:before="0" w:after="0" w:lineRule="exact" w:line="220"/>
              <w:jc w:val="left"/>
            </w:pPr>
            <w:r>
              <w:rPr>
                <w:sz w:val="18"/>
              </w:rPr>
              <w:t xml:space="preserve">31,724</w:t>
            </w:r>
          </w:p>
        </w:tc>
        <w:tc>
          <w:tcPr>
            <w:tcW w:w="1780" w:type="dxa"/>
          </w:tcPr>
          <w:p>
            <w:pPr>
              <w:pStyle w:val="Compact"/>
              <w:keepNext/>
              <w:spacing w:before="0" w:after="0" w:lineRule="exact" w:line="220"/>
              <w:jc w:val="left"/>
            </w:pPr>
            <w:r>
              <w:rPr>
                <w:sz w:val="18"/>
              </w:rPr>
              <w:t xml:space="preserve">2,995,986</w:t>
            </w:r>
          </w:p>
        </w:tc>
        <w:tc>
          <w:tcPr>
            <w:tcW w:w="1879" w:type="dxa"/>
          </w:tcPr>
          <w:p>
            <w:pPr>
              <w:pStyle w:val="Compact"/>
              <w:keepNext/>
              <w:spacing w:before="0" w:after="0" w:lineRule="exact" w:line="220"/>
              <w:jc w:val="left"/>
            </w:pPr>
            <w:r>
              <w:rPr>
                <w:sz w:val="18"/>
              </w:rPr>
              <w:t xml:space="preserve">2,995,879*</w:t>
            </w:r>
          </w:p>
        </w:tc>
      </w:tr>
      <w:tr>
        <w:trPr>
          <w:cantSplit/>
        </w:trPr>
        <w:tc>
          <w:tcPr>
            <w:tcW w:w="1879" w:type="dxa"/>
          </w:tcPr>
          <w:p>
            <w:pPr>
              <w:pStyle w:val="Compact"/>
              <w:spacing w:before="0" w:after="0" w:lineRule="exact" w:line="220"/>
              <w:jc w:val="left"/>
            </w:pPr>
            <w:r>
              <w:rPr>
                <w:sz w:val="18"/>
              </w:rPr>
              <w:t xml:space="preserve">E-Commerce 2024</w:t>
            </w:r>
          </w:p>
        </w:tc>
        <w:tc>
          <w:tcPr>
            <w:tcW w:w="1681" w:type="dxa"/>
          </w:tcPr>
          <w:p>
            <w:pPr>
              <w:pStyle w:val="Compact"/>
              <w:spacing w:before="0" w:after="0" w:lineRule="exact" w:line="220"/>
              <w:jc w:val="left"/>
            </w:pPr>
            <w:r>
              <w:rPr>
                <w:sz w:val="18"/>
              </w:rPr>
              <w:t xml:space="preserve">2023</w:t>
            </w:r>
          </w:p>
        </w:tc>
        <w:tc>
          <w:tcPr>
            <w:tcW w:w="1285" w:type="dxa"/>
          </w:tcPr>
          <w:p>
            <w:pPr>
              <w:pStyle w:val="Compact"/>
              <w:spacing w:before="0" w:after="0" w:lineRule="exact" w:line="220"/>
              <w:jc w:val="left"/>
            </w:pPr>
            <w:r>
              <w:rPr>
                <w:sz w:val="18"/>
              </w:rPr>
              <w:t xml:space="preserve">39,736</w:t>
            </w:r>
          </w:p>
        </w:tc>
        <w:tc>
          <w:tcPr>
            <w:tcW w:w="1780" w:type="dxa"/>
          </w:tcPr>
          <w:p>
            <w:pPr>
              <w:pStyle w:val="Compact"/>
              <w:spacing w:before="0" w:after="0" w:lineRule="exact" w:line="220"/>
              <w:jc w:val="left"/>
            </w:pPr>
            <w:r>
              <w:rPr>
                <w:sz w:val="18"/>
              </w:rPr>
              <w:t xml:space="preserve">3,814,799</w:t>
            </w:r>
          </w:p>
        </w:tc>
        <w:tc>
          <w:tcPr>
            <w:tcW w:w="1879" w:type="dxa"/>
          </w:tcPr>
          <w:p>
            <w:pPr>
              <w:pStyle w:val="Compact"/>
              <w:spacing w:before="0" w:after="0" w:lineRule="exact" w:line="220"/>
              <w:jc w:val="left"/>
            </w:pPr>
            <w:r>
              <w:rPr>
                <w:sz w:val="18"/>
              </w:rPr>
              <w:t xml:space="preserve">3,816,750</w:t>
            </w:r>
          </w:p>
        </w:tc>
      </w:tr>
    </w:tbl>
    <w:p>
      <w:pPr>
        <w:pStyle w:val="BodyText"/>
        <w:spacing w:before="160"/>
      </w:pPr>
      <w:r>
        <w:t xml:space="preserve">*Implied by the published count for 2023 and its published growth of 27.4 percent.</w:t>
      </w:r>
    </w:p>
    <w:bookmarkEnd w:id="44"/>
    <w:bookmarkStart w:id="45" w:name="the-entry-test-and-the-extra-sellers"/>
    <w:p>
      <w:pPr>
        <w:pStyle w:val="Heading2"/>
      </w:pPr>
      <w:r>
        <w:t xml:space="preserve">4.7 The entry test and the extra sellers</w:t>
      </w:r>
    </w:p>
    <w:p>
      <w:pPr>
        <w:pStyle w:val="FirstParagraph"/>
      </w:pPr>
      <w:r>
        <w:t xml:space="preserve">The entry test asks whether at least 21.5 percent of the 2023 sellers in the 2024 file began selling online in 2023, a threshold that Chapter 3 derives. BPS also prints a second count for 2023, but the survey weights match the first, so the threshold stays at 21.5 percent. The test was written down and dated in the project’s code archive, called the repository, before the files were opened.</w:t>
      </w:r>
    </w:p>
    <w:p>
      <w:pPr>
        <w:pStyle w:val="BodyText"/>
      </w:pPr>
      <w:r>
        <w:t xml:space="preserve">A failed entry test raises a second question: how much of the rise does first-time entry not explain? The sellers behind that part are called the extra sellers. A cohort is the group of sellers that began selling online by a given year. If two surveys count the same population, a cohort can only shrink between them, because sellers stop and no new seller can join it.</w:t>
      </w:r>
    </w:p>
    <w:p>
      <w:pPr>
        <w:pStyle w:val="BodyText"/>
      </w:pPr>
      <w:r>
        <w:t xml:space="preserve">The cohort check compares the 2024 file’s count of sellers who began before 2023 with the whole 2022 count. It does so twice. The first time it assumes that no seller stopped. The second time it assumes that sellers stopped at about 5 percent a year, the rate at which one cohort shrank between the 2020 and 2022 surveys.</w:t>
      </w:r>
    </w:p>
    <w:p>
      <w:pPr>
        <w:pStyle w:val="BodyText"/>
      </w:pPr>
      <w:r>
        <w:t xml:space="preserve">Further checks ask where the extra sellers sit and who they are. They compare provinces and channels using rank correlations, look at sellers’ own reports of their sales, and use the sampling error that BPS publishes. They compare each group’s count in 2023 with what its own yearly change in 2020 to 2022 would give. They also look at part-year selling and test a scenario of returners.</w:t>
      </w:r>
    </w:p>
    <w:p>
      <w:pPr>
        <w:pStyle w:val="BodyText"/>
      </w:pPr>
      <w:r>
        <w:t xml:space="preserve">The cohort check and the further checks were designed after the entry test failed, so Chapter 5 labels them exploratory. The exception is the median change in sellers’ sales, which was registered. The files cannot rule out returners, because a seller who stopped and returned keeps an old start year.</w:t>
      </w:r>
    </w:p>
    <w:bookmarkEnd w:id="45"/>
    <w:bookmarkStart w:id="46" w:name="channels-records-and-reach"/>
    <w:p>
      <w:pPr>
        <w:pStyle w:val="Heading2"/>
      </w:pPr>
      <w:r>
        <w:t xml:space="preserve">4.8 Channels, records and reach</w:t>
      </w:r>
    </w:p>
    <w:p>
      <w:pPr>
        <w:pStyle w:val="FirstParagraph"/>
      </w:pPr>
      <w:r>
        <w:t xml:space="preserve">Three analyses beyond the entry test also use the survey files. One asks which channels sellers use and how sales divide between them. The published tables split the 2023 to 2024 rise in value between marketplaces and other channels, and BPS counts food and ride apps in its marketplace category.</w:t>
      </w:r>
    </w:p>
    <w:p>
      <w:pPr>
        <w:pStyle w:val="BodyText"/>
      </w:pPr>
      <w:r>
        <w:t xml:space="preserve">Value by channel needs revenue brackets, and only the 2021 and 2023 files have them. The thesis gives each bracket a low, a middle and a high amount, fixed before the file was opened. A check follows: the middle scenario’s 2022 total must fall between half and double BPS’s published total of about US$53 billion.</w:t>
      </w:r>
    </w:p>
    <w:p>
      <w:pPr>
        <w:pStyle w:val="BodyText"/>
      </w:pPr>
      <w:r>
        <w:t xml:space="preserve">The 2023 questionnaire asks for monthly revenue but the bracket limits are annual size classes, so both readings are computed and the one that passes is kept. If the lower brackets alone already exceed the total, value shares are reported as ranges.</w:t>
      </w:r>
    </w:p>
    <w:p>
      <w:pPr>
        <w:pStyle w:val="BodyText"/>
      </w:pPr>
      <w:r>
        <w:t xml:space="preserve">Whether a seller keeps complete financial statements is the subject of a second analysis. It bears on what platform records can add, because a seller with no statements leaves fewer formal records. World Bank Enterprise Surveys add a check on records. They cover unregistered firms in six Indonesian cities in 2023, and formal firms with five or more employees in seven countries.</w:t>
      </w:r>
    </w:p>
    <w:p>
      <w:pPr>
        <w:pStyle w:val="BodyText"/>
      </w:pPr>
      <w:r>
        <w:t xml:space="preserve">A third analysis builds on the first two and is developed in Chapter 6. It counts the marketplace sellers whose revenue is above a bracket line and expresses the count as a share of all online sellers. At the 2022 rate, BPS’s brackets divide at about US$20,000 a year. The marketplace tax exempts individual sellers up to about US$34,000. So the count above BPS’s line is an upper limit on the sellers the tax can reach.</w:t>
      </w:r>
    </w:p>
    <w:p>
      <w:pPr>
        <w:pStyle w:val="BodyText"/>
      </w:pPr>
      <w:r>
        <w:t xml:space="preserve">Chapter 6 also sets each recent rule against the part of the figures it acts on. The thesis reads each legal text where it is published. It labels each rule by the status of its text: primary text read, announced, or reported in the news only.</w:t>
      </w:r>
    </w:p>
    <w:bookmarkEnd w:id="46"/>
    <w:bookmarkStart w:id="47" w:name="comparing-national-figures"/>
    <w:p>
      <w:pPr>
        <w:pStyle w:val="Heading2"/>
      </w:pPr>
      <w:r>
        <w:t xml:space="preserve">4.9 Comparing national figures</w:t>
      </w:r>
    </w:p>
    <w:p>
      <w:pPr>
        <w:pStyle w:val="FirstParagraph"/>
      </w:pPr>
      <w:r>
        <w:t xml:space="preserve">The third objective, to compare the platform evidence with national and payment figures, rests on the sources that Table 7 lists, with what each one counts. Beyond the rules of Section 3.1, the comparison is closest where the coverage of two sources overlaps. Payment figures serve as context, because they show how people pay and not what they buy online.</w:t>
      </w:r>
    </w:p>
    <w:p>
      <w:pPr>
        <w:pStyle w:val="BodyText"/>
      </w:pPr>
      <w:r>
        <w:t xml:space="preserve">The 2023 file, which describes 2022, lets the thesis separate the part of BPS’s marketplace sales that went to final consumers. It compares that part with Bank Indonesia’s figure for the same year, in a test written down before the file was opened. The thesis sets the 2023 growth of six measures of buying through platforms beside household spending, each in its own unit. It does the same with quarterly platform growth.</w:t>
      </w:r>
    </w:p>
    <w:p>
      <w:pPr>
        <w:pStyle w:val="TableCaption"/>
      </w:pPr>
      <w:r>
        <w:rPr>
          <w:b/>
        </w:rPr>
        <w:t>Table 7.</w:t>
      </w:r>
      <w:r>
        <w:rPr>
          <w:b w:val="0"/>
        </w:rPr>
        <w:t xml:space="preserve"> Sources compared in Objective 3</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879"/>
        <w:gridCol w:w="3477"/>
        <w:gridCol w:w="3148"/>
      </w:tblGrid>
      <w:tr>
        <w:trPr>
          <w:tblHeader w:val="true"/>
          <w:cantSplit/>
          <w:tblHeader/>
        </w:trPr>
        <w:tc>
          <w:tcPr>
            <w:tcW w:w="1879" w:type="dxa"/>
            <w:tcBorders>
              <w:bottom w:val="single" w:sz="5" w:space="0" w:color="000000"/>
            </w:tcBorders>
          </w:tcPr>
          <w:p>
            <w:pPr>
              <w:pStyle w:val="Compact"/>
              <w:keepNext/>
              <w:spacing w:before="0" w:after="0" w:lineRule="exact" w:line="220"/>
              <w:jc w:val="left"/>
            </w:pPr>
            <w:r>
              <w:rPr>
                <w:b/>
                <w:sz w:val="18"/>
              </w:rPr>
              <w:t xml:space="preserve">Source</w:t>
            </w:r>
          </w:p>
        </w:tc>
        <w:tc>
          <w:tcPr>
            <w:tcW w:w="3477" w:type="dxa"/>
            <w:tcBorders>
              <w:bottom w:val="single" w:sz="5" w:space="0" w:color="000000"/>
            </w:tcBorders>
          </w:tcPr>
          <w:p>
            <w:pPr>
              <w:pStyle w:val="Compact"/>
              <w:keepNext/>
              <w:spacing w:before="0" w:after="0" w:lineRule="exact" w:line="220"/>
              <w:jc w:val="left"/>
            </w:pPr>
            <w:r>
              <w:rPr>
                <w:b/>
                <w:sz w:val="18"/>
              </w:rPr>
              <w:t xml:space="preserve">What it covers</w:t>
            </w:r>
          </w:p>
        </w:tc>
        <w:tc>
          <w:tcPr>
            <w:tcW w:w="3148" w:type="dxa"/>
            <w:tcBorders>
              <w:bottom w:val="single" w:sz="5" w:space="0" w:color="000000"/>
            </w:tcBorders>
          </w:tcPr>
          <w:p>
            <w:pPr>
              <w:pStyle w:val="Compact"/>
              <w:keepNext/>
              <w:spacing w:before="0" w:after="0" w:lineRule="exact" w:line="220"/>
              <w:jc w:val="left"/>
            </w:pPr>
            <w:r>
              <w:rPr>
                <w:b/>
                <w:sz w:val="18"/>
              </w:rPr>
              <w:t xml:space="preserve">How it counts</w:t>
            </w:r>
          </w:p>
        </w:tc>
      </w:tr>
      <w:tr>
        <w:trPr>
          <w:cantSplit/>
        </w:trPr>
        <w:tc>
          <w:tcPr>
            <w:tcW w:w="1879" w:type="dxa"/>
          </w:tcPr>
          <w:p>
            <w:pPr>
              <w:pStyle w:val="Compact"/>
              <w:keepNext/>
              <w:spacing w:before="0" w:after="0" w:lineRule="exact" w:line="220"/>
              <w:jc w:val="left"/>
            </w:pPr>
            <w:r>
              <w:rPr>
                <w:sz w:val="18"/>
              </w:rPr>
              <w:t xml:space="preserve">Platform reports</w:t>
            </w:r>
          </w:p>
        </w:tc>
        <w:tc>
          <w:tcPr>
            <w:tcW w:w="3477" w:type="dxa"/>
          </w:tcPr>
          <w:p>
            <w:pPr>
              <w:pStyle w:val="Compact"/>
              <w:keepNext/>
              <w:spacing w:before="0" w:after="0" w:lineRule="exact" w:line="220"/>
              <w:jc w:val="left"/>
            </w:pPr>
            <w:r>
              <w:rPr>
                <w:sz w:val="18"/>
              </w:rPr>
              <w:t xml:space="preserve">Everything bought through one platform</w:t>
            </w:r>
          </w:p>
        </w:tc>
        <w:tc>
          <w:tcPr>
            <w:tcW w:w="3148" w:type="dxa"/>
          </w:tcPr>
          <w:p>
            <w:pPr>
              <w:pStyle w:val="Compact"/>
              <w:keepNext/>
              <w:spacing w:before="0" w:after="0" w:lineRule="exact" w:line="220"/>
              <w:jc w:val="left"/>
            </w:pPr>
            <w:r>
              <w:rPr>
                <w:sz w:val="18"/>
              </w:rPr>
              <w:t xml:space="preserve">The platform’s own records</w:t>
            </w:r>
          </w:p>
        </w:tc>
      </w:tr>
      <w:tr>
        <w:trPr>
          <w:cantSplit/>
        </w:trPr>
        <w:tc>
          <w:tcPr>
            <w:tcW w:w="1879" w:type="dxa"/>
          </w:tcPr>
          <w:p>
            <w:pPr>
              <w:pStyle w:val="Compact"/>
              <w:keepNext/>
              <w:spacing w:before="0" w:after="0" w:lineRule="exact" w:line="220"/>
              <w:jc w:val="left"/>
            </w:pPr>
            <w:r>
              <w:rPr>
                <w:sz w:val="18"/>
              </w:rPr>
              <w:t xml:space="preserve">BPS online-seller survey</w:t>
            </w:r>
          </w:p>
        </w:tc>
        <w:tc>
          <w:tcPr>
            <w:tcW w:w="3477" w:type="dxa"/>
          </w:tcPr>
          <w:p>
            <w:pPr>
              <w:pStyle w:val="Compact"/>
              <w:keepNext/>
              <w:spacing w:before="0" w:after="0" w:lineRule="exact" w:line="220"/>
              <w:jc w:val="left"/>
            </w:pPr>
            <w:r>
              <w:rPr>
                <w:sz w:val="18"/>
              </w:rPr>
              <w:t xml:space="preserve">Every business that sold online, including chat and social media</w:t>
            </w:r>
          </w:p>
        </w:tc>
        <w:tc>
          <w:tcPr>
            <w:tcW w:w="3148" w:type="dxa"/>
          </w:tcPr>
          <w:p>
            <w:pPr>
              <w:pStyle w:val="Compact"/>
              <w:keepNext/>
              <w:spacing w:before="0" w:after="0" w:lineRule="exact" w:line="220"/>
              <w:jc w:val="left"/>
            </w:pPr>
            <w:r>
              <w:rPr>
                <w:sz w:val="18"/>
              </w:rPr>
              <w:t xml:space="preserve">Listing in sampled areas, scaled up by survey weights</w:t>
            </w:r>
          </w:p>
        </w:tc>
      </w:tr>
      <w:tr>
        <w:trPr>
          <w:cantSplit/>
        </w:trPr>
        <w:tc>
          <w:tcPr>
            <w:tcW w:w="1879" w:type="dxa"/>
          </w:tcPr>
          <w:p>
            <w:pPr>
              <w:pStyle w:val="Compact"/>
              <w:keepNext/>
              <w:spacing w:before="0" w:after="0" w:lineRule="exact" w:line="220"/>
              <w:jc w:val="left"/>
            </w:pPr>
            <w:r>
              <w:rPr>
                <w:sz w:val="18"/>
              </w:rPr>
              <w:t xml:space="preserve">Bank Indonesia e-commerce statistics</w:t>
            </w:r>
          </w:p>
        </w:tc>
        <w:tc>
          <w:tcPr>
            <w:tcW w:w="3477" w:type="dxa"/>
          </w:tcPr>
          <w:p>
            <w:pPr>
              <w:pStyle w:val="Compact"/>
              <w:keepNext/>
              <w:spacing w:before="0" w:after="0" w:lineRule="exact" w:line="220"/>
              <w:jc w:val="left"/>
            </w:pPr>
            <w:r>
              <w:rPr>
                <w:sz w:val="18"/>
              </w:rPr>
              <w:t xml:space="preserve">Transactions of large e-commerce firms (Bank Indonesia 2025)</w:t>
            </w:r>
          </w:p>
        </w:tc>
        <w:tc>
          <w:tcPr>
            <w:tcW w:w="3148" w:type="dxa"/>
          </w:tcPr>
          <w:p>
            <w:pPr>
              <w:pStyle w:val="Compact"/>
              <w:keepNext/>
              <w:spacing w:before="0" w:after="0" w:lineRule="exact" w:line="220"/>
              <w:jc w:val="left"/>
            </w:pPr>
            <w:r>
              <w:rPr>
                <w:sz w:val="18"/>
              </w:rPr>
              <w:t xml:space="preserve">Data sent to the central bank; the method is not public</w:t>
            </w:r>
          </w:p>
        </w:tc>
      </w:tr>
      <w:tr>
        <w:trPr>
          <w:cantSplit/>
        </w:trPr>
        <w:tc>
          <w:tcPr>
            <w:tcW w:w="1879" w:type="dxa"/>
          </w:tcPr>
          <w:p>
            <w:pPr>
              <w:pStyle w:val="Compact"/>
              <w:keepNext/>
              <w:spacing w:before="0" w:after="0" w:lineRule="exact" w:line="220"/>
              <w:jc w:val="left"/>
            </w:pPr>
            <w:r>
              <w:rPr>
                <w:sz w:val="18"/>
              </w:rPr>
              <w:t xml:space="preserve">Industry estimates</w:t>
            </w:r>
          </w:p>
        </w:tc>
        <w:tc>
          <w:tcPr>
            <w:tcW w:w="3477" w:type="dxa"/>
          </w:tcPr>
          <w:p>
            <w:pPr>
              <w:pStyle w:val="Compact"/>
              <w:keepNext/>
              <w:spacing w:before="0" w:after="0" w:lineRule="exact" w:line="220"/>
              <w:jc w:val="left"/>
            </w:pPr>
            <w:r>
              <w:rPr>
                <w:sz w:val="18"/>
              </w:rPr>
              <w:t xml:space="preserve">Shopping marketplaces in Indonesia or Southeast Asia, from the research firm Momentum Works (2024), as quoted by Setyowati (2024), and the e-Conomy report (Google, Temasek and Bain 2024)</w:t>
            </w:r>
          </w:p>
        </w:tc>
        <w:tc>
          <w:tcPr>
            <w:tcW w:w="3148" w:type="dxa"/>
          </w:tcPr>
          <w:p>
            <w:pPr>
              <w:pStyle w:val="Compact"/>
              <w:keepNext/>
              <w:spacing w:before="0" w:after="0" w:lineRule="exact" w:line="220"/>
              <w:jc w:val="left"/>
            </w:pPr>
            <w:r>
              <w:rPr>
                <w:sz w:val="18"/>
              </w:rPr>
              <w:t xml:space="preserve">Outside estimates</w:t>
            </w:r>
          </w:p>
        </w:tc>
      </w:tr>
      <w:tr>
        <w:trPr>
          <w:cantSplit/>
        </w:trPr>
        <w:tc>
          <w:tcPr>
            <w:tcW w:w="1879" w:type="dxa"/>
          </w:tcPr>
          <w:p>
            <w:pPr>
              <w:pStyle w:val="Compact"/>
              <w:keepNext/>
              <w:spacing w:before="0" w:after="0" w:lineRule="exact" w:line="220"/>
              <w:jc w:val="left"/>
            </w:pPr>
            <w:r>
              <w:rPr>
                <w:sz w:val="18"/>
              </w:rPr>
              <w:t xml:space="preserve">Household spending</w:t>
            </w:r>
          </w:p>
        </w:tc>
        <w:tc>
          <w:tcPr>
            <w:tcW w:w="3477" w:type="dxa"/>
          </w:tcPr>
          <w:p>
            <w:pPr>
              <w:pStyle w:val="Compact"/>
              <w:keepNext/>
              <w:spacing w:before="0" w:after="0" w:lineRule="exact" w:line="220"/>
              <w:jc w:val="left"/>
            </w:pPr>
            <w:r>
              <w:rPr>
                <w:sz w:val="18"/>
              </w:rPr>
              <w:t xml:space="preserve">All household purchases</w:t>
            </w:r>
          </w:p>
        </w:tc>
        <w:tc>
          <w:tcPr>
            <w:tcW w:w="3148" w:type="dxa"/>
          </w:tcPr>
          <w:p>
            <w:pPr>
              <w:pStyle w:val="Compact"/>
              <w:keepNext/>
              <w:spacing w:before="0" w:after="0" w:lineRule="exact" w:line="220"/>
              <w:jc w:val="left"/>
            </w:pPr>
            <w:r>
              <w:rPr>
                <w:sz w:val="18"/>
              </w:rPr>
              <w:t xml:space="preserve">BPS national accounts</w:t>
            </w:r>
          </w:p>
        </w:tc>
      </w:tr>
      <w:tr>
        <w:trPr>
          <w:cantSplit/>
        </w:trPr>
        <w:tc>
          <w:tcPr>
            <w:tcW w:w="1879" w:type="dxa"/>
          </w:tcPr>
          <w:p>
            <w:pPr>
              <w:pStyle w:val="Compact"/>
              <w:keepNext/>
              <w:spacing w:before="0" w:after="0" w:lineRule="exact" w:line="220"/>
              <w:jc w:val="left"/>
            </w:pPr>
            <w:r>
              <w:rPr>
                <w:sz w:val="18"/>
              </w:rPr>
              <w:t xml:space="preserve">Payment figures</w:t>
            </w:r>
          </w:p>
        </w:tc>
        <w:tc>
          <w:tcPr>
            <w:tcW w:w="3477" w:type="dxa"/>
          </w:tcPr>
          <w:p>
            <w:pPr>
              <w:pStyle w:val="Compact"/>
              <w:keepNext/>
              <w:spacing w:before="0" w:after="0" w:lineRule="exact" w:line="220"/>
              <w:jc w:val="left"/>
            </w:pPr>
            <w:r>
              <w:rPr>
                <w:sz w:val="18"/>
              </w:rPr>
              <w:t xml:space="preserve">Payments made through systems such as QRIS, the national QR-code system</w:t>
            </w:r>
          </w:p>
        </w:tc>
        <w:tc>
          <w:tcPr>
            <w:tcW w:w="3148" w:type="dxa"/>
          </w:tcPr>
          <w:p>
            <w:pPr>
              <w:pStyle w:val="Compact"/>
              <w:keepNext/>
              <w:spacing w:before="0" w:after="0" w:lineRule="exact" w:line="220"/>
              <w:jc w:val="left"/>
            </w:pPr>
            <w:r>
              <w:rPr>
                <w:sz w:val="18"/>
              </w:rPr>
              <w:t xml:space="preserve">Payment records, in person and online</w:t>
            </w:r>
          </w:p>
        </w:tc>
      </w:tr>
      <w:tr>
        <w:trPr>
          <w:cantSplit/>
        </w:trPr>
        <w:tc>
          <w:tcPr>
            <w:tcW w:w="1879" w:type="dxa"/>
          </w:tcPr>
          <w:p>
            <w:pPr>
              <w:pStyle w:val="Compact"/>
              <w:spacing w:before="0" w:after="0" w:lineRule="exact" w:line="220"/>
              <w:jc w:val="left"/>
            </w:pPr>
            <w:r>
              <w:rPr>
                <w:sz w:val="18"/>
              </w:rPr>
              <w:t xml:space="preserve">Adjacent figures</w:t>
            </w:r>
          </w:p>
        </w:tc>
        <w:tc>
          <w:tcPr>
            <w:tcW w:w="3477" w:type="dxa"/>
          </w:tcPr>
          <w:p>
            <w:pPr>
              <w:pStyle w:val="Compact"/>
              <w:spacing w:before="0" w:after="0" w:lineRule="exact" w:line="220"/>
              <w:jc w:val="left"/>
            </w:pPr>
            <w:r>
              <w:rPr>
                <w:sz w:val="18"/>
              </w:rPr>
              <w:t xml:space="preserve">Parcels shipped in Southeast Asia, the value-added tax collected on foreign digital services (Directorate General of Taxes 2025), and the number of merchants a company reports</w:t>
            </w:r>
          </w:p>
        </w:tc>
        <w:tc>
          <w:tcPr>
            <w:tcW w:w="3148" w:type="dxa"/>
          </w:tcPr>
          <w:p>
            <w:pPr>
              <w:pStyle w:val="Compact"/>
              <w:spacing w:before="0" w:after="0" w:lineRule="exact" w:line="220"/>
              <w:jc w:val="left"/>
            </w:pPr>
            <w:r>
              <w:rPr>
                <w:sz w:val="18"/>
              </w:rPr>
              <w:t xml:space="preserve">Used as context only, since none measures Indonesian e-commerce</w:t>
            </w:r>
          </w:p>
        </w:tc>
      </w:tr>
    </w:tbl>
    <w:bookmarkEnd w:id="47"/>
    <w:bookmarkStart w:id="48" w:name="labels-traceability-and-licensed-data"/>
    <w:p>
      <w:pPr>
        <w:pStyle w:val="Heading2"/>
      </w:pPr>
      <w:r>
        <w:t xml:space="preserve">4.10 Labels, traceability and licensed data</w:t>
      </w:r>
    </w:p>
    <w:p>
      <w:pPr>
        <w:pStyle w:val="FirstParagraph"/>
      </w:pPr>
      <w:r>
        <w:t xml:space="preserve">Every number in the thesis follows one path: source document, extract, analytic row, result. Each extract keeps the company’s currency and units, and each value carries a label: direct company disclosure, direct segment disclosure, external estimate, derived value, conversion or scenario. The labels are never mixed in one sample. A restatement or a conflict between two reports is reported and never overwritten. A single script rebuilds every table that depends only on committed files, and 314 automatic checks confirm that each recorded result still matches its table.</w:t>
      </w:r>
    </w:p>
    <w:p>
      <w:pPr>
        <w:pStyle w:val="BodyText"/>
      </w:pPr>
      <w:r>
        <w:t xml:space="preserve">The thesis also separates tests by when they were written. A registered test was written down, dated and stored in the repository before the data were opened. This applies to the entry test, the scenario rules for value, the comparison with Bank Indonesia and the market-value test, among others. Appendix C lists them with their dates. An exploratory test was designed after some results were seen. The test with the larger groups in Section 4.3 belongs here, because it was set up after a first test on the three marketplaces. A descriptive result reports numbers without a test.</w:t>
      </w:r>
    </w:p>
    <w:p>
      <w:pPr>
        <w:pStyle w:val="BodyText"/>
      </w:pPr>
      <w:r>
        <w:t xml:space="preserve">Three sources are licensed and are not in the repository: the BPS survey files, the LSEG market values and the World Bank survey files. The repository records the size and checksum of each file, so anyone who obtains the same files can check them. It holds the code and the national totals it produces, and no business-level record. BPS is cited as the source of every survey figure, in line with the data-use agreement. Chapter 7 states what these data cannot show.</w:t>
      </w:r>
    </w:p>
    <w:bookmarkEnd w:id="48"/>
    <w:bookmarkEnd w:id="49"/>
    <w:bookmarkStart w:id="75" w:name="chapter-5-results"/>
    <w:p>
      <w:pPr>
        <w:pStyle w:val="Heading1"/>
      </w:pPr>
      <w:r>
        <w:t xml:space="preserve">Chapter 5 Results</w:t>
      </w:r>
    </w:p>
    <w:p>
      <w:pPr>
        <w:pStyle w:val="FirstParagraph"/>
      </w:pPr>
      <w:r>
        <w:t xml:space="preserve">The results follow the two links of Figure 1. On the inner link, revenue showed a small and unsteady part of the commerce that platforms carried. Platforms changed how much of each sale they kept, and revenue moved with those choices (Sections 5.1 to 5.4). On the outer link, the national count of online sellers rose by 27 percent in 2023. About half of that rise is not explained by sellers entering for the first time. Whether H2 holds depends on how that half is read (Sections 5.5 to 5.10).</w:t>
      </w:r>
    </w:p>
    <w:p>
      <w:pPr>
        <w:pStyle w:val="BodyText"/>
      </w:pPr>
      <w:r>
        <w:t xml:space="preserve">Every result in this chapter carries one of the three labels of Section 4.10: registered, exploratory or descriptive. A result given without a label is descriptive. Table 8 gives each main result with its label, the checks behind it and the section that reports it.</w:t>
      </w:r>
    </w:p>
    <w:p>
      <w:pPr>
        <w:pStyle w:val="TableCaption"/>
      </w:pPr>
      <w:r>
        <w:rPr>
          <w:b/>
        </w:rPr>
        <w:t>Table 8.</w:t>
      </w:r>
      <w:r>
        <w:rPr>
          <w:b w:val="0"/>
        </w:rPr>
        <w:t xml:space="preserve"> Main results and the evidence behind them</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2325"/>
        <w:gridCol w:w="2666"/>
        <w:gridCol w:w="2666"/>
        <w:gridCol w:w="845"/>
      </w:tblGrid>
      <w:tr>
        <w:trPr>
          <w:tblHeader w:val="true"/>
          <w:cantSplit/>
          <w:tblHeader/>
        </w:trPr>
        <w:tc>
          <w:tcPr>
            <w:tcW w:w="2325" w:type="dxa"/>
            <w:tcBorders>
              <w:bottom w:val="single" w:sz="5" w:space="0" w:color="000000"/>
            </w:tcBorders>
          </w:tcPr>
          <w:p>
            <w:pPr>
              <w:pStyle w:val="Compact"/>
              <w:keepNext/>
              <w:spacing w:before="0" w:after="0" w:lineRule="exact" w:line="220"/>
              <w:jc w:val="left"/>
            </w:pPr>
            <w:r>
              <w:rPr>
                <w:b/>
                <w:sz w:val="18"/>
              </w:rPr>
              <w:t xml:space="preserve">Result</w:t>
            </w:r>
          </w:p>
        </w:tc>
        <w:tc>
          <w:tcPr>
            <w:tcW w:w="2666" w:type="dxa"/>
            <w:tcBorders>
              <w:bottom w:val="single" w:sz="5" w:space="0" w:color="000000"/>
            </w:tcBorders>
          </w:tcPr>
          <w:p>
            <w:pPr>
              <w:pStyle w:val="Compact"/>
              <w:keepNext/>
              <w:spacing w:before="0" w:after="0" w:lineRule="exact" w:line="220"/>
              <w:jc w:val="left"/>
            </w:pPr>
            <w:r>
              <w:rPr>
                <w:b/>
                <w:sz w:val="18"/>
              </w:rPr>
              <w:t xml:space="preserve">Label</w:t>
            </w:r>
          </w:p>
        </w:tc>
        <w:tc>
          <w:tcPr>
            <w:tcW w:w="2666" w:type="dxa"/>
            <w:tcBorders>
              <w:bottom w:val="single" w:sz="5" w:space="0" w:color="000000"/>
            </w:tcBorders>
          </w:tcPr>
          <w:p>
            <w:pPr>
              <w:pStyle w:val="Compact"/>
              <w:keepNext/>
              <w:spacing w:before="0" w:after="0" w:lineRule="exact" w:line="220"/>
              <w:jc w:val="left"/>
            </w:pPr>
            <w:r>
              <w:rPr>
                <w:b/>
                <w:sz w:val="18"/>
              </w:rPr>
              <w:t xml:space="preserve">Main checks</w:t>
            </w:r>
          </w:p>
        </w:tc>
        <w:tc>
          <w:tcPr>
            <w:tcW w:w="845" w:type="dxa"/>
            <w:tcBorders>
              <w:bottom w:val="single" w:sz="5" w:space="0" w:color="000000"/>
            </w:tcBorders>
          </w:tcPr>
          <w:p>
            <w:pPr>
              <w:pStyle w:val="Compact"/>
              <w:keepNext/>
              <w:spacing w:before="0" w:after="0" w:lineRule="exact" w:line="220"/>
              <w:jc w:val="left"/>
            </w:pPr>
            <w:r>
              <w:rPr>
                <w:b/>
                <w:sz w:val="18"/>
              </w:rPr>
              <w:t xml:space="preserve">Section</w:t>
            </w:r>
          </w:p>
        </w:tc>
      </w:tr>
      <w:tr>
        <w:trPr>
          <w:cantSplit/>
        </w:trPr>
        <w:tc>
          <w:tcPr>
            <w:tcW w:w="2325" w:type="dxa"/>
          </w:tcPr>
          <w:p>
            <w:pPr>
              <w:pStyle w:val="Compact"/>
              <w:keepNext/>
              <w:spacing w:before="0" w:after="0" w:lineRule="exact" w:line="220"/>
              <w:jc w:val="left"/>
            </w:pPr>
            <w:r>
              <w:rPr>
                <w:iCs/>
                <w:i/>
                <w:sz w:val="18"/>
              </w:rPr>
              <w:t xml:space="preserve">Inner link: revenue and platform commerce</w:t>
            </w:r>
          </w:p>
        </w:tc>
        <w:tc>
          <w:tcPr>
            <w:tcW w:w="2666" w:type="dxa"/>
          </w:tcPr>
          <w:p>
            <w:pPr>
              <w:pStyle w:val="Compact"/>
              <w:keepNext/>
              <w:spacing w:before="0" w:after="0" w:lineRule="exact" w:line="220"/>
              <w:jc w:val="left"/>
            </w:pPr>
          </w:p>
        </w:tc>
        <w:tc>
          <w:tcPr>
            <w:tcW w:w="2666" w:type="dxa"/>
          </w:tcPr>
          <w:p>
            <w:pPr>
              <w:pStyle w:val="Compact"/>
              <w:keepNext/>
              <w:spacing w:before="0" w:after="0" w:lineRule="exact" w:line="220"/>
              <w:jc w:val="left"/>
            </w:pPr>
          </w:p>
        </w:tc>
        <w:tc>
          <w:tcPr>
            <w:tcW w:w="845" w:type="dxa"/>
          </w:tcPr>
          <w:p>
            <w:pPr>
              <w:pStyle w:val="Compact"/>
              <w:keepNext/>
              <w:spacing w:before="0" w:after="0" w:lineRule="exact" w:line="220"/>
              <w:jc w:val="left"/>
            </w:pPr>
          </w:p>
        </w:tc>
      </w:tr>
      <w:tr>
        <w:trPr>
          <w:cantSplit/>
        </w:trPr>
        <w:tc>
          <w:tcPr>
            <w:tcW w:w="2325" w:type="dxa"/>
          </w:tcPr>
          <w:p>
            <w:pPr>
              <w:pStyle w:val="Compact"/>
              <w:keepNext/>
              <w:spacing w:before="0" w:after="0" w:lineRule="exact" w:line="220"/>
              <w:jc w:val="left"/>
            </w:pPr>
            <w:r>
              <w:rPr>
                <w:sz w:val="18"/>
              </w:rPr>
              <w:t xml:space="preserve">Revenue was about 7 percent of what three major platforms carried in 2023; the wedge was about US$40 billion</w:t>
            </w:r>
          </w:p>
        </w:tc>
        <w:tc>
          <w:tcPr>
            <w:tcW w:w="2666" w:type="dxa"/>
          </w:tcPr>
          <w:p>
            <w:pPr>
              <w:pStyle w:val="Compact"/>
              <w:keepNext/>
              <w:spacing w:before="0" w:after="0" w:lineRule="exact" w:line="220"/>
              <w:jc w:val="left"/>
            </w:pPr>
            <w:r>
              <w:rPr>
                <w:sz w:val="18"/>
              </w:rPr>
              <w:t xml:space="preserve">Descriptive</w:t>
            </w:r>
          </w:p>
        </w:tc>
        <w:tc>
          <w:tcPr>
            <w:tcW w:w="2666" w:type="dxa"/>
          </w:tcPr>
          <w:p>
            <w:pPr>
              <w:pStyle w:val="Compact"/>
              <w:keepNext/>
              <w:spacing w:before="0" w:after="0" w:lineRule="exact" w:line="220"/>
              <w:jc w:val="left"/>
            </w:pPr>
            <w:r>
              <w:rPr>
                <w:sz w:val="18"/>
              </w:rPr>
              <w:t xml:space="preserve">Shopee’s take rate varied; each platform dropped in turn</w:t>
            </w:r>
          </w:p>
        </w:tc>
        <w:tc>
          <w:tcPr>
            <w:tcW w:w="845" w:type="dxa"/>
          </w:tcPr>
          <w:p>
            <w:pPr>
              <w:pStyle w:val="Compact"/>
              <w:keepNext/>
              <w:spacing w:before="0" w:after="0" w:lineRule="exact" w:line="220"/>
              <w:jc w:val="left"/>
            </w:pPr>
            <w:r>
              <w:rPr>
                <w:sz w:val="18"/>
              </w:rPr>
              <w:t xml:space="preserve">5.1</w:t>
            </w:r>
          </w:p>
        </w:tc>
      </w:tr>
      <w:tr>
        <w:trPr>
          <w:cantSplit/>
        </w:trPr>
        <w:tc>
          <w:tcPr>
            <w:tcW w:w="2325" w:type="dxa"/>
          </w:tcPr>
          <w:p>
            <w:pPr>
              <w:pStyle w:val="Compact"/>
              <w:spacing w:before="0" w:after="0" w:lineRule="exact" w:line="220"/>
              <w:jc w:val="left"/>
            </w:pPr>
            <w:r>
              <w:rPr>
                <w:sz w:val="18"/>
              </w:rPr>
              <w:t xml:space="preserve">Take rates moved about three times as much in Indonesia and the region as abroad, so H1 is rejected</w:t>
            </w:r>
          </w:p>
        </w:tc>
        <w:tc>
          <w:tcPr>
            <w:tcW w:w="2666" w:type="dxa"/>
          </w:tcPr>
          <w:p>
            <w:pPr>
              <w:pStyle w:val="Compact"/>
              <w:spacing w:before="0" w:after="0" w:lineRule="exact" w:line="220"/>
              <w:jc w:val="left"/>
            </w:pPr>
            <w:r>
              <w:rPr>
                <w:sz w:val="18"/>
              </w:rPr>
              <w:t xml:space="preserve">Exploratory; the narrower test, set before the wider one, points the same way</w:t>
            </w:r>
          </w:p>
        </w:tc>
        <w:tc>
          <w:tcPr>
            <w:tcW w:w="2666" w:type="dxa"/>
          </w:tcPr>
          <w:p>
            <w:pPr>
              <w:pStyle w:val="Compact"/>
              <w:spacing w:before="0" w:after="0" w:lineRule="exact" w:line="220"/>
              <w:jc w:val="left"/>
            </w:pPr>
            <w:r>
              <w:rPr>
                <w:sz w:val="18"/>
              </w:rPr>
              <w:t xml:space="preserve">Each platform dropped in turn, and two at a time; exact tests; Ozon and Zalando dropped; change measured in points; quarterly pairs do not reject</w:t>
            </w:r>
          </w:p>
        </w:tc>
        <w:tc>
          <w:tcPr>
            <w:tcW w:w="845" w:type="dxa"/>
          </w:tcPr>
          <w:p>
            <w:pPr>
              <w:pStyle w:val="Compact"/>
              <w:spacing w:before="0" w:after="0" w:lineRule="exact" w:line="220"/>
              <w:jc w:val="left"/>
            </w:pPr>
            <w:r>
              <w:rPr>
                <w:sz w:val="18"/>
              </w:rPr>
              <w:t xml:space="preserve">5.2</w:t>
            </w:r>
          </w:p>
        </w:tc>
      </w:tr>
      <w:tr>
        <w:trPr>
          <w:cantSplit/>
        </w:trPr>
        <w:tc>
          <w:tcPr>
            <w:tcW w:w="2325" w:type="dxa"/>
          </w:tcPr>
          <w:p>
            <w:pPr>
              <w:pStyle w:val="Compact"/>
              <w:spacing w:before="0" w:after="0" w:lineRule="exact" w:line="220"/>
              <w:jc w:val="left"/>
            </w:pPr>
            <w:r>
              <w:rPr>
                <w:sz w:val="18"/>
              </w:rPr>
              <w:t xml:space="preserve">The thin take rate of Indonesian and regional platforms explains much of that difference</w:t>
            </w:r>
          </w:p>
        </w:tc>
        <w:tc>
          <w:tcPr>
            <w:tcW w:w="2666" w:type="dxa"/>
          </w:tcPr>
          <w:p>
            <w:pPr>
              <w:pStyle w:val="Compact"/>
              <w:spacing w:before="0" w:after="0" w:lineRule="exact" w:line="220"/>
              <w:jc w:val="left"/>
            </w:pPr>
            <w:r>
              <w:rPr>
                <w:sz w:val="18"/>
              </w:rPr>
              <w:t xml:space="preserve">Exploratory</w:t>
            </w:r>
          </w:p>
        </w:tc>
        <w:tc>
          <w:tcPr>
            <w:tcW w:w="2666" w:type="dxa"/>
          </w:tcPr>
          <w:p>
            <w:pPr>
              <w:pStyle w:val="Compact"/>
              <w:spacing w:before="0" w:after="0" w:lineRule="exact" w:line="220"/>
              <w:jc w:val="left"/>
            </w:pPr>
            <w:r>
              <w:rPr>
                <w:sz w:val="18"/>
              </w:rPr>
              <w:t xml:space="preserve">Changes in percentage points compared across groups</w:t>
            </w:r>
          </w:p>
        </w:tc>
        <w:tc>
          <w:tcPr>
            <w:tcW w:w="845" w:type="dxa"/>
          </w:tcPr>
          <w:p>
            <w:pPr>
              <w:pStyle w:val="Compact"/>
              <w:spacing w:before="0" w:after="0" w:lineRule="exact" w:line="220"/>
              <w:jc w:val="left"/>
            </w:pPr>
            <w:r>
              <w:rPr>
                <w:sz w:val="18"/>
              </w:rPr>
              <w:t xml:space="preserve">5.2</w:t>
            </w:r>
          </w:p>
        </w:tc>
      </w:tr>
      <w:tr>
        <w:trPr>
          <w:cantSplit/>
        </w:trPr>
        <w:tc>
          <w:tcPr>
            <w:tcW w:w="2325" w:type="dxa"/>
          </w:tcPr>
          <w:p>
            <w:pPr>
              <w:pStyle w:val="Compact"/>
              <w:spacing w:before="0" w:after="0" w:lineRule="exact" w:line="220"/>
              <w:jc w:val="left"/>
            </w:pPr>
            <w:r>
              <w:rPr>
                <w:sz w:val="18"/>
              </w:rPr>
              <w:t xml:space="preserve">Pricing, not more commerce, moved revenue</w:t>
            </w:r>
          </w:p>
        </w:tc>
        <w:tc>
          <w:tcPr>
            <w:tcW w:w="2666" w:type="dxa"/>
          </w:tcPr>
          <w:p>
            <w:pPr>
              <w:pStyle w:val="Compact"/>
              <w:spacing w:before="0" w:after="0" w:lineRule="exact" w:line="220"/>
              <w:jc w:val="left"/>
            </w:pPr>
            <w:r>
              <w:rPr>
                <w:sz w:val="18"/>
              </w:rPr>
              <w:t xml:space="preserve">Descriptive</w:t>
            </w:r>
          </w:p>
        </w:tc>
        <w:tc>
          <w:tcPr>
            <w:tcW w:w="2666" w:type="dxa"/>
          </w:tcPr>
          <w:p>
            <w:pPr>
              <w:pStyle w:val="Compact"/>
              <w:spacing w:before="0" w:after="0" w:lineRule="exact" w:line="220"/>
              <w:jc w:val="left"/>
            </w:pPr>
            <w:r>
              <w:rPr>
                <w:sz w:val="18"/>
              </w:rPr>
              <w:t xml:space="preserve">All 15 pairs against 158 abroad; seven traced windows; two views of Tokopedia</w:t>
            </w:r>
          </w:p>
        </w:tc>
        <w:tc>
          <w:tcPr>
            <w:tcW w:w="845" w:type="dxa"/>
          </w:tcPr>
          <w:p>
            <w:pPr>
              <w:pStyle w:val="Compact"/>
              <w:spacing w:before="0" w:after="0" w:lineRule="exact" w:line="220"/>
              <w:jc w:val="left"/>
            </w:pPr>
            <w:r>
              <w:rPr>
                <w:sz w:val="18"/>
              </w:rPr>
              <w:t xml:space="preserve">5.3</w:t>
            </w:r>
          </w:p>
        </w:tc>
      </w:tr>
      <w:tr>
        <w:trPr>
          <w:cantSplit/>
        </w:trPr>
        <w:tc>
          <w:tcPr>
            <w:tcW w:w="2325" w:type="dxa"/>
          </w:tcPr>
          <w:p>
            <w:pPr>
              <w:pStyle w:val="Compact"/>
              <w:spacing w:before="0" w:after="0" w:lineRule="exact" w:line="220"/>
              <w:jc w:val="left"/>
            </w:pPr>
            <w:r>
              <w:rPr>
                <w:sz w:val="18"/>
              </w:rPr>
              <w:t xml:space="preserve">Market value moves with transaction value</w:t>
            </w:r>
          </w:p>
        </w:tc>
        <w:tc>
          <w:tcPr>
            <w:tcW w:w="2666" w:type="dxa"/>
          </w:tcPr>
          <w:p>
            <w:pPr>
              <w:pStyle w:val="Compact"/>
              <w:spacing w:before="0" w:after="0" w:lineRule="exact" w:line="220"/>
              <w:jc w:val="left"/>
            </w:pPr>
            <w:r>
              <w:rPr>
                <w:sz w:val="18"/>
              </w:rPr>
              <w:t xml:space="preserve">Registered; holds</w:t>
            </w:r>
          </w:p>
        </w:tc>
        <w:tc>
          <w:tcPr>
            <w:tcW w:w="2666" w:type="dxa"/>
          </w:tcPr>
          <w:p>
            <w:pPr>
              <w:pStyle w:val="Compact"/>
              <w:spacing w:before="0" w:after="0" w:lineRule="exact" w:line="220"/>
              <w:jc w:val="left"/>
            </w:pPr>
            <w:r>
              <w:rPr>
                <w:sz w:val="18"/>
              </w:rPr>
              <w:t xml:space="preserve">Extreme values capped (winsorised); a second run</w:t>
            </w:r>
          </w:p>
        </w:tc>
        <w:tc>
          <w:tcPr>
            <w:tcW w:w="845" w:type="dxa"/>
          </w:tcPr>
          <w:p>
            <w:pPr>
              <w:pStyle w:val="Compact"/>
              <w:spacing w:before="0" w:after="0" w:lineRule="exact" w:line="220"/>
              <w:jc w:val="left"/>
            </w:pPr>
            <w:r>
              <w:rPr>
                <w:sz w:val="18"/>
              </w:rPr>
              <w:t xml:space="preserve">5.4</w:t>
            </w:r>
          </w:p>
        </w:tc>
      </w:tr>
      <w:tr>
        <w:trPr>
          <w:cantSplit/>
        </w:trPr>
        <w:tc>
          <w:tcPr>
            <w:tcW w:w="2325" w:type="dxa"/>
          </w:tcPr>
          <w:p>
            <w:pPr>
              <w:pStyle w:val="Compact"/>
              <w:spacing w:before="0" w:after="0" w:lineRule="exact" w:line="220"/>
              <w:jc w:val="left"/>
            </w:pPr>
            <w:r>
              <w:rPr>
                <w:sz w:val="18"/>
              </w:rPr>
              <w:t xml:space="preserve">Markets value growth from a higher take rate less</w:t>
            </w:r>
          </w:p>
        </w:tc>
        <w:tc>
          <w:tcPr>
            <w:tcW w:w="2666" w:type="dxa"/>
          </w:tcPr>
          <w:p>
            <w:pPr>
              <w:pStyle w:val="Compact"/>
              <w:spacing w:before="0" w:after="0" w:lineRule="exact" w:line="220"/>
              <w:jc w:val="left"/>
            </w:pPr>
            <w:r>
              <w:rPr>
                <w:sz w:val="18"/>
              </w:rPr>
              <w:t xml:space="preserve">Registered; does not hold in the main sample</w:t>
            </w:r>
          </w:p>
        </w:tc>
        <w:tc>
          <w:tcPr>
            <w:tcW w:w="2666" w:type="dxa"/>
          </w:tcPr>
          <w:p>
            <w:pPr>
              <w:pStyle w:val="Compact"/>
              <w:spacing w:before="0" w:after="0" w:lineRule="exact" w:line="220"/>
              <w:jc w:val="left"/>
            </w:pPr>
            <w:r>
              <w:rPr>
                <w:sz w:val="18"/>
              </w:rPr>
              <w:t xml:space="preserve">Holds only in a second run that mixes segment figures</w:t>
            </w:r>
          </w:p>
        </w:tc>
        <w:tc>
          <w:tcPr>
            <w:tcW w:w="845" w:type="dxa"/>
          </w:tcPr>
          <w:p>
            <w:pPr>
              <w:pStyle w:val="Compact"/>
              <w:spacing w:before="0" w:after="0" w:lineRule="exact" w:line="220"/>
              <w:jc w:val="left"/>
            </w:pPr>
            <w:r>
              <w:rPr>
                <w:sz w:val="18"/>
              </w:rPr>
              <w:t xml:space="preserve">5.4</w:t>
            </w:r>
          </w:p>
        </w:tc>
      </w:tr>
      <w:tr>
        <w:trPr>
          <w:cantSplit/>
        </w:trPr>
        <w:tc>
          <w:tcPr>
            <w:tcW w:w="2325" w:type="dxa"/>
          </w:tcPr>
          <w:p>
            <w:pPr>
              <w:pStyle w:val="Compact"/>
              <w:spacing w:before="0" w:after="0" w:lineRule="exact" w:line="220"/>
              <w:jc w:val="left"/>
            </w:pPr>
            <w:r>
              <w:rPr>
                <w:iCs/>
                <w:i/>
                <w:sz w:val="18"/>
              </w:rPr>
              <w:t xml:space="preserve">Outer link: platform commerce and all online commerce</w:t>
            </w:r>
          </w:p>
        </w:tc>
        <w:tc>
          <w:tcPr>
            <w:tcW w:w="2666" w:type="dxa"/>
          </w:tcPr>
          <w:p>
            <w:pPr>
              <w:pStyle w:val="Compact"/>
              <w:spacing w:before="0" w:after="0" w:lineRule="exact" w:line="220"/>
              <w:jc w:val="left"/>
            </w:pPr>
          </w:p>
        </w:tc>
        <w:tc>
          <w:tcPr>
            <w:tcW w:w="2666" w:type="dxa"/>
          </w:tcPr>
          <w:p>
            <w:pPr>
              <w:pStyle w:val="Compact"/>
              <w:spacing w:before="0" w:after="0" w:lineRule="exact" w:line="220"/>
              <w:jc w:val="left"/>
            </w:pPr>
          </w:p>
        </w:tc>
        <w:tc>
          <w:tcPr>
            <w:tcW w:w="845" w:type="dxa"/>
          </w:tcPr>
          <w:p>
            <w:pPr>
              <w:pStyle w:val="Compact"/>
              <w:spacing w:before="0" w:after="0" w:lineRule="exact" w:line="220"/>
              <w:jc w:val="left"/>
            </w:pPr>
          </w:p>
        </w:tc>
      </w:tr>
      <w:tr>
        <w:trPr>
          <w:cantSplit/>
        </w:trPr>
        <w:tc>
          <w:tcPr>
            <w:tcW w:w="2325" w:type="dxa"/>
          </w:tcPr>
          <w:p>
            <w:pPr>
              <w:pStyle w:val="Compact"/>
              <w:spacing w:before="0" w:after="0" w:lineRule="exact" w:line="220"/>
              <w:jc w:val="left"/>
            </w:pPr>
            <w:r>
              <w:rPr>
                <w:sz w:val="18"/>
              </w:rPr>
              <w:t xml:space="preserve">Buying through platforms, and sellers’ own sales, did not boom in 2023</w:t>
            </w:r>
          </w:p>
        </w:tc>
        <w:tc>
          <w:tcPr>
            <w:tcW w:w="2666" w:type="dxa"/>
          </w:tcPr>
          <w:p>
            <w:pPr>
              <w:pStyle w:val="Compact"/>
              <w:spacing w:before="0" w:after="0" w:lineRule="exact" w:line="220"/>
              <w:jc w:val="left"/>
            </w:pPr>
            <w:r>
              <w:rPr>
                <w:sz w:val="18"/>
              </w:rPr>
              <w:t xml:space="preserve">Descriptive; registered for sellers’ sales, holds</w:t>
            </w:r>
          </w:p>
        </w:tc>
        <w:tc>
          <w:tcPr>
            <w:tcW w:w="2666" w:type="dxa"/>
          </w:tcPr>
          <w:p>
            <w:pPr>
              <w:pStyle w:val="Compact"/>
              <w:spacing w:before="0" w:after="0" w:lineRule="exact" w:line="220"/>
              <w:jc w:val="left"/>
            </w:pPr>
            <w:r>
              <w:rPr>
                <w:sz w:val="18"/>
              </w:rPr>
              <w:t xml:space="preserve">Six platform measures against household spending</w:t>
            </w:r>
          </w:p>
        </w:tc>
        <w:tc>
          <w:tcPr>
            <w:tcW w:w="845" w:type="dxa"/>
          </w:tcPr>
          <w:p>
            <w:pPr>
              <w:pStyle w:val="Compact"/>
              <w:spacing w:before="0" w:after="0" w:lineRule="exact" w:line="220"/>
              <w:jc w:val="left"/>
            </w:pPr>
            <w:r>
              <w:rPr>
                <w:sz w:val="18"/>
              </w:rPr>
              <w:t xml:space="preserve">5.5</w:t>
            </w:r>
          </w:p>
        </w:tc>
      </w:tr>
      <w:tr>
        <w:trPr>
          <w:cantSplit/>
        </w:trPr>
        <w:tc>
          <w:tcPr>
            <w:tcW w:w="2325" w:type="dxa"/>
          </w:tcPr>
          <w:p>
            <w:pPr>
              <w:pStyle w:val="Compact"/>
              <w:spacing w:before="0" w:after="0" w:lineRule="exact" w:line="220"/>
              <w:jc w:val="left"/>
            </w:pPr>
            <w:r>
              <w:rPr>
                <w:sz w:val="18"/>
              </w:rPr>
              <w:t xml:space="preserve">More businesses account for most national growth, so H2 holds</w:t>
            </w:r>
          </w:p>
        </w:tc>
        <w:tc>
          <w:tcPr>
            <w:tcW w:w="2666" w:type="dxa"/>
          </w:tcPr>
          <w:p>
            <w:pPr>
              <w:pStyle w:val="Compact"/>
              <w:spacing w:before="0" w:after="0" w:lineRule="exact" w:line="220"/>
              <w:jc w:val="left"/>
            </w:pPr>
            <w:r>
              <w:rPr>
                <w:sz w:val="18"/>
              </w:rPr>
              <w:t xml:space="preserve">Descriptive</w:t>
            </w:r>
          </w:p>
        </w:tc>
        <w:tc>
          <w:tcPr>
            <w:tcW w:w="2666" w:type="dxa"/>
          </w:tcPr>
          <w:p>
            <w:pPr>
              <w:pStyle w:val="Compact"/>
              <w:spacing w:before="0" w:after="0" w:lineRule="exact" w:line="220"/>
              <w:jc w:val="left"/>
            </w:pPr>
            <w:r>
              <w:rPr>
                <w:sz w:val="18"/>
              </w:rPr>
              <w:t xml:space="preserve">Both BPS counts for 2023; two periods</w:t>
            </w:r>
          </w:p>
        </w:tc>
        <w:tc>
          <w:tcPr>
            <w:tcW w:w="845" w:type="dxa"/>
          </w:tcPr>
          <w:p>
            <w:pPr>
              <w:pStyle w:val="Compact"/>
              <w:spacing w:before="0" w:after="0" w:lineRule="exact" w:line="220"/>
              <w:jc w:val="left"/>
            </w:pPr>
            <w:r>
              <w:rPr>
                <w:sz w:val="18"/>
              </w:rPr>
              <w:t xml:space="preserve">5.6</w:t>
            </w:r>
          </w:p>
        </w:tc>
      </w:tr>
      <w:tr>
        <w:trPr>
          <w:cantSplit/>
        </w:trPr>
        <w:tc>
          <w:tcPr>
            <w:tcW w:w="2325" w:type="dxa"/>
          </w:tcPr>
          <w:p>
            <w:pPr>
              <w:pStyle w:val="Compact"/>
              <w:spacing w:before="0" w:after="0" w:lineRule="exact" w:line="220"/>
              <w:jc w:val="left"/>
            </w:pPr>
            <w:r>
              <w:rPr>
                <w:sz w:val="18"/>
              </w:rPr>
              <w:t xml:space="preserve">Too few 2023 sellers were new to produce the rise in the count (13.45 against 21.5 percent)</w:t>
            </w:r>
          </w:p>
        </w:tc>
        <w:tc>
          <w:tcPr>
            <w:tcW w:w="2666" w:type="dxa"/>
          </w:tcPr>
          <w:p>
            <w:pPr>
              <w:pStyle w:val="Compact"/>
              <w:spacing w:before="0" w:after="0" w:lineRule="exact" w:line="220"/>
              <w:jc w:val="left"/>
            </w:pPr>
            <w:r>
              <w:rPr>
                <w:sz w:val="18"/>
              </w:rPr>
              <w:t xml:space="preserve">Registered; the entry test fails</w:t>
            </w:r>
          </w:p>
        </w:tc>
        <w:tc>
          <w:tcPr>
            <w:tcW w:w="2666" w:type="dxa"/>
          </w:tcPr>
          <w:p>
            <w:pPr>
              <w:pStyle w:val="Compact"/>
              <w:spacing w:before="0" w:after="0" w:lineRule="exact" w:line="220"/>
              <w:jc w:val="left"/>
            </w:pPr>
            <w:r>
              <w:rPr>
                <w:sz w:val="18"/>
              </w:rPr>
              <w:t xml:space="preserve">Recall error would favour passing</w:t>
            </w:r>
          </w:p>
        </w:tc>
        <w:tc>
          <w:tcPr>
            <w:tcW w:w="845" w:type="dxa"/>
          </w:tcPr>
          <w:p>
            <w:pPr>
              <w:pStyle w:val="Compact"/>
              <w:spacing w:before="0" w:after="0" w:lineRule="exact" w:line="220"/>
              <w:jc w:val="left"/>
            </w:pPr>
            <w:r>
              <w:rPr>
                <w:sz w:val="18"/>
              </w:rPr>
              <w:t xml:space="preserve">5.6</w:t>
            </w:r>
          </w:p>
        </w:tc>
      </w:tr>
      <w:tr>
        <w:trPr>
          <w:cantSplit/>
        </w:trPr>
        <w:tc>
          <w:tcPr>
            <w:tcW w:w="2325" w:type="dxa"/>
          </w:tcPr>
          <w:p>
            <w:pPr>
              <w:pStyle w:val="Compact"/>
              <w:spacing w:before="0" w:after="0" w:lineRule="exact" w:line="220"/>
              <w:jc w:val="left"/>
            </w:pPr>
            <w:r>
              <w:rPr>
                <w:sz w:val="18"/>
              </w:rPr>
              <w:t xml:space="preserve">About half of the rise is not explained by first-time entry</w:t>
            </w:r>
          </w:p>
        </w:tc>
        <w:tc>
          <w:tcPr>
            <w:tcW w:w="2666" w:type="dxa"/>
          </w:tcPr>
          <w:p>
            <w:pPr>
              <w:pStyle w:val="Compact"/>
              <w:spacing w:before="0" w:after="0" w:lineRule="exact" w:line="220"/>
              <w:jc w:val="left"/>
            </w:pPr>
            <w:r>
              <w:rPr>
                <w:sz w:val="18"/>
              </w:rPr>
              <w:t xml:space="preserve">Exploratory</w:t>
            </w:r>
          </w:p>
        </w:tc>
        <w:tc>
          <w:tcPr>
            <w:tcW w:w="2666" w:type="dxa"/>
          </w:tcPr>
          <w:p>
            <w:pPr>
              <w:pStyle w:val="Compact"/>
              <w:spacing w:before="0" w:after="0" w:lineRule="exact" w:line="220"/>
              <w:jc w:val="left"/>
            </w:pPr>
            <w:r>
              <w:rPr>
                <w:sz w:val="18"/>
              </w:rPr>
              <w:t xml:space="preserve">With and without exits; cohorts; provinces; sampling error</w:t>
            </w:r>
          </w:p>
        </w:tc>
        <w:tc>
          <w:tcPr>
            <w:tcW w:w="845" w:type="dxa"/>
          </w:tcPr>
          <w:p>
            <w:pPr>
              <w:pStyle w:val="Compact"/>
              <w:spacing w:before="0" w:after="0" w:lineRule="exact" w:line="220"/>
              <w:jc w:val="left"/>
            </w:pPr>
            <w:r>
              <w:rPr>
                <w:sz w:val="18"/>
              </w:rPr>
              <w:t xml:space="preserve">5.7</w:t>
            </w:r>
          </w:p>
        </w:tc>
      </w:tr>
      <w:tr>
        <w:trPr>
          <w:cantSplit/>
        </w:trPr>
        <w:tc>
          <w:tcPr>
            <w:tcW w:w="2325" w:type="dxa"/>
          </w:tcPr>
          <w:p>
            <w:pPr>
              <w:pStyle w:val="Compact"/>
              <w:spacing w:before="0" w:after="0" w:lineRule="exact" w:line="220"/>
              <w:jc w:val="left"/>
            </w:pPr>
            <w:r>
              <w:rPr>
                <w:sz w:val="18"/>
              </w:rPr>
              <w:t xml:space="preserve">Read as wider coverage, the extra count leaves H2 near its threshold (about 42 to 54 percent)</w:t>
            </w:r>
          </w:p>
        </w:tc>
        <w:tc>
          <w:tcPr>
            <w:tcW w:w="2666" w:type="dxa"/>
          </w:tcPr>
          <w:p>
            <w:pPr>
              <w:pStyle w:val="Compact"/>
              <w:spacing w:before="0" w:after="0" w:lineRule="exact" w:line="220"/>
              <w:jc w:val="left"/>
            </w:pPr>
            <w:r>
              <w:rPr>
                <w:sz w:val="18"/>
              </w:rPr>
              <w:t xml:space="preserve">Exploratory</w:t>
            </w:r>
          </w:p>
        </w:tc>
        <w:tc>
          <w:tcPr>
            <w:tcW w:w="2666" w:type="dxa"/>
          </w:tcPr>
          <w:p>
            <w:pPr>
              <w:pStyle w:val="Compact"/>
              <w:spacing w:before="0" w:after="0" w:lineRule="exact" w:line="220"/>
              <w:jc w:val="left"/>
            </w:pPr>
            <w:r>
              <w:rPr>
                <w:sz w:val="18"/>
              </w:rPr>
              <w:t xml:space="preserve">Count and sales removed together; two exit rates</w:t>
            </w:r>
          </w:p>
        </w:tc>
        <w:tc>
          <w:tcPr>
            <w:tcW w:w="845" w:type="dxa"/>
          </w:tcPr>
          <w:p>
            <w:pPr>
              <w:pStyle w:val="Compact"/>
              <w:spacing w:before="0" w:after="0" w:lineRule="exact" w:line="220"/>
              <w:jc w:val="left"/>
            </w:pPr>
            <w:r>
              <w:rPr>
                <w:sz w:val="18"/>
              </w:rPr>
              <w:t xml:space="preserve">5.7</w:t>
            </w:r>
          </w:p>
        </w:tc>
      </w:tr>
      <w:tr>
        <w:trPr>
          <w:cantSplit/>
        </w:trPr>
        <w:tc>
          <w:tcPr>
            <w:tcW w:w="2325" w:type="dxa"/>
          </w:tcPr>
          <w:p>
            <w:pPr>
              <w:pStyle w:val="Compact"/>
              <w:spacing w:before="0" w:after="0" w:lineRule="exact" w:line="220"/>
              <w:jc w:val="left"/>
            </w:pPr>
            <w:r>
              <w:rPr>
                <w:sz w:val="18"/>
              </w:rPr>
              <w:t xml:space="preserve">The extra count leaned toward long-running businesses; returning sellers cannot be ruled out</w:t>
            </w:r>
          </w:p>
        </w:tc>
        <w:tc>
          <w:tcPr>
            <w:tcW w:w="2666" w:type="dxa"/>
          </w:tcPr>
          <w:p>
            <w:pPr>
              <w:pStyle w:val="Compact"/>
              <w:spacing w:before="0" w:after="0" w:lineRule="exact" w:line="220"/>
              <w:jc w:val="left"/>
            </w:pPr>
            <w:r>
              <w:rPr>
                <w:sz w:val="18"/>
              </w:rPr>
              <w:t xml:space="preserve">Exploratory</w:t>
            </w:r>
          </w:p>
        </w:tc>
        <w:tc>
          <w:tcPr>
            <w:tcW w:w="2666" w:type="dxa"/>
          </w:tcPr>
          <w:p>
            <w:pPr>
              <w:pStyle w:val="Compact"/>
              <w:spacing w:before="0" w:after="0" w:lineRule="exact" w:line="220"/>
              <w:jc w:val="left"/>
            </w:pPr>
            <w:r>
              <w:rPr>
                <w:sz w:val="18"/>
              </w:rPr>
              <w:t xml:space="preserve">Part-year selling</w:t>
            </w:r>
          </w:p>
        </w:tc>
        <w:tc>
          <w:tcPr>
            <w:tcW w:w="845" w:type="dxa"/>
          </w:tcPr>
          <w:p>
            <w:pPr>
              <w:pStyle w:val="Compact"/>
              <w:spacing w:before="0" w:after="0" w:lineRule="exact" w:line="220"/>
              <w:jc w:val="left"/>
            </w:pPr>
            <w:r>
              <w:rPr>
                <w:sz w:val="18"/>
              </w:rPr>
              <w:t xml:space="preserve">5.8</w:t>
            </w:r>
          </w:p>
        </w:tc>
      </w:tr>
      <w:tr>
        <w:trPr>
          <w:cantSplit/>
        </w:trPr>
        <w:tc>
          <w:tcPr>
            <w:tcW w:w="2325" w:type="dxa"/>
          </w:tcPr>
          <w:p>
            <w:pPr>
              <w:pStyle w:val="Compact"/>
              <w:keepNext/>
              <w:spacing w:before="0" w:after="0" w:lineRule="exact" w:line="220"/>
              <w:jc w:val="left"/>
            </w:pPr>
            <w:r>
              <w:rPr>
                <w:sz w:val="18"/>
              </w:rPr>
              <w:t xml:space="preserve">Most online selling happens outside marketplaces, and records are thinner there</w:t>
            </w:r>
          </w:p>
        </w:tc>
        <w:tc>
          <w:tcPr>
            <w:tcW w:w="2666" w:type="dxa"/>
          </w:tcPr>
          <w:p>
            <w:pPr>
              <w:pStyle w:val="Compact"/>
              <w:keepNext/>
              <w:spacing w:before="0" w:after="0" w:lineRule="exact" w:line="220"/>
              <w:jc w:val="left"/>
            </w:pPr>
            <w:r>
              <w:rPr>
                <w:sz w:val="18"/>
              </w:rPr>
              <w:t xml:space="preserve">Registered and descriptive</w:t>
            </w:r>
          </w:p>
        </w:tc>
        <w:tc>
          <w:tcPr>
            <w:tcW w:w="2666" w:type="dxa"/>
          </w:tcPr>
          <w:p>
            <w:pPr>
              <w:pStyle w:val="Compact"/>
              <w:keepNext/>
              <w:spacing w:before="0" w:after="0" w:lineRule="exact" w:line="220"/>
              <w:jc w:val="left"/>
            </w:pPr>
            <w:r>
              <w:rPr>
                <w:sz w:val="18"/>
              </w:rPr>
              <w:t xml:space="preserve">Four survey years; World Bank surveys</w:t>
            </w:r>
          </w:p>
        </w:tc>
        <w:tc>
          <w:tcPr>
            <w:tcW w:w="845" w:type="dxa"/>
          </w:tcPr>
          <w:p>
            <w:pPr>
              <w:pStyle w:val="Compact"/>
              <w:keepNext/>
              <w:spacing w:before="0" w:after="0" w:lineRule="exact" w:line="220"/>
              <w:jc w:val="left"/>
            </w:pPr>
            <w:r>
              <w:rPr>
                <w:sz w:val="18"/>
              </w:rPr>
              <w:t xml:space="preserve">5.9</w:t>
            </w:r>
          </w:p>
        </w:tc>
      </w:tr>
      <w:tr>
        <w:trPr>
          <w:cantSplit/>
        </w:trPr>
        <w:tc>
          <w:tcPr>
            <w:tcW w:w="2325" w:type="dxa"/>
          </w:tcPr>
          <w:p>
            <w:pPr>
              <w:pStyle w:val="Compact"/>
              <w:spacing w:before="0" w:after="0" w:lineRule="exact" w:line="220"/>
              <w:jc w:val="left"/>
            </w:pPr>
            <w:r>
              <w:rPr>
                <w:sz w:val="18"/>
              </w:rPr>
              <w:t xml:space="preserve">National figures agree only where they cover the same sellers</w:t>
            </w:r>
          </w:p>
        </w:tc>
        <w:tc>
          <w:tcPr>
            <w:tcW w:w="2666" w:type="dxa"/>
          </w:tcPr>
          <w:p>
            <w:pPr>
              <w:pStyle w:val="Compact"/>
              <w:spacing w:before="0" w:after="0" w:lineRule="exact" w:line="220"/>
              <w:jc w:val="left"/>
            </w:pPr>
            <w:r>
              <w:rPr>
                <w:sz w:val="18"/>
              </w:rPr>
              <w:t xml:space="preserve">Registered, with a mixed outcome, and descriptive</w:t>
            </w:r>
          </w:p>
        </w:tc>
        <w:tc>
          <w:tcPr>
            <w:tcW w:w="2666" w:type="dxa"/>
          </w:tcPr>
          <w:p>
            <w:pPr>
              <w:pStyle w:val="Compact"/>
              <w:spacing w:before="0" w:after="0" w:lineRule="exact" w:line="220"/>
              <w:jc w:val="left"/>
            </w:pPr>
            <w:r>
              <w:rPr>
                <w:sz w:val="18"/>
              </w:rPr>
              <w:t xml:space="preserve">Three value scenarios</w:t>
            </w:r>
          </w:p>
        </w:tc>
        <w:tc>
          <w:tcPr>
            <w:tcW w:w="845" w:type="dxa"/>
          </w:tcPr>
          <w:p>
            <w:pPr>
              <w:pStyle w:val="Compact"/>
              <w:spacing w:before="0" w:after="0" w:lineRule="exact" w:line="220"/>
              <w:jc w:val="left"/>
            </w:pPr>
            <w:r>
              <w:rPr>
                <w:sz w:val="18"/>
              </w:rPr>
              <w:t xml:space="preserve">5.10</w:t>
            </w:r>
          </w:p>
        </w:tc>
      </w:tr>
    </w:tbl>
    <w:bookmarkStart w:id="50" w:name="how-much-revenue-leaves-out"/>
    <w:p>
      <w:pPr>
        <w:pStyle w:val="Heading2"/>
      </w:pPr>
      <w:r>
        <w:t xml:space="preserve">5.1 How much revenue leaves out</w:t>
      </w:r>
    </w:p>
    <w:p>
      <w:pPr>
        <w:pStyle w:val="FirstParagraph"/>
      </w:pPr>
      <w:r>
        <w:t xml:space="preserve">Revenue showed only a small part of what Indonesia’s major platforms carried. In 2023, Tokopedia, Shopee and Grab together carried about US$43 billion of transaction value and kept about US$3 billion as revenue. Revenue was about 7 percent of that commerce, and the invisible wedge was about US$40 billion. The ecosystem ratio was about 13, so almost 13 dollars of commerce passed outside revenue for every dollar the platforms kept. Table 9 shows each platform.</w:t>
      </w:r>
    </w:p>
    <w:p>
      <w:pPr>
        <w:pStyle w:val="TableCaption"/>
      </w:pPr>
      <w:r>
        <w:rPr>
          <w:b/>
        </w:rPr>
        <w:t>Table 9.</w:t>
      </w:r>
      <w:r>
        <w:rPr>
          <w:b w:val="0"/>
        </w:rPr>
        <w:t xml:space="preserve"> The invisible wedge of three platforms, 2023 (US$ billion)</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116"/>
        <w:gridCol w:w="1225"/>
        <w:gridCol w:w="845"/>
        <w:gridCol w:w="655"/>
        <w:gridCol w:w="1035"/>
        <w:gridCol w:w="3626"/>
      </w:tblGrid>
      <w:tr>
        <w:trPr>
          <w:tblHeader w:val="true"/>
          <w:cantSplit/>
          <w:tblHeader/>
        </w:trPr>
        <w:tc>
          <w:tcPr>
            <w:tcW w:w="1116" w:type="dxa"/>
            <w:tcBorders>
              <w:bottom w:val="single" w:sz="5" w:space="0" w:color="000000"/>
            </w:tcBorders>
          </w:tcPr>
          <w:p>
            <w:pPr>
              <w:pStyle w:val="Compact"/>
              <w:keepNext/>
              <w:spacing w:before="0" w:after="0" w:lineRule="exact" w:line="220"/>
              <w:jc w:val="left"/>
            </w:pPr>
            <w:r>
              <w:rPr>
                <w:b/>
                <w:sz w:val="18"/>
              </w:rPr>
              <w:t xml:space="preserve">Platform</w:t>
            </w:r>
          </w:p>
        </w:tc>
        <w:tc>
          <w:tcPr>
            <w:tcW w:w="1225" w:type="dxa"/>
            <w:tcBorders>
              <w:bottom w:val="single" w:sz="5" w:space="0" w:color="000000"/>
            </w:tcBorders>
          </w:tcPr>
          <w:p>
            <w:pPr>
              <w:pStyle w:val="Compact"/>
              <w:keepNext/>
              <w:spacing w:before="0" w:after="0" w:lineRule="exact" w:line="220"/>
              <w:jc w:val="left"/>
            </w:pPr>
            <w:r>
              <w:rPr>
                <w:b/>
                <w:sz w:val="18"/>
              </w:rPr>
              <w:t xml:space="preserve">Transaction value</w:t>
            </w:r>
          </w:p>
        </w:tc>
        <w:tc>
          <w:tcPr>
            <w:tcW w:w="845" w:type="dxa"/>
            <w:tcBorders>
              <w:bottom w:val="single" w:sz="5" w:space="0" w:color="000000"/>
            </w:tcBorders>
          </w:tcPr>
          <w:p>
            <w:pPr>
              <w:pStyle w:val="Compact"/>
              <w:keepNext/>
              <w:spacing w:before="0" w:after="0" w:lineRule="exact" w:line="220"/>
              <w:jc w:val="left"/>
            </w:pPr>
            <w:r>
              <w:rPr>
                <w:b/>
                <w:sz w:val="18"/>
              </w:rPr>
              <w:t xml:space="preserve">Revenue</w:t>
            </w:r>
          </w:p>
        </w:tc>
        <w:tc>
          <w:tcPr>
            <w:tcW w:w="655" w:type="dxa"/>
            <w:tcBorders>
              <w:bottom w:val="single" w:sz="5" w:space="0" w:color="000000"/>
            </w:tcBorders>
          </w:tcPr>
          <w:p>
            <w:pPr>
              <w:pStyle w:val="Compact"/>
              <w:keepNext/>
              <w:spacing w:before="0" w:after="0" w:lineRule="exact" w:line="220"/>
              <w:jc w:val="left"/>
            </w:pPr>
            <w:r>
              <w:rPr>
                <w:b/>
                <w:sz w:val="18"/>
              </w:rPr>
              <w:t xml:space="preserve">Wedge</w:t>
            </w:r>
          </w:p>
        </w:tc>
        <w:tc>
          <w:tcPr>
            <w:tcW w:w="1035" w:type="dxa"/>
            <w:tcBorders>
              <w:bottom w:val="single" w:sz="5" w:space="0" w:color="000000"/>
            </w:tcBorders>
          </w:tcPr>
          <w:p>
            <w:pPr>
              <w:pStyle w:val="Compact"/>
              <w:keepNext/>
              <w:spacing w:before="0" w:after="0" w:lineRule="exact" w:line="220"/>
              <w:jc w:val="left"/>
            </w:pPr>
            <w:r>
              <w:rPr>
                <w:b/>
                <w:sz w:val="18"/>
              </w:rPr>
              <w:t xml:space="preserve">Ecosystem ratio</w:t>
            </w:r>
          </w:p>
        </w:tc>
        <w:tc>
          <w:tcPr>
            <w:tcW w:w="3626" w:type="dxa"/>
            <w:tcBorders>
              <w:bottom w:val="single" w:sz="5" w:space="0" w:color="000000"/>
            </w:tcBorders>
          </w:tcPr>
          <w:p>
            <w:pPr>
              <w:pStyle w:val="Compact"/>
              <w:keepNext/>
              <w:spacing w:before="0" w:after="0" w:lineRule="exact" w:line="220"/>
              <w:jc w:val="left"/>
            </w:pPr>
            <w:r>
              <w:rPr>
                <w:b/>
                <w:sz w:val="18"/>
              </w:rPr>
              <w:t xml:space="preserve">How it is labelled</w:t>
            </w:r>
          </w:p>
        </w:tc>
      </w:tr>
      <w:tr>
        <w:trPr>
          <w:cantSplit/>
        </w:trPr>
        <w:tc>
          <w:tcPr>
            <w:tcW w:w="1116" w:type="dxa"/>
          </w:tcPr>
          <w:p>
            <w:pPr>
              <w:pStyle w:val="Compact"/>
              <w:keepNext/>
              <w:spacing w:before="0" w:after="0" w:lineRule="exact" w:line="220"/>
              <w:jc w:val="left"/>
            </w:pPr>
            <w:r>
              <w:rPr>
                <w:sz w:val="18"/>
              </w:rPr>
              <w:t xml:space="preserve">Tokopedia</w:t>
            </w:r>
          </w:p>
        </w:tc>
        <w:tc>
          <w:tcPr>
            <w:tcW w:w="1225" w:type="dxa"/>
          </w:tcPr>
          <w:p>
            <w:pPr>
              <w:pStyle w:val="Compact"/>
              <w:keepNext/>
              <w:spacing w:before="0" w:after="0" w:lineRule="exact" w:line="220"/>
              <w:jc w:val="left"/>
            </w:pPr>
            <w:r>
              <w:rPr>
                <w:sz w:val="18"/>
              </w:rPr>
              <w:t xml:space="preserve">16.33</w:t>
            </w:r>
          </w:p>
        </w:tc>
        <w:tc>
          <w:tcPr>
            <w:tcW w:w="845" w:type="dxa"/>
          </w:tcPr>
          <w:p>
            <w:pPr>
              <w:pStyle w:val="Compact"/>
              <w:keepNext/>
              <w:spacing w:before="0" w:after="0" w:lineRule="exact" w:line="220"/>
              <w:jc w:val="left"/>
            </w:pPr>
            <w:r>
              <w:rPr>
                <w:sz w:val="18"/>
              </w:rPr>
              <w:t xml:space="preserve">0.41</w:t>
            </w:r>
          </w:p>
        </w:tc>
        <w:tc>
          <w:tcPr>
            <w:tcW w:w="655" w:type="dxa"/>
          </w:tcPr>
          <w:p>
            <w:pPr>
              <w:pStyle w:val="Compact"/>
              <w:keepNext/>
              <w:spacing w:before="0" w:after="0" w:lineRule="exact" w:line="220"/>
              <w:jc w:val="left"/>
            </w:pPr>
            <w:r>
              <w:rPr>
                <w:sz w:val="18"/>
              </w:rPr>
              <w:t xml:space="preserve">15.93</w:t>
            </w:r>
          </w:p>
        </w:tc>
        <w:tc>
          <w:tcPr>
            <w:tcW w:w="1035" w:type="dxa"/>
          </w:tcPr>
          <w:p>
            <w:pPr>
              <w:pStyle w:val="Compact"/>
              <w:keepNext/>
              <w:spacing w:before="0" w:after="0" w:lineRule="exact" w:line="220"/>
              <w:jc w:val="left"/>
            </w:pPr>
            <w:r>
              <w:rPr>
                <w:sz w:val="18"/>
              </w:rPr>
              <w:t xml:space="preserve">39.3</w:t>
            </w:r>
          </w:p>
        </w:tc>
        <w:tc>
          <w:tcPr>
            <w:tcW w:w="3626" w:type="dxa"/>
          </w:tcPr>
          <w:p>
            <w:pPr>
              <w:pStyle w:val="Compact"/>
              <w:keepNext/>
              <w:spacing w:before="0" w:after="0" w:lineRule="exact" w:line="220"/>
              <w:jc w:val="left"/>
            </w:pPr>
            <w:r>
              <w:rPr>
                <w:sz w:val="18"/>
              </w:rPr>
              <w:t xml:space="preserve">Both direct segment disclosure</w:t>
            </w:r>
          </w:p>
        </w:tc>
      </w:tr>
      <w:tr>
        <w:trPr>
          <w:cantSplit/>
        </w:trPr>
        <w:tc>
          <w:tcPr>
            <w:tcW w:w="1116" w:type="dxa"/>
          </w:tcPr>
          <w:p>
            <w:pPr>
              <w:pStyle w:val="Compact"/>
              <w:keepNext/>
              <w:spacing w:before="0" w:after="0" w:lineRule="exact" w:line="220"/>
              <w:jc w:val="left"/>
            </w:pPr>
            <w:r>
              <w:rPr>
                <w:sz w:val="18"/>
              </w:rPr>
              <w:t xml:space="preserve">Shopee, Indonesia</w:t>
            </w:r>
          </w:p>
        </w:tc>
        <w:tc>
          <w:tcPr>
            <w:tcW w:w="1225" w:type="dxa"/>
          </w:tcPr>
          <w:p>
            <w:pPr>
              <w:pStyle w:val="Compact"/>
              <w:keepNext/>
              <w:spacing w:before="0" w:after="0" w:lineRule="exact" w:line="220"/>
              <w:jc w:val="left"/>
            </w:pPr>
            <w:r>
              <w:rPr>
                <w:sz w:val="18"/>
              </w:rPr>
              <w:t xml:space="preserve">21.52</w:t>
            </w:r>
          </w:p>
        </w:tc>
        <w:tc>
          <w:tcPr>
            <w:tcW w:w="845" w:type="dxa"/>
          </w:tcPr>
          <w:p>
            <w:pPr>
              <w:pStyle w:val="Compact"/>
              <w:keepNext/>
              <w:spacing w:before="0" w:after="0" w:lineRule="exact" w:line="220"/>
              <w:jc w:val="left"/>
            </w:pPr>
            <w:r>
              <w:rPr>
                <w:sz w:val="18"/>
              </w:rPr>
              <w:t xml:space="preserve">2.15</w:t>
            </w:r>
          </w:p>
        </w:tc>
        <w:tc>
          <w:tcPr>
            <w:tcW w:w="655" w:type="dxa"/>
          </w:tcPr>
          <w:p>
            <w:pPr>
              <w:pStyle w:val="Compact"/>
              <w:keepNext/>
              <w:spacing w:before="0" w:after="0" w:lineRule="exact" w:line="220"/>
              <w:jc w:val="left"/>
            </w:pPr>
            <w:r>
              <w:rPr>
                <w:sz w:val="18"/>
              </w:rPr>
              <w:t xml:space="preserve">19.37</w:t>
            </w:r>
          </w:p>
        </w:tc>
        <w:tc>
          <w:tcPr>
            <w:tcW w:w="1035" w:type="dxa"/>
          </w:tcPr>
          <w:p>
            <w:pPr>
              <w:pStyle w:val="Compact"/>
              <w:keepNext/>
              <w:spacing w:before="0" w:after="0" w:lineRule="exact" w:line="220"/>
              <w:jc w:val="left"/>
            </w:pPr>
            <w:r>
              <w:rPr>
                <w:sz w:val="18"/>
              </w:rPr>
              <w:t xml:space="preserve">9.0</w:t>
            </w:r>
          </w:p>
        </w:tc>
        <w:tc>
          <w:tcPr>
            <w:tcW w:w="3626" w:type="dxa"/>
          </w:tcPr>
          <w:p>
            <w:pPr>
              <w:pStyle w:val="Compact"/>
              <w:keepNext/>
              <w:spacing w:before="0" w:after="0" w:lineRule="exact" w:line="220"/>
              <w:jc w:val="left"/>
            </w:pPr>
            <w:r>
              <w:rPr>
                <w:sz w:val="18"/>
              </w:rPr>
              <w:t xml:space="preserve">Transaction value is an outside estimate (Momentum Works); revenue is derived at an assumed take rate of 10 percent</w:t>
            </w:r>
          </w:p>
        </w:tc>
      </w:tr>
      <w:tr>
        <w:trPr>
          <w:cantSplit/>
        </w:trPr>
        <w:tc>
          <w:tcPr>
            <w:tcW w:w="1116" w:type="dxa"/>
          </w:tcPr>
          <w:p>
            <w:pPr>
              <w:pStyle w:val="Compact"/>
              <w:keepNext/>
              <w:spacing w:before="0" w:after="0" w:lineRule="exact" w:line="220"/>
              <w:jc w:val="left"/>
            </w:pPr>
            <w:r>
              <w:rPr>
                <w:sz w:val="18"/>
              </w:rPr>
              <w:t xml:space="preserve">Grab, Indonesia</w:t>
            </w:r>
          </w:p>
        </w:tc>
        <w:tc>
          <w:tcPr>
            <w:tcW w:w="1225" w:type="dxa"/>
          </w:tcPr>
          <w:p>
            <w:pPr>
              <w:pStyle w:val="Compact"/>
              <w:keepNext/>
              <w:spacing w:before="0" w:after="0" w:lineRule="exact" w:line="220"/>
              <w:jc w:val="left"/>
            </w:pPr>
            <w:r>
              <w:rPr>
                <w:sz w:val="18"/>
              </w:rPr>
              <w:t xml:space="preserve">5.38</w:t>
            </w:r>
          </w:p>
        </w:tc>
        <w:tc>
          <w:tcPr>
            <w:tcW w:w="845" w:type="dxa"/>
          </w:tcPr>
          <w:p>
            <w:pPr>
              <w:pStyle w:val="Compact"/>
              <w:keepNext/>
              <w:spacing w:before="0" w:after="0" w:lineRule="exact" w:line="220"/>
              <w:jc w:val="left"/>
            </w:pPr>
            <w:r>
              <w:rPr>
                <w:sz w:val="18"/>
              </w:rPr>
              <w:t xml:space="preserve">0.60</w:t>
            </w:r>
          </w:p>
        </w:tc>
        <w:tc>
          <w:tcPr>
            <w:tcW w:w="655" w:type="dxa"/>
          </w:tcPr>
          <w:p>
            <w:pPr>
              <w:pStyle w:val="Compact"/>
              <w:keepNext/>
              <w:spacing w:before="0" w:after="0" w:lineRule="exact" w:line="220"/>
              <w:jc w:val="left"/>
            </w:pPr>
            <w:r>
              <w:rPr>
                <w:sz w:val="18"/>
              </w:rPr>
              <w:t xml:space="preserve">4.78</w:t>
            </w:r>
          </w:p>
        </w:tc>
        <w:tc>
          <w:tcPr>
            <w:tcW w:w="1035" w:type="dxa"/>
          </w:tcPr>
          <w:p>
            <w:pPr>
              <w:pStyle w:val="Compact"/>
              <w:keepNext/>
              <w:spacing w:before="0" w:after="0" w:lineRule="exact" w:line="220"/>
              <w:jc w:val="left"/>
            </w:pPr>
            <w:r>
              <w:rPr>
                <w:sz w:val="18"/>
              </w:rPr>
              <w:t xml:space="preserve">7.9</w:t>
            </w:r>
          </w:p>
        </w:tc>
        <w:tc>
          <w:tcPr>
            <w:tcW w:w="3626" w:type="dxa"/>
          </w:tcPr>
          <w:p>
            <w:pPr>
              <w:pStyle w:val="Compact"/>
              <w:keepNext/>
              <w:spacing w:before="0" w:after="0" w:lineRule="exact" w:line="220"/>
              <w:jc w:val="left"/>
            </w:pPr>
            <w:r>
              <w:rPr>
                <w:sz w:val="18"/>
              </w:rPr>
              <w:t xml:space="preserve">Revenue is a direct country disclosure; transaction value is derived from Grab’s company-wide ratio</w:t>
            </w:r>
          </w:p>
        </w:tc>
      </w:tr>
      <w:tr>
        <w:trPr>
          <w:cantSplit/>
        </w:trPr>
        <w:tc>
          <w:tcPr>
            <w:tcW w:w="1116" w:type="dxa"/>
          </w:tcPr>
          <w:p>
            <w:pPr>
              <w:pStyle w:val="Compact"/>
              <w:spacing w:before="0" w:after="0" w:lineRule="exact" w:line="220"/>
              <w:jc w:val="left"/>
            </w:pPr>
            <w:r>
              <w:rPr>
                <w:sz w:val="18"/>
              </w:rPr>
              <w:t xml:space="preserve">Total</w:t>
            </w:r>
          </w:p>
        </w:tc>
        <w:tc>
          <w:tcPr>
            <w:tcW w:w="1225" w:type="dxa"/>
          </w:tcPr>
          <w:p>
            <w:pPr>
              <w:pStyle w:val="Compact"/>
              <w:spacing w:before="0" w:after="0" w:lineRule="exact" w:line="220"/>
              <w:jc w:val="left"/>
            </w:pPr>
            <w:r>
              <w:rPr>
                <w:sz w:val="18"/>
              </w:rPr>
              <w:t xml:space="preserve">43.23</w:t>
            </w:r>
          </w:p>
        </w:tc>
        <w:tc>
          <w:tcPr>
            <w:tcW w:w="845" w:type="dxa"/>
          </w:tcPr>
          <w:p>
            <w:pPr>
              <w:pStyle w:val="Compact"/>
              <w:spacing w:before="0" w:after="0" w:lineRule="exact" w:line="220"/>
              <w:jc w:val="left"/>
            </w:pPr>
            <w:r>
              <w:rPr>
                <w:sz w:val="18"/>
              </w:rPr>
              <w:t xml:space="preserve">3.16</w:t>
            </w:r>
          </w:p>
        </w:tc>
        <w:tc>
          <w:tcPr>
            <w:tcW w:w="655" w:type="dxa"/>
          </w:tcPr>
          <w:p>
            <w:pPr>
              <w:pStyle w:val="Compact"/>
              <w:spacing w:before="0" w:after="0" w:lineRule="exact" w:line="220"/>
              <w:jc w:val="left"/>
            </w:pPr>
            <w:r>
              <w:rPr>
                <w:sz w:val="18"/>
              </w:rPr>
              <w:t xml:space="preserve">40.07</w:t>
            </w:r>
          </w:p>
        </w:tc>
        <w:tc>
          <w:tcPr>
            <w:tcW w:w="1035" w:type="dxa"/>
          </w:tcPr>
          <w:p>
            <w:pPr>
              <w:pStyle w:val="Compact"/>
              <w:spacing w:before="0" w:after="0" w:lineRule="exact" w:line="220"/>
              <w:jc w:val="left"/>
            </w:pPr>
            <w:r>
              <w:rPr>
                <w:sz w:val="18"/>
              </w:rPr>
              <w:t xml:space="preserve">12.7</w:t>
            </w:r>
          </w:p>
        </w:tc>
        <w:tc>
          <w:tcPr>
            <w:tcW w:w="3626" w:type="dxa"/>
          </w:tcPr>
          <w:p>
            <w:pPr>
              <w:pStyle w:val="Compact"/>
              <w:spacing w:before="0" w:after="0" w:lineRule="exact" w:line="220"/>
              <w:jc w:val="left"/>
            </w:pPr>
            <w:r>
              <w:rPr>
                <w:sz w:val="18"/>
              </w:rPr>
              <w:t xml:space="preserve">Sum of three platforms, not a national total</w:t>
            </w:r>
          </w:p>
        </w:tc>
      </w:tr>
    </w:tbl>
    <w:p>
      <w:pPr>
        <w:pStyle w:val="TableNote"/>
      </w:pPr>
      <w:r>
        <w:rPr>
          <w:iCs/>
          <w:i/>
        </w:rPr>
        <w:t xml:space="preserve">Note:</w:t>
      </w:r>
      <w:r>
        <w:t xml:space="preserve"> </w:t>
      </w:r>
      <w:r>
        <w:t xml:space="preserve">Rounded amounts may not add. With Shopee’s take rate at 9 or 11 percent, the total wedge is US$40.3 or US$39.9 billion; at Sea’s company-wide rate of 11.5 percent, it is US$39.8 billion. Source: company filings; Momentum Works (2024), as quoted by Setyowati (2024); author’s calculations.</w:t>
      </w:r>
    </w:p>
    <w:p>
      <w:pPr>
        <w:pStyle w:val="BodyText"/>
      </w:pPr>
      <w:r>
        <w:t xml:space="preserve">The three ratios differ because the amounts come from different sources. Tokopedia reports both amounts. Shopee’s ratio follows from the assumed take rate, and Grab’s is its company-wide ratio, so neither is separate evidence for Indonesia. Blibli and Bukalapak also report both amounts, with ratios of about 43 and 36, close to Tokopedia’s. They stay out of the sum because Blibli’s figure includes online travel and Bukalapak reports for its whole group.</w:t>
      </w:r>
    </w:p>
    <w:p>
      <w:pPr>
        <w:pStyle w:val="BodyText"/>
      </w:pPr>
      <w:r>
        <w:t xml:space="preserve">The size of the wedge does not depend on the assumed rates. A take rate for Shopee between 9 and 11 percent keeps the total near US$40 billion, and dropping any one platform still leaves more than US$20 billion. For platforms that report both amounts, the wedge was 97 to 99 percent of transaction value in every year. It moved almost one for one with the commerce, and Appendix A gives the wedge by platform and year.</w:t>
      </w:r>
    </w:p>
    <w:p>
      <w:pPr>
        <w:pStyle w:val="BodyText"/>
      </w:pPr>
      <w:r>
        <w:t xml:space="preserve">Platform commerce is itself only part of online commerce. In BPS’s survey, marketplaces carry about a fifth of online sales value (Section 5.9), so platform revenue shows a smaller part still. A small share can still be a fair guide to the commerce, as long as it keeps its size from year to year.</w:t>
      </w:r>
    </w:p>
    <w:bookmarkEnd w:id="50"/>
    <w:bookmarkStart w:id="54" w:name="testing-h1-1"/>
    <w:p>
      <w:pPr>
        <w:pStyle w:val="Heading2"/>
      </w:pPr>
      <w:r>
        <w:t xml:space="preserve">5.2 Testing H1</w:t>
      </w:r>
    </w:p>
    <w:p>
      <w:pPr>
        <w:pStyle w:val="FirstParagraph"/>
      </w:pPr>
      <w:r>
        <w:t xml:space="preserve">Revenue did not keep pace with transaction value at the Indonesian and regional platforms, and the thesis rejects H1. At the typical platform in this group, the take rate moved by about 20 percent a year, up or down. At the typical foreign platform it moved by about 6 percent, so the moves were about three times as large. Table 10 gives the test and its checks.</w:t>
      </w:r>
    </w:p>
    <w:p>
      <w:pPr>
        <w:pStyle w:val="TableCaption"/>
      </w:pPr>
      <w:r>
        <w:rPr>
          <w:b/>
        </w:rPr>
        <w:t>Table 10.</w:t>
      </w:r>
      <w:r>
        <w:rPr>
          <w:b w:val="0"/>
        </w:rPr>
        <w:t xml:space="preserve"> The test of H1</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3657"/>
        <w:gridCol w:w="1320"/>
        <w:gridCol w:w="1711"/>
        <w:gridCol w:w="881"/>
        <w:gridCol w:w="933"/>
      </w:tblGrid>
      <w:tr>
        <w:trPr>
          <w:tblHeader w:val="true"/>
          <w:cantSplit/>
          <w:tblHeader/>
        </w:trPr>
        <w:tc>
          <w:tcPr>
            <w:tcW w:w="3657" w:type="dxa"/>
            <w:tcBorders>
              <w:bottom w:val="single" w:sz="5" w:space="0" w:color="000000"/>
            </w:tcBorders>
          </w:tcPr>
          <w:p>
            <w:pPr>
              <w:pStyle w:val="Compact"/>
              <w:keepNext/>
              <w:spacing w:before="0" w:after="0" w:lineRule="exact" w:line="220"/>
              <w:jc w:val="left"/>
            </w:pPr>
            <w:r>
              <w:rPr>
                <w:b/>
                <w:sz w:val="18"/>
              </w:rPr>
              <w:t xml:space="preserve">Test</w:t>
            </w:r>
          </w:p>
        </w:tc>
        <w:tc>
          <w:tcPr>
            <w:tcW w:w="1320" w:type="dxa"/>
            <w:tcBorders>
              <w:bottom w:val="single" w:sz="5" w:space="0" w:color="000000"/>
            </w:tcBorders>
          </w:tcPr>
          <w:p>
            <w:pPr>
              <w:pStyle w:val="Compact"/>
              <w:keepNext/>
              <w:spacing w:before="0" w:after="0" w:lineRule="exact" w:line="220"/>
              <w:jc w:val="left"/>
            </w:pPr>
            <w:r>
              <w:rPr>
                <w:b/>
                <w:sz w:val="18"/>
              </w:rPr>
              <w:t xml:space="preserve">Method</w:t>
            </w:r>
          </w:p>
        </w:tc>
        <w:tc>
          <w:tcPr>
            <w:tcW w:w="1711" w:type="dxa"/>
            <w:tcBorders>
              <w:bottom w:val="single" w:sz="5" w:space="0" w:color="000000"/>
            </w:tcBorders>
          </w:tcPr>
          <w:p>
            <w:pPr>
              <w:pStyle w:val="Compact"/>
              <w:keepNext/>
              <w:spacing w:before="0" w:after="0" w:lineRule="exact" w:line="220"/>
              <w:jc w:val="left"/>
            </w:pPr>
            <w:r>
              <w:rPr>
                <w:b/>
                <w:sz w:val="18"/>
              </w:rPr>
              <w:t xml:space="preserve">Indonesian and regional group</w:t>
            </w:r>
          </w:p>
        </w:tc>
        <w:tc>
          <w:tcPr>
            <w:tcW w:w="881" w:type="dxa"/>
            <w:tcBorders>
              <w:bottom w:val="single" w:sz="5" w:space="0" w:color="000000"/>
            </w:tcBorders>
          </w:tcPr>
          <w:p>
            <w:pPr>
              <w:pStyle w:val="Compact"/>
              <w:keepNext/>
              <w:spacing w:before="0" w:after="0" w:lineRule="exact" w:line="220"/>
              <w:jc w:val="left"/>
            </w:pPr>
            <w:r>
              <w:rPr>
                <w:b/>
                <w:sz w:val="18"/>
              </w:rPr>
              <w:t xml:space="preserve">Foreign group</w:t>
            </w:r>
          </w:p>
        </w:tc>
        <w:tc>
          <w:tcPr>
            <w:tcW w:w="933" w:type="dxa"/>
            <w:tcBorders>
              <w:bottom w:val="single" w:sz="5" w:space="0" w:color="000000"/>
            </w:tcBorders>
          </w:tcPr>
          <w:p>
            <w:pPr>
              <w:pStyle w:val="Compact"/>
              <w:keepNext/>
              <w:spacing w:before="0" w:after="0" w:lineRule="exact" w:line="220"/>
              <w:jc w:val="left"/>
            </w:pPr>
            <w:r>
              <w:rPr>
                <w:b/>
                <w:sz w:val="18"/>
              </w:rPr>
              <w:t xml:space="preserve">p-value</w:t>
            </w:r>
          </w:p>
        </w:tc>
      </w:tr>
      <w:tr>
        <w:trPr>
          <w:cantSplit/>
        </w:trPr>
        <w:tc>
          <w:tcPr>
            <w:tcW w:w="3657" w:type="dxa"/>
          </w:tcPr>
          <w:p>
            <w:pPr>
              <w:pStyle w:val="Compact"/>
              <w:keepNext/>
              <w:spacing w:before="0" w:after="0" w:lineRule="exact" w:line="220"/>
              <w:jc w:val="left"/>
            </w:pPr>
            <w:r>
              <w:rPr>
                <w:sz w:val="18"/>
              </w:rPr>
              <w:t xml:space="preserve">Yearly change in log take rate, 5 platforms against 27</w:t>
            </w:r>
          </w:p>
        </w:tc>
        <w:tc>
          <w:tcPr>
            <w:tcW w:w="1320" w:type="dxa"/>
          </w:tcPr>
          <w:p>
            <w:pPr>
              <w:pStyle w:val="Compact"/>
              <w:keepNext/>
              <w:spacing w:before="0" w:after="0" w:lineRule="exact" w:line="220"/>
              <w:jc w:val="left"/>
            </w:pPr>
            <w:r>
              <w:rPr>
                <w:sz w:val="18"/>
              </w:rPr>
              <w:t xml:space="preserve">Mann–Whitney</w:t>
            </w:r>
          </w:p>
        </w:tc>
        <w:tc>
          <w:tcPr>
            <w:tcW w:w="1711" w:type="dxa"/>
          </w:tcPr>
          <w:p>
            <w:pPr>
              <w:pStyle w:val="Compact"/>
              <w:keepNext/>
              <w:spacing w:before="0" w:after="0" w:lineRule="exact" w:line="220"/>
              <w:jc w:val="left"/>
            </w:pPr>
            <w:r>
              <w:rPr>
                <w:sz w:val="18"/>
              </w:rPr>
              <w:t xml:space="preserve">0.20</w:t>
            </w:r>
          </w:p>
        </w:tc>
        <w:tc>
          <w:tcPr>
            <w:tcW w:w="881" w:type="dxa"/>
          </w:tcPr>
          <w:p>
            <w:pPr>
              <w:pStyle w:val="Compact"/>
              <w:keepNext/>
              <w:spacing w:before="0" w:after="0" w:lineRule="exact" w:line="220"/>
              <w:jc w:val="left"/>
            </w:pPr>
            <w:r>
              <w:rPr>
                <w:sz w:val="18"/>
              </w:rPr>
              <w:t xml:space="preserve">0.06</w:t>
            </w:r>
          </w:p>
        </w:tc>
        <w:tc>
          <w:tcPr>
            <w:tcW w:w="933" w:type="dxa"/>
          </w:tcPr>
          <w:p>
            <w:pPr>
              <w:pStyle w:val="Compact"/>
              <w:keepNext/>
              <w:spacing w:before="0" w:after="0" w:lineRule="exact" w:line="220"/>
              <w:jc w:val="left"/>
            </w:pPr>
            <w:r>
              <w:rPr>
                <w:sz w:val="18"/>
              </w:rPr>
              <w:t xml:space="preserve">0.004</w:t>
            </w:r>
          </w:p>
        </w:tc>
      </w:tr>
      <w:tr>
        <w:trPr>
          <w:cantSplit/>
        </w:trPr>
        <w:tc>
          <w:tcPr>
            <w:tcW w:w="3657" w:type="dxa"/>
          </w:tcPr>
          <w:p>
            <w:pPr>
              <w:pStyle w:val="Compact"/>
              <w:keepNext/>
              <w:spacing w:before="0" w:after="0" w:lineRule="exact" w:line="220"/>
              <w:jc w:val="left"/>
            </w:pPr>
            <w:r>
              <w:rPr>
                <w:sz w:val="18"/>
              </w:rPr>
              <w:t xml:space="preserve">The same</w:t>
            </w:r>
          </w:p>
        </w:tc>
        <w:tc>
          <w:tcPr>
            <w:tcW w:w="1320" w:type="dxa"/>
          </w:tcPr>
          <w:p>
            <w:pPr>
              <w:pStyle w:val="Compact"/>
              <w:keepNext/>
              <w:spacing w:before="0" w:after="0" w:lineRule="exact" w:line="220"/>
              <w:jc w:val="left"/>
            </w:pPr>
            <w:r>
              <w:rPr>
                <w:sz w:val="18"/>
              </w:rPr>
              <w:t xml:space="preserve">Shuffle</w:t>
            </w:r>
          </w:p>
        </w:tc>
        <w:tc>
          <w:tcPr>
            <w:tcW w:w="1711" w:type="dxa"/>
          </w:tcPr>
          <w:p>
            <w:pPr>
              <w:pStyle w:val="Compact"/>
              <w:keepNext/>
              <w:spacing w:before="0" w:after="0" w:lineRule="exact" w:line="220"/>
              <w:jc w:val="left"/>
            </w:pPr>
            <w:r>
              <w:rPr>
                <w:sz w:val="18"/>
              </w:rPr>
              <w:t xml:space="preserve">0.20</w:t>
            </w:r>
          </w:p>
        </w:tc>
        <w:tc>
          <w:tcPr>
            <w:tcW w:w="881" w:type="dxa"/>
          </w:tcPr>
          <w:p>
            <w:pPr>
              <w:pStyle w:val="Compact"/>
              <w:keepNext/>
              <w:spacing w:before="0" w:after="0" w:lineRule="exact" w:line="220"/>
              <w:jc w:val="left"/>
            </w:pPr>
            <w:r>
              <w:rPr>
                <w:sz w:val="18"/>
              </w:rPr>
              <w:t xml:space="preserve">0.06</w:t>
            </w:r>
          </w:p>
        </w:tc>
        <w:tc>
          <w:tcPr>
            <w:tcW w:w="933" w:type="dxa"/>
          </w:tcPr>
          <w:p>
            <w:pPr>
              <w:pStyle w:val="Compact"/>
              <w:keepNext/>
              <w:spacing w:before="0" w:after="0" w:lineRule="exact" w:line="220"/>
              <w:jc w:val="left"/>
            </w:pPr>
            <w:r>
              <w:rPr>
                <w:sz w:val="18"/>
              </w:rPr>
              <w:t xml:space="preserve">0.022</w:t>
            </w:r>
          </w:p>
        </w:tc>
      </w:tr>
      <w:tr>
        <w:trPr>
          <w:cantSplit/>
        </w:trPr>
        <w:tc>
          <w:tcPr>
            <w:tcW w:w="3657" w:type="dxa"/>
          </w:tcPr>
          <w:p>
            <w:pPr>
              <w:pStyle w:val="Compact"/>
              <w:keepNext/>
              <w:spacing w:before="0" w:after="0" w:lineRule="exact" w:line="220"/>
              <w:jc w:val="left"/>
            </w:pPr>
            <w:r>
              <w:rPr>
                <w:sz w:val="18"/>
              </w:rPr>
              <w:t xml:space="preserve">Growth divergence in points, 5 platforms against 26</w:t>
            </w:r>
          </w:p>
        </w:tc>
        <w:tc>
          <w:tcPr>
            <w:tcW w:w="1320" w:type="dxa"/>
          </w:tcPr>
          <w:p>
            <w:pPr>
              <w:pStyle w:val="Compact"/>
              <w:keepNext/>
              <w:spacing w:before="0" w:after="0" w:lineRule="exact" w:line="220"/>
              <w:jc w:val="left"/>
            </w:pPr>
            <w:r>
              <w:rPr>
                <w:sz w:val="18"/>
              </w:rPr>
              <w:t xml:space="preserve">Mann–Whitney</w:t>
            </w:r>
          </w:p>
        </w:tc>
        <w:tc>
          <w:tcPr>
            <w:tcW w:w="1711" w:type="dxa"/>
          </w:tcPr>
          <w:p>
            <w:pPr>
              <w:pStyle w:val="Compact"/>
              <w:keepNext/>
              <w:spacing w:before="0" w:after="0" w:lineRule="exact" w:line="220"/>
              <w:jc w:val="left"/>
            </w:pPr>
            <w:r>
              <w:rPr>
                <w:sz w:val="18"/>
              </w:rPr>
              <w:t xml:space="preserve">27.0</w:t>
            </w:r>
          </w:p>
        </w:tc>
        <w:tc>
          <w:tcPr>
            <w:tcW w:w="881" w:type="dxa"/>
          </w:tcPr>
          <w:p>
            <w:pPr>
              <w:pStyle w:val="Compact"/>
              <w:keepNext/>
              <w:spacing w:before="0" w:after="0" w:lineRule="exact" w:line="220"/>
              <w:jc w:val="left"/>
            </w:pPr>
            <w:r>
              <w:rPr>
                <w:sz w:val="18"/>
              </w:rPr>
              <w:t xml:space="preserve">6.5</w:t>
            </w:r>
          </w:p>
        </w:tc>
        <w:tc>
          <w:tcPr>
            <w:tcW w:w="933" w:type="dxa"/>
          </w:tcPr>
          <w:p>
            <w:pPr>
              <w:pStyle w:val="Compact"/>
              <w:keepNext/>
              <w:spacing w:before="0" w:after="0" w:lineRule="exact" w:line="220"/>
              <w:jc w:val="left"/>
            </w:pPr>
            <w:r>
              <w:rPr>
                <w:sz w:val="18"/>
              </w:rPr>
              <w:t xml:space="preserve">0.005</w:t>
            </w:r>
          </w:p>
        </w:tc>
      </w:tr>
      <w:tr>
        <w:trPr>
          <w:cantSplit/>
        </w:trPr>
        <w:tc>
          <w:tcPr>
            <w:tcW w:w="3657" w:type="dxa"/>
          </w:tcPr>
          <w:p>
            <w:pPr>
              <w:pStyle w:val="Compact"/>
              <w:keepNext/>
              <w:spacing w:before="0" w:after="0" w:lineRule="exact" w:line="220"/>
              <w:jc w:val="left"/>
            </w:pPr>
            <w:r>
              <w:rPr>
                <w:sz w:val="18"/>
              </w:rPr>
              <w:t xml:space="preserve">Drop each platform in turn, or treat Tokopedia and GoTo as one company</w:t>
            </w:r>
          </w:p>
        </w:tc>
        <w:tc>
          <w:tcPr>
            <w:tcW w:w="1320" w:type="dxa"/>
          </w:tcPr>
          <w:p>
            <w:pPr>
              <w:pStyle w:val="Compact"/>
              <w:keepNext/>
              <w:spacing w:before="0" w:after="0" w:lineRule="exact" w:line="220"/>
              <w:jc w:val="left"/>
            </w:pPr>
            <w:r>
              <w:rPr>
                <w:sz w:val="18"/>
              </w:rPr>
              <w:t xml:space="preserve">Mann–Whitney</w:t>
            </w:r>
          </w:p>
        </w:tc>
        <w:tc>
          <w:tcPr>
            <w:tcW w:w="1711" w:type="dxa"/>
          </w:tcPr>
          <w:p>
            <w:pPr>
              <w:pStyle w:val="Compact"/>
              <w:keepNext/>
              <w:spacing w:before="0" w:after="0" w:lineRule="exact" w:line="220"/>
              <w:jc w:val="left"/>
            </w:pPr>
            <w:r>
              <w:rPr>
                <w:sz w:val="18"/>
              </w:rPr>
              <w:t xml:space="preserve">0.17 to 0.23</w:t>
            </w:r>
          </w:p>
        </w:tc>
        <w:tc>
          <w:tcPr>
            <w:tcW w:w="881" w:type="dxa"/>
          </w:tcPr>
          <w:p>
            <w:pPr>
              <w:pStyle w:val="Compact"/>
              <w:keepNext/>
              <w:spacing w:before="0" w:after="0" w:lineRule="exact" w:line="220"/>
              <w:jc w:val="left"/>
            </w:pPr>
            <w:r>
              <w:rPr>
                <w:sz w:val="18"/>
              </w:rPr>
              <w:t xml:space="preserve">0.06</w:t>
            </w:r>
          </w:p>
        </w:tc>
        <w:tc>
          <w:tcPr>
            <w:tcW w:w="933" w:type="dxa"/>
          </w:tcPr>
          <w:p>
            <w:pPr>
              <w:pStyle w:val="Compact"/>
              <w:keepNext/>
              <w:spacing w:before="0" w:after="0" w:lineRule="exact" w:line="220"/>
              <w:jc w:val="left"/>
            </w:pPr>
            <w:r>
              <w:rPr>
                <w:sz w:val="18"/>
              </w:rPr>
              <w:t xml:space="preserve">0.003 to 0.016</w:t>
            </w:r>
          </w:p>
        </w:tc>
      </w:tr>
      <w:tr>
        <w:trPr>
          <w:cantSplit/>
        </w:trPr>
        <w:tc>
          <w:tcPr>
            <w:tcW w:w="3657" w:type="dxa"/>
          </w:tcPr>
          <w:p>
            <w:pPr>
              <w:pStyle w:val="Compact"/>
              <w:spacing w:before="0" w:after="0" w:lineRule="exact" w:line="220"/>
              <w:jc w:val="left"/>
            </w:pPr>
            <w:r>
              <w:rPr>
                <w:sz w:val="18"/>
              </w:rPr>
              <w:t xml:space="preserve">Quarterly pairs, 3 platforms against 8</w:t>
            </w:r>
          </w:p>
        </w:tc>
        <w:tc>
          <w:tcPr>
            <w:tcW w:w="1320" w:type="dxa"/>
          </w:tcPr>
          <w:p>
            <w:pPr>
              <w:pStyle w:val="Compact"/>
              <w:spacing w:before="0" w:after="0" w:lineRule="exact" w:line="220"/>
              <w:jc w:val="left"/>
            </w:pPr>
            <w:r>
              <w:rPr>
                <w:sz w:val="18"/>
              </w:rPr>
              <w:t xml:space="preserve">Mann–Whitney</w:t>
            </w:r>
          </w:p>
        </w:tc>
        <w:tc>
          <w:tcPr>
            <w:tcW w:w="1711" w:type="dxa"/>
          </w:tcPr>
          <w:p>
            <w:pPr>
              <w:pStyle w:val="Compact"/>
              <w:spacing w:before="0" w:after="0" w:lineRule="exact" w:line="220"/>
              <w:jc w:val="left"/>
            </w:pPr>
            <w:r>
              <w:rPr>
                <w:sz w:val="18"/>
              </w:rPr>
              <w:t xml:space="preserve">0.071</w:t>
            </w:r>
          </w:p>
        </w:tc>
        <w:tc>
          <w:tcPr>
            <w:tcW w:w="881" w:type="dxa"/>
          </w:tcPr>
          <w:p>
            <w:pPr>
              <w:pStyle w:val="Compact"/>
              <w:spacing w:before="0" w:after="0" w:lineRule="exact" w:line="220"/>
              <w:jc w:val="left"/>
            </w:pPr>
            <w:r>
              <w:rPr>
                <w:sz w:val="18"/>
              </w:rPr>
              <w:t xml:space="preserve">0.049</w:t>
            </w:r>
          </w:p>
        </w:tc>
        <w:tc>
          <w:tcPr>
            <w:tcW w:w="933" w:type="dxa"/>
          </w:tcPr>
          <w:p>
            <w:pPr>
              <w:pStyle w:val="Compact"/>
              <w:spacing w:before="0" w:after="0" w:lineRule="exact" w:line="220"/>
              <w:jc w:val="left"/>
            </w:pPr>
            <w:r>
              <w:rPr>
                <w:sz w:val="18"/>
              </w:rPr>
              <w:t xml:space="preserve">0.19</w:t>
            </w:r>
          </w:p>
        </w:tc>
      </w:tr>
    </w:tbl>
    <w:p>
      <w:pPr>
        <w:pStyle w:val="TableNote"/>
      </w:pPr>
      <w:r>
        <w:rPr>
          <w:iCs/>
          <w:i/>
        </w:rPr>
        <w:t xml:space="preserve">Note:</w:t>
      </w:r>
      <w:r>
        <w:t xml:space="preserve"> </w:t>
      </w:r>
      <w:r>
        <w:t xml:space="preserve">Group values are medians of each platform’s median yearly change. Appendix B lists every check, including the tests without Ozon and Zalando.</w:t>
      </w:r>
    </w:p>
    <w:p>
      <w:pPr>
        <w:pStyle w:val="BodyText"/>
      </w:pPr>
      <w:r>
        <w:t xml:space="preserve">The main test compares the five platforms with 27 abroad, using one median per platform. Both methods of Section 4.3 reject equal moves (p = 0.004 and 0.022), and exact versions that list every possible split of the 32 platforms agree (p = 0.004 and 0.021). No single platform carries the result: dropping any one, or treating Tokopedia and GoTo as one company, keeps p at 0.016 or below. Dropping the two largest movers, Blibli and Tokopedia, weakens it to p = 0.058 (Appendix B).</w:t>
      </w:r>
    </w:p>
    <w:p>
      <w:pPr>
        <w:pStyle w:val="BodyText"/>
      </w:pPr>
      <w:r>
        <w:t xml:space="preserve">The main test was set up after a first, narrower test, so it is exploratory. The narrower test, set before the wider one, compares the three Indonesian marketplaces with the eight foreign platforms chosen first. It points the same way. With one median per platform, the Mann–Whitney test rejects equal moves (p = 0.024). A shuffle of platform labels comes close without passing (p = 0.06), since three platforms give a test little power. In that sample, revenue growth and transaction value growth had a correlation of 0.10 in Indonesia and 0.98 abroad, excluding Sea.</w:t>
      </w:r>
    </w:p>
    <w:p>
      <w:pPr>
        <w:pStyle w:val="BodyText"/>
      </w:pPr>
      <w:r>
        <w:t xml:space="preserve">The main test and the narrower test ask about the size of the moves, not their direction, and direction is less telling. Revenue grew faster than transaction value in 13 of the 15 Indonesian and regional pairs, and in two of them the two moved in opposite directions. Abroad, take rates also rose in about two thirds of pairs, but by much less. What sets the Indonesian and regional platforms apart is the size of the moves.</w:t>
      </w:r>
    </w:p>
    <w:p>
      <w:pPr>
        <w:pStyle w:val="BodyText"/>
      </w:pPr>
      <w:r>
        <w:t xml:space="preserve">Quarterly pairs do not reject H1 (p = 0.19), contrary to a prediction registered before the test was run. Most of the quarterly Indonesian pairs cover 2023 to 2026, after most of the repricing, while the large moves came between 2022 and 2024. So the rejection of H1 describes that period.</w:t>
      </w:r>
    </w:p>
    <w:p>
      <w:pPr>
        <w:pStyle w:val="BodyText"/>
      </w:pPr>
      <w:r>
        <w:t xml:space="preserve">The large moves were not simply a mark of young platforms, an exploratory check. The Indonesian and regional platforms made their largest moves one or two years after listing on the stock market. Foreign platforms, by contrast, did not move their take rates more in their first three years after listing than later (median 0.07 against 0.08, p = 0.24). This comparison uses the 15 foreign platforms with years in both periods. Nor did foreign platforms in lower-income markets move more in 2022 to 2024: one of seven did, against all four Indonesian and regional platforms with enough years. The repricing was an Indonesian and regional episode of those years.</w:t>
      </w:r>
    </w:p>
    <w:p>
      <w:pPr>
        <w:pStyle w:val="BodyText"/>
      </w:pPr>
      <w:r>
        <w:t xml:space="preserve">The thin take rate of Indonesian and regional platforms explains much of the threefold difference, an exploratory finding. Measured in percentage points, both groups changed their take rates by about 1 point a year, and the difference between them is nowhere near large enough to count (p = 0.65).</w:t>
      </w:r>
    </w:p>
    <w:p>
      <w:pPr>
        <w:pStyle w:val="BodyText"/>
      </w:pPr>
      <w:r>
        <w:t xml:space="preserve">The two groups differ in the take rate they start from. The typical Indonesian and regional platform keeps about 1.6 percent of each sale, against about 17 percent abroad. The thinnest take rates belong to the three marketplaces, while Grab and GoTo keep shares closer to those abroad. As Section 3.2 showed, the same 1-point rise then has very different effects. It lifts revenue by more than half at the thinner take rate and by about 6 percent at the thicker one. Figure 2 shows the three measures side by side. The test shows that take rates moved, but not what the platforms changed to move them.</w:t>
      </w:r>
    </w:p>
    <w:p>
      <w:pPr>
        <w:pStyle w:val="BodyText"/>
        <w:keepNext/>
        <w:spacing w:before="200" w:after="0" w:line="240" w:lineRule="auto"/>
        <w:jc w:val="center"/>
      </w:pPr>
      <w:r>
        <w:drawing>
          <wp:inline>
            <wp:extent cx="5400000" cy="1978392"/>
            <wp:effectExtent b="0" l="0" r="0" t="0"/>
            <wp:docPr descr="" title="" id="52" name="Picture"/>
            <a:graphic>
              <a:graphicData uri="http://schemas.openxmlformats.org/drawingml/2006/picture">
                <pic:pic>
                  <pic:nvPicPr>
                    <pic:cNvPr descr="figures/fig5_1_thin_slice.png" id="53" name="Picture"/>
                    <pic:cNvPicPr>
                      <a:picLocks noChangeArrowheads="1" noChangeAspect="1"/>
                    </pic:cNvPicPr>
                  </pic:nvPicPr>
                  <pic:blipFill>
                    <a:blip r:embed="rId51"/>
                    <a:stretch>
                      <a:fillRect/>
                    </a:stretch>
                  </pic:blipFill>
                  <pic:spPr bwMode="auto">
                    <a:xfrm>
                      <a:off x="0" y="0"/>
                      <a:ext cx="5400000" cy="1978392"/>
                    </a:xfrm>
                    <a:prstGeom prst="rect">
                      <a:avLst/>
                    </a:prstGeom>
                    <a:noFill/>
                    <a:ln w="9525">
                      <a:noFill/>
                      <a:headEnd/>
                      <a:tailEnd/>
                    </a:ln>
                  </pic:spPr>
                </pic:pic>
              </a:graphicData>
            </a:graphic>
          </wp:inline>
        </w:drawing>
      </w:r>
    </w:p>
    <w:p>
      <w:pPr>
        <w:pStyle w:val="FigureCaption"/>
        <w:keepNext/>
      </w:pPr>
      <w:r>
        <w:rPr>
          <w:b/>
        </w:rPr>
        <w:t>Figure 2.</w:t>
      </w:r>
      <w:r>
        <w:rPr>
          <w:b w:val="0"/>
        </w:rPr>
        <w:t xml:space="preserve"> The thin take rate.</w:t>
      </w:r>
    </w:p>
    <w:p>
      <w:pPr>
        <w:pStyle w:val="TableNote"/>
      </w:pPr>
      <w:r>
        <w:t xml:space="preserve">Each dot is one platform’s median over its years. Left: the share of each sale that the platform keeps, on a log scale. Middle: the yearly change in that share, in percentage points. Right: the same change relative to the share itself, as a log change in percent. Black bars mark group medians. The foreign group has 26 platforms here and 27 in the main test, because one platform has no pair of usable years for the change in points. Source: company filings; author’s calculations. Exploratory.</w:t>
      </w:r>
    </w:p>
    <w:bookmarkEnd w:id="54"/>
    <w:bookmarkStart w:id="58" w:name="what-moved-the-take-rate"/>
    <w:p>
      <w:pPr>
        <w:pStyle w:val="Heading2"/>
      </w:pPr>
      <w:r>
        <w:t xml:space="preserve">5.3 What moved the take rate</w:t>
      </w:r>
    </w:p>
    <w:p>
      <w:pPr>
        <w:pStyle w:val="FirstParagraph"/>
      </w:pPr>
      <w:r>
        <w:t xml:space="preserve">Pricing, not more commerce, moved revenue at the Indonesian and regional platforms. Pricing here means a change in the take rate, through fees or incentives. With equation (5), the take rate accounts for about two thirds of a revenue move at the typical pair, against about a quarter abroad. The wedge, by contrast, follows the commerce: in both groups, about 95 percent of a move in the wedge comes from transaction value.</w:t>
      </w:r>
    </w:p>
    <w:p>
      <w:pPr>
        <w:pStyle w:val="BodyText"/>
      </w:pPr>
      <w:r>
        <w:t xml:space="preserve">Where companies disclose both their fees and their incentives, equation (6) splits the growth of revenue further. Table 11 gives the seven traced windows. Fees and incentives are measured per unit of transaction value, and a negative share means that a part pulled revenue down. The windows of one platform overlap, so they are not seven independent cases.</w:t>
      </w:r>
    </w:p>
    <w:p>
      <w:pPr>
        <w:pStyle w:val="TableCaption"/>
      </w:pPr>
      <w:r>
        <w:rPr>
          <w:b/>
        </w:rPr>
        <w:t>Table 11.</w:t>
      </w:r>
      <w:r>
        <w:rPr>
          <w:b w:val="0"/>
        </w:rPr>
        <w:t xml:space="preserve"> What moved revenue in seven Indonesian and regional windows (share of the growth of revenue, percent)</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2911"/>
        <w:gridCol w:w="1609"/>
        <w:gridCol w:w="1302"/>
        <w:gridCol w:w="1149"/>
        <w:gridCol w:w="1532"/>
      </w:tblGrid>
      <w:tr>
        <w:trPr>
          <w:tblHeader w:val="true"/>
          <w:cantSplit/>
          <w:tblHeader/>
        </w:trPr>
        <w:tc>
          <w:tcPr>
            <w:tcW w:w="2911" w:type="dxa"/>
            <w:tcBorders>
              <w:bottom w:val="single" w:sz="5" w:space="0" w:color="000000"/>
            </w:tcBorders>
          </w:tcPr>
          <w:p>
            <w:pPr>
              <w:pStyle w:val="Compact"/>
              <w:keepNext/>
              <w:spacing w:before="0" w:after="0" w:lineRule="exact" w:line="220"/>
              <w:jc w:val="left"/>
            </w:pPr>
            <w:r>
              <w:rPr>
                <w:b/>
                <w:sz w:val="18"/>
              </w:rPr>
              <w:t xml:space="preserve">Platform and window</w:t>
            </w:r>
          </w:p>
        </w:tc>
        <w:tc>
          <w:tcPr>
            <w:tcW w:w="1609" w:type="dxa"/>
            <w:tcBorders>
              <w:bottom w:val="single" w:sz="5" w:space="0" w:color="000000"/>
            </w:tcBorders>
          </w:tcPr>
          <w:p>
            <w:pPr>
              <w:pStyle w:val="Compact"/>
              <w:keepNext/>
              <w:spacing w:before="0" w:after="0" w:lineRule="exact" w:line="220"/>
              <w:jc w:val="left"/>
            </w:pPr>
            <w:r>
              <w:rPr>
                <w:b/>
                <w:sz w:val="18"/>
              </w:rPr>
              <w:t xml:space="preserve">Growth of revenue</w:t>
            </w:r>
          </w:p>
        </w:tc>
        <w:tc>
          <w:tcPr>
            <w:tcW w:w="1302" w:type="dxa"/>
            <w:tcBorders>
              <w:bottom w:val="single" w:sz="5" w:space="0" w:color="000000"/>
            </w:tcBorders>
          </w:tcPr>
          <w:p>
            <w:pPr>
              <w:pStyle w:val="Compact"/>
              <w:keepNext/>
              <w:spacing w:before="0" w:after="0" w:lineRule="exact" w:line="220"/>
              <w:jc w:val="left"/>
            </w:pPr>
            <w:r>
              <w:rPr>
                <w:b/>
                <w:sz w:val="18"/>
              </w:rPr>
              <w:t xml:space="preserve">More commerce</w:t>
            </w:r>
          </w:p>
        </w:tc>
        <w:tc>
          <w:tcPr>
            <w:tcW w:w="1149" w:type="dxa"/>
            <w:tcBorders>
              <w:bottom w:val="single" w:sz="5" w:space="0" w:color="000000"/>
            </w:tcBorders>
          </w:tcPr>
          <w:p>
            <w:pPr>
              <w:pStyle w:val="Compact"/>
              <w:keepNext/>
              <w:spacing w:before="0" w:after="0" w:lineRule="exact" w:line="220"/>
              <w:jc w:val="left"/>
            </w:pPr>
            <w:r>
              <w:rPr>
                <w:b/>
                <w:sz w:val="18"/>
              </w:rPr>
              <w:t xml:space="preserve">Higher fees</w:t>
            </w:r>
          </w:p>
        </w:tc>
        <w:tc>
          <w:tcPr>
            <w:tcW w:w="1532" w:type="dxa"/>
            <w:tcBorders>
              <w:bottom w:val="single" w:sz="5" w:space="0" w:color="000000"/>
            </w:tcBorders>
          </w:tcPr>
          <w:p>
            <w:pPr>
              <w:pStyle w:val="Compact"/>
              <w:keepNext/>
              <w:spacing w:before="0" w:after="0" w:lineRule="exact" w:line="220"/>
              <w:jc w:val="left"/>
            </w:pPr>
            <w:r>
              <w:rPr>
                <w:b/>
                <w:sz w:val="18"/>
              </w:rPr>
              <w:t xml:space="preserve">Lower incentives</w:t>
            </w:r>
          </w:p>
        </w:tc>
      </w:tr>
      <w:tr>
        <w:trPr>
          <w:cantSplit/>
        </w:trPr>
        <w:tc>
          <w:tcPr>
            <w:tcW w:w="2911" w:type="dxa"/>
          </w:tcPr>
          <w:p>
            <w:pPr>
              <w:pStyle w:val="Compact"/>
              <w:keepNext/>
              <w:spacing w:before="0" w:after="0" w:lineRule="exact" w:line="220"/>
              <w:jc w:val="left"/>
            </w:pPr>
            <w:r>
              <w:rPr>
                <w:sz w:val="18"/>
              </w:rPr>
              <w:t xml:space="preserve">Tokopedia, 2022–23</w:t>
            </w:r>
          </w:p>
        </w:tc>
        <w:tc>
          <w:tcPr>
            <w:tcW w:w="1609" w:type="dxa"/>
          </w:tcPr>
          <w:p>
            <w:pPr>
              <w:pStyle w:val="Compact"/>
              <w:keepNext/>
              <w:spacing w:before="0" w:after="0" w:lineRule="exact" w:line="220"/>
              <w:jc w:val="left"/>
            </w:pPr>
            <w:r>
              <w:rPr>
                <w:sz w:val="18"/>
              </w:rPr>
              <w:t xml:space="preserve">+53%</w:t>
            </w:r>
          </w:p>
        </w:tc>
        <w:tc>
          <w:tcPr>
            <w:tcW w:w="1302" w:type="dxa"/>
          </w:tcPr>
          <w:p>
            <w:pPr>
              <w:pStyle w:val="Compact"/>
              <w:keepNext/>
              <w:spacing w:before="0" w:after="0" w:lineRule="exact" w:line="220"/>
              <w:jc w:val="left"/>
            </w:pPr>
            <w:r>
              <w:rPr>
                <w:sz w:val="18"/>
              </w:rPr>
              <w:t xml:space="preserve">−22</w:t>
            </w:r>
          </w:p>
        </w:tc>
        <w:tc>
          <w:tcPr>
            <w:tcW w:w="1149" w:type="dxa"/>
          </w:tcPr>
          <w:p>
            <w:pPr>
              <w:pStyle w:val="Compact"/>
              <w:keepNext/>
              <w:spacing w:before="0" w:after="0" w:lineRule="exact" w:line="220"/>
              <w:jc w:val="left"/>
            </w:pPr>
            <w:r>
              <w:rPr>
                <w:sz w:val="18"/>
              </w:rPr>
              <w:t xml:space="preserve">76</w:t>
            </w:r>
          </w:p>
        </w:tc>
        <w:tc>
          <w:tcPr>
            <w:tcW w:w="1532" w:type="dxa"/>
          </w:tcPr>
          <w:p>
            <w:pPr>
              <w:pStyle w:val="Compact"/>
              <w:keepNext/>
              <w:spacing w:before="0" w:after="0" w:lineRule="exact" w:line="220"/>
              <w:jc w:val="left"/>
            </w:pPr>
            <w:r>
              <w:rPr>
                <w:sz w:val="18"/>
              </w:rPr>
              <w:t xml:space="preserve">45</w:t>
            </w:r>
          </w:p>
        </w:tc>
      </w:tr>
      <w:tr>
        <w:trPr>
          <w:cantSplit/>
        </w:trPr>
        <w:tc>
          <w:tcPr>
            <w:tcW w:w="2911" w:type="dxa"/>
          </w:tcPr>
          <w:p>
            <w:pPr>
              <w:pStyle w:val="Compact"/>
              <w:keepNext/>
              <w:spacing w:before="0" w:after="0" w:lineRule="exact" w:line="220"/>
              <w:jc w:val="left"/>
            </w:pPr>
            <w:r>
              <w:rPr>
                <w:sz w:val="18"/>
              </w:rPr>
              <w:t xml:space="preserve">Blibli third-party retail, 2022–23</w:t>
            </w:r>
          </w:p>
        </w:tc>
        <w:tc>
          <w:tcPr>
            <w:tcW w:w="1609" w:type="dxa"/>
          </w:tcPr>
          <w:p>
            <w:pPr>
              <w:pStyle w:val="Compact"/>
              <w:keepNext/>
              <w:spacing w:before="0" w:after="0" w:lineRule="exact" w:line="220"/>
              <w:jc w:val="left"/>
            </w:pPr>
            <w:r>
              <w:rPr>
                <w:sz w:val="18"/>
              </w:rPr>
              <w:t xml:space="preserve">+465%</w:t>
            </w:r>
          </w:p>
        </w:tc>
        <w:tc>
          <w:tcPr>
            <w:tcW w:w="1302" w:type="dxa"/>
          </w:tcPr>
          <w:p>
            <w:pPr>
              <w:pStyle w:val="Compact"/>
              <w:keepNext/>
              <w:spacing w:before="0" w:after="0" w:lineRule="exact" w:line="220"/>
              <w:jc w:val="left"/>
            </w:pPr>
            <w:r>
              <w:rPr>
                <w:sz w:val="18"/>
              </w:rPr>
              <w:t xml:space="preserve">17</w:t>
            </w:r>
          </w:p>
        </w:tc>
        <w:tc>
          <w:tcPr>
            <w:tcW w:w="1149" w:type="dxa"/>
          </w:tcPr>
          <w:p>
            <w:pPr>
              <w:pStyle w:val="Compact"/>
              <w:keepNext/>
              <w:spacing w:before="0" w:after="0" w:lineRule="exact" w:line="220"/>
              <w:jc w:val="left"/>
            </w:pPr>
            <w:r>
              <w:rPr>
                <w:sz w:val="18"/>
              </w:rPr>
              <w:t xml:space="preserve">20</w:t>
            </w:r>
          </w:p>
        </w:tc>
        <w:tc>
          <w:tcPr>
            <w:tcW w:w="1532" w:type="dxa"/>
          </w:tcPr>
          <w:p>
            <w:pPr>
              <w:pStyle w:val="Compact"/>
              <w:keepNext/>
              <w:spacing w:before="0" w:after="0" w:lineRule="exact" w:line="220"/>
              <w:jc w:val="left"/>
            </w:pPr>
            <w:r>
              <w:rPr>
                <w:sz w:val="18"/>
              </w:rPr>
              <w:t xml:space="preserve">63</w:t>
            </w:r>
          </w:p>
        </w:tc>
      </w:tr>
      <w:tr>
        <w:trPr>
          <w:cantSplit/>
        </w:trPr>
        <w:tc>
          <w:tcPr>
            <w:tcW w:w="2911" w:type="dxa"/>
          </w:tcPr>
          <w:p>
            <w:pPr>
              <w:pStyle w:val="Compact"/>
              <w:keepNext/>
              <w:spacing w:before="0" w:after="0" w:lineRule="exact" w:line="220"/>
              <w:jc w:val="left"/>
            </w:pPr>
            <w:r>
              <w:rPr>
                <w:sz w:val="18"/>
              </w:rPr>
              <w:t xml:space="preserve">Blibli third-party retail, 2022–25</w:t>
            </w:r>
          </w:p>
        </w:tc>
        <w:tc>
          <w:tcPr>
            <w:tcW w:w="1609" w:type="dxa"/>
          </w:tcPr>
          <w:p>
            <w:pPr>
              <w:pStyle w:val="Compact"/>
              <w:keepNext/>
              <w:spacing w:before="0" w:after="0" w:lineRule="exact" w:line="220"/>
              <w:jc w:val="left"/>
            </w:pPr>
            <w:r>
              <w:rPr>
                <w:sz w:val="18"/>
              </w:rPr>
              <w:t xml:space="preserve">+679%</w:t>
            </w:r>
          </w:p>
        </w:tc>
        <w:tc>
          <w:tcPr>
            <w:tcW w:w="1302" w:type="dxa"/>
          </w:tcPr>
          <w:p>
            <w:pPr>
              <w:pStyle w:val="Compact"/>
              <w:keepNext/>
              <w:spacing w:before="0" w:after="0" w:lineRule="exact" w:line="220"/>
              <w:jc w:val="left"/>
            </w:pPr>
            <w:r>
              <w:rPr>
                <w:sz w:val="18"/>
              </w:rPr>
              <w:t xml:space="preserve">18</w:t>
            </w:r>
          </w:p>
        </w:tc>
        <w:tc>
          <w:tcPr>
            <w:tcW w:w="1149" w:type="dxa"/>
          </w:tcPr>
          <w:p>
            <w:pPr>
              <w:pStyle w:val="Compact"/>
              <w:keepNext/>
              <w:spacing w:before="0" w:after="0" w:lineRule="exact" w:line="220"/>
              <w:jc w:val="left"/>
            </w:pPr>
            <w:r>
              <w:rPr>
                <w:sz w:val="18"/>
              </w:rPr>
              <w:t xml:space="preserve">63</w:t>
            </w:r>
          </w:p>
        </w:tc>
        <w:tc>
          <w:tcPr>
            <w:tcW w:w="1532" w:type="dxa"/>
          </w:tcPr>
          <w:p>
            <w:pPr>
              <w:pStyle w:val="Compact"/>
              <w:keepNext/>
              <w:spacing w:before="0" w:after="0" w:lineRule="exact" w:line="220"/>
              <w:jc w:val="left"/>
            </w:pPr>
            <w:r>
              <w:rPr>
                <w:sz w:val="18"/>
              </w:rPr>
              <w:t xml:space="preserve">20</w:t>
            </w:r>
          </w:p>
        </w:tc>
      </w:tr>
      <w:tr>
        <w:trPr>
          <w:cantSplit/>
        </w:trPr>
        <w:tc>
          <w:tcPr>
            <w:tcW w:w="2911" w:type="dxa"/>
          </w:tcPr>
          <w:p>
            <w:pPr>
              <w:pStyle w:val="Compact"/>
              <w:keepNext/>
              <w:spacing w:before="0" w:after="0" w:lineRule="exact" w:line="220"/>
              <w:jc w:val="left"/>
            </w:pPr>
            <w:r>
              <w:rPr>
                <w:sz w:val="18"/>
              </w:rPr>
              <w:t xml:space="preserve">Grab on-demand, 2021–24</w:t>
            </w:r>
          </w:p>
        </w:tc>
        <w:tc>
          <w:tcPr>
            <w:tcW w:w="1609" w:type="dxa"/>
          </w:tcPr>
          <w:p>
            <w:pPr>
              <w:pStyle w:val="Compact"/>
              <w:keepNext/>
              <w:spacing w:before="0" w:after="0" w:lineRule="exact" w:line="220"/>
              <w:jc w:val="left"/>
            </w:pPr>
            <w:r>
              <w:rPr>
                <w:sz w:val="18"/>
              </w:rPr>
              <w:t xml:space="preserve">+321%</w:t>
            </w:r>
          </w:p>
        </w:tc>
        <w:tc>
          <w:tcPr>
            <w:tcW w:w="1302" w:type="dxa"/>
          </w:tcPr>
          <w:p>
            <w:pPr>
              <w:pStyle w:val="Compact"/>
              <w:keepNext/>
              <w:spacing w:before="0" w:after="0" w:lineRule="exact" w:line="220"/>
              <w:jc w:val="left"/>
            </w:pPr>
            <w:r>
              <w:rPr>
                <w:sz w:val="18"/>
              </w:rPr>
              <w:t xml:space="preserve">34</w:t>
            </w:r>
          </w:p>
        </w:tc>
        <w:tc>
          <w:tcPr>
            <w:tcW w:w="1149" w:type="dxa"/>
          </w:tcPr>
          <w:p>
            <w:pPr>
              <w:pStyle w:val="Compact"/>
              <w:keepNext/>
              <w:spacing w:before="0" w:after="0" w:lineRule="exact" w:line="220"/>
              <w:jc w:val="left"/>
            </w:pPr>
            <w:r>
              <w:rPr>
                <w:sz w:val="18"/>
              </w:rPr>
              <w:t xml:space="preserve">34</w:t>
            </w:r>
          </w:p>
        </w:tc>
        <w:tc>
          <w:tcPr>
            <w:tcW w:w="1532" w:type="dxa"/>
          </w:tcPr>
          <w:p>
            <w:pPr>
              <w:pStyle w:val="Compact"/>
              <w:keepNext/>
              <w:spacing w:before="0" w:after="0" w:lineRule="exact" w:line="220"/>
              <w:jc w:val="left"/>
            </w:pPr>
            <w:r>
              <w:rPr>
                <w:sz w:val="18"/>
              </w:rPr>
              <w:t xml:space="preserve">33</w:t>
            </w:r>
          </w:p>
        </w:tc>
      </w:tr>
      <w:tr>
        <w:trPr>
          <w:cantSplit/>
        </w:trPr>
        <w:tc>
          <w:tcPr>
            <w:tcW w:w="2911" w:type="dxa"/>
          </w:tcPr>
          <w:p>
            <w:pPr>
              <w:pStyle w:val="Compact"/>
              <w:keepNext/>
              <w:spacing w:before="0" w:after="0" w:lineRule="exact" w:line="220"/>
              <w:jc w:val="left"/>
            </w:pPr>
            <w:r>
              <w:rPr>
                <w:sz w:val="18"/>
              </w:rPr>
              <w:t xml:space="preserve">Grab on-demand, 2022–24</w:t>
            </w:r>
          </w:p>
        </w:tc>
        <w:tc>
          <w:tcPr>
            <w:tcW w:w="1609" w:type="dxa"/>
          </w:tcPr>
          <w:p>
            <w:pPr>
              <w:pStyle w:val="Compact"/>
              <w:keepNext/>
              <w:spacing w:before="0" w:after="0" w:lineRule="exact" w:line="220"/>
              <w:jc w:val="left"/>
            </w:pPr>
            <w:r>
              <w:rPr>
                <w:sz w:val="18"/>
              </w:rPr>
              <w:t xml:space="preserve">+86%</w:t>
            </w:r>
          </w:p>
        </w:tc>
        <w:tc>
          <w:tcPr>
            <w:tcW w:w="1302" w:type="dxa"/>
          </w:tcPr>
          <w:p>
            <w:pPr>
              <w:pStyle w:val="Compact"/>
              <w:keepNext/>
              <w:spacing w:before="0" w:after="0" w:lineRule="exact" w:line="220"/>
              <w:jc w:val="left"/>
            </w:pPr>
            <w:r>
              <w:rPr>
                <w:sz w:val="18"/>
              </w:rPr>
              <w:t xml:space="preserve">42</w:t>
            </w:r>
          </w:p>
        </w:tc>
        <w:tc>
          <w:tcPr>
            <w:tcW w:w="1149" w:type="dxa"/>
          </w:tcPr>
          <w:p>
            <w:pPr>
              <w:pStyle w:val="Compact"/>
              <w:keepNext/>
              <w:spacing w:before="0" w:after="0" w:lineRule="exact" w:line="220"/>
              <w:jc w:val="left"/>
            </w:pPr>
            <w:r>
              <w:rPr>
                <w:sz w:val="18"/>
              </w:rPr>
              <w:t xml:space="preserve">11</w:t>
            </w:r>
          </w:p>
        </w:tc>
        <w:tc>
          <w:tcPr>
            <w:tcW w:w="1532" w:type="dxa"/>
          </w:tcPr>
          <w:p>
            <w:pPr>
              <w:pStyle w:val="Compact"/>
              <w:keepNext/>
              <w:spacing w:before="0" w:after="0" w:lineRule="exact" w:line="220"/>
              <w:jc w:val="left"/>
            </w:pPr>
            <w:r>
              <w:rPr>
                <w:sz w:val="18"/>
              </w:rPr>
              <w:t xml:space="preserve">47</w:t>
            </w:r>
          </w:p>
        </w:tc>
      </w:tr>
      <w:tr>
        <w:trPr>
          <w:cantSplit/>
        </w:trPr>
        <w:tc>
          <w:tcPr>
            <w:tcW w:w="2911" w:type="dxa"/>
          </w:tcPr>
          <w:p>
            <w:pPr>
              <w:pStyle w:val="Compact"/>
              <w:keepNext/>
              <w:spacing w:before="0" w:after="0" w:lineRule="exact" w:line="220"/>
              <w:jc w:val="left"/>
            </w:pPr>
            <w:r>
              <w:rPr>
                <w:sz w:val="18"/>
              </w:rPr>
              <w:t xml:space="preserve">GoTo on-demand, 2022–25</w:t>
            </w:r>
          </w:p>
        </w:tc>
        <w:tc>
          <w:tcPr>
            <w:tcW w:w="1609" w:type="dxa"/>
          </w:tcPr>
          <w:p>
            <w:pPr>
              <w:pStyle w:val="Compact"/>
              <w:keepNext/>
              <w:spacing w:before="0" w:after="0" w:lineRule="exact" w:line="220"/>
              <w:jc w:val="left"/>
            </w:pPr>
            <w:r>
              <w:rPr>
                <w:sz w:val="18"/>
              </w:rPr>
              <w:t xml:space="preserve">+111%</w:t>
            </w:r>
          </w:p>
        </w:tc>
        <w:tc>
          <w:tcPr>
            <w:tcW w:w="1302" w:type="dxa"/>
          </w:tcPr>
          <w:p>
            <w:pPr>
              <w:pStyle w:val="Compact"/>
              <w:keepNext/>
              <w:spacing w:before="0" w:after="0" w:lineRule="exact" w:line="220"/>
              <w:jc w:val="left"/>
            </w:pPr>
            <w:r>
              <w:rPr>
                <w:sz w:val="18"/>
              </w:rPr>
              <w:t xml:space="preserve">12</w:t>
            </w:r>
          </w:p>
        </w:tc>
        <w:tc>
          <w:tcPr>
            <w:tcW w:w="1149" w:type="dxa"/>
          </w:tcPr>
          <w:p>
            <w:pPr>
              <w:pStyle w:val="Compact"/>
              <w:keepNext/>
              <w:spacing w:before="0" w:after="0" w:lineRule="exact" w:line="220"/>
              <w:jc w:val="left"/>
            </w:pPr>
            <w:r>
              <w:rPr>
                <w:sz w:val="18"/>
              </w:rPr>
              <w:t xml:space="preserve">36</w:t>
            </w:r>
          </w:p>
        </w:tc>
        <w:tc>
          <w:tcPr>
            <w:tcW w:w="1532" w:type="dxa"/>
          </w:tcPr>
          <w:p>
            <w:pPr>
              <w:pStyle w:val="Compact"/>
              <w:keepNext/>
              <w:spacing w:before="0" w:after="0" w:lineRule="exact" w:line="220"/>
              <w:jc w:val="left"/>
            </w:pPr>
            <w:r>
              <w:rPr>
                <w:sz w:val="18"/>
              </w:rPr>
              <w:t xml:space="preserve">52</w:t>
            </w:r>
          </w:p>
        </w:tc>
      </w:tr>
      <w:tr>
        <w:trPr>
          <w:cantSplit/>
        </w:trPr>
        <w:tc>
          <w:tcPr>
            <w:tcW w:w="2911" w:type="dxa"/>
          </w:tcPr>
          <w:p>
            <w:pPr>
              <w:pStyle w:val="Compact"/>
              <w:spacing w:before="0" w:after="0" w:lineRule="exact" w:line="220"/>
              <w:jc w:val="left"/>
            </w:pPr>
            <w:r>
              <w:rPr>
                <w:sz w:val="18"/>
              </w:rPr>
              <w:t xml:space="preserve">GoTo on-demand, 2023–25</w:t>
            </w:r>
          </w:p>
        </w:tc>
        <w:tc>
          <w:tcPr>
            <w:tcW w:w="1609" w:type="dxa"/>
          </w:tcPr>
          <w:p>
            <w:pPr>
              <w:pStyle w:val="Compact"/>
              <w:spacing w:before="0" w:after="0" w:lineRule="exact" w:line="220"/>
              <w:jc w:val="left"/>
            </w:pPr>
            <w:r>
              <w:rPr>
                <w:sz w:val="18"/>
              </w:rPr>
              <w:t xml:space="preserve">+114%</w:t>
            </w:r>
          </w:p>
        </w:tc>
        <w:tc>
          <w:tcPr>
            <w:tcW w:w="1302" w:type="dxa"/>
          </w:tcPr>
          <w:p>
            <w:pPr>
              <w:pStyle w:val="Compact"/>
              <w:spacing w:before="0" w:after="0" w:lineRule="exact" w:line="220"/>
              <w:jc w:val="left"/>
            </w:pPr>
            <w:r>
              <w:rPr>
                <w:sz w:val="18"/>
              </w:rPr>
              <w:t xml:space="preserve">27</w:t>
            </w:r>
          </w:p>
        </w:tc>
        <w:tc>
          <w:tcPr>
            <w:tcW w:w="1149" w:type="dxa"/>
          </w:tcPr>
          <w:p>
            <w:pPr>
              <w:pStyle w:val="Compact"/>
              <w:spacing w:before="0" w:after="0" w:lineRule="exact" w:line="220"/>
              <w:jc w:val="left"/>
            </w:pPr>
            <w:r>
              <w:rPr>
                <w:sz w:val="18"/>
              </w:rPr>
              <w:t xml:space="preserve">6</w:t>
            </w:r>
          </w:p>
        </w:tc>
        <w:tc>
          <w:tcPr>
            <w:tcW w:w="1532" w:type="dxa"/>
          </w:tcPr>
          <w:p>
            <w:pPr>
              <w:pStyle w:val="Compact"/>
              <w:spacing w:before="0" w:after="0" w:lineRule="exact" w:line="220"/>
              <w:jc w:val="left"/>
            </w:pPr>
            <w:r>
              <w:rPr>
                <w:sz w:val="18"/>
              </w:rPr>
              <w:t xml:space="preserve">67</w:t>
            </w:r>
          </w:p>
        </w:tc>
      </w:tr>
    </w:tbl>
    <w:p>
      <w:pPr>
        <w:pStyle w:val="TableNote"/>
      </w:pPr>
      <w:r>
        <w:rPr>
          <w:iCs/>
          <w:i/>
        </w:rPr>
        <w:t xml:space="preserve">Note:</w:t>
      </w:r>
      <w:r>
        <w:t xml:space="preserve"> </w:t>
      </w:r>
      <w:r>
        <w:t xml:space="preserve">Shares are rounded, so a row can add to 99 or 101. Source: company filings; author’s calculations (Appendix A).</w:t>
      </w:r>
    </w:p>
    <w:p>
      <w:pPr>
        <w:pStyle w:val="BodyText"/>
      </w:pPr>
      <w:r>
        <w:t xml:space="preserve">Higher fees and lower incentives together outweighed more commerce in every window. Lower incentives were the larger of the two in four windows and higher fees in two. In the seventh, Grab from 2021 to 2024, the two were nearly equal.</w:t>
      </w:r>
    </w:p>
    <w:p>
      <w:pPr>
        <w:pStyle w:val="BodyText"/>
      </w:pPr>
      <w:r>
        <w:t xml:space="preserve">Three series need a note. GoTo’s 2022 transaction value is an estimate. Blibli does not report incentives, so its split rests on a proxy, and part of its 2022–23 rise comes from travel and digital products. Bukalapak’s reports do not allow the parts to be separated.</w:t>
      </w:r>
    </w:p>
    <w:p>
      <w:pPr>
        <w:pStyle w:val="BodyText"/>
      </w:pPr>
      <w:r>
        <w:t xml:space="preserve">Tokopedia can be read in two ways, and both point to pricing. Its incentives fell by about a third in 2023. Counted line by line in its accounts, lower incentives gave about 60 percent of the extra revenue and higher gross fees about 40 percent. That count does not adjust for the fall in transaction value, which lowered both lines. Measured per unit of transaction value, as in Table 11, higher fees account for more of the rise in the take rate. The two views differ only on which lever led (Figure 3).</w:t>
      </w:r>
    </w:p>
    <w:p>
      <w:pPr>
        <w:pStyle w:val="BodyText"/>
        <w:keepNext/>
        <w:spacing w:before="200" w:after="0" w:line="240" w:lineRule="auto"/>
        <w:jc w:val="center"/>
      </w:pPr>
      <w:r>
        <w:drawing>
          <wp:inline>
            <wp:extent cx="5400000" cy="1791704"/>
            <wp:effectExtent b="0" l="0" r="0" t="0"/>
            <wp:docPr descr="" title="" id="56" name="Picture"/>
            <a:graphic>
              <a:graphicData uri="http://schemas.openxmlformats.org/drawingml/2006/picture">
                <pic:pic>
                  <pic:nvPicPr>
                    <pic:cNvPr descr="figures/fig5_2_tokopedia_two_views.png" id="57" name="Picture"/>
                    <pic:cNvPicPr>
                      <a:picLocks noChangeArrowheads="1" noChangeAspect="1"/>
                    </pic:cNvPicPr>
                  </pic:nvPicPr>
                  <pic:blipFill>
                    <a:blip r:embed="rId55"/>
                    <a:stretch>
                      <a:fillRect/>
                    </a:stretch>
                  </pic:blipFill>
                  <pic:spPr bwMode="auto">
                    <a:xfrm>
                      <a:off x="0" y="0"/>
                      <a:ext cx="5400000" cy="1791704"/>
                    </a:xfrm>
                    <a:prstGeom prst="rect">
                      <a:avLst/>
                    </a:prstGeom>
                    <a:noFill/>
                    <a:ln w="9525">
                      <a:noFill/>
                      <a:headEnd/>
                      <a:tailEnd/>
                    </a:ln>
                  </pic:spPr>
                </pic:pic>
              </a:graphicData>
            </a:graphic>
          </wp:inline>
        </w:drawing>
      </w:r>
    </w:p>
    <w:p>
      <w:pPr>
        <w:pStyle w:val="FigureCaption"/>
        <w:keepNext/>
      </w:pPr>
      <w:r>
        <w:rPr>
          <w:b/>
        </w:rPr>
        <w:t>Figure 3.</w:t>
      </w:r>
      <w:r>
        <w:rPr>
          <w:b w:val="0"/>
        </w:rPr>
        <w:t xml:space="preserve"> Tokopedia, 2022 to 2023: two ways to split the rise in revenue.</w:t>
      </w:r>
    </w:p>
    <w:p>
      <w:pPr>
        <w:pStyle w:val="TableNote"/>
      </w:pPr>
      <w:r>
        <w:t xml:space="preserve">Left: the change in net revenue split by the lines of the accounts. Right: the growth of revenue split per unit of transaction value, where a negative share pulled revenue down. Source: GoTo annual report 2023, segment note; author’s calculations.</w:t>
      </w:r>
    </w:p>
    <w:p>
      <w:pPr>
        <w:pStyle w:val="BodyText"/>
      </w:pPr>
      <w:r>
        <w:t xml:space="preserve">Tokopedia is not the only case of revenue rising while the commerce shrank. From 2024 to 2025, Blibli’s transaction value fell by about 2 percent while its revenue rose by about 12 percent. In the windows traced here, revenue growth was not a fair guide to the commerce the platforms carried. Whether markets treated it as one is a separate question.</w:t>
      </w:r>
    </w:p>
    <w:bookmarkEnd w:id="58"/>
    <w:bookmarkStart w:id="59" w:name="what-markets-valued"/>
    <w:p>
      <w:pPr>
        <w:pStyle w:val="Heading2"/>
      </w:pPr>
      <w:r>
        <w:t xml:space="preserve">5.4 What markets valued</w:t>
      </w:r>
    </w:p>
    <w:p>
      <w:pPr>
        <w:pStyle w:val="FirstParagraph"/>
      </w:pPr>
      <w:r>
        <w:t xml:space="preserve">Across 28 listed platforms and 138 platform-years, market value moved with transaction value, a registered result. A 1 percent rise in transaction value goes with a rise of about 0.6 percent in market value (β</w:t>
      </w:r>
      <w:r>
        <w:rPr>
          <w:vertAlign w:val="subscript"/>
        </w:rPr>
        <w:t xml:space="preserve">V</w:t>
      </w:r>
      <w:r>
        <w:t xml:space="preserve"> </w:t>
      </w:r>
      <w:r>
        <w:t xml:space="preserve">in equation (8), p = 0.002). Section 4.5 describes this sample, which differs from the 27 foreign platforms of H1.</w:t>
      </w:r>
    </w:p>
    <w:p>
      <w:pPr>
        <w:pStyle w:val="BodyText"/>
      </w:pPr>
      <w:r>
        <w:t xml:space="preserve">The second registered prediction does not hold in the main sample. It expected markets to value growth from a higher take rate less than growth from more commerce. A 1 percent rise in the take rate goes with a rise of about 0.3 percent (β</w:t>
      </w:r>
      <w:r>
        <w:rPr>
          <w:vertAlign w:val="subscript"/>
        </w:rPr>
        <w:t xml:space="preserve">m</w:t>
      </w:r>
      <w:r>
        <w:t xml:space="preserve">), which is too uncertain to tell from zero. The gap between the two estimates is not large enough to count (p = 0.20, or 0.16 with extreme values capped). The test could reliably flag only a gap above about 0.8, so a failed prediction here means the data cannot tell, not that markets value the two sources alike.</w:t>
      </w:r>
    </w:p>
    <w:p>
      <w:pPr>
        <w:pStyle w:val="BodyText"/>
      </w:pPr>
      <w:r>
        <w:t xml:space="preserve">A second run adds five segment series, including Grab, GoTo and Sea, and Mercado Libre. There the gap counts (p = 0.004), with about 0.6 for transaction value against about 0.1 for the take rate. But that run sets segment figures against whole-company market values, as the registration warned, so the thesis does not rely on it. The answer depends on which platforms are in the sample.</w:t>
      </w:r>
    </w:p>
    <w:p>
      <w:pPr>
        <w:pStyle w:val="BodyText"/>
      </w:pPr>
      <w:r>
        <w:t xml:space="preserve">Market value follows the commerce a platform carries. Early studies found a similar link, with markets pricing measures of web activity beyond earnings (Trueman, Wong and Zhang 2000; Rajgopal, Venkatachalam and Kotha 2003). Here the measure of activity is transaction value, which the platforms report themselves.</w:t>
      </w:r>
    </w:p>
    <w:p>
      <w:pPr>
        <w:pStyle w:val="BodyText"/>
      </w:pPr>
      <w:r>
        <w:t xml:space="preserve">How a firm records revenue matters too. After the 2000 crash, revenue explained less of the prices of internet firms that booked the full sale amount as revenue (Davis 2002). The data do not show that markets valued growth from pricing any less. The national figures give a separate view of the same commerce.</w:t>
      </w:r>
    </w:p>
    <w:bookmarkEnd w:id="59"/>
    <w:bookmarkStart w:id="63" w:name="the-platforms-and-the-sellers-in-2023"/>
    <w:p>
      <w:pPr>
        <w:pStyle w:val="Heading2"/>
      </w:pPr>
      <w:r>
        <w:t xml:space="preserve">5.5 The platforms and the sellers in 2023</w:t>
      </w:r>
    </w:p>
    <w:p>
      <w:pPr>
        <w:pStyle w:val="FirstParagraph"/>
      </w:pPr>
      <w:r>
        <w:t xml:space="preserve">Buying through platforms did not boom in 2023. Household spending rose by about 9 percent in current prices that year. Of six measures of buying through platforms, five grew more slowly, and three fell. Blibli is the one exception. Figure 4 sets the measures side by side, each in its own unit.</w:t>
      </w:r>
    </w:p>
    <w:p>
      <w:pPr>
        <w:pStyle w:val="BodyText"/>
      </w:pPr>
      <w:r>
        <w:t xml:space="preserve">The figures that described a boom were of other kinds. Tokopedia’s revenue rose by 53 percent and BPS’s online sales value by 41 percent, while the buying that platforms carried grew slowly or fell. Figure 4 shows the two kinds in different colours.</w:t>
      </w:r>
    </w:p>
    <w:p>
      <w:pPr>
        <w:pStyle w:val="BodyText"/>
      </w:pPr>
      <w:r>
        <w:t xml:space="preserve">Sellers’ own accounts of their sales show no boom either, a registered result. BPS asks each business how its online sales changed. For businesses already selling, the registered prediction set an upper limit on the median change. The limit was about 10 percent, the published growth in sales per business. The median change was zero.</w:t>
      </w:r>
    </w:p>
    <w:p>
      <w:pPr>
        <w:pStyle w:val="BodyText"/>
        <w:keepNext/>
        <w:spacing w:before="200" w:after="0" w:line="240" w:lineRule="auto"/>
        <w:jc w:val="center"/>
      </w:pPr>
      <w:r>
        <w:drawing>
          <wp:inline>
            <wp:extent cx="5400000" cy="2890140"/>
            <wp:effectExtent b="0" l="0" r="0" t="0"/>
            <wp:docPr descr="" title="" id="61" name="Picture"/>
            <a:graphic>
              <a:graphicData uri="http://schemas.openxmlformats.org/drawingml/2006/picture">
                <pic:pic>
                  <pic:nvPicPr>
                    <pic:cNvPr descr="figures/fig5_3_growth_2023.png" id="62" name="Picture"/>
                    <pic:cNvPicPr>
                      <a:picLocks noChangeArrowheads="1" noChangeAspect="1"/>
                    </pic:cNvPicPr>
                  </pic:nvPicPr>
                  <pic:blipFill>
                    <a:blip r:embed="rId60"/>
                    <a:stretch>
                      <a:fillRect/>
                    </a:stretch>
                  </pic:blipFill>
                  <pic:spPr bwMode="auto">
                    <a:xfrm>
                      <a:off x="0" y="0"/>
                      <a:ext cx="5400000" cy="2890140"/>
                    </a:xfrm>
                    <a:prstGeom prst="rect">
                      <a:avLst/>
                    </a:prstGeom>
                    <a:noFill/>
                    <a:ln w="9525">
                      <a:noFill/>
                      <a:headEnd/>
                      <a:tailEnd/>
                    </a:ln>
                  </pic:spPr>
                </pic:pic>
              </a:graphicData>
            </a:graphic>
          </wp:inline>
        </w:drawing>
      </w:r>
    </w:p>
    <w:p>
      <w:pPr>
        <w:pStyle w:val="FigureCaption"/>
        <w:keepNext/>
      </w:pPr>
      <w:r>
        <w:rPr>
          <w:b/>
        </w:rPr>
        <w:t>Figure 4.</w:t>
      </w:r>
      <w:r>
        <w:rPr>
          <w:b w:val="0"/>
        </w:rPr>
        <w:t xml:space="preserve"> Growth in 2023 (percent).</w:t>
      </w:r>
    </w:p>
    <w:p>
      <w:pPr>
        <w:pStyle w:val="TableNote"/>
      </w:pPr>
      <w:r>
        <w:t xml:space="preserve">Blue bars show measures of buying; orange bars show the figures that described a boom. Each measure is in its own unit. Sources: company reports, Bank Indonesia, Momentum Works and BPS; household spending from national accounts. GoTo’s change rests on an estimated 2022 value, and Momentum Works’ 3.5 is the author’s calculation from its published levels (its 2024 release states 3.7). Appendix D gives the values.</w:t>
      </w:r>
    </w:p>
    <w:p>
      <w:pPr>
        <w:pStyle w:val="BodyText"/>
      </w:pPr>
      <w:r>
        <w:t xml:space="preserve">Fewer sellers reported a rise than a year earlier. About a quarter reported a rise and about a third a fall. A year before, more than a third had reported a rise and a quarter a fall. The mean change was about −4 percent. Lack of demand became the main obstacle, named by 41 percent of sellers against 35 percent in 2022.</w:t>
      </w:r>
    </w:p>
    <w:p>
      <w:pPr>
        <w:pStyle w:val="BodyText"/>
      </w:pPr>
      <w:r>
        <w:t xml:space="preserve">The published count of online sellers nonetheless rose by 27 percent in 2023. A rise of that size, in a year without a boom in sales, needs explaining.</w:t>
      </w:r>
    </w:p>
    <w:bookmarkEnd w:id="63"/>
    <w:bookmarkStart w:id="64" w:name="h2-and-the-entry-test"/>
    <w:p>
      <w:pPr>
        <w:pStyle w:val="Heading2"/>
      </w:pPr>
      <w:r>
        <w:t xml:space="preserve">5.6 H2 and the entry test</w:t>
      </w:r>
    </w:p>
    <w:p>
      <w:pPr>
        <w:pStyle w:val="FirstParagraph"/>
      </w:pPr>
      <w:r>
        <w:t xml:space="preserve">H2 holds on BPS’s published figures, but the registered entry test shows that first-time entry cannot explain the whole rise in the count. From 2022 to 2023, online sales value grew by 41 percent and the number of businesses by 27 percent. More businesses account for 71 percent of that growth, and higher sales per business for the rest.</w:t>
      </w:r>
    </w:p>
    <w:p>
      <w:pPr>
        <w:pStyle w:val="BodyText"/>
      </w:pPr>
      <w:r>
        <w:t xml:space="preserve">H2 holds again from 2023 to 2024. Value grew by 17 percent, and more businesses account for 90 percent of the growth, or 71 percent on BPS’s other count for 2023. The split of equation (7) is arithmetic, and it cannot tell a new seller from one counted for the first time.</w:t>
      </w:r>
    </w:p>
    <w:p>
      <w:pPr>
        <w:pStyle w:val="BodyText"/>
      </w:pPr>
      <w:r>
        <w:t xml:space="preserve">The registered entry test separates new sellers from sellers counted for the first time, and it fails. In the survey for 2023 (the 2024 file), about 13 percent of sellers began selling online that year. The test required 21.5 percent. Even with no sellers stopping, that many new sellers would raise the count by at most about 16 percent, against a published rise of 27 percent.</w:t>
      </w:r>
    </w:p>
    <w:p>
      <w:pPr>
        <w:pStyle w:val="BodyText"/>
      </w:pPr>
      <w:r>
        <w:t xml:space="preserve">Recall error does not explain the shortfall. As Section 3.5 noted, sellers who report a start date later than the true one make new sellers look more numerous. Such errors push the share toward passing, so the shortfall is, if anything, understated. Part of the 2023 rise in the count is something other than first-time entry, and its size is the next result.</w:t>
      </w:r>
    </w:p>
    <w:bookmarkEnd w:id="64"/>
    <w:bookmarkStart w:id="65" w:name="what-the-rise-in-the-count-contains"/>
    <w:p>
      <w:pPr>
        <w:pStyle w:val="Heading2"/>
      </w:pPr>
      <w:r>
        <w:t xml:space="preserve">5.7 What the rise in the count contains</w:t>
      </w:r>
    </w:p>
    <w:p>
      <w:pPr>
        <w:pStyle w:val="FirstParagraph"/>
      </w:pPr>
      <w:r>
        <w:t xml:space="preserve">About half of the 2023 rise in the count is not explained by first-time entry, an exploratory result. Table 12 sets out the accounting. In the survey for 2023, sellers who began before 2023 outnumber the whole count for 2022 by about 306 thousand. They make up 37 percent of the rise if no seller stopped, and 56 percent if sellers stopped at about 5 percent a year.</w:t>
      </w:r>
    </w:p>
    <w:p>
      <w:pPr>
        <w:pStyle w:val="TableCaption"/>
      </w:pPr>
      <w:r>
        <w:rPr>
          <w:b/>
        </w:rPr>
        <w:t>Table 12.</w:t>
      </w:r>
      <w:r>
        <w:rPr>
          <w:b w:val="0"/>
        </w:rPr>
        <w:t xml:space="preserve"> The 2023 rise in the count of online sellers (thousands)</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4187"/>
        <w:gridCol w:w="1570"/>
        <w:gridCol w:w="2747"/>
      </w:tblGrid>
      <w:tr>
        <w:trPr>
          <w:tblHeader w:val="true"/>
          <w:cantSplit/>
          <w:tblHeader/>
        </w:trPr>
        <w:tc>
          <w:tcPr>
            <w:tcW w:w="4187" w:type="dxa"/>
            <w:tcBorders>
              <w:bottom w:val="single" w:sz="5" w:space="0" w:color="000000"/>
            </w:tcBorders>
          </w:tcPr>
          <w:p>
            <w:pPr>
              <w:pStyle w:val="Compact"/>
              <w:keepNext/>
              <w:spacing w:before="0" w:after="0" w:lineRule="exact" w:line="220"/>
              <w:jc w:val="left"/>
            </w:pPr>
            <w:r>
              <w:rPr>
                <w:b/>
                <w:sz w:val="18"/>
              </w:rPr>
              <w:t xml:space="preserve">Part of the rise</w:t>
            </w:r>
          </w:p>
        </w:tc>
        <w:tc>
          <w:tcPr>
            <w:tcW w:w="1570" w:type="dxa"/>
            <w:tcBorders>
              <w:bottom w:val="single" w:sz="5" w:space="0" w:color="000000"/>
            </w:tcBorders>
          </w:tcPr>
          <w:p>
            <w:pPr>
              <w:pStyle w:val="Compact"/>
              <w:keepNext/>
              <w:spacing w:before="0" w:after="0" w:lineRule="exact" w:line="220"/>
              <w:jc w:val="left"/>
            </w:pPr>
            <w:r>
              <w:rPr>
                <w:b/>
                <w:sz w:val="18"/>
              </w:rPr>
              <w:t xml:space="preserve">If no seller stopped</w:t>
            </w:r>
          </w:p>
        </w:tc>
        <w:tc>
          <w:tcPr>
            <w:tcW w:w="2747" w:type="dxa"/>
            <w:tcBorders>
              <w:bottom w:val="single" w:sz="5" w:space="0" w:color="000000"/>
            </w:tcBorders>
          </w:tcPr>
          <w:p>
            <w:pPr>
              <w:pStyle w:val="Compact"/>
              <w:keepNext/>
              <w:spacing w:before="0" w:after="0" w:lineRule="exact" w:line="220"/>
              <w:jc w:val="left"/>
            </w:pPr>
            <w:r>
              <w:rPr>
                <w:b/>
                <w:sz w:val="18"/>
              </w:rPr>
              <w:t xml:space="preserve">If sellers stopped at 5 percent a year</w:t>
            </w:r>
          </w:p>
        </w:tc>
      </w:tr>
      <w:tr>
        <w:trPr>
          <w:cantSplit/>
        </w:trPr>
        <w:tc>
          <w:tcPr>
            <w:tcW w:w="4187" w:type="dxa"/>
          </w:tcPr>
          <w:p>
            <w:pPr>
              <w:pStyle w:val="Compact"/>
              <w:keepNext/>
              <w:spacing w:before="0" w:after="0" w:lineRule="exact" w:line="220"/>
              <w:jc w:val="left"/>
            </w:pPr>
            <w:r>
              <w:rPr>
                <w:sz w:val="18"/>
              </w:rPr>
              <w:t xml:space="preserve">Rise between the weighted totals of the two files</w:t>
            </w:r>
          </w:p>
        </w:tc>
        <w:tc>
          <w:tcPr>
            <w:tcW w:w="1570" w:type="dxa"/>
          </w:tcPr>
          <w:p>
            <w:pPr>
              <w:pStyle w:val="Compact"/>
              <w:keepNext/>
              <w:spacing w:before="0" w:after="0" w:lineRule="exact" w:line="220"/>
              <w:jc w:val="left"/>
            </w:pPr>
            <w:r>
              <w:rPr>
                <w:sz w:val="18"/>
              </w:rPr>
              <w:t xml:space="preserve">819 (100%)</w:t>
            </w:r>
          </w:p>
        </w:tc>
        <w:tc>
          <w:tcPr>
            <w:tcW w:w="2747" w:type="dxa"/>
          </w:tcPr>
          <w:p>
            <w:pPr>
              <w:pStyle w:val="Compact"/>
              <w:keepNext/>
              <w:spacing w:before="0" w:after="0" w:lineRule="exact" w:line="220"/>
              <w:jc w:val="left"/>
            </w:pPr>
            <w:r>
              <w:rPr>
                <w:sz w:val="18"/>
              </w:rPr>
              <w:t xml:space="preserve">819 (100%)</w:t>
            </w:r>
          </w:p>
        </w:tc>
      </w:tr>
      <w:tr>
        <w:trPr>
          <w:cantSplit/>
        </w:trPr>
        <w:tc>
          <w:tcPr>
            <w:tcW w:w="4187" w:type="dxa"/>
          </w:tcPr>
          <w:p>
            <w:pPr>
              <w:pStyle w:val="Compact"/>
              <w:keepNext/>
              <w:spacing w:before="0" w:after="0" w:lineRule="exact" w:line="220"/>
              <w:jc w:val="left"/>
            </w:pPr>
            <w:r>
              <w:rPr>
                <w:sz w:val="18"/>
              </w:rPr>
              <w:t xml:space="preserve">Net entry: sellers who began in 2023, less those who stopped</w:t>
            </w:r>
          </w:p>
        </w:tc>
        <w:tc>
          <w:tcPr>
            <w:tcW w:w="1570" w:type="dxa"/>
          </w:tcPr>
          <w:p>
            <w:pPr>
              <w:pStyle w:val="Compact"/>
              <w:keepNext/>
              <w:spacing w:before="0" w:after="0" w:lineRule="exact" w:line="220"/>
              <w:jc w:val="left"/>
            </w:pPr>
            <w:r>
              <w:rPr>
                <w:sz w:val="18"/>
              </w:rPr>
              <w:t xml:space="preserve">513 (63%)</w:t>
            </w:r>
          </w:p>
        </w:tc>
        <w:tc>
          <w:tcPr>
            <w:tcW w:w="2747" w:type="dxa"/>
          </w:tcPr>
          <w:p>
            <w:pPr>
              <w:pStyle w:val="Compact"/>
              <w:keepNext/>
              <w:spacing w:before="0" w:after="0" w:lineRule="exact" w:line="220"/>
              <w:jc w:val="left"/>
            </w:pPr>
            <w:r>
              <w:rPr>
                <w:sz w:val="18"/>
              </w:rPr>
              <w:t xml:space="preserve">361 (44%)</w:t>
            </w:r>
          </w:p>
        </w:tc>
      </w:tr>
      <w:tr>
        <w:trPr>
          <w:cantSplit/>
        </w:trPr>
        <w:tc>
          <w:tcPr>
            <w:tcW w:w="4187" w:type="dxa"/>
          </w:tcPr>
          <w:p>
            <w:pPr>
              <w:pStyle w:val="Compact"/>
              <w:spacing w:before="0" w:after="0" w:lineRule="exact" w:line="220"/>
              <w:jc w:val="left"/>
            </w:pPr>
            <w:r>
              <w:rPr>
                <w:sz w:val="18"/>
              </w:rPr>
              <w:t xml:space="preserve">Earlier sellers newly counted above the whole 2022 count</w:t>
            </w:r>
          </w:p>
        </w:tc>
        <w:tc>
          <w:tcPr>
            <w:tcW w:w="1570" w:type="dxa"/>
          </w:tcPr>
          <w:p>
            <w:pPr>
              <w:pStyle w:val="Compact"/>
              <w:spacing w:before="0" w:after="0" w:lineRule="exact" w:line="220"/>
              <w:jc w:val="left"/>
            </w:pPr>
            <w:r>
              <w:rPr>
                <w:sz w:val="18"/>
              </w:rPr>
              <w:t xml:space="preserve">306 (37%)</w:t>
            </w:r>
          </w:p>
        </w:tc>
        <w:tc>
          <w:tcPr>
            <w:tcW w:w="2747" w:type="dxa"/>
          </w:tcPr>
          <w:p>
            <w:pPr>
              <w:pStyle w:val="Compact"/>
              <w:spacing w:before="0" w:after="0" w:lineRule="exact" w:line="220"/>
              <w:jc w:val="left"/>
            </w:pPr>
            <w:r>
              <w:rPr>
                <w:sz w:val="18"/>
              </w:rPr>
              <w:t xml:space="preserve">458 (56%)</w:t>
            </w:r>
          </w:p>
        </w:tc>
      </w:tr>
    </w:tbl>
    <w:p>
      <w:pPr>
        <w:pStyle w:val="TableNote"/>
      </w:pPr>
      <w:r>
        <w:rPr>
          <w:iCs/>
          <w:i/>
        </w:rPr>
        <w:t xml:space="preserve">Note:</w:t>
      </w:r>
      <w:r>
        <w:t xml:space="preserve"> </w:t>
      </w:r>
      <w:r>
        <w:t xml:space="preserve">BPS’s published counts give a rise of 821 thousand (BPS 2025a). Source: BPS survey files, weighted; author’s calculations.</w:t>
      </w:r>
    </w:p>
    <w:p>
      <w:pPr>
        <w:pStyle w:val="BodyText"/>
      </w:pPr>
      <w:r>
        <w:t xml:space="preserve">The cohort counts show the break directly. A cohort should only shrink between surveys, and the cohorts did so in every interval except 2023. Sellers who began by 2020 fell by about 10 percent between the surveys for 2020 and 2022. In the survey for 2023 they rose by 6 percent.</w:t>
      </w:r>
    </w:p>
    <w:p>
      <w:pPr>
        <w:pStyle w:val="BodyText"/>
      </w:pPr>
      <w:r>
        <w:t xml:space="preserve">The count behaved normally again in BPS’s published table for 2024. The cohort that began before 2020 shrank by about 10 percent. At least 754 thousand new sellers appeared, more than the rise of 584 thousand.</w:t>
      </w:r>
    </w:p>
    <w:p>
      <w:pPr>
        <w:pStyle w:val="BodyText"/>
      </w:pPr>
      <w:r>
        <w:t xml:space="preserve">The break sat in chat and social selling. Among sellers who began by 2022, those using only chat or social media rose by 13 percent, and marketplace users by 0.3 percent. Across the 34 provinces, growth in the count had almost no link to the share of new sellers (a rank correlation of 0.10, on a scale from −1 to 1). It had only a weak link to growth in the sample (0.35).</w:t>
      </w:r>
    </w:p>
    <w:p>
      <w:pPr>
        <w:pStyle w:val="BodyText"/>
      </w:pPr>
      <w:r>
        <w:t xml:space="preserve">Sampling noise is very unlikely to explain the break. BPS’s published error rates put the usual size of the sampling noise in the national count at about 1.4 percent. The 306 thousand extra sellers are about 4.6 times that noise in the change between the two years. The calculation applies the 2024 edition’s error rates to both years and treats the two surveys as independent.</w:t>
      </w:r>
    </w:p>
    <w:p>
      <w:pPr>
        <w:pStyle w:val="BodyText"/>
      </w:pPr>
      <w:r>
        <w:t xml:space="preserve">Most of the 2023 rise in sales value cannot be traced to what sellers reported. BPS’s figure rose by 41 percent in rupiah, from about US$53 billion to about US$72 billion at each year’s exchange rate. The thesis asks how much of that rise the sellers’ own answers can account for, by giving each kind of seller its typical size in the 2022 file.</w:t>
      </w:r>
    </w:p>
    <w:p>
      <w:pPr>
        <w:pStyle w:val="BodyText"/>
      </w:pPr>
      <w:r>
        <w:t xml:space="preserve">New sellers, sized like those that began in 2022, account for 25 to 30 percent of the rise. The extra earlier sellers, sized like chat and social sellers, account for 15 to 17 percent. The typical seller already online reported no growth (a mean change of about −4 percent, counting each seller once). That leaves 53 to 59 percent with no source in the sellers’ answers. A few large sellers growing fast could account for it, but the files cannot show whether they did.</w:t>
      </w:r>
    </w:p>
    <w:p>
      <w:pPr>
        <w:pStyle w:val="BodyText"/>
      </w:pPr>
      <w:r>
        <w:t xml:space="preserve">H2 holds on the published series, but it sits right on its threshold once the extra count is read as coverage, an exploratory follow-up. H2’s split treats every seller in the count as having entered. Suppose instead that the sellers not explained by entry were reached by wider coverage, and that their sales came with them. With both taken out of the 2023 figures, more businesses account for about 54 percent of the growth if no seller stopped, and about 42 percent if sellers stopped at 5 percent a year. H2 requires more than 50 percent. Taking out the sellers but keeping their sales gives 34 to 47 percent, but that version treats the count and the value unevenly.</w:t>
      </w:r>
    </w:p>
    <w:p>
      <w:pPr>
        <w:pStyle w:val="BodyText"/>
      </w:pPr>
      <w:r>
        <w:t xml:space="preserve">The checks point to a survey that reached more chat and social sellers in 2023, the kind of break that Section 3.5 described. The files cannot separate that reading from sellers returning after a pause. Who the extra sellers were helps decide between the two.</w:t>
      </w:r>
    </w:p>
    <w:bookmarkEnd w:id="65"/>
    <w:bookmarkStart w:id="69" w:name="who-the-extra-sellers-were"/>
    <w:p>
      <w:pPr>
        <w:pStyle w:val="Heading2"/>
      </w:pPr>
      <w:r>
        <w:t xml:space="preserve">5.8 Who the extra sellers were</w:t>
      </w:r>
    </w:p>
    <w:p>
      <w:pPr>
        <w:pStyle w:val="FirstParagraph"/>
      </w:pPr>
      <w:r>
        <w:t xml:space="preserve">The extra count leaned toward long-running businesses, older owners and places outside Java, an exploratory result. A group’s extra count is its 2023 count less its 2022 count grown at the group’s own yearly rate from 2020 to 2022 (Section 4.7). The extra sellers total about 450 thousand, close to the 458 thousand in Table 12. Figure 5 compares each group’s share of the extra count with its share of the 2022 count.</w:t>
      </w:r>
    </w:p>
    <w:p>
      <w:pPr>
        <w:pStyle w:val="BodyText"/>
        <w:keepNext/>
        <w:spacing w:before="200" w:after="0" w:line="240" w:lineRule="auto"/>
        <w:jc w:val="center"/>
      </w:pPr>
      <w:r>
        <w:drawing>
          <wp:inline>
            <wp:extent cx="5400000" cy="2130577"/>
            <wp:effectExtent b="0" l="0" r="0" t="0"/>
            <wp:docPr descr="" title="" id="67" name="Picture"/>
            <a:graphic>
              <a:graphicData uri="http://schemas.openxmlformats.org/drawingml/2006/picture">
                <pic:pic>
                  <pic:nvPicPr>
                    <pic:cNvPr descr="figures/fig5_4_extra_sellers.png" id="68" name="Picture"/>
                    <pic:cNvPicPr>
                      <a:picLocks noChangeArrowheads="1" noChangeAspect="1"/>
                    </pic:cNvPicPr>
                  </pic:nvPicPr>
                  <pic:blipFill>
                    <a:blip r:embed="rId66"/>
                    <a:stretch>
                      <a:fillRect/>
                    </a:stretch>
                  </pic:blipFill>
                  <pic:spPr bwMode="auto">
                    <a:xfrm>
                      <a:off x="0" y="0"/>
                      <a:ext cx="5400000" cy="2130577"/>
                    </a:xfrm>
                    <a:prstGeom prst="rect">
                      <a:avLst/>
                    </a:prstGeom>
                    <a:noFill/>
                    <a:ln w="9525">
                      <a:noFill/>
                      <a:headEnd/>
                      <a:tailEnd/>
                    </a:ln>
                  </pic:spPr>
                </pic:pic>
              </a:graphicData>
            </a:graphic>
          </wp:inline>
        </w:drawing>
      </w:r>
    </w:p>
    <w:p>
      <w:pPr>
        <w:pStyle w:val="FigureCaption"/>
        <w:keepNext/>
      </w:pPr>
      <w:r>
        <w:rPr>
          <w:b/>
        </w:rPr>
        <w:t>Figure 5.</w:t>
      </w:r>
      <w:r>
        <w:rPr>
          <w:b w:val="0"/>
        </w:rPr>
        <w:t xml:space="preserve"> Who the extra sellers were.</w:t>
      </w:r>
    </w:p>
    <w:p>
      <w:pPr>
        <w:pStyle w:val="TableNote"/>
      </w:pPr>
      <w:r>
        <w:t xml:space="preserve">The extra sellers are the 2023 count above what each group’s normal yearly change in 2020 to 2022 would give, about 450 thousand in total. Source: BPS survey files, weighted; author’s calculations. Exploratory.</w:t>
      </w:r>
    </w:p>
    <w:p>
      <w:pPr>
        <w:pStyle w:val="BodyText"/>
      </w:pPr>
      <w:r>
        <w:t xml:space="preserve">The extra count did not lean toward young businesses. A lean toward men in the raw counts disappears once each group’s normal change is taken out. This profile helps test whether the extra sellers were returning after a pause.</w:t>
      </w:r>
    </w:p>
    <w:p>
      <w:pPr>
        <w:pStyle w:val="BodyText"/>
      </w:pPr>
      <w:r>
        <w:t xml:space="preserve">Part-year selling argues against returners. A returning seller would usually sell for only part of the year, unless it restarted in January, yet part-year selling fell in 2023. Among sellers who began by 2021, those selling for part of the year fell from about 470 thousand to about 320 thousand. The same fall appears for the groups that began by 2020 and by 2022.</w:t>
      </w:r>
    </w:p>
    <w:p>
      <w:pPr>
        <w:pStyle w:val="BodyText"/>
      </w:pPr>
      <w:r>
        <w:t xml:space="preserve">The age profile argues against returners as well. Small firms that stop are more often young firms with young owners (McKenzie and Paffhausen 2019). Returners would then make the extra count lean young. It leaned old.</w:t>
      </w:r>
    </w:p>
    <w:p>
      <w:pPr>
        <w:pStyle w:val="BodyText"/>
      </w:pPr>
      <w:r>
        <w:t xml:space="preserve">Returning sellers still cannot be ruled out. Returners equal to 10 to 15 percent of the 2022 count would remove the unexplained part, which is a scenario and not an estimate. The files carry no linked histories, and BPS changed how it asks about months between the rounds. Exits, or a move to full-year selling, could also offset part-year returners. The next two sections turn to where online sellers sell and what records they keep.</w:t>
      </w:r>
    </w:p>
    <w:bookmarkEnd w:id="69"/>
    <w:bookmarkStart w:id="73" w:name="channels-and-records"/>
    <w:p>
      <w:pPr>
        <w:pStyle w:val="Heading2"/>
      </w:pPr>
      <w:r>
        <w:t xml:space="preserve">5.9 Channels and records</w:t>
      </w:r>
    </w:p>
    <w:p>
      <w:pPr>
        <w:pStyle w:val="FirstParagraph"/>
      </w:pPr>
      <w:r>
        <w:t xml:space="preserve">Most online selling happens outside marketplaces, and records are thinner there. The path of marketplace use, the value held by sellers without financial statements and the World Bank results for Indonesia were registered. The comparison within the group that began before 2020 is exploratory.</w:t>
      </w:r>
    </w:p>
    <w:p>
      <w:pPr>
        <w:pStyle w:val="BodyText"/>
      </w:pPr>
      <w:r>
        <w:t xml:space="preserve">Nearly all online sellers, about 96 percent, use chat or social media. Marketplace use fell every time it was measured, from about 22 percent of sellers in 2020 to about 17 percent in 2024. BPS worded the question slightly differently for 2023 and 2024.</w:t>
      </w:r>
    </w:p>
    <w:p>
      <w:pPr>
        <w:pStyle w:val="BodyText"/>
      </w:pPr>
      <w:r>
        <w:t xml:space="preserve">Marketplaces carry only about a fifth of online sales value. The share was 23 to 26 percent in 2022 on the survey files. In BPS’s published figures it was 18 percent in 2023 and 16 percent in 2024.</w:t>
      </w:r>
    </w:p>
    <w:p>
      <w:pPr>
        <w:pStyle w:val="BodyText"/>
      </w:pPr>
      <w:r>
        <w:t xml:space="preserve">Almost all of the recent growth in value came from outside the marketplaces. From 2023 to 2024, BPS’s marketplace value grew by about 1.5 percent and other channels by about 21 percent. BPS’s marketplace category is itself broad: 43 percent of its sellers use only Gojek or Grab, and 47 percent use a shopping marketplace.</w:t>
      </w:r>
    </w:p>
    <w:p>
      <w:pPr>
        <w:pStyle w:val="BodyText"/>
      </w:pPr>
      <w:r>
        <w:t xml:space="preserve">Records are thinner outside the marketplaces. In 2023, about 29 percent of marketplace sellers kept complete financial statements, against about 12 percent of other sellers. Figure 6 shows the share of all sellers who keep them falling. The fall from 2020 to 2022 came while the survey appears to have counted the same kinds of seller. The fall in 2023 may partly reflect the chat-only sellers added to the count.</w:t>
      </w:r>
    </w:p>
    <w:p>
      <w:pPr>
        <w:pStyle w:val="BodyText"/>
        <w:keepNext/>
        <w:spacing w:before="200" w:after="0" w:line="240" w:lineRule="auto"/>
        <w:jc w:val="center"/>
      </w:pPr>
      <w:r>
        <w:drawing>
          <wp:inline>
            <wp:extent cx="5400000" cy="2475737"/>
            <wp:effectExtent b="0" l="0" r="0" t="0"/>
            <wp:docPr descr="" title="" id="71" name="Picture"/>
            <a:graphic>
              <a:graphicData uri="http://schemas.openxmlformats.org/drawingml/2006/picture">
                <pic:pic>
                  <pic:nvPicPr>
                    <pic:cNvPr descr="figures/fig5_5_marketplace_and_records.png" id="72" name="Picture"/>
                    <pic:cNvPicPr>
                      <a:picLocks noChangeArrowheads="1" noChangeAspect="1"/>
                    </pic:cNvPicPr>
                  </pic:nvPicPr>
                  <pic:blipFill>
                    <a:blip r:embed="rId70"/>
                    <a:stretch>
                      <a:fillRect/>
                    </a:stretch>
                  </pic:blipFill>
                  <pic:spPr bwMode="auto">
                    <a:xfrm>
                      <a:off x="0" y="0"/>
                      <a:ext cx="5400000" cy="2475737"/>
                    </a:xfrm>
                    <a:prstGeom prst="rect">
                      <a:avLst/>
                    </a:prstGeom>
                    <a:noFill/>
                    <a:ln w="9525">
                      <a:noFill/>
                      <a:headEnd/>
                      <a:tailEnd/>
                    </a:ln>
                  </pic:spPr>
                </pic:pic>
              </a:graphicData>
            </a:graphic>
          </wp:inline>
        </w:drawing>
      </w:r>
    </w:p>
    <w:p>
      <w:pPr>
        <w:pStyle w:val="FigureCaption"/>
        <w:keepNext/>
      </w:pPr>
      <w:r>
        <w:rPr>
          <w:b/>
        </w:rPr>
        <w:t>Figure 6.</w:t>
      </w:r>
      <w:r>
        <w:rPr>
          <w:b w:val="0"/>
        </w:rPr>
        <w:t xml:space="preserve"> Marketplace use and financial statements, 2020 to 2024.</w:t>
      </w:r>
    </w:p>
    <w:p>
      <w:pPr>
        <w:pStyle w:val="TableNote"/>
      </w:pPr>
      <w:r>
        <w:t xml:space="preserve">Marketplace use for 2020, 2022 and 2023 comes from the survey files and for 2024 from BPS’s published figure. Financial statements come from the survey files. BPS worded the marketplace question slightly differently for 2023 and 2024, and the survey has no point for 2021. Source: BPS; author’s calculations.</w:t>
      </w:r>
    </w:p>
    <w:p>
      <w:pPr>
        <w:pStyle w:val="BodyText"/>
      </w:pPr>
      <w:r>
        <w:t xml:space="preserve">The fall reaches long-running sellers too, an exploratory finding. Among sellers who began before 2020, the share keeping complete statements fell from about 23 percent in 2022 to about 17 percent in 2023.</w:t>
      </w:r>
    </w:p>
    <w:p>
      <w:pPr>
        <w:pStyle w:val="BodyText"/>
      </w:pPr>
      <w:r>
        <w:t xml:space="preserve">Sellers without statements hold far less of the value than of the count. On the bracket scenarios of Section 4.8, they held 26 to 40 percent of online value in 2022, against 79 percent of the count.</w:t>
      </w:r>
    </w:p>
    <w:p>
      <w:pPr>
        <w:pStyle w:val="BodyText"/>
      </w:pPr>
      <w:r>
        <w:t xml:space="preserve">The validation rule asks the total built from the brackets to lie within half and double BPS’s total. The annual reading passes, just inside the limit at about twice BPS’s total, while the monthly reading gives about 23 times. The lower brackets alone exceed BPS’s total, so the shares are ranges.</w:t>
      </w:r>
    </w:p>
    <w:p>
      <w:pPr>
        <w:pStyle w:val="BodyText"/>
      </w:pPr>
      <w:r>
        <w:t xml:space="preserve">One registered prediction on value failed narrowly. It expected the value share of sellers without statements to fall by no more than 5 points between 2020 and 2022. The share fell by 5.8 points on the main version and by 3.3 points on a second version.</w:t>
      </w:r>
    </w:p>
    <w:p>
      <w:pPr>
        <w:pStyle w:val="BodyText"/>
      </w:pPr>
      <w:r>
        <w:t xml:space="preserve">World Bank surveys of Indonesian firms show the same thin records. In six Indonesian cities, 27 percent of unregistered firms use social media with their customers. Among those, 70 percent keep no written records, and their median sales are about US$4,000 a year. A registered prediction that their mean sales would stay below about US$6,600 failed, at about US$7,300.</w:t>
      </w:r>
    </w:p>
    <w:p>
      <w:pPr>
        <w:pStyle w:val="BodyText"/>
      </w:pPr>
      <w:r>
        <w:t xml:space="preserve">Among formal firms, about 40 percent in Indonesia have neither a website nor online tax filing. That is the highest share of seven countries, against about 9 percent in Malaysia and in Thailand, a descriptive comparison.</w:t>
      </w:r>
    </w:p>
    <w:p>
      <w:pPr>
        <w:pStyle w:val="BodyText"/>
      </w:pPr>
      <w:r>
        <w:t xml:space="preserve">The split by channel is the starting point for the third question of Section 2.4, because a rule built on platform records reaches only the marketplace part. Chapter 6 measures that reach. The same split also shows where the national figures disagree, which is the next section.</w:t>
      </w:r>
    </w:p>
    <w:bookmarkEnd w:id="73"/>
    <w:bookmarkStart w:id="74" w:name="why-the-national-figures-disagree"/>
    <w:p>
      <w:pPr>
        <w:pStyle w:val="Heading2"/>
      </w:pPr>
      <w:r>
        <w:t xml:space="preserve">5.10 Why the national figures disagree</w:t>
      </w:r>
    </w:p>
    <w:p>
      <w:pPr>
        <w:pStyle w:val="FirstParagraph"/>
      </w:pPr>
      <w:r>
        <w:t xml:space="preserve">The national figures agree that growth was small only where they cover the same sellers, and they do not agree on scale. In 2023, Bank Indonesia’s e-commerce figure fell by about 5 percent while BPS’s rose by about 41 percent. That is the disagreement Chapter 1 introduced, and the third objective asks what lies behind it.</w:t>
      </w:r>
    </w:p>
    <w:p>
      <w:pPr>
        <w:pStyle w:val="BodyText"/>
      </w:pPr>
      <w:r>
        <w:t xml:space="preserve">Where Bank Indonesia’s figure and BPS’s cover the same ground, the growth is small. From 2022 to 2023, BPS’s own marketplace slice grew by about 0.2 percent in the middle scenario, and by 0.2 to 13 percent across the scenarios. From 2023 to 2024 it grew by about 1.5 percent. Most of the disagreement sits outside the marketplaces, among the sellers that only BPS reaches.</w:t>
      </w:r>
    </w:p>
    <w:p>
      <w:pPr>
        <w:pStyle w:val="BodyText"/>
      </w:pPr>
      <w:r>
        <w:t xml:space="preserve">A registered test on size gives a mixed answer. It predicted that the part of BPS’s marketplace sales that went to final consumers in 2022 would fall below Bank Indonesia’s figure. The prediction holds in the low and middle scenarios, at 0.16 and 0.68 times Bank Indonesia’s figure. It fails in the high one, at 1.62 times.</w:t>
      </w:r>
    </w:p>
    <w:p>
      <w:pPr>
        <w:pStyle w:val="BodyText"/>
      </w:pPr>
      <w:r>
        <w:t xml:space="preserve">In 2024 the figures divide by coverage. Those that cover mainly platforms grew by 5 to 7 percent, and BPS’s grew by about 17 percent. The adjacent figures of Table 7 point the same way as BPS but do not measure Indonesian e-commerce. Parcels shipped in Southeast Asia grew by about 25 percent, and the tax on foreign digital services by about 25 percent.</w:t>
      </w:r>
    </w:p>
    <w:p>
      <w:pPr>
        <w:pStyle w:val="BodyText"/>
      </w:pPr>
      <w:r>
        <w:t xml:space="preserve">Payment figures grew faster than any of these from 2023 to 2024. E-money shopping grew by about 30 percent, mobile-banking purchases by 83 percent and QRIS payments by 187 percent. They are context only, because they include in-person payments and the switch away from cash.</w:t>
      </w:r>
    </w:p>
    <w:p>
      <w:pPr>
        <w:pStyle w:val="BodyText"/>
      </w:pPr>
      <w:r>
        <w:t xml:space="preserve">Levels cannot be reconciled. In 2024, BPS put online sales at about US$81 billion and Bank Indonesia at about US$31 billion.</w:t>
      </w:r>
    </w:p>
    <w:p>
      <w:pPr>
        <w:pStyle w:val="BodyText"/>
      </w:pPr>
      <w:r>
        <w:t xml:space="preserve">In 2023, BPS’s marketplace slice was about US$13 billion, against about US$38 billion for Tokopedia and the Shopee estimate together. In 2024 it was less than a quarter of Momentum Works’ marketplace estimate of about US$57 billion (Setyowati 2025).</w:t>
      </w:r>
    </w:p>
    <w:p>
      <w:pPr>
        <w:pStyle w:val="BodyText"/>
      </w:pPr>
      <w:r>
        <w:t xml:space="preserve">Platform figures and the seller survey count different things. Platform transaction value includes shipping, digital goods, travel and offline sales that a seller survey does not count in the same way. The counts of sellers differ too. Tokopedia alone reported more than 14 million merchants in 2023 (GoTo Gojek Tokopedia 2024b). The survey files put marketplace sellers at about 0.7 million that year, on the author’s calculation.</w:t>
      </w:r>
    </w:p>
    <w:p>
      <w:pPr>
        <w:pStyle w:val="BodyText"/>
      </w:pPr>
      <w:r>
        <w:t xml:space="preserve">Platform commerce does not always keep pace with household spending. In each of the four quarters to mid-2026, GoTo’s on-demand transaction value grew more slowly than household spending. In the last, it grew by 2 percent against 8 percent, while its revenue grew by about 20 percent. Grab’s and Shopee’s figures grew faster, but they cover the region.</w:t>
      </w:r>
    </w:p>
    <w:p>
      <w:pPr>
        <w:pStyle w:val="BodyText"/>
      </w:pPr>
      <w:r>
        <w:t xml:space="preserve">The results answer the research question at two levels. On the inner link, revenue showed a small part of the commerce and stopped being a fair guide when the take rate moved. On the outer link, the 2023 rise in the count of sellers was only partly first-time entry. The figures disagree most where only the survey looks. Chapter 6 turns to the rules that Indonesia is writing.</w:t>
      </w:r>
    </w:p>
    <w:bookmarkEnd w:id="74"/>
    <w:bookmarkEnd w:id="75"/>
    <w:bookmarkStart w:id="82" w:name="Xe0441c9582f81187c78ef6427e0713534e3618d"/>
    <w:p>
      <w:pPr>
        <w:pStyle w:val="Heading1"/>
      </w:pPr>
      <w:r>
        <w:t xml:space="preserve">Chapter 6 Discussion and Policy Implications</w:t>
      </w:r>
    </w:p>
    <w:p>
      <w:pPr>
        <w:pStyle w:val="FirstParagraph"/>
      </w:pPr>
      <w:r>
        <w:t xml:space="preserve">Indonesia’s government is writing rules that act on the figures this thesis measures. In 2026 it capped a ride-hailing commission and limited discounts in online trade. Since October 2026, four marketplaces have collected a tax from their sellers. Platforms must also send data to BPS, and BPS has run a new economic census. Each rule acts on one part of what Chapter 5 measured, and each reaches only that part.</w:t>
      </w:r>
    </w:p>
    <w:p>
      <w:pPr>
        <w:pStyle w:val="BodyText"/>
      </w:pPr>
      <w:r>
        <w:t xml:space="preserve">The marketplace tax is the rule aimed most directly at online sellers. It can collect from at most about 1 in 20 online sellers and about a fifth of online sales value. It also gives the state a record of every seller on the four marketplaces, including those who pay nothing. This chapter measures what each rule can reach, using the data of Chapter 5. What each rule changes can be seen only after it takes effect, and Section 6.5 sets out the predictions that will be scored on those results.</w:t>
      </w:r>
    </w:p>
    <w:bookmarkStart w:id="76" w:name="the-rules-and-what-each-acts-on"/>
    <w:p>
      <w:pPr>
        <w:pStyle w:val="Heading2"/>
      </w:pPr>
      <w:r>
        <w:t xml:space="preserve">6.1 The rules and what each acts on</w:t>
      </w:r>
    </w:p>
    <w:p>
      <w:pPr>
        <w:pStyle w:val="FirstParagraph"/>
      </w:pPr>
      <w:r>
        <w:t xml:space="preserve">The recent rules act on three parts of the figures: the platforms’ take rate, the sales of sellers inside marketplaces, and BPS’s coverage. Table 13 lists each rule with the part it acts on and the section of Chapter 5 that measures that part.</w:t>
      </w:r>
    </w:p>
    <w:p>
      <w:pPr>
        <w:pStyle w:val="TableCaption"/>
      </w:pPr>
      <w:r>
        <w:rPr>
          <w:b/>
        </w:rPr>
        <w:t>Table 13.</w:t>
      </w:r>
      <w:r>
        <w:rPr>
          <w:b w:val="0"/>
        </w:rPr>
        <w:t xml:space="preserve"> Indonesia’s recent rules and what each acts on</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683"/>
        <w:gridCol w:w="2280"/>
        <w:gridCol w:w="1320"/>
        <w:gridCol w:w="940"/>
        <w:gridCol w:w="2280"/>
      </w:tblGrid>
      <w:tr>
        <w:trPr>
          <w:tblHeader w:val="true"/>
          <w:cantSplit/>
          <w:tblHeader/>
        </w:trPr>
        <w:tc>
          <w:tcPr>
            <w:tcW w:w="1683" w:type="dxa"/>
            <w:tcBorders>
              <w:bottom w:val="single" w:sz="5" w:space="0" w:color="000000"/>
            </w:tcBorders>
          </w:tcPr>
          <w:p>
            <w:pPr>
              <w:pStyle w:val="Compact"/>
              <w:keepNext/>
              <w:spacing w:before="0" w:after="0" w:lineRule="exact" w:line="220"/>
              <w:jc w:val="left"/>
            </w:pPr>
            <w:r>
              <w:rPr>
                <w:b/>
                <w:sz w:val="18"/>
              </w:rPr>
              <w:t xml:space="preserve">Rule</w:t>
            </w:r>
          </w:p>
        </w:tc>
        <w:tc>
          <w:tcPr>
            <w:tcW w:w="2280" w:type="dxa"/>
            <w:tcBorders>
              <w:bottom w:val="single" w:sz="5" w:space="0" w:color="000000"/>
            </w:tcBorders>
          </w:tcPr>
          <w:p>
            <w:pPr>
              <w:pStyle w:val="Compact"/>
              <w:keepNext/>
              <w:spacing w:before="0" w:after="0" w:lineRule="exact" w:line="220"/>
              <w:jc w:val="left"/>
            </w:pPr>
            <w:r>
              <w:rPr>
                <w:b/>
                <w:sz w:val="18"/>
              </w:rPr>
              <w:t xml:space="preserve">What it does</w:t>
            </w:r>
          </w:p>
        </w:tc>
        <w:tc>
          <w:tcPr>
            <w:tcW w:w="1320" w:type="dxa"/>
            <w:tcBorders>
              <w:bottom w:val="single" w:sz="5" w:space="0" w:color="000000"/>
            </w:tcBorders>
          </w:tcPr>
          <w:p>
            <w:pPr>
              <w:pStyle w:val="Compact"/>
              <w:keepNext/>
              <w:spacing w:before="0" w:after="0" w:lineRule="exact" w:line="220"/>
              <w:jc w:val="left"/>
            </w:pPr>
            <w:r>
              <w:rPr>
                <w:b/>
                <w:sz w:val="18"/>
              </w:rPr>
              <w:t xml:space="preserve">What it acts on</w:t>
            </w:r>
          </w:p>
        </w:tc>
        <w:tc>
          <w:tcPr>
            <w:tcW w:w="940" w:type="dxa"/>
            <w:tcBorders>
              <w:bottom w:val="single" w:sz="5" w:space="0" w:color="000000"/>
            </w:tcBorders>
          </w:tcPr>
          <w:p>
            <w:pPr>
              <w:pStyle w:val="Compact"/>
              <w:keepNext/>
              <w:spacing w:before="0" w:after="0" w:lineRule="exact" w:line="220"/>
              <w:jc w:val="left"/>
            </w:pPr>
            <w:r>
              <w:rPr>
                <w:b/>
                <w:sz w:val="18"/>
              </w:rPr>
              <w:t xml:space="preserve">Measured in</w:t>
            </w:r>
          </w:p>
        </w:tc>
        <w:tc>
          <w:tcPr>
            <w:tcW w:w="2280" w:type="dxa"/>
            <w:tcBorders>
              <w:bottom w:val="single" w:sz="5" w:space="0" w:color="000000"/>
            </w:tcBorders>
          </w:tcPr>
          <w:p>
            <w:pPr>
              <w:pStyle w:val="Compact"/>
              <w:keepNext/>
              <w:spacing w:before="0" w:after="0" w:lineRule="exact" w:line="220"/>
              <w:jc w:val="left"/>
            </w:pPr>
            <w:r>
              <w:rPr>
                <w:b/>
                <w:sz w:val="18"/>
              </w:rPr>
              <w:t xml:space="preserve">Status of the text</w:t>
            </w:r>
          </w:p>
        </w:tc>
      </w:tr>
      <w:tr>
        <w:trPr>
          <w:cantSplit/>
        </w:trPr>
        <w:tc>
          <w:tcPr>
            <w:tcW w:w="1683" w:type="dxa"/>
          </w:tcPr>
          <w:p>
            <w:pPr>
              <w:pStyle w:val="Compact"/>
              <w:keepNext/>
              <w:spacing w:before="0" w:after="0" w:lineRule="exact" w:line="220"/>
              <w:jc w:val="left"/>
            </w:pPr>
            <w:r>
              <w:rPr>
                <w:sz w:val="18"/>
              </w:rPr>
              <w:t xml:space="preserve">Commission cap (Transport Minister Decree KP-PHB 532/2026; Presidential Regulation 27/2026)</w:t>
            </w:r>
          </w:p>
        </w:tc>
        <w:tc>
          <w:tcPr>
            <w:tcW w:w="2280" w:type="dxa"/>
          </w:tcPr>
          <w:p>
            <w:pPr>
              <w:pStyle w:val="Compact"/>
              <w:keepNext/>
              <w:spacing w:before="0" w:after="0" w:lineRule="exact" w:line="220"/>
              <w:jc w:val="left"/>
            </w:pPr>
            <w:r>
              <w:rPr>
                <w:sz w:val="18"/>
              </w:rPr>
              <w:t xml:space="preserve">Caps the commission on two-wheel passenger trips at 8 percent from 1 July 2026</w:t>
            </w:r>
          </w:p>
        </w:tc>
        <w:tc>
          <w:tcPr>
            <w:tcW w:w="1320" w:type="dxa"/>
          </w:tcPr>
          <w:p>
            <w:pPr>
              <w:pStyle w:val="Compact"/>
              <w:keepNext/>
              <w:spacing w:before="0" w:after="0" w:lineRule="exact" w:line="220"/>
              <w:jc w:val="left"/>
            </w:pPr>
            <w:r>
              <w:rPr>
                <w:sz w:val="18"/>
              </w:rPr>
              <w:t xml:space="preserve">The fee rate, for one service</w:t>
            </w:r>
          </w:p>
        </w:tc>
        <w:tc>
          <w:tcPr>
            <w:tcW w:w="940" w:type="dxa"/>
          </w:tcPr>
          <w:p>
            <w:pPr>
              <w:pStyle w:val="Compact"/>
              <w:keepNext/>
              <w:spacing w:before="0" w:after="0" w:lineRule="exact" w:line="220"/>
              <w:jc w:val="left"/>
            </w:pPr>
            <w:r>
              <w:rPr>
                <w:sz w:val="18"/>
              </w:rPr>
              <w:t xml:space="preserve">5.3</w:t>
            </w:r>
          </w:p>
        </w:tc>
        <w:tc>
          <w:tcPr>
            <w:tcW w:w="2280" w:type="dxa"/>
          </w:tcPr>
          <w:p>
            <w:pPr>
              <w:pStyle w:val="Compact"/>
              <w:keepNext/>
              <w:spacing w:before="0" w:after="0" w:lineRule="exact" w:line="220"/>
              <w:jc w:val="left"/>
            </w:pPr>
            <w:r>
              <w:rPr>
                <w:sz w:val="18"/>
              </w:rPr>
              <w:t xml:space="preserve">Decree in force from July 2026; presidential regulation released 8 October 2026; neither text public when this thesis was written</w:t>
            </w:r>
          </w:p>
        </w:tc>
      </w:tr>
      <w:tr>
        <w:trPr>
          <w:cantSplit/>
        </w:trPr>
        <w:tc>
          <w:tcPr>
            <w:tcW w:w="1683" w:type="dxa"/>
          </w:tcPr>
          <w:p>
            <w:pPr>
              <w:pStyle w:val="Compact"/>
              <w:keepNext/>
              <w:spacing w:before="0" w:after="0" w:lineRule="exact" w:line="220"/>
              <w:jc w:val="left"/>
            </w:pPr>
            <w:r>
              <w:rPr>
                <w:sz w:val="18"/>
              </w:rPr>
              <w:t xml:space="preserve">Discount rule (Trade Minister Regulation 19/2026, Art. 18)</w:t>
            </w:r>
          </w:p>
        </w:tc>
        <w:tc>
          <w:tcPr>
            <w:tcW w:w="2280" w:type="dxa"/>
          </w:tcPr>
          <w:p>
            <w:pPr>
              <w:pStyle w:val="Compact"/>
              <w:keepNext/>
              <w:spacing w:before="0" w:after="0" w:lineRule="exact" w:line="220"/>
              <w:jc w:val="left"/>
            </w:pPr>
            <w:r>
              <w:rPr>
                <w:sz w:val="18"/>
              </w:rPr>
              <w:t xml:space="preserve">Requires every online trade operator, including ride-hailing apps that sell goods, to prevent repeated price subsidies that hurt local products and endless below-cost discounts</w:t>
            </w:r>
          </w:p>
        </w:tc>
        <w:tc>
          <w:tcPr>
            <w:tcW w:w="1320" w:type="dxa"/>
          </w:tcPr>
          <w:p>
            <w:pPr>
              <w:pStyle w:val="Compact"/>
              <w:keepNext/>
              <w:spacing w:before="0" w:after="0" w:lineRule="exact" w:line="220"/>
              <w:jc w:val="left"/>
            </w:pPr>
            <w:r>
              <w:rPr>
                <w:sz w:val="18"/>
              </w:rPr>
              <w:t xml:space="preserve">The incentive rate</w:t>
            </w:r>
          </w:p>
        </w:tc>
        <w:tc>
          <w:tcPr>
            <w:tcW w:w="940" w:type="dxa"/>
          </w:tcPr>
          <w:p>
            <w:pPr>
              <w:pStyle w:val="Compact"/>
              <w:keepNext/>
              <w:spacing w:before="0" w:after="0" w:lineRule="exact" w:line="220"/>
              <w:jc w:val="left"/>
            </w:pPr>
            <w:r>
              <w:rPr>
                <w:sz w:val="18"/>
              </w:rPr>
              <w:t xml:space="preserve">5.3</w:t>
            </w:r>
          </w:p>
        </w:tc>
        <w:tc>
          <w:tcPr>
            <w:tcW w:w="2280" w:type="dxa"/>
          </w:tcPr>
          <w:p>
            <w:pPr>
              <w:pStyle w:val="Compact"/>
              <w:keepNext/>
              <w:spacing w:before="0" w:after="0" w:lineRule="exact" w:line="220"/>
              <w:jc w:val="left"/>
            </w:pPr>
            <w:r>
              <w:rPr>
                <w:sz w:val="18"/>
              </w:rPr>
              <w:t xml:space="preserve">Primary text read</w:t>
            </w:r>
          </w:p>
        </w:tc>
      </w:tr>
      <w:tr>
        <w:trPr>
          <w:cantSplit/>
        </w:trPr>
        <w:tc>
          <w:tcPr>
            <w:tcW w:w="1683" w:type="dxa"/>
          </w:tcPr>
          <w:p>
            <w:pPr>
              <w:pStyle w:val="Compact"/>
              <w:keepNext/>
              <w:spacing w:before="0" w:after="0" w:lineRule="exact" w:line="220"/>
              <w:jc w:val="left"/>
            </w:pPr>
            <w:r>
              <w:rPr>
                <w:sz w:val="18"/>
              </w:rPr>
              <w:t xml:space="preserve">Marketplace tax (Finance Minister Regulation 37/2025)</w:t>
            </w:r>
          </w:p>
        </w:tc>
        <w:tc>
          <w:tcPr>
            <w:tcW w:w="2280" w:type="dxa"/>
          </w:tcPr>
          <w:p>
            <w:pPr>
              <w:pStyle w:val="Compact"/>
              <w:keepNext/>
              <w:spacing w:before="0" w:after="0" w:lineRule="exact" w:line="220"/>
              <w:jc w:val="left"/>
            </w:pPr>
            <w:r>
              <w:rPr>
                <w:sz w:val="18"/>
              </w:rPr>
              <w:t xml:space="preserve">Designated marketplaces collect 0.5 percent of domestic sellers’ gross sales; individuals with sales up to Rp500 million a year are exempt; every seller gives a tax number or national ID</w:t>
            </w:r>
          </w:p>
        </w:tc>
        <w:tc>
          <w:tcPr>
            <w:tcW w:w="1320" w:type="dxa"/>
          </w:tcPr>
          <w:p>
            <w:pPr>
              <w:pStyle w:val="Compact"/>
              <w:keepNext/>
              <w:spacing w:before="0" w:after="0" w:lineRule="exact" w:line="220"/>
              <w:jc w:val="left"/>
            </w:pPr>
            <w:r>
              <w:rPr>
                <w:sz w:val="18"/>
              </w:rPr>
              <w:t xml:space="preserve">Sellers’ sales inside marketplaces</w:t>
            </w:r>
          </w:p>
        </w:tc>
        <w:tc>
          <w:tcPr>
            <w:tcW w:w="940" w:type="dxa"/>
          </w:tcPr>
          <w:p>
            <w:pPr>
              <w:pStyle w:val="Compact"/>
              <w:keepNext/>
              <w:spacing w:before="0" w:after="0" w:lineRule="exact" w:line="220"/>
              <w:jc w:val="left"/>
            </w:pPr>
            <w:r>
              <w:rPr>
                <w:sz w:val="18"/>
              </w:rPr>
              <w:t xml:space="preserve">5.9</w:t>
            </w:r>
          </w:p>
        </w:tc>
        <w:tc>
          <w:tcPr>
            <w:tcW w:w="2280" w:type="dxa"/>
          </w:tcPr>
          <w:p>
            <w:pPr>
              <w:pStyle w:val="Compact"/>
              <w:keepNext/>
              <w:spacing w:before="0" w:after="0" w:lineRule="exact" w:line="220"/>
              <w:jc w:val="left"/>
            </w:pPr>
            <w:r>
              <w:rPr>
                <w:sz w:val="18"/>
              </w:rPr>
              <w:t xml:space="preserve">Primary text read; collected by Shopee, Tokopedia, Lazada and Blibli since 1 October 2026</w:t>
            </w:r>
          </w:p>
        </w:tc>
      </w:tr>
      <w:tr>
        <w:trPr>
          <w:cantSplit/>
        </w:trPr>
        <w:tc>
          <w:tcPr>
            <w:tcW w:w="1683" w:type="dxa"/>
          </w:tcPr>
          <w:p>
            <w:pPr>
              <w:pStyle w:val="Compact"/>
              <w:keepNext/>
              <w:spacing w:before="0" w:after="0" w:lineRule="exact" w:line="220"/>
              <w:jc w:val="left"/>
            </w:pPr>
            <w:r>
              <w:rPr>
                <w:sz w:val="18"/>
              </w:rPr>
              <w:t xml:space="preserve">Small-business final tax (Government Regulation 20/2026)</w:t>
            </w:r>
          </w:p>
        </w:tc>
        <w:tc>
          <w:tcPr>
            <w:tcW w:w="2280" w:type="dxa"/>
          </w:tcPr>
          <w:p>
            <w:pPr>
              <w:pStyle w:val="Compact"/>
              <w:keepNext/>
              <w:spacing w:before="0" w:after="0" w:lineRule="exact" w:line="220"/>
              <w:jc w:val="left"/>
            </w:pPr>
            <w:r>
              <w:rPr>
                <w:sz w:val="18"/>
              </w:rPr>
              <w:t xml:space="preserve">Keeps a 0.5 percent final tax on turnover up to Rp4.8 billion a year; excludes content creators</w:t>
            </w:r>
          </w:p>
        </w:tc>
        <w:tc>
          <w:tcPr>
            <w:tcW w:w="1320" w:type="dxa"/>
          </w:tcPr>
          <w:p>
            <w:pPr>
              <w:pStyle w:val="Compact"/>
              <w:keepNext/>
              <w:spacing w:before="0" w:after="0" w:lineRule="exact" w:line="220"/>
              <w:jc w:val="left"/>
            </w:pPr>
            <w:r>
              <w:rPr>
                <w:sz w:val="18"/>
              </w:rPr>
              <w:t xml:space="preserve">Small sellers in every channel</w:t>
            </w:r>
          </w:p>
        </w:tc>
        <w:tc>
          <w:tcPr>
            <w:tcW w:w="940" w:type="dxa"/>
          </w:tcPr>
          <w:p>
            <w:pPr>
              <w:pStyle w:val="Compact"/>
              <w:keepNext/>
              <w:spacing w:before="0" w:after="0" w:lineRule="exact" w:line="220"/>
              <w:jc w:val="left"/>
            </w:pPr>
            <w:r>
              <w:rPr>
                <w:sz w:val="18"/>
              </w:rPr>
              <w:t xml:space="preserve">Not measured</w:t>
            </w:r>
          </w:p>
        </w:tc>
        <w:tc>
          <w:tcPr>
            <w:tcW w:w="2280" w:type="dxa"/>
          </w:tcPr>
          <w:p>
            <w:pPr>
              <w:pStyle w:val="Compact"/>
              <w:keepNext/>
              <w:spacing w:before="0" w:after="0" w:lineRule="exact" w:line="220"/>
              <w:jc w:val="left"/>
            </w:pPr>
            <w:r>
              <w:rPr>
                <w:sz w:val="18"/>
              </w:rPr>
              <w:t xml:space="preserve">Primary text read</w:t>
            </w:r>
          </w:p>
        </w:tc>
      </w:tr>
      <w:tr>
        <w:trPr>
          <w:cantSplit/>
        </w:trPr>
        <w:tc>
          <w:tcPr>
            <w:tcW w:w="1683" w:type="dxa"/>
          </w:tcPr>
          <w:p>
            <w:pPr>
              <w:pStyle w:val="Compact"/>
              <w:keepNext/>
              <w:spacing w:before="0" w:after="0" w:lineRule="exact" w:line="220"/>
              <w:jc w:val="left"/>
            </w:pPr>
            <w:r>
              <w:rPr>
                <w:sz w:val="18"/>
              </w:rPr>
              <w:t xml:space="preserve">Platform data to BPS (BPS Regulation 4/2023)</w:t>
            </w:r>
          </w:p>
        </w:tc>
        <w:tc>
          <w:tcPr>
            <w:tcW w:w="2280" w:type="dxa"/>
          </w:tcPr>
          <w:p>
            <w:pPr>
              <w:pStyle w:val="Compact"/>
              <w:keepNext/>
              <w:spacing w:before="0" w:after="0" w:lineRule="exact" w:line="220"/>
              <w:jc w:val="left"/>
            </w:pPr>
            <w:r>
              <w:rPr>
                <w:sz w:val="18"/>
              </w:rPr>
              <w:t xml:space="preserve">E-commerce operators must send BPS their revenue, transactions and numbers of sellers and buyers, with sanctions</w:t>
            </w:r>
          </w:p>
        </w:tc>
        <w:tc>
          <w:tcPr>
            <w:tcW w:w="1320" w:type="dxa"/>
          </w:tcPr>
          <w:p>
            <w:pPr>
              <w:pStyle w:val="Compact"/>
              <w:keepNext/>
              <w:spacing w:before="0" w:after="0" w:lineRule="exact" w:line="220"/>
              <w:jc w:val="left"/>
            </w:pPr>
            <w:r>
              <w:rPr>
                <w:sz w:val="18"/>
              </w:rPr>
              <w:t xml:space="preserve">BPS’s coverage</w:t>
            </w:r>
          </w:p>
        </w:tc>
        <w:tc>
          <w:tcPr>
            <w:tcW w:w="940" w:type="dxa"/>
          </w:tcPr>
          <w:p>
            <w:pPr>
              <w:pStyle w:val="Compact"/>
              <w:keepNext/>
              <w:spacing w:before="0" w:after="0" w:lineRule="exact" w:line="220"/>
              <w:jc w:val="left"/>
            </w:pPr>
            <w:r>
              <w:rPr>
                <w:sz w:val="18"/>
              </w:rPr>
              <w:t xml:space="preserve">5.10</w:t>
            </w:r>
          </w:p>
        </w:tc>
        <w:tc>
          <w:tcPr>
            <w:tcW w:w="2280" w:type="dxa"/>
          </w:tcPr>
          <w:p>
            <w:pPr>
              <w:pStyle w:val="Compact"/>
              <w:keepNext/>
              <w:spacing w:before="0" w:after="0" w:lineRule="exact" w:line="220"/>
              <w:jc w:val="left"/>
            </w:pPr>
            <w:r>
              <w:rPr>
                <w:sz w:val="18"/>
              </w:rPr>
              <w:t xml:space="preserve">Primary text read</w:t>
            </w:r>
          </w:p>
        </w:tc>
      </w:tr>
      <w:tr>
        <w:trPr>
          <w:cantSplit/>
        </w:trPr>
        <w:tc>
          <w:tcPr>
            <w:tcW w:w="1683" w:type="dxa"/>
          </w:tcPr>
          <w:p>
            <w:pPr>
              <w:pStyle w:val="Compact"/>
              <w:keepNext/>
              <w:spacing w:before="0" w:after="0" w:lineRule="exact" w:line="220"/>
              <w:jc w:val="left"/>
            </w:pPr>
            <w:r>
              <w:rPr>
                <w:sz w:val="18"/>
              </w:rPr>
              <w:t xml:space="preserve">Economic census 2026</w:t>
            </w:r>
          </w:p>
        </w:tc>
        <w:tc>
          <w:tcPr>
            <w:tcW w:w="2280" w:type="dxa"/>
          </w:tcPr>
          <w:p>
            <w:pPr>
              <w:pStyle w:val="Compact"/>
              <w:keepNext/>
              <w:spacing w:before="0" w:after="0" w:lineRule="exact" w:line="220"/>
              <w:jc w:val="left"/>
            </w:pPr>
            <w:r>
              <w:rPr>
                <w:sz w:val="18"/>
              </w:rPr>
              <w:t xml:space="preserve">Door-to-door count of all businesses, including online selling, affiliates and influencers</w:t>
            </w:r>
          </w:p>
        </w:tc>
        <w:tc>
          <w:tcPr>
            <w:tcW w:w="1320" w:type="dxa"/>
          </w:tcPr>
          <w:p>
            <w:pPr>
              <w:pStyle w:val="Compact"/>
              <w:keepNext/>
              <w:spacing w:before="0" w:after="0" w:lineRule="exact" w:line="220"/>
              <w:jc w:val="left"/>
            </w:pPr>
            <w:r>
              <w:rPr>
                <w:sz w:val="18"/>
              </w:rPr>
              <w:t xml:space="preserve">BPS’s sampling frame</w:t>
            </w:r>
          </w:p>
        </w:tc>
        <w:tc>
          <w:tcPr>
            <w:tcW w:w="940" w:type="dxa"/>
          </w:tcPr>
          <w:p>
            <w:pPr>
              <w:pStyle w:val="Compact"/>
              <w:keepNext/>
              <w:spacing w:before="0" w:after="0" w:lineRule="exact" w:line="220"/>
              <w:jc w:val="left"/>
            </w:pPr>
            <w:r>
              <w:rPr>
                <w:sz w:val="18"/>
              </w:rPr>
              <w:t xml:space="preserve">5.7</w:t>
            </w:r>
          </w:p>
        </w:tc>
        <w:tc>
          <w:tcPr>
            <w:tcW w:w="2280" w:type="dxa"/>
          </w:tcPr>
          <w:p>
            <w:pPr>
              <w:pStyle w:val="Compact"/>
              <w:keepNext/>
              <w:spacing w:before="0" w:after="0" w:lineRule="exact" w:line="220"/>
              <w:jc w:val="left"/>
            </w:pPr>
            <w:r>
              <w:rPr>
                <w:sz w:val="18"/>
              </w:rPr>
              <w:t xml:space="preserve">News reports; results not yet released</w:t>
            </w:r>
          </w:p>
        </w:tc>
      </w:tr>
      <w:tr>
        <w:trPr>
          <w:cantSplit/>
        </w:trPr>
        <w:tc>
          <w:tcPr>
            <w:tcW w:w="1683" w:type="dxa"/>
          </w:tcPr>
          <w:p>
            <w:pPr>
              <w:pStyle w:val="Compact"/>
              <w:spacing w:before="0" w:after="0" w:lineRule="exact" w:line="220"/>
              <w:jc w:val="left"/>
            </w:pPr>
            <w:r>
              <w:rPr>
                <w:sz w:val="18"/>
              </w:rPr>
              <w:t xml:space="preserve">Ban on payments on social media (Trade Minister Regulation 31/2023, carried into Regulation 19/2026)</w:t>
            </w:r>
          </w:p>
        </w:tc>
        <w:tc>
          <w:tcPr>
            <w:tcW w:w="2280" w:type="dxa"/>
          </w:tcPr>
          <w:p>
            <w:pPr>
              <w:pStyle w:val="Compact"/>
              <w:spacing w:before="0" w:after="0" w:lineRule="exact" w:line="220"/>
              <w:jc w:val="left"/>
            </w:pPr>
            <w:r>
              <w:rPr>
                <w:sz w:val="18"/>
              </w:rPr>
              <w:t xml:space="preserve">Bars social media platforms from handling payments for sales</w:t>
            </w:r>
          </w:p>
        </w:tc>
        <w:tc>
          <w:tcPr>
            <w:tcW w:w="1320" w:type="dxa"/>
          </w:tcPr>
          <w:p>
            <w:pPr>
              <w:pStyle w:val="Compact"/>
              <w:spacing w:before="0" w:after="0" w:lineRule="exact" w:line="220"/>
              <w:jc w:val="left"/>
            </w:pPr>
            <w:r>
              <w:rPr>
                <w:sz w:val="18"/>
              </w:rPr>
              <w:t xml:space="preserve">Where online sales are paid</w:t>
            </w:r>
          </w:p>
        </w:tc>
        <w:tc>
          <w:tcPr>
            <w:tcW w:w="940" w:type="dxa"/>
          </w:tcPr>
          <w:p>
            <w:pPr>
              <w:pStyle w:val="Compact"/>
              <w:spacing w:before="0" w:after="0" w:lineRule="exact" w:line="220"/>
              <w:jc w:val="left"/>
            </w:pPr>
            <w:r>
              <w:rPr>
                <w:sz w:val="18"/>
              </w:rPr>
              <w:t xml:space="preserve">5.9</w:t>
            </w:r>
          </w:p>
        </w:tc>
        <w:tc>
          <w:tcPr>
            <w:tcW w:w="2280" w:type="dxa"/>
          </w:tcPr>
          <w:p>
            <w:pPr>
              <w:pStyle w:val="Compact"/>
              <w:spacing w:before="0" w:after="0" w:lineRule="exact" w:line="220"/>
              <w:jc w:val="left"/>
            </w:pPr>
            <w:r>
              <w:rPr>
                <w:sz w:val="18"/>
              </w:rPr>
              <w:t xml:space="preserve">Primary text read</w:t>
            </w:r>
          </w:p>
        </w:tc>
      </w:tr>
    </w:tbl>
    <w:p>
      <w:pPr>
        <w:pStyle w:val="TableNote"/>
      </w:pPr>
      <w:r>
        <w:rPr>
          <w:iCs/>
          <w:i/>
        </w:rPr>
        <w:t xml:space="preserve">Note:</w:t>
      </w:r>
      <w:r>
        <w:t xml:space="preserve"> </w:t>
      </w:r>
      <w:r>
        <w:t xml:space="preserve">At the 2024 rate, Rp500 million is about US$32,000 and Rp4.8 billion about US$300,000. Section 4.8 converts the exemption at the 2022 rate, about US$34,000, to match the survey year. Sources: the legal texts (BPS-Statistics Indonesia 2023; Government of the Republic of Indonesia 2026; Ministry of Finance of the Republic of Indonesia 2025; Ministry of Trade of the Republic of Indonesia 2023, 2026). The texts behind the commission cap were not public; its terms come from GoTo Gojek Tokopedia (2026) and CNN Indonesia (2026b).</w:t>
      </w:r>
    </w:p>
    <w:p>
      <w:pPr>
        <w:pStyle w:val="BodyText"/>
      </w:pPr>
      <w:r>
        <w:t xml:space="preserve">Equation (6) shows where the first two rules act. The take rate is the fee rate less the incentive rate. A cap on a fee pushes the take rate down. A limit on incentives pushes it up. The two rules act on opposite sides of the same take rate.</w:t>
      </w:r>
    </w:p>
    <w:p>
      <w:pPr>
        <w:pStyle w:val="BodyText"/>
      </w:pPr>
      <w:r>
        <w:t xml:space="preserve">The marketplace tax acts further out, on the sales of sellers inside marketplaces. It leaves the take rate alone, but it depends on the marketplaces’ records of each sale. The platform-data rule and the census act on the national figure: the first on what BPS receives, the second on where BPS looks.</w:t>
      </w:r>
    </w:p>
    <w:p>
      <w:pPr>
        <w:pStyle w:val="BodyText"/>
      </w:pPr>
      <w:r>
        <w:t xml:space="preserve">Two rules serve as context. The first is the 2023 ban on payments on social media, the step Chapter 1 described. Selling through chat and social media remained the norm, and in 2023 about 96 percent of online sellers used them. The second is the small-business tax, which applies in every channel. The survey files cannot identify the content creators it excludes, so the thesis does not measure its reach.</w:t>
      </w:r>
    </w:p>
    <w:p>
      <w:pPr>
        <w:pStyle w:val="BodyText"/>
      </w:pPr>
      <w:r>
        <w:t xml:space="preserve">The sections that follow take the other rules in the order of Figure 1, from the take rate outward.</w:t>
      </w:r>
    </w:p>
    <w:bookmarkEnd w:id="76"/>
    <w:bookmarkStart w:id="77" w:name="X28b7fd3199e423b82cfc8b23ae379c54a934281"/>
    <w:p>
      <w:pPr>
        <w:pStyle w:val="Heading2"/>
      </w:pPr>
      <w:r>
        <w:t xml:space="preserve">6.2 What the commission cap and the discount rule can move</w:t>
      </w:r>
    </w:p>
    <w:p>
      <w:pPr>
        <w:pStyle w:val="FirstParagraph"/>
      </w:pPr>
      <w:r>
        <w:t xml:space="preserve">The commission cap reaches a small part of the take rates this thesis measures. It followed protests by ride-hailing drivers, who since 2025 had asked that platforms keep at most 10 percent of each fare, down from 20 (Ronal 2025). From July 2026, a platform may keep at most 8 percent of the fare on a two-wheel ride. The cap does not cover car rides, food delivery or marketplaces. The presidential regulation released in October 2026 asks another ministry to set delivery fees by the end of the year.</w:t>
      </w:r>
    </w:p>
    <w:p>
      <w:pPr>
        <w:pStyle w:val="BodyText"/>
      </w:pPr>
      <w:r>
        <w:t xml:space="preserve">The trips under the cap are a small share of each company’s business. At GoTo, the two-wheel ride service brings about 7 percent of group net revenue (GoTo Gojek Tokopedia 2026). At Grab, two-wheel rides in Indonesia are about 6 percent of the transaction value of its rides business across the region (Grab Holdings Limited 2026). That is about 2 percent of Grab’s on-demand transaction value. Both companies report rides and deliveries as one on-demand take rate, so the cap acts on a slice of the figure Chapter 5 measured.</w:t>
      </w:r>
    </w:p>
    <w:p>
      <w:pPr>
        <w:pStyle w:val="BodyText"/>
      </w:pPr>
      <w:r>
        <w:t xml:space="preserve">The arithmetic of the cap shows how small that slice is. At Grab, the cut from 20 to 8 percent applies to trips worth about 2 percent of on-demand transaction value. If nothing else changes, it lowers the on-demand take rate by at most about a quarter of a point. Grab’s on-demand take rate was about 13 percent in the second quarter of 2026. At GoTo, where two-wheel rides weigh more, the same arithmetic gives at most about 1.4 points on a take rate of about 22 percent. GoTo’s own cost estimate implies about 0.9 points. In both cases the wedge grows by the same amount. The cap moves money from the platform’s revenue to the drivers’ fares, inside the same transaction value.</w:t>
      </w:r>
    </w:p>
    <w:p>
      <w:pPr>
        <w:pStyle w:val="BodyText"/>
      </w:pPr>
      <w:r>
        <w:t xml:space="preserve">Drivers asked for the cap, and the President announced the limit at a May Day rally in 2026, saying the cut</w:t>
      </w:r>
      <w:r>
        <w:t xml:space="preserve"> </w:t>
      </w:r>
      <w:r>
        <w:t xml:space="preserve">“</w:t>
      </w:r>
      <w:r>
        <w:t xml:space="preserve">must be below 10 percent</w:t>
      </w:r>
      <w:r>
        <w:t xml:space="preserve">”</w:t>
      </w:r>
      <w:r>
        <w:t xml:space="preserve"> </w:t>
      </w:r>
      <w:r>
        <w:t xml:space="preserve">(CNN Indonesia 2026b). The platforms lose part of the commission unless they recover it elsewhere, for example by cutting incentives. The cap brings the state no revenue; its tax on online sellers works through the marketplaces instead (Section 6.3).</w:t>
      </w:r>
    </w:p>
    <w:p>
      <w:pPr>
        <w:pStyle w:val="BodyText"/>
      </w:pPr>
      <w:r>
        <w:t xml:space="preserve">A cap on one fee does not fix the take rate, because the platform still sets its incentives. At GoTo, on-demand revenue rose by about 20 percent in the second quarter of 2026 while transaction value grew by 2 percent. The company attributed the rise to its mix of services and to</w:t>
      </w:r>
      <w:r>
        <w:t xml:space="preserve"> </w:t>
      </w:r>
      <w:r>
        <w:t xml:space="preserve">“</w:t>
      </w:r>
      <w:r>
        <w:t xml:space="preserve">rationalization of incentives as we prepared for the implementation of the 8% commission rate</w:t>
      </w:r>
      <w:r>
        <w:t xml:space="preserve">”</w:t>
      </w:r>
      <w:r>
        <w:t xml:space="preserve"> </w:t>
      </w:r>
      <w:r>
        <w:t xml:space="preserve">(GoTo Gojek Tokopedia 2026). Its take rate rose to about 22 percent in that quarter, the last before the cap, from about 18 percent a year earlier.</w:t>
      </w:r>
    </w:p>
    <w:p>
      <w:pPr>
        <w:pStyle w:val="BodyText"/>
      </w:pPr>
      <w:r>
        <w:t xml:space="preserve">The discount rule acts on the lever that moved take rates most often. Lower incentives were the larger part of the rise in the take rate in four of the seven windows of Table 11. The rule binds every online trade operator, including ride-hailing apps that sell food or goods. Whether it reaches ride fares, which the transport ministry sets, is unclear.</w:t>
      </w:r>
    </w:p>
    <w:p>
      <w:pPr>
        <w:pStyle w:val="BodyText"/>
      </w:pPr>
      <w:r>
        <w:t xml:space="preserve">Where incentives can be followed over time, much of that lever had been pulled before the rule came. Tokopedia, the only marketplace that reported its incentives, cut them by about a third in 2023, its last full year of separate reporting. At GoTo’s on-demand business, incentives fell from about 11 percent of transaction value in 2023 to about 4 percent in 2025. Grab still spent about 10 percent of on-demand transaction value on incentives in the four quarters to early 2026, across the region. The thesis did not register a test of the discount rule, because its effect on the take rate cannot be told apart from changes in fees.</w:t>
      </w:r>
    </w:p>
    <w:p>
      <w:pPr>
        <w:pStyle w:val="BodyText"/>
      </w:pPr>
      <w:r>
        <w:t xml:space="preserve">Marketplace fees moved the other way. Shopee, Tokopedia and TikTok Shop added a fixed fee to every order in mid-2025 (Islamiati 2025). In 2026, Shopee and TikTok Shop, which took over Tokopedia in 2024, raised their seller fees again (CNN Indonesia 2026a; Setyowati 2026). The government declined to cap these fees. It later required marketplaces to halve the service fee for small sellers of local products (Ayudiana 2026). The rules on the take rate cap one fee on one ride-hailing service and leave the largest marketplace fees free. What the companies’ take rates did after the cap is the subject of the predictions in Section 6.5.</w:t>
      </w:r>
    </w:p>
    <w:bookmarkEnd w:id="77"/>
    <w:bookmarkStart w:id="78" w:name="how-far-the-marketplace-tax-reaches"/>
    <w:p>
      <w:pPr>
        <w:pStyle w:val="Heading2"/>
      </w:pPr>
      <w:r>
        <w:t xml:space="preserve">6.3 How far the marketplace tax reaches</w:t>
      </w:r>
    </w:p>
    <w:p>
      <w:pPr>
        <w:pStyle w:val="FirstParagraph"/>
      </w:pPr>
      <w:r>
        <w:t xml:space="preserve">The marketplace tax can collect from few online sellers, but it gives the state a record of every seller on the four marketplaces that collect it. These marketplaces collect 0.5 percent of each domestic seller’s gross sales and pass it to the tax office. Individual sellers with sales up to about US$34,000 a year are exempt (Section 4.8). Collection started in October 2026 through Shopee, Tokopedia, Lazada and Blibli (Directorate General of Taxes 2026c). It had begun once in August 2026, then stopped, and the tax collected was returned (Directorate General of Taxes 2026a, 2026b).</w:t>
      </w:r>
    </w:p>
    <w:p>
      <w:pPr>
        <w:pStyle w:val="BodyText"/>
      </w:pPr>
      <w:r>
        <w:t xml:space="preserve">At most about 1 in 20 online sellers falls under the tax. In 2022, marketplace sellers with sales above BPS’s bracket line of about US$20,000 a year were about 5 percent of all online sellers. The exemption sits higher, at about US$34,000, so the true share is smaller.</w:t>
      </w:r>
    </w:p>
    <w:p>
      <w:pPr>
        <w:pStyle w:val="BodyText"/>
      </w:pPr>
      <w:r>
        <w:t xml:space="preserve">The value the tax reaches is larger, but it is still a minority of online sales. Marketplaces carried 23 to 26 percent of online sales value in 2022, and sellers above the bracket line held 77 to 94 percent of that. So the tax reaches at most about 18 to 24 percent of online sales value, about a fifth. Both figures use BPS’s marketplace category, which also counts food and ride apps. Those apps are not among the four collectors, so both figures are upper limits for a second reason.</w:t>
      </w:r>
    </w:p>
    <w:p>
      <w:pPr>
        <w:pStyle w:val="BodyText"/>
      </w:pPr>
      <w:r>
        <w:t xml:space="preserve">The record reaches further than the tax. Every domestic seller on a designated marketplace must give the marketplace a tax number or national ID and an address before being paid. Exempt sellers file a statement as well. Tax research finds that records held by a third party improve compliance where they exist (Section 2.3).</w:t>
      </w:r>
    </w:p>
    <w:p>
      <w:pPr>
        <w:pStyle w:val="BodyText"/>
      </w:pPr>
      <w:r>
        <w:t xml:space="preserve">The record still covers a minority of sellers. Marketplace sellers were about 18 percent of online sellers in 2023. Only 47 percent of them used a shopping marketplace, and most of the rest sold only through Gojek or Grab. So the record covers at most about 8 percent of online sellers, including the many who pay nothing.</w:t>
      </w:r>
    </w:p>
    <w:p>
      <w:pPr>
        <w:pStyle w:val="BodyText"/>
      </w:pPr>
      <w:r>
        <w:t xml:space="preserve">The tax leaves most sellers where they were. Sellers off the marketplaces sell through chat, social media or their own websites, and they keep complete financial statements less often (Section 5.9). Few of them plan to move. In the survey for 2023, about 13 percent of sellers off the marketplaces wanted to join one.</w:t>
      </w:r>
    </w:p>
    <w:p>
      <w:pPr>
        <w:pStyle w:val="BodyText"/>
      </w:pPr>
      <w:r>
        <w:t xml:space="preserve">The revenue at stake is small. At 0.5 percent, the tax would raise about US$60 million a year on BPS’s marketplace sales for 2024, before exemptions. On e-Conomy’s estimate of e-commerce transaction value, about five times larger, it would raise about US$300 million. Even the larger amount is about 0.2 percent of the government’s tax target for 2026.</w:t>
      </w:r>
    </w:p>
    <w:p>
      <w:pPr>
        <w:pStyle w:val="BodyText"/>
      </w:pPr>
      <w:r>
        <w:t xml:space="preserve">The tax matters more for the record it creates than for the revenue it raises. Whether sellers move away from the four marketplaces now that collection has started will be known only from later data.</w:t>
      </w:r>
    </w:p>
    <w:bookmarkEnd w:id="78"/>
    <w:bookmarkStart w:id="79" w:name="what-the-statistics-rules-can-change"/>
    <w:p>
      <w:pPr>
        <w:pStyle w:val="Heading2"/>
      </w:pPr>
      <w:r>
        <w:t xml:space="preserve">6.4 What the statistics rules can change</w:t>
      </w:r>
    </w:p>
    <w:p>
      <w:pPr>
        <w:pStyle w:val="FirstParagraph"/>
      </w:pPr>
      <w:r>
        <w:t xml:space="preserve">The rules on statistics act on the outer link, where the national figures disagreed in 2023. Since 2023, e-commerce operators must send BPS their revenue, transactions and numbers of sellers and buyers. Operators that do not comply face sanctions. By late 2024, 61 operators had sent data and 75 registered operators had not (Risalah 2024). BPS’s publication for 2024 describes its figures as survey-based and does not mention the platform data.</w:t>
      </w:r>
    </w:p>
    <w:p>
      <w:pPr>
        <w:pStyle w:val="BodyText"/>
      </w:pPr>
      <w:r>
        <w:t xml:space="preserve">Full compliance would still leave most online selling to the survey. Platform data describe the marketplace slice, which holds about a fifth of online sales value and under a fifth of sellers (Section 5.9). The chat and social sellers, where the national figures disagree (Section 5.10), would still be counted only by BPS’s survey.</w:t>
      </w:r>
    </w:p>
    <w:p>
      <w:pPr>
        <w:pStyle w:val="BodyText"/>
      </w:pPr>
      <w:r>
        <w:t xml:space="preserve">The economic census of 2026 acts on where the survey looks. BPS’s e-commerce survey draws its areas from the economic census of 2016. The 2026 census visited homes and businesses from June to August 2026. It asked about online selling and counted affiliates and influencers. Its results had not been released when this thesis was written.</w:t>
      </w:r>
    </w:p>
    <w:p>
      <w:pPr>
        <w:pStyle w:val="BodyText"/>
      </w:pPr>
      <w:r>
        <w:t xml:space="preserve">A new frame can move the count of sellers without any change in selling. About half of the 2023 rise was not explained by first-time entry (Section 5.7). When BPS adopts a frame from the 2026 census, counts on either side of the change will need the same care. The entry test of Section 3.5 can be repeated on the first survey that uses the new frame.</w:t>
      </w:r>
    </w:p>
    <w:bookmarkEnd w:id="79"/>
    <w:bookmarkStart w:id="80" w:name="what-the-registered-predictions-test"/>
    <w:p>
      <w:pPr>
        <w:pStyle w:val="Heading2"/>
      </w:pPr>
      <w:r>
        <w:t xml:space="preserve">6.5 What the registered predictions test</w:t>
      </w:r>
    </w:p>
    <w:p>
      <w:pPr>
        <w:pStyle w:val="FirstParagraph"/>
      </w:pPr>
      <w:r>
        <w:t xml:space="preserve">Nine predictions on the rules and on what they act on were registered before any result for the third quarter of 2026 existed. Eight concern the third-quarter results of GoTo, Grab and Sea. Six of them concern the commission cap, one marketplace fees and one buying through platforms. The ninth concerns BPS’s next figure for the marketplace share. Table 14 lists them with the date each is scored.</w:t>
      </w:r>
    </w:p>
    <w:p>
      <w:pPr>
        <w:pStyle w:val="TableCaption"/>
      </w:pPr>
      <w:r>
        <w:rPr>
          <w:b/>
        </w:rPr>
        <w:t>Table 14.</w:t>
      </w:r>
      <w:r>
        <w:rPr>
          <w:b w:val="0"/>
        </w:rPr>
        <w:t xml:space="preserve"> Registered predictions on the 2026 rules</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225"/>
        <w:gridCol w:w="3688"/>
        <w:gridCol w:w="2271"/>
        <w:gridCol w:w="1320"/>
      </w:tblGrid>
      <w:tr>
        <w:trPr>
          <w:tblHeader w:val="true"/>
          <w:cantSplit/>
          <w:tblHeader/>
        </w:trPr>
        <w:tc>
          <w:tcPr>
            <w:tcW w:w="1225" w:type="dxa"/>
            <w:tcBorders>
              <w:bottom w:val="single" w:sz="5" w:space="0" w:color="000000"/>
            </w:tcBorders>
          </w:tcPr>
          <w:p>
            <w:pPr>
              <w:pStyle w:val="Compact"/>
              <w:keepNext/>
              <w:spacing w:before="0" w:after="0" w:lineRule="exact" w:line="220"/>
              <w:jc w:val="left"/>
            </w:pPr>
            <w:r>
              <w:rPr>
                <w:b/>
                <w:sz w:val="18"/>
              </w:rPr>
              <w:t xml:space="preserve">Prediction</w:t>
            </w:r>
          </w:p>
        </w:tc>
        <w:tc>
          <w:tcPr>
            <w:tcW w:w="3688" w:type="dxa"/>
            <w:tcBorders>
              <w:bottom w:val="single" w:sz="5" w:space="0" w:color="000000"/>
            </w:tcBorders>
          </w:tcPr>
          <w:p>
            <w:pPr>
              <w:pStyle w:val="Compact"/>
              <w:keepNext/>
              <w:spacing w:before="0" w:after="0" w:lineRule="exact" w:line="220"/>
              <w:jc w:val="left"/>
            </w:pPr>
            <w:r>
              <w:rPr>
                <w:b/>
                <w:sz w:val="18"/>
              </w:rPr>
              <w:t xml:space="preserve">What it expects</w:t>
            </w:r>
          </w:p>
        </w:tc>
        <w:tc>
          <w:tcPr>
            <w:tcW w:w="2271" w:type="dxa"/>
            <w:tcBorders>
              <w:bottom w:val="single" w:sz="5" w:space="0" w:color="000000"/>
            </w:tcBorders>
          </w:tcPr>
          <w:p>
            <w:pPr>
              <w:pStyle w:val="Compact"/>
              <w:keepNext/>
              <w:spacing w:before="0" w:after="0" w:lineRule="exact" w:line="220"/>
              <w:jc w:val="left"/>
            </w:pPr>
            <w:r>
              <w:rPr>
                <w:b/>
                <w:sz w:val="18"/>
              </w:rPr>
              <w:t xml:space="preserve">Bears on</w:t>
            </w:r>
          </w:p>
        </w:tc>
        <w:tc>
          <w:tcPr>
            <w:tcW w:w="1320" w:type="dxa"/>
            <w:tcBorders>
              <w:bottom w:val="single" w:sz="5" w:space="0" w:color="000000"/>
            </w:tcBorders>
          </w:tcPr>
          <w:p>
            <w:pPr>
              <w:pStyle w:val="Compact"/>
              <w:keepNext/>
              <w:spacing w:before="0" w:after="0" w:lineRule="exact" w:line="220"/>
              <w:jc w:val="left"/>
            </w:pPr>
            <w:r>
              <w:rPr>
                <w:b/>
                <w:sz w:val="18"/>
              </w:rPr>
              <w:t xml:space="preserve">Scored</w:t>
            </w:r>
          </w:p>
        </w:tc>
      </w:tr>
      <w:tr>
        <w:trPr>
          <w:cantSplit/>
        </w:trPr>
        <w:tc>
          <w:tcPr>
            <w:tcW w:w="1225" w:type="dxa"/>
          </w:tcPr>
          <w:p>
            <w:pPr>
              <w:pStyle w:val="Compact"/>
              <w:keepNext/>
              <w:spacing w:before="0" w:after="0" w:lineRule="exact" w:line="220"/>
              <w:jc w:val="left"/>
            </w:pPr>
            <w:r>
              <w:rPr>
                <w:sz w:val="18"/>
              </w:rPr>
              <w:t xml:space="preserve">P1</w:t>
            </w:r>
          </w:p>
        </w:tc>
        <w:tc>
          <w:tcPr>
            <w:tcW w:w="3688" w:type="dxa"/>
          </w:tcPr>
          <w:p>
            <w:pPr>
              <w:pStyle w:val="Compact"/>
              <w:keepNext/>
              <w:spacing w:before="0" w:after="0" w:lineRule="exact" w:line="220"/>
              <w:jc w:val="left"/>
            </w:pPr>
            <w:r>
              <w:rPr>
                <w:sz w:val="18"/>
              </w:rPr>
              <w:t xml:space="preserve">GoTo’s on-demand take rate falls by 0.3 to 2.5 points from the second quarter of 2026</w:t>
            </w:r>
          </w:p>
        </w:tc>
        <w:tc>
          <w:tcPr>
            <w:tcW w:w="2271" w:type="dxa"/>
          </w:tcPr>
          <w:p>
            <w:pPr>
              <w:pStyle w:val="Compact"/>
              <w:keepNext/>
              <w:spacing w:before="0" w:after="0" w:lineRule="exact" w:line="220"/>
              <w:jc w:val="left"/>
            </w:pPr>
            <w:r>
              <w:rPr>
                <w:sz w:val="18"/>
              </w:rPr>
              <w:t xml:space="preserve">Commission cap</w:t>
            </w:r>
          </w:p>
        </w:tc>
        <w:tc>
          <w:tcPr>
            <w:tcW w:w="1320" w:type="dxa"/>
          </w:tcPr>
          <w:p>
            <w:pPr>
              <w:pStyle w:val="Compact"/>
              <w:keepNext/>
              <w:spacing w:before="0" w:after="0" w:lineRule="exact" w:line="220"/>
              <w:jc w:val="left"/>
            </w:pPr>
            <w:r>
              <w:rPr>
                <w:sz w:val="18"/>
              </w:rPr>
              <w:t xml:space="preserve">Late October 2026</w:t>
            </w:r>
          </w:p>
        </w:tc>
      </w:tr>
      <w:tr>
        <w:trPr>
          <w:cantSplit/>
        </w:trPr>
        <w:tc>
          <w:tcPr>
            <w:tcW w:w="1225" w:type="dxa"/>
          </w:tcPr>
          <w:p>
            <w:pPr>
              <w:pStyle w:val="Compact"/>
              <w:keepNext/>
              <w:spacing w:before="0" w:after="0" w:lineRule="exact" w:line="220"/>
              <w:jc w:val="left"/>
            </w:pPr>
            <w:r>
              <w:rPr>
                <w:sz w:val="18"/>
              </w:rPr>
              <w:t xml:space="preserve">P3</w:t>
            </w:r>
          </w:p>
        </w:tc>
        <w:tc>
          <w:tcPr>
            <w:tcW w:w="3688" w:type="dxa"/>
          </w:tcPr>
          <w:p>
            <w:pPr>
              <w:pStyle w:val="Compact"/>
              <w:keepNext/>
              <w:spacing w:before="0" w:after="0" w:lineRule="exact" w:line="220"/>
              <w:jc w:val="left"/>
            </w:pPr>
            <w:r>
              <w:rPr>
                <w:sz w:val="18"/>
              </w:rPr>
              <w:t xml:space="preserve">GoTo’s on-demand transaction value grows by 0 to 12 percent on a year earlier</w:t>
            </w:r>
          </w:p>
        </w:tc>
        <w:tc>
          <w:tcPr>
            <w:tcW w:w="2271" w:type="dxa"/>
          </w:tcPr>
          <w:p>
            <w:pPr>
              <w:pStyle w:val="Compact"/>
              <w:keepNext/>
              <w:spacing w:before="0" w:after="0" w:lineRule="exact" w:line="220"/>
              <w:jc w:val="left"/>
            </w:pPr>
            <w:r>
              <w:rPr>
                <w:sz w:val="18"/>
              </w:rPr>
              <w:t xml:space="preserve">Commission cap</w:t>
            </w:r>
          </w:p>
        </w:tc>
        <w:tc>
          <w:tcPr>
            <w:tcW w:w="1320" w:type="dxa"/>
          </w:tcPr>
          <w:p>
            <w:pPr>
              <w:pStyle w:val="Compact"/>
              <w:keepNext/>
              <w:spacing w:before="0" w:after="0" w:lineRule="exact" w:line="220"/>
              <w:jc w:val="left"/>
            </w:pPr>
            <w:r>
              <w:rPr>
                <w:sz w:val="18"/>
              </w:rPr>
              <w:t xml:space="preserve">Late October 2026</w:t>
            </w:r>
          </w:p>
        </w:tc>
      </w:tr>
      <w:tr>
        <w:trPr>
          <w:cantSplit/>
        </w:trPr>
        <w:tc>
          <w:tcPr>
            <w:tcW w:w="1225" w:type="dxa"/>
          </w:tcPr>
          <w:p>
            <w:pPr>
              <w:pStyle w:val="Compact"/>
              <w:keepNext/>
              <w:spacing w:before="0" w:after="0" w:lineRule="exact" w:line="220"/>
              <w:jc w:val="left"/>
            </w:pPr>
            <w:r>
              <w:rPr>
                <w:sz w:val="18"/>
              </w:rPr>
              <w:t xml:space="preserve">P5</w:t>
            </w:r>
          </w:p>
        </w:tc>
        <w:tc>
          <w:tcPr>
            <w:tcW w:w="3688" w:type="dxa"/>
          </w:tcPr>
          <w:p>
            <w:pPr>
              <w:pStyle w:val="Compact"/>
              <w:keepNext/>
              <w:spacing w:before="0" w:after="0" w:lineRule="exact" w:line="220"/>
              <w:jc w:val="left"/>
            </w:pPr>
            <w:r>
              <w:rPr>
                <w:sz w:val="18"/>
              </w:rPr>
              <w:t xml:space="preserve">GoTo’s on-demand transaction value grows by at least 5 percent; the prediction fails only below 2 percent</w:t>
            </w:r>
          </w:p>
        </w:tc>
        <w:tc>
          <w:tcPr>
            <w:tcW w:w="2271" w:type="dxa"/>
          </w:tcPr>
          <w:p>
            <w:pPr>
              <w:pStyle w:val="Compact"/>
              <w:keepNext/>
              <w:spacing w:before="0" w:after="0" w:lineRule="exact" w:line="220"/>
              <w:jc w:val="left"/>
            </w:pPr>
            <w:r>
              <w:rPr>
                <w:sz w:val="18"/>
              </w:rPr>
              <w:t xml:space="preserve">Commission cap, with spending on growth</w:t>
            </w:r>
          </w:p>
        </w:tc>
        <w:tc>
          <w:tcPr>
            <w:tcW w:w="1320" w:type="dxa"/>
          </w:tcPr>
          <w:p>
            <w:pPr>
              <w:pStyle w:val="Compact"/>
              <w:keepNext/>
              <w:spacing w:before="0" w:after="0" w:lineRule="exact" w:line="220"/>
              <w:jc w:val="left"/>
            </w:pPr>
            <w:r>
              <w:rPr>
                <w:sz w:val="18"/>
              </w:rPr>
              <w:t xml:space="preserve">Late October 2026</w:t>
            </w:r>
          </w:p>
        </w:tc>
      </w:tr>
      <w:tr>
        <w:trPr>
          <w:cantSplit/>
        </w:trPr>
        <w:tc>
          <w:tcPr>
            <w:tcW w:w="1225" w:type="dxa"/>
          </w:tcPr>
          <w:p>
            <w:pPr>
              <w:pStyle w:val="Compact"/>
              <w:keepNext/>
              <w:spacing w:before="0" w:after="0" w:lineRule="exact" w:line="220"/>
              <w:jc w:val="left"/>
            </w:pPr>
            <w:r>
              <w:rPr>
                <w:sz w:val="18"/>
              </w:rPr>
              <w:t xml:space="preserve">R1</w:t>
            </w:r>
          </w:p>
        </w:tc>
        <w:tc>
          <w:tcPr>
            <w:tcW w:w="3688" w:type="dxa"/>
          </w:tcPr>
          <w:p>
            <w:pPr>
              <w:pStyle w:val="Compact"/>
              <w:keepNext/>
              <w:spacing w:before="0" w:after="0" w:lineRule="exact" w:line="220"/>
              <w:jc w:val="left"/>
            </w:pPr>
            <w:r>
              <w:rPr>
                <w:sz w:val="18"/>
              </w:rPr>
              <w:t xml:space="preserve">GoTo’s on-demand revenue growth less transaction value growth lies between −0.5 and +12.5 points; it follows from P1 and P3</w:t>
            </w:r>
          </w:p>
        </w:tc>
        <w:tc>
          <w:tcPr>
            <w:tcW w:w="2271" w:type="dxa"/>
          </w:tcPr>
          <w:p>
            <w:pPr>
              <w:pStyle w:val="Compact"/>
              <w:keepNext/>
              <w:spacing w:before="0" w:after="0" w:lineRule="exact" w:line="220"/>
              <w:jc w:val="left"/>
            </w:pPr>
            <w:r>
              <w:rPr>
                <w:sz w:val="18"/>
              </w:rPr>
              <w:t xml:space="preserve">Commission cap</w:t>
            </w:r>
          </w:p>
        </w:tc>
        <w:tc>
          <w:tcPr>
            <w:tcW w:w="1320" w:type="dxa"/>
          </w:tcPr>
          <w:p>
            <w:pPr>
              <w:pStyle w:val="Compact"/>
              <w:keepNext/>
              <w:spacing w:before="0" w:after="0" w:lineRule="exact" w:line="220"/>
              <w:jc w:val="left"/>
            </w:pPr>
            <w:r>
              <w:rPr>
                <w:sz w:val="18"/>
              </w:rPr>
              <w:t xml:space="preserve">Late October 2026</w:t>
            </w:r>
          </w:p>
        </w:tc>
      </w:tr>
      <w:tr>
        <w:trPr>
          <w:cantSplit/>
        </w:trPr>
        <w:tc>
          <w:tcPr>
            <w:tcW w:w="1225" w:type="dxa"/>
          </w:tcPr>
          <w:p>
            <w:pPr>
              <w:pStyle w:val="Compact"/>
              <w:keepNext/>
              <w:spacing w:before="0" w:after="0" w:lineRule="exact" w:line="220"/>
              <w:jc w:val="left"/>
            </w:pPr>
            <w:r>
              <w:rPr>
                <w:sz w:val="18"/>
              </w:rPr>
              <w:t xml:space="preserve">R2</w:t>
            </w:r>
          </w:p>
        </w:tc>
        <w:tc>
          <w:tcPr>
            <w:tcW w:w="3688" w:type="dxa"/>
          </w:tcPr>
          <w:p>
            <w:pPr>
              <w:pStyle w:val="Compact"/>
              <w:keepNext/>
              <w:spacing w:before="0" w:after="0" w:lineRule="exact" w:line="220"/>
              <w:jc w:val="left"/>
            </w:pPr>
            <w:r>
              <w:rPr>
                <w:sz w:val="18"/>
              </w:rPr>
              <w:t xml:space="preserve">GoTo’s on-demand transaction value grows more slowly than household spending</w:t>
            </w:r>
          </w:p>
        </w:tc>
        <w:tc>
          <w:tcPr>
            <w:tcW w:w="2271" w:type="dxa"/>
          </w:tcPr>
          <w:p>
            <w:pPr>
              <w:pStyle w:val="Compact"/>
              <w:keepNext/>
              <w:spacing w:before="0" w:after="0" w:lineRule="exact" w:line="220"/>
              <w:jc w:val="left"/>
            </w:pPr>
            <w:r>
              <w:rPr>
                <w:sz w:val="18"/>
              </w:rPr>
              <w:t xml:space="preserve">Buying through platforms</w:t>
            </w:r>
          </w:p>
        </w:tc>
        <w:tc>
          <w:tcPr>
            <w:tcW w:w="1320" w:type="dxa"/>
          </w:tcPr>
          <w:p>
            <w:pPr>
              <w:pStyle w:val="Compact"/>
              <w:keepNext/>
              <w:spacing w:before="0" w:after="0" w:lineRule="exact" w:line="220"/>
              <w:jc w:val="left"/>
            </w:pPr>
            <w:r>
              <w:rPr>
                <w:sz w:val="18"/>
              </w:rPr>
              <w:t xml:space="preserve">Early November 2026</w:t>
            </w:r>
          </w:p>
        </w:tc>
      </w:tr>
      <w:tr>
        <w:trPr>
          <w:cantSplit/>
        </w:trPr>
        <w:tc>
          <w:tcPr>
            <w:tcW w:w="1225" w:type="dxa"/>
          </w:tcPr>
          <w:p>
            <w:pPr>
              <w:pStyle w:val="Compact"/>
              <w:keepNext/>
              <w:spacing w:before="0" w:after="0" w:lineRule="exact" w:line="220"/>
              <w:jc w:val="left"/>
            </w:pPr>
            <w:r>
              <w:rPr>
                <w:sz w:val="18"/>
              </w:rPr>
              <w:t xml:space="preserve">P2</w:t>
            </w:r>
          </w:p>
        </w:tc>
        <w:tc>
          <w:tcPr>
            <w:tcW w:w="3688" w:type="dxa"/>
          </w:tcPr>
          <w:p>
            <w:pPr>
              <w:pStyle w:val="Compact"/>
              <w:keepNext/>
              <w:spacing w:before="0" w:after="0" w:lineRule="exact" w:line="220"/>
              <w:jc w:val="left"/>
            </w:pPr>
            <w:r>
              <w:rPr>
                <w:sz w:val="18"/>
              </w:rPr>
              <w:t xml:space="preserve">Grab’s on-demand take rate stays within −0.6 to +0.4 points of the second quarter</w:t>
            </w:r>
          </w:p>
        </w:tc>
        <w:tc>
          <w:tcPr>
            <w:tcW w:w="2271" w:type="dxa"/>
          </w:tcPr>
          <w:p>
            <w:pPr>
              <w:pStyle w:val="Compact"/>
              <w:keepNext/>
              <w:spacing w:before="0" w:after="0" w:lineRule="exact" w:line="220"/>
              <w:jc w:val="left"/>
            </w:pPr>
            <w:r>
              <w:rPr>
                <w:sz w:val="18"/>
              </w:rPr>
              <w:t xml:space="preserve">Commission cap</w:t>
            </w:r>
          </w:p>
        </w:tc>
        <w:tc>
          <w:tcPr>
            <w:tcW w:w="1320" w:type="dxa"/>
          </w:tcPr>
          <w:p>
            <w:pPr>
              <w:pStyle w:val="Compact"/>
              <w:keepNext/>
              <w:spacing w:before="0" w:after="0" w:lineRule="exact" w:line="220"/>
              <w:jc w:val="left"/>
            </w:pPr>
            <w:r>
              <w:rPr>
                <w:sz w:val="18"/>
              </w:rPr>
              <w:t xml:space="preserve">Mid-November 2026</w:t>
            </w:r>
          </w:p>
        </w:tc>
      </w:tr>
      <w:tr>
        <w:trPr>
          <w:cantSplit/>
        </w:trPr>
        <w:tc>
          <w:tcPr>
            <w:tcW w:w="1225" w:type="dxa"/>
          </w:tcPr>
          <w:p>
            <w:pPr>
              <w:pStyle w:val="Compact"/>
              <w:keepNext/>
              <w:spacing w:before="0" w:after="0" w:lineRule="exact" w:line="220"/>
              <w:jc w:val="left"/>
            </w:pPr>
            <w:r>
              <w:rPr>
                <w:sz w:val="18"/>
              </w:rPr>
              <w:t xml:space="preserve">P4</w:t>
            </w:r>
          </w:p>
        </w:tc>
        <w:tc>
          <w:tcPr>
            <w:tcW w:w="3688" w:type="dxa"/>
          </w:tcPr>
          <w:p>
            <w:pPr>
              <w:pStyle w:val="Compact"/>
              <w:keepNext/>
              <w:spacing w:before="0" w:after="0" w:lineRule="exact" w:line="220"/>
              <w:jc w:val="left"/>
            </w:pPr>
            <w:r>
              <w:rPr>
                <w:sz w:val="18"/>
              </w:rPr>
              <w:t xml:space="preserve">Grab’s change in the rides take rate, less its change in the deliveries take rate, is at most +0.3 points</w:t>
            </w:r>
          </w:p>
        </w:tc>
        <w:tc>
          <w:tcPr>
            <w:tcW w:w="2271" w:type="dxa"/>
          </w:tcPr>
          <w:p>
            <w:pPr>
              <w:pStyle w:val="Compact"/>
              <w:keepNext/>
              <w:spacing w:before="0" w:after="0" w:lineRule="exact" w:line="220"/>
              <w:jc w:val="left"/>
            </w:pPr>
            <w:r>
              <w:rPr>
                <w:sz w:val="18"/>
              </w:rPr>
              <w:t xml:space="preserve">Commission cap</w:t>
            </w:r>
          </w:p>
        </w:tc>
        <w:tc>
          <w:tcPr>
            <w:tcW w:w="1320" w:type="dxa"/>
          </w:tcPr>
          <w:p>
            <w:pPr>
              <w:pStyle w:val="Compact"/>
              <w:keepNext/>
              <w:spacing w:before="0" w:after="0" w:lineRule="exact" w:line="220"/>
              <w:jc w:val="left"/>
            </w:pPr>
            <w:r>
              <w:rPr>
                <w:sz w:val="18"/>
              </w:rPr>
              <w:t xml:space="preserve">Mid-November 2026</w:t>
            </w:r>
          </w:p>
        </w:tc>
      </w:tr>
      <w:tr>
        <w:trPr>
          <w:cantSplit/>
        </w:trPr>
        <w:tc>
          <w:tcPr>
            <w:tcW w:w="1225" w:type="dxa"/>
          </w:tcPr>
          <w:p>
            <w:pPr>
              <w:pStyle w:val="Compact"/>
              <w:keepNext/>
              <w:spacing w:before="0" w:after="0" w:lineRule="exact" w:line="220"/>
              <w:jc w:val="left"/>
            </w:pPr>
            <w:r>
              <w:rPr>
                <w:sz w:val="18"/>
              </w:rPr>
              <w:t xml:space="preserve">R3</w:t>
            </w:r>
          </w:p>
        </w:tc>
        <w:tc>
          <w:tcPr>
            <w:tcW w:w="3688" w:type="dxa"/>
          </w:tcPr>
          <w:p>
            <w:pPr>
              <w:pStyle w:val="Compact"/>
              <w:keepNext/>
              <w:spacing w:before="0" w:after="0" w:lineRule="exact" w:line="220"/>
              <w:jc w:val="left"/>
            </w:pPr>
            <w:r>
              <w:rPr>
                <w:sz w:val="18"/>
              </w:rPr>
              <w:t xml:space="preserve">Shopee’s revenue growth less its transaction value growth is at least +10 points</w:t>
            </w:r>
          </w:p>
        </w:tc>
        <w:tc>
          <w:tcPr>
            <w:tcW w:w="2271" w:type="dxa"/>
          </w:tcPr>
          <w:p>
            <w:pPr>
              <w:pStyle w:val="Compact"/>
              <w:keepNext/>
              <w:spacing w:before="0" w:after="0" w:lineRule="exact" w:line="220"/>
              <w:jc w:val="left"/>
            </w:pPr>
            <w:r>
              <w:rPr>
                <w:sz w:val="18"/>
              </w:rPr>
              <w:t xml:space="preserve">Marketplace fees</w:t>
            </w:r>
          </w:p>
        </w:tc>
        <w:tc>
          <w:tcPr>
            <w:tcW w:w="1320" w:type="dxa"/>
          </w:tcPr>
          <w:p>
            <w:pPr>
              <w:pStyle w:val="Compact"/>
              <w:keepNext/>
              <w:spacing w:before="0" w:after="0" w:lineRule="exact" w:line="220"/>
              <w:jc w:val="left"/>
            </w:pPr>
            <w:r>
              <w:rPr>
                <w:sz w:val="18"/>
              </w:rPr>
              <w:t xml:space="preserve">Mid-November 2026</w:t>
            </w:r>
          </w:p>
        </w:tc>
      </w:tr>
      <w:tr>
        <w:trPr>
          <w:cantSplit/>
        </w:trPr>
        <w:tc>
          <w:tcPr>
            <w:tcW w:w="1225" w:type="dxa"/>
          </w:tcPr>
          <w:p>
            <w:pPr>
              <w:pStyle w:val="Compact"/>
              <w:spacing w:before="0" w:after="0" w:lineRule="exact" w:line="220"/>
              <w:jc w:val="left"/>
            </w:pPr>
            <w:r>
              <w:rPr>
                <w:sz w:val="18"/>
              </w:rPr>
              <w:t xml:space="preserve">Marketplace share</w:t>
            </w:r>
          </w:p>
        </w:tc>
        <w:tc>
          <w:tcPr>
            <w:tcW w:w="3688" w:type="dxa"/>
          </w:tcPr>
          <w:p>
            <w:pPr>
              <w:pStyle w:val="Compact"/>
              <w:spacing w:before="0" w:after="0" w:lineRule="exact" w:line="220"/>
              <w:jc w:val="left"/>
            </w:pPr>
            <w:r>
              <w:rPr>
                <w:sz w:val="18"/>
              </w:rPr>
              <w:t xml:space="preserve">BPS’s next marketplace share of online sales value is at most 15.79 percent</w:t>
            </w:r>
          </w:p>
        </w:tc>
        <w:tc>
          <w:tcPr>
            <w:tcW w:w="2271" w:type="dxa"/>
          </w:tcPr>
          <w:p>
            <w:pPr>
              <w:pStyle w:val="Compact"/>
              <w:spacing w:before="0" w:after="0" w:lineRule="exact" w:line="220"/>
              <w:jc w:val="left"/>
            </w:pPr>
            <w:r>
              <w:rPr>
                <w:sz w:val="18"/>
              </w:rPr>
              <w:t xml:space="preserve">Reach of marketplace rules</w:t>
            </w:r>
          </w:p>
        </w:tc>
        <w:tc>
          <w:tcPr>
            <w:tcW w:w="1320" w:type="dxa"/>
          </w:tcPr>
          <w:p>
            <w:pPr>
              <w:pStyle w:val="Compact"/>
              <w:spacing w:before="0" w:after="0" w:lineRule="exact" w:line="220"/>
              <w:jc w:val="left"/>
            </w:pPr>
            <w:r>
              <w:rPr>
                <w:sz w:val="18"/>
              </w:rPr>
              <w:t xml:space="preserve">Next BPS release</w:t>
            </w:r>
          </w:p>
        </w:tc>
      </w:tr>
    </w:tbl>
    <w:p>
      <w:pPr>
        <w:pStyle w:val="TableNote"/>
      </w:pPr>
      <w:r>
        <w:rPr>
          <w:iCs/>
          <w:i/>
        </w:rPr>
        <w:t xml:space="preserve">Note:</w:t>
      </w:r>
      <w:r>
        <w:t xml:space="preserve"> </w:t>
      </w:r>
      <w:r>
        <w:t xml:space="preserve">Ranges as registered; registration dates are in Appendix C. A tenth prediction, that the start of the marketplace tax would slip again, is withdrawn: collection had begun on 1 October 2026, a day before the prediction was registered. Sources for scoring: company results releases; BPS national accounts and e-commerce publication.</w:t>
      </w:r>
    </w:p>
    <w:p>
      <w:pPr>
        <w:pStyle w:val="BodyText"/>
      </w:pPr>
      <w:r>
        <w:t xml:space="preserve">The predictions describe company numbers, not the effect of the cap. Both companies report rides and deliveries together, so any effect of the cap is diluted in their figures. P1 and P5 are read together. If both hold, GoTo met the cap partly by spending more to grow. If P1 holds and P5 fails, GoTo let the lower commission show in its take rate without spending more to grow. P4 has limited power, because its range cannot separate the cap from ordinary quarter-to-quarter noise. R2 and R3 concern single companies, and Shopee’s figures cover Asia and Brazil.</w:t>
      </w:r>
    </w:p>
    <w:bookmarkEnd w:id="80"/>
    <w:bookmarkStart w:id="81" w:name="beyond-indonesia"/>
    <w:p>
      <w:pPr>
        <w:pStyle w:val="Heading2"/>
      </w:pPr>
      <w:r>
        <w:t xml:space="preserve">6.6 Beyond Indonesia</w:t>
      </w:r>
    </w:p>
    <w:p>
      <w:pPr>
        <w:pStyle w:val="FirstParagraph"/>
      </w:pPr>
      <w:r>
        <w:t xml:space="preserve">Other countries are building rules on platform records too, and the same question of reach applies to them. The OECD’s model rules ask platforms to report what their sellers earn, and a later module added the sale of goods (OECD 2020, 2021). The European Union applies such rules through its DAC7 directive, with reports on activity from 2023 (European Union 2021). The Philippines has marketplaces and payment apps withhold tax from sellers’ payouts, with small sellers exempt (Bureau of Internal Revenue 2023). Viet Nam has had platforms with a payment function withhold tax for household sellers since 2025 (Government of Viet Nam 2025).</w:t>
      </w:r>
    </w:p>
    <w:p>
      <w:pPr>
        <w:pStyle w:val="BodyText"/>
      </w:pPr>
      <w:r>
        <w:t xml:space="preserve">Indonesia’s design goes further than reporting, because its marketplaces collect the tax as well as identify the seller. Every one of these rules reaches only the sales that pass through a platform. Where most selling runs through platforms, a rule built on their records reaches most sellers. Where it runs through chat and social media, as in Indonesia, it reaches a minority.</w:t>
      </w:r>
    </w:p>
    <w:p>
      <w:pPr>
        <w:pStyle w:val="BodyText"/>
      </w:pPr>
      <w:r>
        <w:t xml:space="preserve">Commission caps have been tried elsewhere as well. Fourteen US cities and states capped the commissions that delivery platforms charged independent restaurants. The platforms raised delivery fees for consumers and showed chain restaurants first more often. Independent restaurants lost orders and revenue, while chains gained (Li and Wang 2025). In the terms of equation (6), a cap on one fee left the platform free to change another. Indonesia’s cap also covers one fee on one service.</w:t>
      </w:r>
    </w:p>
    <w:p>
      <w:pPr>
        <w:pStyle w:val="BodyText"/>
      </w:pPr>
      <w:r>
        <w:t xml:space="preserve">The thesis does not measure the split between channels outside Indonesia. Any statistics office that asks sellers which channels they use can make the same count, and with it measure how far its own rules reach.</w:t>
      </w:r>
    </w:p>
    <w:bookmarkEnd w:id="81"/>
    <w:bookmarkEnd w:id="82"/>
    <w:bookmarkStart w:id="88" w:name="chapter-7-conclusion"/>
    <w:p>
      <w:pPr>
        <w:pStyle w:val="Heading1"/>
      </w:pPr>
      <w:r>
        <w:t xml:space="preserve">Chapter 7 Conclusion</w:t>
      </w:r>
    </w:p>
    <w:p>
      <w:pPr>
        <w:pStyle w:val="FirstParagraph"/>
      </w:pPr>
      <w:r>
        <w:t xml:space="preserve">Each figure of Indonesia’s online economy is a fair guide to another only while a condition holds. Revenue follows transaction value while the take rate stays steady. A survey’s count of sellers follows entry while the survey’s reach stays steady. Between 2022 and 2024 the platforms’ take rates moved, and revenue moved away from the commerce it carried. In 2023 about half of the rise in BPS’s count of online sellers was not explained by first-time entry.</w:t>
      </w:r>
    </w:p>
    <w:p>
      <w:pPr>
        <w:pStyle w:val="BodyText"/>
      </w:pPr>
      <w:r>
        <w:t xml:space="preserve">This chapter answers the research question at both links of Figure 1. It then says what the answer adds for those who use the figures, reports the predictions that failed, states the limits of the evidence and sets out the next steps.</w:t>
      </w:r>
    </w:p>
    <w:bookmarkStart w:id="83" w:name="the-answer-to-the-research-question"/>
    <w:p>
      <w:pPr>
        <w:pStyle w:val="Heading2"/>
      </w:pPr>
      <w:r>
        <w:t xml:space="preserve">7.1 The answer to the research question</w:t>
      </w:r>
    </w:p>
    <w:p>
      <w:pPr>
        <w:pStyle w:val="FirstParagraph"/>
      </w:pPr>
      <w:r>
        <w:t xml:space="preserve">The research question asked how much economic activity remains invisible when digital platforms are measured through their reported revenue, and when that choice changes the conclusion about growth. The answer to the first half is that most of the activity remains outside revenue. In 2023, three major platforms in Indonesia kept about US$3 billion of the US$43 billion that passed through them. The invisible wedge was about US$40 billion, and it moved almost one for one with the commerce.</w:t>
      </w:r>
    </w:p>
    <w:p>
      <w:pPr>
        <w:pStyle w:val="BodyText"/>
      </w:pPr>
      <w:r>
        <w:t xml:space="preserve">Platform commerce is itself only part of online commerce. In BPS’s survey, marketplaces carry about a fifth of online sales value. Any measure built on platforms, whether revenue or transaction value, leaves out most online sales, which move through chat, social media and sellers’ own websites.</w:t>
      </w:r>
    </w:p>
    <w:p>
      <w:pPr>
        <w:pStyle w:val="BodyText"/>
      </w:pPr>
      <w:r>
        <w:t xml:space="preserve">The answer to the second half differs by link. On the inner link, the choice of revenue changed the conclusion, above all from 2022 to 2024. The Indonesian and regional platforms changed their take rates about three times as much as platforms abroad, measured against the take rate itself, so H1 is rejected. They keep a much thinner share of each sale, so price changes of a similar size in points moved their revenue far more. In the windows traced, pricing moved revenue more than commerce did. Market value, for its part, moved with transaction value, and the data do not show that markets valued growth from pricing any less.</w:t>
      </w:r>
    </w:p>
    <w:p>
      <w:pPr>
        <w:pStyle w:val="BodyText"/>
      </w:pPr>
      <w:r>
        <w:t xml:space="preserve">On the outer link, H2 holds on BPS’s published figures: more businesses account for most of the growth in online sales value. The registered entry test failed, and about half of the 2023 rise in the count is not explained by first-time entry. The extra count leaned toward long-running businesses. Read as wider coverage, an exploratory check, the extra count leaves H2 on its threshold: more businesses then account for about 42 to 54 percent of the growth, against the 50 percent H2 requires.</w:t>
      </w:r>
    </w:p>
    <w:p>
      <w:pPr>
        <w:pStyle w:val="BodyText"/>
      </w:pPr>
      <w:r>
        <w:t xml:space="preserve">In the same year, five of six measures of buying through platforms grew more slowly than household spending, and the median seller already online reported no change in sales. Reading BPS’s 2023 figures as a boom in online selling overstates what sellers and platforms reported.</w:t>
      </w:r>
    </w:p>
    <w:p>
      <w:pPr>
        <w:pStyle w:val="BodyText"/>
      </w:pPr>
      <w:r>
        <w:t xml:space="preserve">Where the national figures cover the same sellers, they agree on small growth in two of three scenarios. They disagree outside the marketplaces, among the chat and social sellers that only BPS reaches. The figure a reader picks decides whether 2023 looks like a stall or a boom.</w:t>
      </w:r>
    </w:p>
    <w:bookmarkEnd w:id="83"/>
    <w:bookmarkStart w:id="84" w:name="what-the-thesis-adds"/>
    <w:p>
      <w:pPr>
        <w:pStyle w:val="Heading2"/>
      </w:pPr>
      <w:r>
        <w:t xml:space="preserve">7.2 What the thesis adds</w:t>
      </w:r>
    </w:p>
    <w:p>
      <w:pPr>
        <w:pStyle w:val="FirstParagraph"/>
      </w:pPr>
      <w:r>
        <w:t xml:space="preserve">For investors, the thesis adds a check that can be run on any platform that reports both amounts. Revenue growth splits into more commerce and a larger take rate with two public figures (equation (5)). At the Indonesian and regional platforms, the take rate accounted for about two thirds of a revenue move at the typical pair. Abroad it accounted for about a quarter. The thinner the take rate, the more a small change in fees or incentives moves revenue growth. Across 28 listed platforms, market value moved with transaction value, as a registered prediction stated. A 1 percent rise in transaction value went with about 0.6 percent more market value.</w:t>
      </w:r>
    </w:p>
    <w:p>
      <w:pPr>
        <w:pStyle w:val="BodyText"/>
      </w:pPr>
      <w:r>
        <w:t xml:space="preserve">For statistics offices, the thesis adds a test of what a count of sellers represents. The entry test needs no linked records, only a question on when each business began selling online. Applied to BPS’s survey, it showed that the 2023 rise in the count was only partly first-time entry. The same test can mark a break in any survey that asks the question.</w:t>
      </w:r>
    </w:p>
    <w:p>
      <w:pPr>
        <w:pStyle w:val="BodyText"/>
      </w:pPr>
      <w:r>
        <w:t xml:space="preserve">For tax authorities and regulators, the thesis measures how far rules built on platform records reach. In Indonesia, the marketplace tax can collect from at most about 1 in 20 online sellers and about a fifth of online sales value. It also gives the state a record of every seller on the four marketplaces that collect it, at most about 8 percent of online sellers. Each of the other recent rules acts on one part of the take rate or of the national figure, and Chapter 6 maps each to the part it reaches.</w:t>
      </w:r>
    </w:p>
    <w:p>
      <w:pPr>
        <w:pStyle w:val="BodyText"/>
      </w:pPr>
      <w:r>
        <w:t xml:space="preserve">For research, the thesis adds connected evidence for one country: the platforms’ accounts, the sellers’ own answers and the rules that act on both. It tracks the invisible wedge and growth divergence over time, and its ecosystem ratio is the author’s own measure. All three use only figures that platforms already publish, so they can be computed for any platform that reports transaction value.</w:t>
      </w:r>
    </w:p>
    <w:bookmarkEnd w:id="84"/>
    <w:bookmarkStart w:id="85" w:name="predictions-that-failed"/>
    <w:p>
      <w:pPr>
        <w:pStyle w:val="Heading2"/>
      </w:pPr>
      <w:r>
        <w:t xml:space="preserve">7.3 Predictions that failed</w:t>
      </w:r>
    </w:p>
    <w:p>
      <w:pPr>
        <w:pStyle w:val="FirstParagraph"/>
      </w:pPr>
      <w:r>
        <w:t xml:space="preserve">Several registered predictions failed, and the failures are part of the answer. The entry test is the clearest case. It required at least 21.5 percent of the sellers counted for 2023 to have begun that year, and the survey gave about 13 percent. That failure is the main result of the outer link.</w:t>
      </w:r>
    </w:p>
    <w:p>
      <w:pPr>
        <w:pStyle w:val="BodyText"/>
      </w:pPr>
      <w:r>
        <w:t xml:space="preserve">The test of H1 with quarterly pairs did not reject H1 (p = 0.19). The quarterly series cover mostly 2023 to 2026, after most of the repricing. So the rejection of H1 describes a period, 2022 to 2024, and not a lasting trait of Indonesian platforms.</w:t>
      </w:r>
    </w:p>
    <w:p>
      <w:pPr>
        <w:pStyle w:val="BodyText"/>
      </w:pPr>
      <w:r>
        <w:t xml:space="preserve">The second market-value prediction failed in the main sample (p = 0.20). It expected markets to value growth from pricing less than growth from more commerce. It held only in a second run that mixes segment figures with whole-company market values. Whether investors price the two sources of growth differently remains open.</w:t>
      </w:r>
    </w:p>
    <w:p>
      <w:pPr>
        <w:pStyle w:val="BodyText"/>
      </w:pPr>
      <w:r>
        <w:t xml:space="preserve">Three predictions on sellers’ records and sales failed narrowly or in part. The value share of sellers without financial statements fell by 5.8 points between 2020 and 2022, beyond the registered limit of 5. On a second version it fell by only 3.3 points. The mean sales of unregistered firms that use social media were about US$7,300 a year, above the registered limit of about US$6,600, while their median was about US$4,000. The comparison with Bank Indonesia’s figure held in two of three value scenarios and failed in the third.</w:t>
      </w:r>
    </w:p>
    <w:p>
      <w:pPr>
        <w:pStyle w:val="BodyText"/>
      </w:pPr>
      <w:r>
        <w:t xml:space="preserve">A registered rule on discounts gave only thin support. It expected large take-rate moves only where a platform’s incentives were at least as large as its revenue. Out of sample, the rule pointed the right way, but it rested on two cases and failed at its main threshold.</w:t>
      </w:r>
    </w:p>
    <w:p>
      <w:pPr>
        <w:pStyle w:val="BodyText"/>
      </w:pPr>
      <w:r>
        <w:t xml:space="preserve">Appendix C lists every registered test with its outcome. The predictions on the 2026 rules are listed in Section 6.5, with the date on which each is scored. One of them, that the start of the marketplace tax would slip again, was withdrawn, because the tax had started a day before the prediction was registered. A comparison of seven countries on firms’ digital records was withdrawn as a test for a similar reason. Published figures seen at registration already settled it, so it is reported as descriptive.</w:t>
      </w:r>
    </w:p>
    <w:bookmarkEnd w:id="85"/>
    <w:bookmarkStart w:id="86" w:name="limits-of-the-evidence"/>
    <w:p>
      <w:pPr>
        <w:pStyle w:val="Heading2"/>
      </w:pPr>
      <w:r>
        <w:t xml:space="preserve">7.4 Limits of the evidence</w:t>
      </w:r>
    </w:p>
    <w:p>
      <w:pPr>
        <w:pStyle w:val="FirstParagraph"/>
      </w:pPr>
      <w:r>
        <w:t xml:space="preserve">The invisible wedge is the part of each sale that a platform passes on to sellers, drivers and others. It is not missing output, unrecorded income or unpaid tax. The thesis does not find BPS’s figures wrong in general, nor that total online buying in Indonesia fell. It finds that one year’s count of sellers moved for reasons other than first-time entry, and that the figures disagree where they cover different sellers. The splits of Table 11 are accounting, not causes. Marketplace sellers keep financial statements more often, but the thesis does not show that marketplaces lead them to.</w:t>
      </w:r>
    </w:p>
    <w:p>
      <w:pPr>
        <w:pStyle w:val="BodyText"/>
      </w:pPr>
      <w:r>
        <w:t xml:space="preserve">The platform evidence rests on a small sample. Three Indonesian marketplaces report both revenue and transaction value. The main test of H1 adds the on-demand businesses of Grab and GoTo, which mix rides and deliveries, and Grab’s figures cover the whole region. That test was set up after a narrower first test, so it is exploratory.</w:t>
      </w:r>
    </w:p>
    <w:p>
      <w:pPr>
        <w:pStyle w:val="BodyText"/>
      </w:pPr>
      <w:r>
        <w:t xml:space="preserve">The tests of H1 are one-sided, because each asks whether the Indonesian and regional group moves more. A two-sided test would about double each p-value, and the main Mann–Whitney result would still be below 1 percent. The result depends on the larger movers. Dropping the two largest, Blibli and Tokopedia, leaves p = 0.058, and keeping only the first five years after each platform’s listing leaves p = 0.059 (Appendix B).</w:t>
      </w:r>
    </w:p>
    <w:p>
      <w:pPr>
        <w:pStyle w:val="BodyText"/>
      </w:pPr>
      <w:r>
        <w:t xml:space="preserve">The platform figures carry their own limits. Shopee’s and Grab’s Indonesian amounts come from an outside estimate, an assumed take rate or a company-wide ratio, and they stay out of the main tests. Grab revised some figures between filings. The thesis takes each year from the latest filing that reports it, so one series can mix filings from before and after a revision. Blibli’s incentives are a proxy, and Bukalapak’s reports do not allow the parts of a revenue move to be separated. Company explanations of why revenue moved are reported as statements and are not tested.</w:t>
      </w:r>
    </w:p>
    <w:p>
      <w:pPr>
        <w:pStyle w:val="BodyText"/>
      </w:pPr>
      <w:r>
        <w:t xml:space="preserve">Foreign platforms also differ in how they book shopper discounts. Eight of the 27 record them mainly as marketing costs, not as lower revenue, which could steady their take rates. Their take rates were not steadier, and without them the test of H1 still gives p = 0.004, an exploratory check (Appendix B).</w:t>
      </w:r>
    </w:p>
    <w:p>
      <w:pPr>
        <w:pStyle w:val="BodyText"/>
      </w:pPr>
      <w:r>
        <w:t xml:space="preserve">The survey files describe sellers in one year, not businesses followed over time. No business identifier links the files, so the thesis cannot follow a seller from one round to the next, and returning sellers cannot be ruled out. Revenue appears only in brackets, and only in the 2021 and 2023 files, which describe 2020 and 2022, so value shares are ranges. The 2024 file, which describes 2023, has no revenue amounts. At the top, sellers with sales above about US$3.4 million a year are only 19 sample rows in the survey for 2022. Yet they hold 18 to 39 percent of the marketplace value.</w:t>
      </w:r>
    </w:p>
    <w:p>
      <w:pPr>
        <w:pStyle w:val="BodyText"/>
      </w:pPr>
      <w:r>
        <w:t xml:space="preserve">Two changes in the questions also limit the survey checks. BPS changed how it asks about the months of selling between the rounds, which affects the check on part-year sellers. The education codes of the survey for 2023 were matched to the earlier groups by their shares, so education there is an inferred grouping.</w:t>
      </w:r>
    </w:p>
    <w:p>
      <w:pPr>
        <w:pStyle w:val="BodyText"/>
      </w:pPr>
      <w:r>
        <w:t xml:space="preserve">The accounting of the 2023 rise is exploratory, because it was designed after the files were opened. Its range depends on how many sellers stopped, and it assumes that no seller returned after a pause. Returners equal to 10 to 15 percent of the 2022 count would remove the unexplained part. The check on sampling noise applies one year’s published error rates to both years and treats the two surveys as independent. The files carry no sampling-area or design variables, and the thesis did not contact BPS. So a change in BPS’s frame cannot be told apart from other changes in coverage, and the break covers a single year.</w:t>
      </w:r>
    </w:p>
    <w:p>
      <w:pPr>
        <w:pStyle w:val="BodyText"/>
      </w:pPr>
      <w:r>
        <w:t xml:space="preserve">The national figures are read as published. Bank Indonesia does not publish its method. Momentum Works and e-Conomy publish estimates, not counts. Payment figures include payments made in person. The World Bank’s survey of unregistered firms covers six cities, not the whole country.</w:t>
      </w:r>
    </w:p>
    <w:p>
      <w:pPr>
        <w:pStyle w:val="BodyText"/>
      </w:pPr>
      <w:r>
        <w:t xml:space="preserve">The market-value result is an association across 28 listed platforms. Market value also changes when a company issues shares, so the result is not a stock return. The thesis does not claim that transaction value causes market value to move.</w:t>
      </w:r>
    </w:p>
    <w:p>
      <w:pPr>
        <w:pStyle w:val="BodyText"/>
      </w:pPr>
      <w:r>
        <w:t xml:space="preserve">The rules are mapped, not evaluated. The legal texts behind the commission cap were not public when the thesis was written, so its terms come from official statements, news reports and GoTo’s earnings call. The reach of the marketplace tax is an upper limit, because BPS’s bracket line sits below the exemption and BPS’s marketplace category also counts food and ride apps. The thesis measures what each rule can reach and makes no claim about its effects.</w:t>
      </w:r>
    </w:p>
    <w:p>
      <w:pPr>
        <w:pStyle w:val="BodyText"/>
      </w:pPr>
      <w:r>
        <w:t xml:space="preserve">The licensed files stay outside the repository, which holds the code and national totals (Section 4.10). The evidence concerns Indonesia, with regional series labelled as such.</w:t>
      </w:r>
    </w:p>
    <w:bookmarkEnd w:id="86"/>
    <w:bookmarkStart w:id="87" w:name="further-research"/>
    <w:p>
      <w:pPr>
        <w:pStyle w:val="Heading2"/>
      </w:pPr>
      <w:r>
        <w:t xml:space="preserve">7.5 Further research</w:t>
      </w:r>
    </w:p>
    <w:p>
      <w:pPr>
        <w:pStyle w:val="FirstParagraph"/>
      </w:pPr>
      <w:r>
        <w:t xml:space="preserve">Five extensions follow from the limits above. The first is to reconcile the levels of BPS’s and the platforms’ figures. It needs common definitions of what counts as a sale, including shipping, digital goods, travel and offline sales. The platform data that BPS now collects could supply the platform side, if BPS publishes them.</w:t>
      </w:r>
    </w:p>
    <w:p>
      <w:pPr>
        <w:pStyle w:val="BodyText"/>
      </w:pPr>
      <w:r>
        <w:t xml:space="preserve">The 2026 economic census gives a second. When BPS adopts a frame from it, the entry test can be repeated on the first survey that uses the new frame. A business identifier that links survey rounds would settle the question of returning sellers.</w:t>
      </w:r>
    </w:p>
    <w:p>
      <w:pPr>
        <w:pStyle w:val="BodyText"/>
      </w:pPr>
      <w:r>
        <w:t xml:space="preserve">A third is a stock-return extension. A test of share prices around results announcements would ask whether investors react differently to growth from commerce and growth from pricing. It needs announcement timing and raw prices that can be reproduced.</w:t>
      </w:r>
    </w:p>
    <w:p>
      <w:pPr>
        <w:pStyle w:val="BodyText"/>
      </w:pPr>
      <w:r>
        <w:t xml:space="preserve">The platform sample can also grow, and the channel count can go abroad. Lazada and TikTok Shop can join the test of H1 once they report Indonesian figures. Any country whose statistics office asks sellers which channels they use can measure how much online selling its platform rules reach.</w:t>
      </w:r>
    </w:p>
    <w:p>
      <w:pPr>
        <w:pStyle w:val="BodyText"/>
      </w:pPr>
      <w:r>
        <w:t xml:space="preserve">The thesis started from figures that moved apart in 2023. BPS’s online sales rose by about 41 percent while Bank Indonesia’s measure fell by about 5 percent, and Tokopedia’s revenue rose while its transaction value fell. Each number counts something different. Revenue is what a platform keeps. Bank Indonesia’s number comes from large e-commerce firms. BPS’s comes from the sellers its survey reaches. They stop matching when a platform changes its take rate or a survey changes who it reaches. A reader who asks which of those happened can still use all three.</w:t>
      </w:r>
    </w:p>
    <w:bookmarkEnd w:id="87"/>
    <w:bookmarkEnd w:id="88"/>
    <w:bookmarkStart w:id="99" w:name="appendices"/>
    <w:p>
      <w:pPr>
        <w:pStyle w:val="Heading1"/>
      </w:pPr>
      <w:r>
        <w:t xml:space="preserve">Appendices</w:t>
      </w:r>
    </w:p>
    <w:p>
      <w:pPr>
        <w:pStyle w:val="FirstParagraph"/>
      </w:pPr>
      <w:r>
        <w:t xml:space="preserve">These appendices hold the detail that the main text points to. Every number comes from a table in the project’s repository, named in the notes in small type. Nothing here changes a result in Chapter 5.</w:t>
      </w:r>
    </w:p>
    <w:bookmarkStart w:id="93" w:name="X190ea442f22e8dfb253327d946eb3313b4f8b85"/>
    <w:p>
      <w:pPr>
        <w:pStyle w:val="Heading2"/>
      </w:pPr>
      <w:r>
        <w:t xml:space="preserve">Appendix A. Platforms, windows and the wedge by year</w:t>
      </w:r>
    </w:p>
    <w:bookmarkStart w:id="89" w:name="a.1-the-foreign-group-27-platforms"/>
    <w:p>
      <w:pPr>
        <w:pStyle w:val="Heading3"/>
      </w:pPr>
      <w:r>
        <w:t xml:space="preserve">A.1 The foreign group (27 platforms)</w:t>
      </w:r>
    </w:p>
    <w:p>
      <w:pPr>
        <w:pStyle w:val="FirstParagraph"/>
        <w:jc w:val="left"/>
      </w:pPr>
      <w:r>
        <w:t xml:space="preserve">Pairs are consecutive years that pass the rules of Chapter 4, section 4.1: for the platforms added, the later year is not one in which own goods exceed half of revenue; for the eight chosen first, the reporting scope did not change. Ozon’s one pair starts in a year that fails the own-goods rule (Appendix B). The median is the platform’s median size of yearly change in log take rate. Source:</w:t>
      </w:r>
      <w:r>
        <w:t xml:space="preserve"> </w:t>
      </w:r>
      <w:r>
        <w:rPr>
          <w:rStyle w:val="VerbatimChar"/>
        </w:rPr>
        <w:t xml:space="preserve">tables/spinoff_panel.csv</w:t>
      </w:r>
      <w:r>
        <w:t xml:space="preserve">,</w:t>
      </w:r>
      <w:r>
        <w:t xml:space="preserve"> </w:t>
      </w:r>
      <w:r>
        <w:rPr>
          <w:rStyle w:val="VerbatimChar"/>
        </w:rPr>
        <w:t xml:space="preserve">tables/transitions_master.csv</w:t>
      </w:r>
      <w:r>
        <w:t xml:space="preserve">.</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620"/>
        <w:gridCol w:w="2025"/>
        <w:gridCol w:w="891"/>
        <w:gridCol w:w="3969"/>
      </w:tblGrid>
      <w:tr>
        <w:trPr>
          <w:tblHeader w:val="true"/>
          <w:cantSplit/>
          <w:tblHeader/>
        </w:trPr>
        <w:tc>
          <w:tcPr>
            <w:tcW w:w="1620" w:type="dxa"/>
            <w:tcBorders>
              <w:bottom w:val="single" w:sz="5" w:space="0" w:color="000000"/>
            </w:tcBorders>
          </w:tcPr>
          <w:p>
            <w:pPr>
              <w:pStyle w:val="Compact"/>
              <w:keepNext/>
              <w:spacing w:before="0" w:after="0" w:lineRule="exact" w:line="220"/>
              <w:jc w:val="left"/>
            </w:pPr>
            <w:r>
              <w:rPr>
                <w:b/>
                <w:sz w:val="18"/>
              </w:rPr>
              <w:t xml:space="preserve">Platform</w:t>
            </w:r>
          </w:p>
        </w:tc>
        <w:tc>
          <w:tcPr>
            <w:tcW w:w="2025" w:type="dxa"/>
            <w:tcBorders>
              <w:bottom w:val="single" w:sz="5" w:space="0" w:color="000000"/>
            </w:tcBorders>
          </w:tcPr>
          <w:p>
            <w:pPr>
              <w:pStyle w:val="Compact"/>
              <w:keepNext/>
              <w:spacing w:before="0" w:after="0" w:lineRule="exact" w:line="220"/>
              <w:jc w:val="left"/>
            </w:pPr>
            <w:r>
              <w:rPr>
                <w:b/>
                <w:sz w:val="18"/>
              </w:rPr>
              <w:t xml:space="preserve">Chosen first or added</w:t>
            </w:r>
          </w:p>
        </w:tc>
        <w:tc>
          <w:tcPr>
            <w:tcW w:w="891" w:type="dxa"/>
            <w:tcBorders>
              <w:bottom w:val="single" w:sz="5" w:space="0" w:color="000000"/>
            </w:tcBorders>
          </w:tcPr>
          <w:p>
            <w:pPr>
              <w:pStyle w:val="Compact"/>
              <w:keepNext/>
              <w:spacing w:before="0" w:after="0" w:lineRule="exact" w:line="220"/>
              <w:jc w:val="left"/>
            </w:pPr>
            <w:r>
              <w:rPr>
                <w:b/>
                <w:sz w:val="18"/>
              </w:rPr>
              <w:t xml:space="preserve">Pairs</w:t>
            </w:r>
          </w:p>
        </w:tc>
        <w:tc>
          <w:tcPr>
            <w:tcW w:w="3969" w:type="dxa"/>
            <w:tcBorders>
              <w:bottom w:val="single" w:sz="5" w:space="0" w:color="000000"/>
            </w:tcBorders>
          </w:tcPr>
          <w:p>
            <w:pPr>
              <w:pStyle w:val="Compact"/>
              <w:keepNext/>
              <w:spacing w:before="0" w:after="0" w:lineRule="exact" w:line="220"/>
              <w:jc w:val="left"/>
            </w:pPr>
            <w:r>
              <w:rPr>
                <w:b/>
                <w:sz w:val="18"/>
              </w:rPr>
              <w:t xml:space="preserve">Median size of yearly change in log take rate</w:t>
            </w:r>
          </w:p>
        </w:tc>
      </w:tr>
      <w:tr>
        <w:trPr>
          <w:cantSplit/>
        </w:trPr>
        <w:tc>
          <w:tcPr>
            <w:tcW w:w="1620" w:type="dxa"/>
          </w:tcPr>
          <w:p>
            <w:pPr>
              <w:pStyle w:val="Compact"/>
              <w:keepNext/>
              <w:spacing w:before="0" w:after="0" w:lineRule="exact" w:line="220"/>
              <w:jc w:val="left"/>
            </w:pPr>
            <w:r>
              <w:rPr>
                <w:sz w:val="18"/>
              </w:rPr>
              <w:t xml:space="preserve">ACV Auctions</w:t>
            </w:r>
          </w:p>
        </w:tc>
        <w:tc>
          <w:tcPr>
            <w:tcW w:w="2025" w:type="dxa"/>
          </w:tcPr>
          <w:p>
            <w:pPr>
              <w:pStyle w:val="Compact"/>
              <w:keepNext/>
              <w:spacing w:before="0" w:after="0" w:lineRule="exact" w:line="220"/>
              <w:jc w:val="left"/>
            </w:pPr>
            <w:r>
              <w:rPr>
                <w:sz w:val="18"/>
              </w:rPr>
              <w:t xml:space="preserve">Added</w:t>
            </w:r>
          </w:p>
        </w:tc>
        <w:tc>
          <w:tcPr>
            <w:tcW w:w="891" w:type="dxa"/>
          </w:tcPr>
          <w:p>
            <w:pPr>
              <w:pStyle w:val="Compact"/>
              <w:keepNext/>
              <w:spacing w:before="0" w:after="0" w:lineRule="exact" w:line="220"/>
              <w:jc w:val="left"/>
            </w:pPr>
            <w:r>
              <w:rPr>
                <w:sz w:val="18"/>
              </w:rPr>
              <w:t xml:space="preserve">5</w:t>
            </w:r>
          </w:p>
        </w:tc>
        <w:tc>
          <w:tcPr>
            <w:tcW w:w="3969" w:type="dxa"/>
          </w:tcPr>
          <w:p>
            <w:pPr>
              <w:pStyle w:val="Compact"/>
              <w:keepNext/>
              <w:spacing w:before="0" w:after="0" w:lineRule="exact" w:line="220"/>
              <w:jc w:val="left"/>
            </w:pPr>
            <w:r>
              <w:rPr>
                <w:sz w:val="18"/>
              </w:rPr>
              <w:t xml:space="preserve">0.15</w:t>
            </w:r>
          </w:p>
        </w:tc>
      </w:tr>
      <w:tr>
        <w:trPr>
          <w:cantSplit/>
        </w:trPr>
        <w:tc>
          <w:tcPr>
            <w:tcW w:w="1620" w:type="dxa"/>
          </w:tcPr>
          <w:p>
            <w:pPr>
              <w:pStyle w:val="Compact"/>
              <w:keepNext/>
              <w:spacing w:before="0" w:after="0" w:lineRule="exact" w:line="220"/>
              <w:jc w:val="left"/>
            </w:pPr>
            <w:r>
              <w:rPr>
                <w:sz w:val="18"/>
              </w:rPr>
              <w:t xml:space="preserve">Waitr</w:t>
            </w:r>
          </w:p>
        </w:tc>
        <w:tc>
          <w:tcPr>
            <w:tcW w:w="2025" w:type="dxa"/>
          </w:tcPr>
          <w:p>
            <w:pPr>
              <w:pStyle w:val="Compact"/>
              <w:keepNext/>
              <w:spacing w:before="0" w:after="0" w:lineRule="exact" w:line="220"/>
              <w:jc w:val="left"/>
            </w:pPr>
            <w:r>
              <w:rPr>
                <w:sz w:val="18"/>
              </w:rPr>
              <w:t xml:space="preserve">Added</w:t>
            </w:r>
          </w:p>
        </w:tc>
        <w:tc>
          <w:tcPr>
            <w:tcW w:w="891" w:type="dxa"/>
          </w:tcPr>
          <w:p>
            <w:pPr>
              <w:pStyle w:val="Compact"/>
              <w:keepNext/>
              <w:spacing w:before="0" w:after="0" w:lineRule="exact" w:line="220"/>
              <w:jc w:val="left"/>
            </w:pPr>
            <w:r>
              <w:rPr>
                <w:sz w:val="18"/>
              </w:rPr>
              <w:t xml:space="preserve">6</w:t>
            </w:r>
          </w:p>
        </w:tc>
        <w:tc>
          <w:tcPr>
            <w:tcW w:w="3969" w:type="dxa"/>
          </w:tcPr>
          <w:p>
            <w:pPr>
              <w:pStyle w:val="Compact"/>
              <w:keepNext/>
              <w:spacing w:before="0" w:after="0" w:lineRule="exact" w:line="220"/>
              <w:jc w:val="left"/>
            </w:pPr>
            <w:r>
              <w:rPr>
                <w:sz w:val="18"/>
              </w:rPr>
              <w:t xml:space="preserve">0.10</w:t>
            </w:r>
          </w:p>
        </w:tc>
      </w:tr>
      <w:tr>
        <w:trPr>
          <w:cantSplit/>
        </w:trPr>
        <w:tc>
          <w:tcPr>
            <w:tcW w:w="1620" w:type="dxa"/>
          </w:tcPr>
          <w:p>
            <w:pPr>
              <w:pStyle w:val="Compact"/>
              <w:spacing w:before="0" w:after="0" w:lineRule="exact" w:line="220"/>
              <w:jc w:val="left"/>
            </w:pPr>
            <w:r>
              <w:rPr>
                <w:sz w:val="18"/>
              </w:rPr>
              <w:t xml:space="preserve">Alibaba</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7</w:t>
            </w:r>
          </w:p>
        </w:tc>
        <w:tc>
          <w:tcPr>
            <w:tcW w:w="3969" w:type="dxa"/>
          </w:tcPr>
          <w:p>
            <w:pPr>
              <w:pStyle w:val="Compact"/>
              <w:spacing w:before="0" w:after="0" w:lineRule="exact" w:line="220"/>
              <w:jc w:val="left"/>
            </w:pPr>
            <w:r>
              <w:rPr>
                <w:sz w:val="18"/>
              </w:rPr>
              <w:t xml:space="preserve">0.21</w:t>
            </w:r>
          </w:p>
        </w:tc>
      </w:tr>
      <w:tr>
        <w:trPr>
          <w:cantSplit/>
        </w:trPr>
        <w:tc>
          <w:tcPr>
            <w:tcW w:w="1620" w:type="dxa"/>
          </w:tcPr>
          <w:p>
            <w:pPr>
              <w:pStyle w:val="Compact"/>
              <w:spacing w:before="0" w:after="0" w:lineRule="exact" w:line="220"/>
              <w:jc w:val="left"/>
            </w:pPr>
            <w:r>
              <w:rPr>
                <w:sz w:val="18"/>
              </w:rPr>
              <w:t xml:space="preserve">Despegar</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9</w:t>
            </w:r>
          </w:p>
        </w:tc>
        <w:tc>
          <w:tcPr>
            <w:tcW w:w="3969" w:type="dxa"/>
          </w:tcPr>
          <w:p>
            <w:pPr>
              <w:pStyle w:val="Compact"/>
              <w:spacing w:before="0" w:after="0" w:lineRule="exact" w:line="220"/>
              <w:jc w:val="left"/>
            </w:pPr>
            <w:r>
              <w:rPr>
                <w:sz w:val="18"/>
              </w:rPr>
              <w:t xml:space="preserve">0.07</w:t>
            </w:r>
          </w:p>
        </w:tc>
      </w:tr>
      <w:tr>
        <w:trPr>
          <w:cantSplit/>
        </w:trPr>
        <w:tc>
          <w:tcPr>
            <w:tcW w:w="1620" w:type="dxa"/>
          </w:tcPr>
          <w:p>
            <w:pPr>
              <w:pStyle w:val="Compact"/>
              <w:spacing w:before="0" w:after="0" w:lineRule="exact" w:line="220"/>
              <w:jc w:val="left"/>
            </w:pPr>
            <w:r>
              <w:rPr>
                <w:sz w:val="18"/>
              </w:rPr>
              <w:t xml:space="preserve">1stDibs</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6</w:t>
            </w:r>
          </w:p>
        </w:tc>
        <w:tc>
          <w:tcPr>
            <w:tcW w:w="3969" w:type="dxa"/>
          </w:tcPr>
          <w:p>
            <w:pPr>
              <w:pStyle w:val="Compact"/>
              <w:spacing w:before="0" w:after="0" w:lineRule="exact" w:line="220"/>
              <w:jc w:val="left"/>
            </w:pPr>
            <w:r>
              <w:rPr>
                <w:sz w:val="18"/>
              </w:rPr>
              <w:t xml:space="preserve">0.03</w:t>
            </w:r>
          </w:p>
        </w:tc>
      </w:tr>
      <w:tr>
        <w:trPr>
          <w:cantSplit/>
        </w:trPr>
        <w:tc>
          <w:tcPr>
            <w:tcW w:w="1620" w:type="dxa"/>
          </w:tcPr>
          <w:p>
            <w:pPr>
              <w:pStyle w:val="Compact"/>
              <w:spacing w:before="0" w:after="0" w:lineRule="exact" w:line="220"/>
              <w:jc w:val="left"/>
            </w:pPr>
            <w:r>
              <w:rPr>
                <w:sz w:val="18"/>
              </w:rPr>
              <w:t xml:space="preserve">Expedia</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11</w:t>
            </w:r>
          </w:p>
        </w:tc>
        <w:tc>
          <w:tcPr>
            <w:tcW w:w="3969" w:type="dxa"/>
          </w:tcPr>
          <w:p>
            <w:pPr>
              <w:pStyle w:val="Compact"/>
              <w:spacing w:before="0" w:after="0" w:lineRule="exact" w:line="220"/>
              <w:jc w:val="left"/>
            </w:pPr>
            <w:r>
              <w:rPr>
                <w:sz w:val="18"/>
              </w:rPr>
              <w:t xml:space="preserve">0.03</w:t>
            </w:r>
          </w:p>
        </w:tc>
      </w:tr>
      <w:tr>
        <w:trPr>
          <w:cantSplit/>
        </w:trPr>
        <w:tc>
          <w:tcPr>
            <w:tcW w:w="1620" w:type="dxa"/>
          </w:tcPr>
          <w:p>
            <w:pPr>
              <w:pStyle w:val="Compact"/>
              <w:spacing w:before="0" w:after="0" w:lineRule="exact" w:line="220"/>
              <w:jc w:val="left"/>
            </w:pPr>
            <w:r>
              <w:rPr>
                <w:sz w:val="18"/>
              </w:rPr>
              <w:t xml:space="preserve">Fiverr</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7</w:t>
            </w:r>
          </w:p>
        </w:tc>
        <w:tc>
          <w:tcPr>
            <w:tcW w:w="3969" w:type="dxa"/>
          </w:tcPr>
          <w:p>
            <w:pPr>
              <w:pStyle w:val="Compact"/>
              <w:spacing w:before="0" w:after="0" w:lineRule="exact" w:line="220"/>
              <w:jc w:val="left"/>
            </w:pPr>
            <w:r>
              <w:rPr>
                <w:sz w:val="18"/>
              </w:rPr>
              <w:t xml:space="preserve">0.05</w:t>
            </w:r>
          </w:p>
        </w:tc>
      </w:tr>
      <w:tr>
        <w:trPr>
          <w:cantSplit/>
        </w:trPr>
        <w:tc>
          <w:tcPr>
            <w:tcW w:w="1620" w:type="dxa"/>
          </w:tcPr>
          <w:p>
            <w:pPr>
              <w:pStyle w:val="Compact"/>
              <w:spacing w:before="0" w:after="0" w:lineRule="exact" w:line="220"/>
              <w:jc w:val="left"/>
            </w:pPr>
            <w:r>
              <w:rPr>
                <w:sz w:val="18"/>
              </w:rPr>
              <w:t xml:space="preserve">Grubhub</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6</w:t>
            </w:r>
          </w:p>
        </w:tc>
        <w:tc>
          <w:tcPr>
            <w:tcW w:w="3969" w:type="dxa"/>
          </w:tcPr>
          <w:p>
            <w:pPr>
              <w:pStyle w:val="Compact"/>
              <w:spacing w:before="0" w:after="0" w:lineRule="exact" w:line="220"/>
              <w:jc w:val="left"/>
            </w:pPr>
            <w:r>
              <w:rPr>
                <w:sz w:val="18"/>
              </w:rPr>
              <w:t xml:space="preserve">0.09</w:t>
            </w:r>
          </w:p>
        </w:tc>
      </w:tr>
      <w:tr>
        <w:trPr>
          <w:cantSplit/>
        </w:trPr>
        <w:tc>
          <w:tcPr>
            <w:tcW w:w="1620" w:type="dxa"/>
          </w:tcPr>
          <w:p>
            <w:pPr>
              <w:pStyle w:val="Compact"/>
              <w:spacing w:before="0" w:after="0" w:lineRule="exact" w:line="220"/>
              <w:jc w:val="left"/>
            </w:pPr>
            <w:r>
              <w:rPr>
                <w:sz w:val="18"/>
              </w:rPr>
              <w:t xml:space="preserve">Hepsiburada</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5</w:t>
            </w:r>
          </w:p>
        </w:tc>
        <w:tc>
          <w:tcPr>
            <w:tcW w:w="3969" w:type="dxa"/>
          </w:tcPr>
          <w:p>
            <w:pPr>
              <w:pStyle w:val="Compact"/>
              <w:spacing w:before="0" w:after="0" w:lineRule="exact" w:line="220"/>
              <w:jc w:val="left"/>
            </w:pPr>
            <w:r>
              <w:rPr>
                <w:sz w:val="18"/>
              </w:rPr>
              <w:t xml:space="preserve">0.03</w:t>
            </w:r>
          </w:p>
        </w:tc>
      </w:tr>
      <w:tr>
        <w:trPr>
          <w:cantSplit/>
        </w:trPr>
        <w:tc>
          <w:tcPr>
            <w:tcW w:w="1620" w:type="dxa"/>
          </w:tcPr>
          <w:p>
            <w:pPr>
              <w:pStyle w:val="Compact"/>
              <w:spacing w:before="0" w:after="0" w:lineRule="exact" w:line="220"/>
              <w:jc w:val="left"/>
            </w:pPr>
            <w:r>
              <w:rPr>
                <w:sz w:val="18"/>
              </w:rPr>
              <w:t xml:space="preserve">Kaspi.kz</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4</w:t>
            </w:r>
          </w:p>
        </w:tc>
        <w:tc>
          <w:tcPr>
            <w:tcW w:w="3969" w:type="dxa"/>
          </w:tcPr>
          <w:p>
            <w:pPr>
              <w:pStyle w:val="Compact"/>
              <w:spacing w:before="0" w:after="0" w:lineRule="exact" w:line="220"/>
              <w:jc w:val="left"/>
            </w:pPr>
            <w:r>
              <w:rPr>
                <w:sz w:val="18"/>
              </w:rPr>
              <w:t xml:space="preserve">0.08</w:t>
            </w:r>
          </w:p>
        </w:tc>
      </w:tr>
      <w:tr>
        <w:trPr>
          <w:cantSplit/>
        </w:trPr>
        <w:tc>
          <w:tcPr>
            <w:tcW w:w="1620" w:type="dxa"/>
          </w:tcPr>
          <w:p>
            <w:pPr>
              <w:pStyle w:val="Compact"/>
              <w:spacing w:before="0" w:after="0" w:lineRule="exact" w:line="220"/>
              <w:jc w:val="left"/>
            </w:pPr>
            <w:r>
              <w:rPr>
                <w:sz w:val="18"/>
              </w:rPr>
              <w:t xml:space="preserve">Mogu</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9</w:t>
            </w:r>
          </w:p>
        </w:tc>
        <w:tc>
          <w:tcPr>
            <w:tcW w:w="3969" w:type="dxa"/>
          </w:tcPr>
          <w:p>
            <w:pPr>
              <w:pStyle w:val="Compact"/>
              <w:spacing w:before="0" w:after="0" w:lineRule="exact" w:line="220"/>
              <w:jc w:val="left"/>
            </w:pPr>
            <w:r>
              <w:rPr>
                <w:sz w:val="18"/>
              </w:rPr>
              <w:t xml:space="preserve">0.21</w:t>
            </w:r>
          </w:p>
        </w:tc>
      </w:tr>
      <w:tr>
        <w:trPr>
          <w:cantSplit/>
        </w:trPr>
        <w:tc>
          <w:tcPr>
            <w:tcW w:w="1620" w:type="dxa"/>
          </w:tcPr>
          <w:p>
            <w:pPr>
              <w:pStyle w:val="Compact"/>
              <w:spacing w:before="0" w:after="0" w:lineRule="exact" w:line="220"/>
              <w:jc w:val="left"/>
            </w:pPr>
            <w:r>
              <w:rPr>
                <w:sz w:val="18"/>
              </w:rPr>
              <w:t xml:space="preserve">Ozon</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1</w:t>
            </w:r>
          </w:p>
        </w:tc>
        <w:tc>
          <w:tcPr>
            <w:tcW w:w="3969" w:type="dxa"/>
          </w:tcPr>
          <w:p>
            <w:pPr>
              <w:pStyle w:val="Compact"/>
              <w:spacing w:before="0" w:after="0" w:lineRule="exact" w:line="220"/>
              <w:jc w:val="left"/>
            </w:pPr>
            <w:r>
              <w:rPr>
                <w:sz w:val="18"/>
              </w:rPr>
              <w:t xml:space="preserve">0.18</w:t>
            </w:r>
          </w:p>
        </w:tc>
      </w:tr>
      <w:tr>
        <w:trPr>
          <w:cantSplit/>
        </w:trPr>
        <w:tc>
          <w:tcPr>
            <w:tcW w:w="1620" w:type="dxa"/>
          </w:tcPr>
          <w:p>
            <w:pPr>
              <w:pStyle w:val="Compact"/>
              <w:spacing w:before="0" w:after="0" w:lineRule="exact" w:line="220"/>
              <w:jc w:val="left"/>
            </w:pPr>
            <w:r>
              <w:rPr>
                <w:sz w:val="18"/>
              </w:rPr>
              <w:t xml:space="preserve">PDD Holdings</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4</w:t>
            </w:r>
          </w:p>
        </w:tc>
        <w:tc>
          <w:tcPr>
            <w:tcW w:w="3969" w:type="dxa"/>
          </w:tcPr>
          <w:p>
            <w:pPr>
              <w:pStyle w:val="Compact"/>
              <w:spacing w:before="0" w:after="0" w:lineRule="exact" w:line="220"/>
              <w:jc w:val="left"/>
            </w:pPr>
            <w:r>
              <w:rPr>
                <w:sz w:val="18"/>
              </w:rPr>
              <w:t xml:space="preserve">0.13</w:t>
            </w:r>
          </w:p>
        </w:tc>
      </w:tr>
      <w:tr>
        <w:trPr>
          <w:cantSplit/>
        </w:trPr>
        <w:tc>
          <w:tcPr>
            <w:tcW w:w="1620" w:type="dxa"/>
          </w:tcPr>
          <w:p>
            <w:pPr>
              <w:pStyle w:val="Compact"/>
              <w:spacing w:before="0" w:after="0" w:lineRule="exact" w:line="220"/>
              <w:jc w:val="left"/>
            </w:pPr>
            <w:r>
              <w:rPr>
                <w:sz w:val="18"/>
              </w:rPr>
              <w:t xml:space="preserve">RB Global</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11</w:t>
            </w:r>
          </w:p>
        </w:tc>
        <w:tc>
          <w:tcPr>
            <w:tcW w:w="3969" w:type="dxa"/>
          </w:tcPr>
          <w:p>
            <w:pPr>
              <w:pStyle w:val="Compact"/>
              <w:spacing w:before="0" w:after="0" w:lineRule="exact" w:line="220"/>
              <w:jc w:val="left"/>
            </w:pPr>
            <w:r>
              <w:rPr>
                <w:sz w:val="18"/>
              </w:rPr>
              <w:t xml:space="preserve">0.06</w:t>
            </w:r>
          </w:p>
        </w:tc>
      </w:tr>
      <w:tr>
        <w:trPr>
          <w:cantSplit/>
        </w:trPr>
        <w:tc>
          <w:tcPr>
            <w:tcW w:w="1620" w:type="dxa"/>
          </w:tcPr>
          <w:p>
            <w:pPr>
              <w:pStyle w:val="Compact"/>
              <w:spacing w:before="0" w:after="0" w:lineRule="exact" w:line="220"/>
              <w:jc w:val="left"/>
            </w:pPr>
            <w:r>
              <w:rPr>
                <w:sz w:val="18"/>
              </w:rPr>
              <w:t xml:space="preserve">The RealReal</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8</w:t>
            </w:r>
          </w:p>
        </w:tc>
        <w:tc>
          <w:tcPr>
            <w:tcW w:w="3969" w:type="dxa"/>
          </w:tcPr>
          <w:p>
            <w:pPr>
              <w:pStyle w:val="Compact"/>
              <w:spacing w:before="0" w:after="0" w:lineRule="exact" w:line="220"/>
              <w:jc w:val="left"/>
            </w:pPr>
            <w:r>
              <w:rPr>
                <w:sz w:val="18"/>
              </w:rPr>
              <w:t xml:space="preserve">0.04</w:t>
            </w:r>
          </w:p>
        </w:tc>
      </w:tr>
      <w:tr>
        <w:trPr>
          <w:cantSplit/>
        </w:trPr>
        <w:tc>
          <w:tcPr>
            <w:tcW w:w="1620" w:type="dxa"/>
          </w:tcPr>
          <w:p>
            <w:pPr>
              <w:pStyle w:val="Compact"/>
              <w:spacing w:before="0" w:after="0" w:lineRule="exact" w:line="220"/>
              <w:jc w:val="left"/>
            </w:pPr>
            <w:r>
              <w:rPr>
                <w:sz w:val="18"/>
              </w:rPr>
              <w:t xml:space="preserve">Vivid Seats</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6</w:t>
            </w:r>
          </w:p>
        </w:tc>
        <w:tc>
          <w:tcPr>
            <w:tcW w:w="3969" w:type="dxa"/>
          </w:tcPr>
          <w:p>
            <w:pPr>
              <w:pStyle w:val="Compact"/>
              <w:spacing w:before="0" w:after="0" w:lineRule="exact" w:line="220"/>
              <w:jc w:val="left"/>
            </w:pPr>
            <w:r>
              <w:rPr>
                <w:sz w:val="18"/>
              </w:rPr>
              <w:t xml:space="preserve">0.07</w:t>
            </w:r>
          </w:p>
        </w:tc>
      </w:tr>
      <w:tr>
        <w:trPr>
          <w:cantSplit/>
        </w:trPr>
        <w:tc>
          <w:tcPr>
            <w:tcW w:w="1620" w:type="dxa"/>
          </w:tcPr>
          <w:p>
            <w:pPr>
              <w:pStyle w:val="Compact"/>
              <w:spacing w:before="0" w:after="0" w:lineRule="exact" w:line="220"/>
              <w:jc w:val="left"/>
            </w:pPr>
            <w:r>
              <w:rPr>
                <w:sz w:val="18"/>
              </w:rPr>
              <w:t xml:space="preserve">Upwork</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8</w:t>
            </w:r>
          </w:p>
        </w:tc>
        <w:tc>
          <w:tcPr>
            <w:tcW w:w="3969" w:type="dxa"/>
          </w:tcPr>
          <w:p>
            <w:pPr>
              <w:pStyle w:val="Compact"/>
              <w:spacing w:before="0" w:after="0" w:lineRule="exact" w:line="220"/>
              <w:jc w:val="left"/>
            </w:pPr>
            <w:r>
              <w:rPr>
                <w:sz w:val="18"/>
              </w:rPr>
              <w:t xml:space="preserve">0.04</w:t>
            </w:r>
          </w:p>
        </w:tc>
      </w:tr>
      <w:tr>
        <w:trPr>
          <w:cantSplit/>
        </w:trPr>
        <w:tc>
          <w:tcPr>
            <w:tcW w:w="1620" w:type="dxa"/>
          </w:tcPr>
          <w:p>
            <w:pPr>
              <w:pStyle w:val="Compact"/>
              <w:spacing w:before="0" w:after="0" w:lineRule="exact" w:line="220"/>
              <w:jc w:val="left"/>
            </w:pPr>
            <w:r>
              <w:rPr>
                <w:sz w:val="18"/>
              </w:rPr>
              <w:t xml:space="preserve">Vacasa</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5</w:t>
            </w:r>
          </w:p>
        </w:tc>
        <w:tc>
          <w:tcPr>
            <w:tcW w:w="3969" w:type="dxa"/>
          </w:tcPr>
          <w:p>
            <w:pPr>
              <w:pStyle w:val="Compact"/>
              <w:spacing w:before="0" w:after="0" w:lineRule="exact" w:line="220"/>
              <w:jc w:val="left"/>
            </w:pPr>
            <w:r>
              <w:rPr>
                <w:sz w:val="18"/>
              </w:rPr>
              <w:t xml:space="preserve">0.03</w:t>
            </w:r>
          </w:p>
        </w:tc>
      </w:tr>
      <w:tr>
        <w:trPr>
          <w:cantSplit/>
        </w:trPr>
        <w:tc>
          <w:tcPr>
            <w:tcW w:w="1620" w:type="dxa"/>
          </w:tcPr>
          <w:p>
            <w:pPr>
              <w:pStyle w:val="Compact"/>
              <w:spacing w:before="0" w:after="0" w:lineRule="exact" w:line="220"/>
              <w:jc w:val="left"/>
            </w:pPr>
            <w:r>
              <w:rPr>
                <w:sz w:val="18"/>
              </w:rPr>
              <w:t xml:space="preserve">Yatra</w:t>
            </w:r>
          </w:p>
        </w:tc>
        <w:tc>
          <w:tcPr>
            <w:tcW w:w="2025" w:type="dxa"/>
          </w:tcPr>
          <w:p>
            <w:pPr>
              <w:pStyle w:val="Compact"/>
              <w:spacing w:before="0" w:after="0" w:lineRule="exact" w:line="220"/>
              <w:jc w:val="left"/>
            </w:pPr>
            <w:r>
              <w:rPr>
                <w:sz w:val="18"/>
              </w:rPr>
              <w:t xml:space="preserve">Added</w:t>
            </w:r>
          </w:p>
        </w:tc>
        <w:tc>
          <w:tcPr>
            <w:tcW w:w="891" w:type="dxa"/>
          </w:tcPr>
          <w:p>
            <w:pPr>
              <w:pStyle w:val="Compact"/>
              <w:spacing w:before="0" w:after="0" w:lineRule="exact" w:line="220"/>
              <w:jc w:val="left"/>
            </w:pPr>
            <w:r>
              <w:rPr>
                <w:sz w:val="18"/>
              </w:rPr>
              <w:t xml:space="preserve">11</w:t>
            </w:r>
          </w:p>
        </w:tc>
        <w:tc>
          <w:tcPr>
            <w:tcW w:w="3969" w:type="dxa"/>
          </w:tcPr>
          <w:p>
            <w:pPr>
              <w:pStyle w:val="Compact"/>
              <w:spacing w:before="0" w:after="0" w:lineRule="exact" w:line="220"/>
              <w:jc w:val="left"/>
            </w:pPr>
            <w:r>
              <w:rPr>
                <w:sz w:val="18"/>
              </w:rPr>
              <w:t xml:space="preserve">0.03</w:t>
            </w:r>
          </w:p>
        </w:tc>
      </w:tr>
      <w:tr>
        <w:trPr>
          <w:cantSplit/>
        </w:trPr>
        <w:tc>
          <w:tcPr>
            <w:tcW w:w="1620" w:type="dxa"/>
          </w:tcPr>
          <w:p>
            <w:pPr>
              <w:pStyle w:val="Compact"/>
              <w:spacing w:before="0" w:after="0" w:lineRule="exact" w:line="220"/>
              <w:jc w:val="left"/>
            </w:pPr>
            <w:r>
              <w:rPr>
                <w:sz w:val="18"/>
              </w:rPr>
              <w:t xml:space="preserve">Etsy</w:t>
            </w:r>
          </w:p>
        </w:tc>
        <w:tc>
          <w:tcPr>
            <w:tcW w:w="2025" w:type="dxa"/>
          </w:tcPr>
          <w:p>
            <w:pPr>
              <w:pStyle w:val="Compact"/>
              <w:spacing w:before="0" w:after="0" w:lineRule="exact" w:line="220"/>
              <w:jc w:val="left"/>
            </w:pPr>
            <w:r>
              <w:rPr>
                <w:sz w:val="18"/>
              </w:rPr>
              <w:t xml:space="preserve">Chosen first</w:t>
            </w:r>
          </w:p>
        </w:tc>
        <w:tc>
          <w:tcPr>
            <w:tcW w:w="891" w:type="dxa"/>
          </w:tcPr>
          <w:p>
            <w:pPr>
              <w:pStyle w:val="Compact"/>
              <w:spacing w:before="0" w:after="0" w:lineRule="exact" w:line="220"/>
              <w:jc w:val="left"/>
            </w:pPr>
            <w:r>
              <w:rPr>
                <w:sz w:val="18"/>
              </w:rPr>
              <w:t xml:space="preserve">3</w:t>
            </w:r>
          </w:p>
        </w:tc>
        <w:tc>
          <w:tcPr>
            <w:tcW w:w="3969" w:type="dxa"/>
          </w:tcPr>
          <w:p>
            <w:pPr>
              <w:pStyle w:val="Compact"/>
              <w:spacing w:before="0" w:after="0" w:lineRule="exact" w:line="220"/>
              <w:jc w:val="left"/>
            </w:pPr>
            <w:r>
              <w:rPr>
                <w:sz w:val="18"/>
              </w:rPr>
              <w:t xml:space="preserve">0.07</w:t>
            </w:r>
          </w:p>
        </w:tc>
      </w:tr>
      <w:tr>
        <w:trPr>
          <w:cantSplit/>
        </w:trPr>
        <w:tc>
          <w:tcPr>
            <w:tcW w:w="1620" w:type="dxa"/>
          </w:tcPr>
          <w:p>
            <w:pPr>
              <w:pStyle w:val="Compact"/>
              <w:spacing w:before="0" w:after="0" w:lineRule="exact" w:line="220"/>
              <w:jc w:val="left"/>
            </w:pPr>
            <w:r>
              <w:rPr>
                <w:sz w:val="18"/>
              </w:rPr>
              <w:t xml:space="preserve">Jumia</w:t>
            </w:r>
          </w:p>
        </w:tc>
        <w:tc>
          <w:tcPr>
            <w:tcW w:w="2025" w:type="dxa"/>
          </w:tcPr>
          <w:p>
            <w:pPr>
              <w:pStyle w:val="Compact"/>
              <w:spacing w:before="0" w:after="0" w:lineRule="exact" w:line="220"/>
              <w:jc w:val="left"/>
            </w:pPr>
            <w:r>
              <w:rPr>
                <w:sz w:val="18"/>
              </w:rPr>
              <w:t xml:space="preserve">Chosen first</w:t>
            </w:r>
          </w:p>
        </w:tc>
        <w:tc>
          <w:tcPr>
            <w:tcW w:w="891" w:type="dxa"/>
          </w:tcPr>
          <w:p>
            <w:pPr>
              <w:pStyle w:val="Compact"/>
              <w:spacing w:before="0" w:after="0" w:lineRule="exact" w:line="220"/>
              <w:jc w:val="left"/>
            </w:pPr>
            <w:r>
              <w:rPr>
                <w:sz w:val="18"/>
              </w:rPr>
              <w:t xml:space="preserve">3</w:t>
            </w:r>
          </w:p>
        </w:tc>
        <w:tc>
          <w:tcPr>
            <w:tcW w:w="3969" w:type="dxa"/>
          </w:tcPr>
          <w:p>
            <w:pPr>
              <w:pStyle w:val="Compact"/>
              <w:spacing w:before="0" w:after="0" w:lineRule="exact" w:line="220"/>
              <w:jc w:val="left"/>
            </w:pPr>
            <w:r>
              <w:rPr>
                <w:sz w:val="18"/>
              </w:rPr>
              <w:t xml:space="preserve">0.16</w:t>
            </w:r>
          </w:p>
        </w:tc>
      </w:tr>
      <w:tr>
        <w:trPr>
          <w:cantSplit/>
        </w:trPr>
        <w:tc>
          <w:tcPr>
            <w:tcW w:w="1620" w:type="dxa"/>
          </w:tcPr>
          <w:p>
            <w:pPr>
              <w:pStyle w:val="Compact"/>
              <w:spacing w:before="0" w:after="0" w:lineRule="exact" w:line="220"/>
              <w:jc w:val="left"/>
            </w:pPr>
            <w:r>
              <w:rPr>
                <w:sz w:val="18"/>
              </w:rPr>
              <w:t xml:space="preserve">Mercado Libre</w:t>
            </w:r>
          </w:p>
        </w:tc>
        <w:tc>
          <w:tcPr>
            <w:tcW w:w="2025" w:type="dxa"/>
          </w:tcPr>
          <w:p>
            <w:pPr>
              <w:pStyle w:val="Compact"/>
              <w:spacing w:before="0" w:after="0" w:lineRule="exact" w:line="220"/>
              <w:jc w:val="left"/>
            </w:pPr>
            <w:r>
              <w:rPr>
                <w:sz w:val="18"/>
              </w:rPr>
              <w:t xml:space="preserve">Chosen first</w:t>
            </w:r>
          </w:p>
        </w:tc>
        <w:tc>
          <w:tcPr>
            <w:tcW w:w="891" w:type="dxa"/>
          </w:tcPr>
          <w:p>
            <w:pPr>
              <w:pStyle w:val="Compact"/>
              <w:spacing w:before="0" w:after="0" w:lineRule="exact" w:line="220"/>
              <w:jc w:val="left"/>
            </w:pPr>
            <w:r>
              <w:rPr>
                <w:sz w:val="18"/>
              </w:rPr>
              <w:t xml:space="preserve">2</w:t>
            </w:r>
          </w:p>
        </w:tc>
        <w:tc>
          <w:tcPr>
            <w:tcW w:w="3969" w:type="dxa"/>
          </w:tcPr>
          <w:p>
            <w:pPr>
              <w:pStyle w:val="Compact"/>
              <w:spacing w:before="0" w:after="0" w:lineRule="exact" w:line="220"/>
              <w:jc w:val="left"/>
            </w:pPr>
            <w:r>
              <w:rPr>
                <w:sz w:val="18"/>
              </w:rPr>
              <w:t xml:space="preserve">0.06</w:t>
            </w:r>
          </w:p>
        </w:tc>
      </w:tr>
      <w:tr>
        <w:trPr>
          <w:cantSplit/>
        </w:trPr>
        <w:tc>
          <w:tcPr>
            <w:tcW w:w="1620" w:type="dxa"/>
          </w:tcPr>
          <w:p>
            <w:pPr>
              <w:pStyle w:val="Compact"/>
              <w:spacing w:before="0" w:after="0" w:lineRule="exact" w:line="220"/>
              <w:jc w:val="left"/>
            </w:pPr>
            <w:r>
              <w:rPr>
                <w:sz w:val="18"/>
              </w:rPr>
              <w:t xml:space="preserve">Rakuten</w:t>
            </w:r>
          </w:p>
        </w:tc>
        <w:tc>
          <w:tcPr>
            <w:tcW w:w="2025" w:type="dxa"/>
          </w:tcPr>
          <w:p>
            <w:pPr>
              <w:pStyle w:val="Compact"/>
              <w:spacing w:before="0" w:after="0" w:lineRule="exact" w:line="220"/>
              <w:jc w:val="left"/>
            </w:pPr>
            <w:r>
              <w:rPr>
                <w:sz w:val="18"/>
              </w:rPr>
              <w:t xml:space="preserve">Chosen first</w:t>
            </w:r>
          </w:p>
        </w:tc>
        <w:tc>
          <w:tcPr>
            <w:tcW w:w="891" w:type="dxa"/>
          </w:tcPr>
          <w:p>
            <w:pPr>
              <w:pStyle w:val="Compact"/>
              <w:spacing w:before="0" w:after="0" w:lineRule="exact" w:line="220"/>
              <w:jc w:val="left"/>
            </w:pPr>
            <w:r>
              <w:rPr>
                <w:sz w:val="18"/>
              </w:rPr>
              <w:t xml:space="preserve">1</w:t>
            </w:r>
          </w:p>
        </w:tc>
        <w:tc>
          <w:tcPr>
            <w:tcW w:w="3969" w:type="dxa"/>
          </w:tcPr>
          <w:p>
            <w:pPr>
              <w:pStyle w:val="Compact"/>
              <w:spacing w:before="0" w:after="0" w:lineRule="exact" w:line="220"/>
              <w:jc w:val="left"/>
            </w:pPr>
            <w:r>
              <w:rPr>
                <w:sz w:val="18"/>
              </w:rPr>
              <w:t xml:space="preserve">0.02</w:t>
            </w:r>
          </w:p>
        </w:tc>
      </w:tr>
      <w:tr>
        <w:trPr>
          <w:cantSplit/>
        </w:trPr>
        <w:tc>
          <w:tcPr>
            <w:tcW w:w="1620" w:type="dxa"/>
          </w:tcPr>
          <w:p>
            <w:pPr>
              <w:pStyle w:val="Compact"/>
              <w:spacing w:before="0" w:after="0" w:lineRule="exact" w:line="220"/>
              <w:jc w:val="left"/>
            </w:pPr>
            <w:r>
              <w:rPr>
                <w:sz w:val="18"/>
              </w:rPr>
              <w:t xml:space="preserve">Sea / Shopee</w:t>
            </w:r>
          </w:p>
        </w:tc>
        <w:tc>
          <w:tcPr>
            <w:tcW w:w="2025" w:type="dxa"/>
          </w:tcPr>
          <w:p>
            <w:pPr>
              <w:pStyle w:val="Compact"/>
              <w:spacing w:before="0" w:after="0" w:lineRule="exact" w:line="220"/>
              <w:jc w:val="left"/>
            </w:pPr>
            <w:r>
              <w:rPr>
                <w:sz w:val="18"/>
              </w:rPr>
              <w:t xml:space="preserve">Chosen first</w:t>
            </w:r>
          </w:p>
        </w:tc>
        <w:tc>
          <w:tcPr>
            <w:tcW w:w="891" w:type="dxa"/>
          </w:tcPr>
          <w:p>
            <w:pPr>
              <w:pStyle w:val="Compact"/>
              <w:spacing w:before="0" w:after="0" w:lineRule="exact" w:line="220"/>
              <w:jc w:val="left"/>
            </w:pPr>
            <w:r>
              <w:rPr>
                <w:sz w:val="18"/>
              </w:rPr>
              <w:t xml:space="preserve">7</w:t>
            </w:r>
          </w:p>
        </w:tc>
        <w:tc>
          <w:tcPr>
            <w:tcW w:w="3969" w:type="dxa"/>
          </w:tcPr>
          <w:p>
            <w:pPr>
              <w:pStyle w:val="Compact"/>
              <w:spacing w:before="0" w:after="0" w:lineRule="exact" w:line="220"/>
              <w:jc w:val="left"/>
            </w:pPr>
            <w:r>
              <w:rPr>
                <w:sz w:val="18"/>
              </w:rPr>
              <w:t xml:space="preserve">0.25</w:t>
            </w:r>
          </w:p>
        </w:tc>
      </w:tr>
      <w:tr>
        <w:trPr>
          <w:cantSplit/>
        </w:trPr>
        <w:tc>
          <w:tcPr>
            <w:tcW w:w="1620" w:type="dxa"/>
          </w:tcPr>
          <w:p>
            <w:pPr>
              <w:pStyle w:val="Compact"/>
              <w:spacing w:before="0" w:after="0" w:lineRule="exact" w:line="220"/>
              <w:jc w:val="left"/>
            </w:pPr>
            <w:r>
              <w:rPr>
                <w:sz w:val="18"/>
              </w:rPr>
              <w:t xml:space="preserve">Shopify</w:t>
            </w:r>
          </w:p>
        </w:tc>
        <w:tc>
          <w:tcPr>
            <w:tcW w:w="2025" w:type="dxa"/>
          </w:tcPr>
          <w:p>
            <w:pPr>
              <w:pStyle w:val="Compact"/>
              <w:spacing w:before="0" w:after="0" w:lineRule="exact" w:line="220"/>
              <w:jc w:val="left"/>
            </w:pPr>
            <w:r>
              <w:rPr>
                <w:sz w:val="18"/>
              </w:rPr>
              <w:t xml:space="preserve">Chosen first</w:t>
            </w:r>
          </w:p>
        </w:tc>
        <w:tc>
          <w:tcPr>
            <w:tcW w:w="891" w:type="dxa"/>
          </w:tcPr>
          <w:p>
            <w:pPr>
              <w:pStyle w:val="Compact"/>
              <w:spacing w:before="0" w:after="0" w:lineRule="exact" w:line="220"/>
              <w:jc w:val="left"/>
            </w:pPr>
            <w:r>
              <w:rPr>
                <w:sz w:val="18"/>
              </w:rPr>
              <w:t xml:space="preserve">5</w:t>
            </w:r>
          </w:p>
        </w:tc>
        <w:tc>
          <w:tcPr>
            <w:tcW w:w="3969" w:type="dxa"/>
          </w:tcPr>
          <w:p>
            <w:pPr>
              <w:pStyle w:val="Compact"/>
              <w:spacing w:before="0" w:after="0" w:lineRule="exact" w:line="220"/>
              <w:jc w:val="left"/>
            </w:pPr>
            <w:r>
              <w:rPr>
                <w:sz w:val="18"/>
              </w:rPr>
              <w:t xml:space="preserve">0.05</w:t>
            </w:r>
          </w:p>
        </w:tc>
      </w:tr>
      <w:tr>
        <w:trPr>
          <w:cantSplit/>
        </w:trPr>
        <w:tc>
          <w:tcPr>
            <w:tcW w:w="1620" w:type="dxa"/>
          </w:tcPr>
          <w:p>
            <w:pPr>
              <w:pStyle w:val="Compact"/>
              <w:keepNext/>
              <w:spacing w:before="0" w:after="0" w:lineRule="exact" w:line="220"/>
              <w:jc w:val="left"/>
            </w:pPr>
            <w:r>
              <w:rPr>
                <w:sz w:val="18"/>
              </w:rPr>
              <w:t xml:space="preserve">Zalando</w:t>
            </w:r>
          </w:p>
        </w:tc>
        <w:tc>
          <w:tcPr>
            <w:tcW w:w="2025" w:type="dxa"/>
          </w:tcPr>
          <w:p>
            <w:pPr>
              <w:pStyle w:val="Compact"/>
              <w:keepNext/>
              <w:spacing w:before="0" w:after="0" w:lineRule="exact" w:line="220"/>
              <w:jc w:val="left"/>
            </w:pPr>
            <w:r>
              <w:rPr>
                <w:sz w:val="18"/>
              </w:rPr>
              <w:t xml:space="preserve">Chosen first</w:t>
            </w:r>
          </w:p>
        </w:tc>
        <w:tc>
          <w:tcPr>
            <w:tcW w:w="891" w:type="dxa"/>
          </w:tcPr>
          <w:p>
            <w:pPr>
              <w:pStyle w:val="Compact"/>
              <w:keepNext/>
              <w:spacing w:before="0" w:after="0" w:lineRule="exact" w:line="220"/>
              <w:jc w:val="left"/>
            </w:pPr>
            <w:r>
              <w:rPr>
                <w:sz w:val="18"/>
              </w:rPr>
              <w:t xml:space="preserve">4</w:t>
            </w:r>
          </w:p>
        </w:tc>
        <w:tc>
          <w:tcPr>
            <w:tcW w:w="3969" w:type="dxa"/>
          </w:tcPr>
          <w:p>
            <w:pPr>
              <w:pStyle w:val="Compact"/>
              <w:keepNext/>
              <w:spacing w:before="0" w:after="0" w:lineRule="exact" w:line="220"/>
              <w:jc w:val="left"/>
            </w:pPr>
            <w:r>
              <w:rPr>
                <w:sz w:val="18"/>
              </w:rPr>
              <w:t xml:space="preserve">0.02</w:t>
            </w:r>
          </w:p>
        </w:tc>
      </w:tr>
      <w:tr>
        <w:trPr>
          <w:cantSplit/>
        </w:trPr>
        <w:tc>
          <w:tcPr>
            <w:tcW w:w="1620" w:type="dxa"/>
          </w:tcPr>
          <w:p>
            <w:pPr>
              <w:pStyle w:val="Compact"/>
              <w:spacing w:before="0" w:after="0" w:lineRule="exact" w:line="220"/>
              <w:jc w:val="left"/>
            </w:pPr>
            <w:r>
              <w:rPr>
                <w:sz w:val="18"/>
              </w:rPr>
              <w:t xml:space="preserve">eBay</w:t>
            </w:r>
          </w:p>
        </w:tc>
        <w:tc>
          <w:tcPr>
            <w:tcW w:w="2025" w:type="dxa"/>
          </w:tcPr>
          <w:p>
            <w:pPr>
              <w:pStyle w:val="Compact"/>
              <w:spacing w:before="0" w:after="0" w:lineRule="exact" w:line="220"/>
              <w:jc w:val="left"/>
            </w:pPr>
            <w:r>
              <w:rPr>
                <w:sz w:val="18"/>
              </w:rPr>
              <w:t xml:space="preserve">Chosen first</w:t>
            </w:r>
          </w:p>
        </w:tc>
        <w:tc>
          <w:tcPr>
            <w:tcW w:w="891" w:type="dxa"/>
          </w:tcPr>
          <w:p>
            <w:pPr>
              <w:pStyle w:val="Compact"/>
              <w:spacing w:before="0" w:after="0" w:lineRule="exact" w:line="220"/>
              <w:jc w:val="left"/>
            </w:pPr>
            <w:r>
              <w:rPr>
                <w:sz w:val="18"/>
              </w:rPr>
              <w:t xml:space="preserve">4</w:t>
            </w:r>
          </w:p>
        </w:tc>
        <w:tc>
          <w:tcPr>
            <w:tcW w:w="3969" w:type="dxa"/>
          </w:tcPr>
          <w:p>
            <w:pPr>
              <w:pStyle w:val="Compact"/>
              <w:spacing w:before="0" w:after="0" w:lineRule="exact" w:line="220"/>
              <w:jc w:val="left"/>
            </w:pPr>
            <w:r>
              <w:rPr>
                <w:sz w:val="18"/>
              </w:rPr>
              <w:t xml:space="preserve">0.03</w:t>
            </w:r>
          </w:p>
        </w:tc>
      </w:tr>
    </w:tbl>
    <w:p>
      <w:pPr>
        <w:pStyle w:val="BodyText"/>
        <w:spacing w:before="160"/>
      </w:pPr>
      <w:r>
        <w:t xml:space="preserve">Left out after examination: Dingdong, JD.com, Jumei, Liquidity Services, Newegg and Vipshop, because their own goods are most of revenue in every year; and four platforms that disclose no transaction value (Nebius Group, formerly Yandex; Trip.com; Tuniu; and Uxin).</w:t>
      </w:r>
    </w:p>
    <w:bookmarkEnd w:id="89"/>
    <w:bookmarkStart w:id="90" w:name="a.2-the-indonesian-and-regional-group"/>
    <w:p>
      <w:pPr>
        <w:pStyle w:val="Heading3"/>
      </w:pPr>
      <w:r>
        <w:t xml:space="preserve">A.2 The Indonesian and regional group</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800"/>
        <w:gridCol w:w="682"/>
        <w:gridCol w:w="3041"/>
        <w:gridCol w:w="2979"/>
      </w:tblGrid>
      <w:tr>
        <w:trPr>
          <w:tblHeader w:val="true"/>
          <w:cantSplit/>
          <w:tblHeader/>
        </w:trPr>
        <w:tc>
          <w:tcPr>
            <w:tcW w:w="1800" w:type="dxa"/>
            <w:tcBorders>
              <w:bottom w:val="single" w:sz="5" w:space="0" w:color="000000"/>
            </w:tcBorders>
          </w:tcPr>
          <w:p>
            <w:pPr>
              <w:pStyle w:val="Compact"/>
              <w:keepNext/>
              <w:spacing w:before="0" w:after="0" w:lineRule="exact" w:line="220"/>
              <w:jc w:val="left"/>
            </w:pPr>
            <w:r>
              <w:rPr>
                <w:b/>
                <w:sz w:val="18"/>
              </w:rPr>
              <w:t xml:space="preserve">Platform</w:t>
            </w:r>
          </w:p>
        </w:tc>
        <w:tc>
          <w:tcPr>
            <w:tcW w:w="682" w:type="dxa"/>
            <w:tcBorders>
              <w:bottom w:val="single" w:sz="5" w:space="0" w:color="000000"/>
            </w:tcBorders>
          </w:tcPr>
          <w:p>
            <w:pPr>
              <w:pStyle w:val="Compact"/>
              <w:keepNext/>
              <w:spacing w:before="0" w:after="0" w:lineRule="exact" w:line="220"/>
              <w:jc w:val="left"/>
            </w:pPr>
            <w:r>
              <w:rPr>
                <w:b/>
                <w:sz w:val="18"/>
              </w:rPr>
              <w:t xml:space="preserve">Pairs</w:t>
            </w:r>
          </w:p>
        </w:tc>
        <w:tc>
          <w:tcPr>
            <w:tcW w:w="3041" w:type="dxa"/>
            <w:tcBorders>
              <w:bottom w:val="single" w:sz="5" w:space="0" w:color="000000"/>
            </w:tcBorders>
          </w:tcPr>
          <w:p>
            <w:pPr>
              <w:pStyle w:val="Compact"/>
              <w:keepNext/>
              <w:spacing w:before="0" w:after="0" w:lineRule="exact" w:line="220"/>
              <w:jc w:val="left"/>
            </w:pPr>
            <w:r>
              <w:rPr>
                <w:b/>
                <w:sz w:val="18"/>
              </w:rPr>
              <w:t xml:space="preserve">Median size of yearly change in log take rate</w:t>
            </w:r>
          </w:p>
        </w:tc>
        <w:tc>
          <w:tcPr>
            <w:tcW w:w="2979" w:type="dxa"/>
            <w:tcBorders>
              <w:bottom w:val="single" w:sz="5" w:space="0" w:color="000000"/>
            </w:tcBorders>
          </w:tcPr>
          <w:p>
            <w:pPr>
              <w:pStyle w:val="Compact"/>
              <w:keepNext/>
              <w:spacing w:before="0" w:after="0" w:lineRule="exact" w:line="220"/>
              <w:jc w:val="left"/>
            </w:pPr>
            <w:r>
              <w:rPr>
                <w:b/>
                <w:sz w:val="18"/>
              </w:rPr>
              <w:t xml:space="preserve">Share of pairs with a change of 0.10 or less</w:t>
            </w:r>
          </w:p>
        </w:tc>
      </w:tr>
      <w:tr>
        <w:trPr>
          <w:cantSplit/>
        </w:trPr>
        <w:tc>
          <w:tcPr>
            <w:tcW w:w="1800" w:type="dxa"/>
          </w:tcPr>
          <w:p>
            <w:pPr>
              <w:pStyle w:val="Compact"/>
              <w:keepNext/>
              <w:spacing w:before="0" w:after="0" w:lineRule="exact" w:line="220"/>
              <w:jc w:val="left"/>
            </w:pPr>
            <w:r>
              <w:rPr>
                <w:sz w:val="18"/>
              </w:rPr>
              <w:t xml:space="preserve">Blibli third-party retail</w:t>
            </w:r>
          </w:p>
        </w:tc>
        <w:tc>
          <w:tcPr>
            <w:tcW w:w="682" w:type="dxa"/>
          </w:tcPr>
          <w:p>
            <w:pPr>
              <w:pStyle w:val="Compact"/>
              <w:keepNext/>
              <w:spacing w:before="0" w:after="0" w:lineRule="exact" w:line="220"/>
              <w:jc w:val="left"/>
            </w:pPr>
            <w:r>
              <w:rPr>
                <w:sz w:val="18"/>
              </w:rPr>
              <w:t xml:space="preserve">4</w:t>
            </w:r>
          </w:p>
        </w:tc>
        <w:tc>
          <w:tcPr>
            <w:tcW w:w="3041" w:type="dxa"/>
          </w:tcPr>
          <w:p>
            <w:pPr>
              <w:pStyle w:val="Compact"/>
              <w:keepNext/>
              <w:spacing w:before="0" w:after="0" w:lineRule="exact" w:line="220"/>
              <w:jc w:val="left"/>
            </w:pPr>
            <w:r>
              <w:rPr>
                <w:sz w:val="18"/>
              </w:rPr>
              <w:t xml:space="preserve">0.25</w:t>
            </w:r>
          </w:p>
        </w:tc>
        <w:tc>
          <w:tcPr>
            <w:tcW w:w="2979" w:type="dxa"/>
          </w:tcPr>
          <w:p>
            <w:pPr>
              <w:pStyle w:val="Compact"/>
              <w:keepNext/>
              <w:spacing w:before="0" w:after="0" w:lineRule="exact" w:line="220"/>
              <w:jc w:val="left"/>
            </w:pPr>
            <w:r>
              <w:rPr>
                <w:sz w:val="18"/>
              </w:rPr>
              <w:t xml:space="preserve">0.00</w:t>
            </w:r>
          </w:p>
        </w:tc>
      </w:tr>
      <w:tr>
        <w:trPr>
          <w:cantSplit/>
        </w:trPr>
        <w:tc>
          <w:tcPr>
            <w:tcW w:w="1800" w:type="dxa"/>
          </w:tcPr>
          <w:p>
            <w:pPr>
              <w:pStyle w:val="Compact"/>
              <w:keepNext/>
              <w:spacing w:before="0" w:after="0" w:lineRule="exact" w:line="220"/>
              <w:jc w:val="left"/>
            </w:pPr>
            <w:r>
              <w:rPr>
                <w:sz w:val="18"/>
              </w:rPr>
              <w:t xml:space="preserve">Bukalapak Group</w:t>
            </w:r>
          </w:p>
        </w:tc>
        <w:tc>
          <w:tcPr>
            <w:tcW w:w="682" w:type="dxa"/>
          </w:tcPr>
          <w:p>
            <w:pPr>
              <w:pStyle w:val="Compact"/>
              <w:keepNext/>
              <w:spacing w:before="0" w:after="0" w:lineRule="exact" w:line="220"/>
              <w:jc w:val="left"/>
            </w:pPr>
            <w:r>
              <w:rPr>
                <w:sz w:val="18"/>
              </w:rPr>
              <w:t xml:space="preserve">3</w:t>
            </w:r>
          </w:p>
        </w:tc>
        <w:tc>
          <w:tcPr>
            <w:tcW w:w="3041" w:type="dxa"/>
          </w:tcPr>
          <w:p>
            <w:pPr>
              <w:pStyle w:val="Compact"/>
              <w:keepNext/>
              <w:spacing w:before="0" w:after="0" w:lineRule="exact" w:line="220"/>
              <w:jc w:val="left"/>
            </w:pPr>
            <w:r>
              <w:rPr>
                <w:sz w:val="18"/>
              </w:rPr>
              <w:t xml:space="preserve">0.14</w:t>
            </w:r>
          </w:p>
        </w:tc>
        <w:tc>
          <w:tcPr>
            <w:tcW w:w="2979" w:type="dxa"/>
          </w:tcPr>
          <w:p>
            <w:pPr>
              <w:pStyle w:val="Compact"/>
              <w:keepNext/>
              <w:spacing w:before="0" w:after="0" w:lineRule="exact" w:line="220"/>
              <w:jc w:val="left"/>
            </w:pPr>
            <w:r>
              <w:rPr>
                <w:sz w:val="18"/>
              </w:rPr>
              <w:t xml:space="preserve">0.33</w:t>
            </w:r>
          </w:p>
        </w:tc>
      </w:tr>
      <w:tr>
        <w:trPr>
          <w:cantSplit/>
        </w:trPr>
        <w:tc>
          <w:tcPr>
            <w:tcW w:w="1800" w:type="dxa"/>
          </w:tcPr>
          <w:p>
            <w:pPr>
              <w:pStyle w:val="Compact"/>
              <w:keepNext/>
              <w:spacing w:before="0" w:after="0" w:lineRule="exact" w:line="220"/>
              <w:jc w:val="left"/>
            </w:pPr>
            <w:r>
              <w:rPr>
                <w:sz w:val="18"/>
              </w:rPr>
              <w:t xml:space="preserve">GoTo on-demand</w:t>
            </w:r>
          </w:p>
        </w:tc>
        <w:tc>
          <w:tcPr>
            <w:tcW w:w="682" w:type="dxa"/>
          </w:tcPr>
          <w:p>
            <w:pPr>
              <w:pStyle w:val="Compact"/>
              <w:keepNext/>
              <w:spacing w:before="0" w:after="0" w:lineRule="exact" w:line="220"/>
              <w:jc w:val="left"/>
            </w:pPr>
            <w:r>
              <w:rPr>
                <w:sz w:val="18"/>
              </w:rPr>
              <w:t xml:space="preserve">3</w:t>
            </w:r>
          </w:p>
        </w:tc>
        <w:tc>
          <w:tcPr>
            <w:tcW w:w="3041" w:type="dxa"/>
          </w:tcPr>
          <w:p>
            <w:pPr>
              <w:pStyle w:val="Compact"/>
              <w:keepNext/>
              <w:spacing w:before="0" w:after="0" w:lineRule="exact" w:line="220"/>
              <w:jc w:val="left"/>
            </w:pPr>
            <w:r>
              <w:rPr>
                <w:sz w:val="18"/>
              </w:rPr>
              <w:t xml:space="preserve">0.09</w:t>
            </w:r>
          </w:p>
        </w:tc>
        <w:tc>
          <w:tcPr>
            <w:tcW w:w="2979" w:type="dxa"/>
          </w:tcPr>
          <w:p>
            <w:pPr>
              <w:pStyle w:val="Compact"/>
              <w:keepNext/>
              <w:spacing w:before="0" w:after="0" w:lineRule="exact" w:line="220"/>
              <w:jc w:val="left"/>
            </w:pPr>
            <w:r>
              <w:rPr>
                <w:sz w:val="18"/>
              </w:rPr>
              <w:t xml:space="preserve">0.67</w:t>
            </w:r>
          </w:p>
        </w:tc>
      </w:tr>
      <w:tr>
        <w:trPr>
          <w:cantSplit/>
        </w:trPr>
        <w:tc>
          <w:tcPr>
            <w:tcW w:w="1800" w:type="dxa"/>
          </w:tcPr>
          <w:p>
            <w:pPr>
              <w:pStyle w:val="Compact"/>
              <w:keepNext/>
              <w:spacing w:before="0" w:after="0" w:lineRule="exact" w:line="220"/>
              <w:jc w:val="left"/>
            </w:pPr>
            <w:r>
              <w:rPr>
                <w:sz w:val="18"/>
              </w:rPr>
              <w:t xml:space="preserve">Grab on-demand</w:t>
            </w:r>
          </w:p>
        </w:tc>
        <w:tc>
          <w:tcPr>
            <w:tcW w:w="682" w:type="dxa"/>
          </w:tcPr>
          <w:p>
            <w:pPr>
              <w:pStyle w:val="Compact"/>
              <w:keepNext/>
              <w:spacing w:before="0" w:after="0" w:lineRule="exact" w:line="220"/>
              <w:jc w:val="left"/>
            </w:pPr>
            <w:r>
              <w:rPr>
                <w:sz w:val="18"/>
              </w:rPr>
              <w:t xml:space="preserve">4</w:t>
            </w:r>
          </w:p>
        </w:tc>
        <w:tc>
          <w:tcPr>
            <w:tcW w:w="3041" w:type="dxa"/>
          </w:tcPr>
          <w:p>
            <w:pPr>
              <w:pStyle w:val="Compact"/>
              <w:keepNext/>
              <w:spacing w:before="0" w:after="0" w:lineRule="exact" w:line="220"/>
              <w:jc w:val="left"/>
            </w:pPr>
            <w:r>
              <w:rPr>
                <w:sz w:val="18"/>
              </w:rPr>
              <w:t xml:space="preserve">0.20</w:t>
            </w:r>
          </w:p>
        </w:tc>
        <w:tc>
          <w:tcPr>
            <w:tcW w:w="2979" w:type="dxa"/>
          </w:tcPr>
          <w:p>
            <w:pPr>
              <w:pStyle w:val="Compact"/>
              <w:keepNext/>
              <w:spacing w:before="0" w:after="0" w:lineRule="exact" w:line="220"/>
              <w:jc w:val="left"/>
            </w:pPr>
            <w:r>
              <w:rPr>
                <w:sz w:val="18"/>
              </w:rPr>
              <w:t xml:space="preserve">0.50</w:t>
            </w:r>
          </w:p>
        </w:tc>
      </w:tr>
      <w:tr>
        <w:trPr>
          <w:cantSplit/>
        </w:trPr>
        <w:tc>
          <w:tcPr>
            <w:tcW w:w="1800" w:type="dxa"/>
          </w:tcPr>
          <w:p>
            <w:pPr>
              <w:pStyle w:val="Compact"/>
              <w:spacing w:before="0" w:after="0" w:lineRule="exact" w:line="220"/>
              <w:jc w:val="left"/>
            </w:pPr>
            <w:r>
              <w:rPr>
                <w:sz w:val="18"/>
              </w:rPr>
              <w:t xml:space="preserve">Tokopedia</w:t>
            </w:r>
          </w:p>
        </w:tc>
        <w:tc>
          <w:tcPr>
            <w:tcW w:w="682" w:type="dxa"/>
          </w:tcPr>
          <w:p>
            <w:pPr>
              <w:pStyle w:val="Compact"/>
              <w:spacing w:before="0" w:after="0" w:lineRule="exact" w:line="220"/>
              <w:jc w:val="left"/>
            </w:pPr>
            <w:r>
              <w:rPr>
                <w:sz w:val="18"/>
              </w:rPr>
              <w:t xml:space="preserve">1</w:t>
            </w:r>
          </w:p>
        </w:tc>
        <w:tc>
          <w:tcPr>
            <w:tcW w:w="3041" w:type="dxa"/>
          </w:tcPr>
          <w:p>
            <w:pPr>
              <w:pStyle w:val="Compact"/>
              <w:spacing w:before="0" w:after="0" w:lineRule="exact" w:line="220"/>
              <w:jc w:val="left"/>
            </w:pPr>
            <w:r>
              <w:rPr>
                <w:sz w:val="18"/>
              </w:rPr>
              <w:t xml:space="preserve">0.52</w:t>
            </w:r>
          </w:p>
        </w:tc>
        <w:tc>
          <w:tcPr>
            <w:tcW w:w="2979" w:type="dxa"/>
          </w:tcPr>
          <w:p>
            <w:pPr>
              <w:pStyle w:val="Compact"/>
              <w:spacing w:before="0" w:after="0" w:lineRule="exact" w:line="220"/>
              <w:jc w:val="left"/>
            </w:pPr>
            <w:r>
              <w:rPr>
                <w:sz w:val="18"/>
              </w:rPr>
              <w:t xml:space="preserve">0.00</w:t>
            </w:r>
          </w:p>
        </w:tc>
      </w:tr>
    </w:tbl>
    <w:bookmarkEnd w:id="90"/>
    <w:bookmarkStart w:id="91" w:name="X78762f472a6a90df1a343c96b0604ebb0c7398b"/>
    <w:p>
      <w:pPr>
        <w:pStyle w:val="Heading3"/>
      </w:pPr>
      <w:r>
        <w:t xml:space="preserve">A.3 The seven windows traced (Table 11 in full)</w:t>
      </w:r>
    </w:p>
    <w:p>
      <w:pPr>
        <w:pStyle w:val="FirstParagraph"/>
        <w:jc w:val="left"/>
      </w:pPr>
      <w:r>
        <w:t xml:space="preserve">Shares are of the log growth of revenue. Source:</w:t>
      </w:r>
      <w:r>
        <w:t xml:space="preserve"> </w:t>
      </w:r>
      <w:r>
        <w:rPr>
          <w:rStyle w:val="VerbatimChar"/>
        </w:rPr>
        <w:t xml:space="preserve">tables/growth_decomposition.csv</w:t>
      </w:r>
      <w:r>
        <w:t xml:space="preserve">, built from</w:t>
      </w:r>
      <w:r>
        <w:t xml:space="preserve"> </w:t>
      </w:r>
      <w:r>
        <w:rPr>
          <w:rStyle w:val="VerbatimChar"/>
        </w:rPr>
        <w:t xml:space="preserve">tables/l_panel.csv</w:t>
      </w:r>
      <w:r>
        <w:t xml:space="preserve"> </w:t>
      </w:r>
      <w:r>
        <w:t xml:space="preserve">by</w:t>
      </w:r>
      <w:r>
        <w:t xml:space="preserve"> </w:t>
      </w:r>
      <w:r>
        <w:rPr>
          <w:rStyle w:val="VerbatimChar"/>
        </w:rPr>
        <w:t xml:space="preserve">growth_decomposition.py</w:t>
      </w:r>
      <w:r>
        <w:t xml:space="preserve">. Tokopedia, GoTo: audited statements. Grab: annual filings, summed over mobility and deliveries. Blibli: incentives are a proxy (gross profit before discounts less net revenue) and stay out of the main sample. GoTo’s 2022 transaction value is an estimate (2022 first and second quarters backed out of 2023 year-on-year comparisons).</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082"/>
        <w:gridCol w:w="1084"/>
        <w:gridCol w:w="1518"/>
        <w:gridCol w:w="1041"/>
        <w:gridCol w:w="954"/>
        <w:gridCol w:w="940"/>
        <w:gridCol w:w="750"/>
        <w:gridCol w:w="1130"/>
      </w:tblGrid>
      <w:tr>
        <w:trPr>
          <w:tblHeader w:val="true"/>
          <w:cantSplit/>
          <w:tblHeader/>
        </w:trPr>
        <w:tc>
          <w:tcPr>
            <w:tcW w:w="1082" w:type="dxa"/>
            <w:tcBorders>
              <w:bottom w:val="single" w:sz="5" w:space="0" w:color="000000"/>
            </w:tcBorders>
          </w:tcPr>
          <w:p>
            <w:pPr>
              <w:pStyle w:val="Compact"/>
              <w:keepNext/>
              <w:spacing w:before="0" w:after="0" w:lineRule="exact" w:line="220"/>
              <w:jc w:val="left"/>
            </w:pPr>
            <w:r>
              <w:rPr>
                <w:b/>
                <w:sz w:val="18"/>
              </w:rPr>
              <w:t xml:space="preserve">Platform and window</w:t>
            </w:r>
          </w:p>
        </w:tc>
        <w:tc>
          <w:tcPr>
            <w:tcW w:w="1084" w:type="dxa"/>
            <w:tcBorders>
              <w:bottom w:val="single" w:sz="5" w:space="0" w:color="000000"/>
            </w:tcBorders>
          </w:tcPr>
          <w:p>
            <w:pPr>
              <w:pStyle w:val="Compact"/>
              <w:keepNext/>
              <w:spacing w:before="0" w:after="0" w:lineRule="exact" w:line="220"/>
              <w:jc w:val="left"/>
            </w:pPr>
            <w:r>
              <w:rPr>
                <w:b/>
                <w:sz w:val="18"/>
              </w:rPr>
              <w:t xml:space="preserve">Growth of revenue (%)</w:t>
            </w:r>
          </w:p>
        </w:tc>
        <w:tc>
          <w:tcPr>
            <w:tcW w:w="1518" w:type="dxa"/>
            <w:tcBorders>
              <w:bottom w:val="single" w:sz="5" w:space="0" w:color="000000"/>
            </w:tcBorders>
          </w:tcPr>
          <w:p>
            <w:pPr>
              <w:pStyle w:val="Compact"/>
              <w:keepNext/>
              <w:spacing w:before="0" w:after="0" w:lineRule="exact" w:line="220"/>
              <w:jc w:val="left"/>
            </w:pPr>
            <w:r>
              <w:rPr>
                <w:b/>
                <w:sz w:val="18"/>
              </w:rPr>
              <w:t xml:space="preserve">Growth of transaction value (%)</w:t>
            </w:r>
          </w:p>
        </w:tc>
        <w:tc>
          <w:tcPr>
            <w:tcW w:w="1041" w:type="dxa"/>
            <w:tcBorders>
              <w:bottom w:val="single" w:sz="5" w:space="0" w:color="000000"/>
            </w:tcBorders>
          </w:tcPr>
          <w:p>
            <w:pPr>
              <w:pStyle w:val="Compact"/>
              <w:keepNext/>
              <w:spacing w:before="0" w:after="0" w:lineRule="exact" w:line="220"/>
              <w:jc w:val="left"/>
            </w:pPr>
            <w:r>
              <w:rPr>
                <w:b/>
                <w:sz w:val="18"/>
              </w:rPr>
              <w:t xml:space="preserve">Take rate, start (%)</w:t>
            </w:r>
          </w:p>
        </w:tc>
        <w:tc>
          <w:tcPr>
            <w:tcW w:w="954" w:type="dxa"/>
            <w:tcBorders>
              <w:bottom w:val="single" w:sz="5" w:space="0" w:color="000000"/>
            </w:tcBorders>
          </w:tcPr>
          <w:p>
            <w:pPr>
              <w:pStyle w:val="Compact"/>
              <w:keepNext/>
              <w:spacing w:before="0" w:after="0" w:lineRule="exact" w:line="220"/>
              <w:jc w:val="left"/>
            </w:pPr>
            <w:r>
              <w:rPr>
                <w:b/>
                <w:sz w:val="18"/>
              </w:rPr>
              <w:t xml:space="preserve">Take rate, end (%)</w:t>
            </w:r>
          </w:p>
        </w:tc>
        <w:tc>
          <w:tcPr>
            <w:tcW w:w="940" w:type="dxa"/>
            <w:tcBorders>
              <w:bottom w:val="single" w:sz="5" w:space="0" w:color="000000"/>
            </w:tcBorders>
          </w:tcPr>
          <w:p>
            <w:pPr>
              <w:pStyle w:val="Compact"/>
              <w:keepNext/>
              <w:spacing w:before="0" w:after="0" w:lineRule="exact" w:line="220"/>
              <w:jc w:val="left"/>
            </w:pPr>
            <w:r>
              <w:rPr>
                <w:b/>
                <w:sz w:val="18"/>
              </w:rPr>
              <w:t xml:space="preserve">More commerce</w:t>
            </w:r>
          </w:p>
        </w:tc>
        <w:tc>
          <w:tcPr>
            <w:tcW w:w="750" w:type="dxa"/>
            <w:tcBorders>
              <w:bottom w:val="single" w:sz="5" w:space="0" w:color="000000"/>
            </w:tcBorders>
          </w:tcPr>
          <w:p>
            <w:pPr>
              <w:pStyle w:val="Compact"/>
              <w:keepNext/>
              <w:spacing w:before="0" w:after="0" w:lineRule="exact" w:line="220"/>
              <w:jc w:val="left"/>
            </w:pPr>
            <w:r>
              <w:rPr>
                <w:b/>
                <w:sz w:val="18"/>
              </w:rPr>
              <w:t xml:space="preserve">Higher fees</w:t>
            </w:r>
          </w:p>
        </w:tc>
        <w:tc>
          <w:tcPr>
            <w:tcW w:w="1130" w:type="dxa"/>
            <w:tcBorders>
              <w:bottom w:val="single" w:sz="5" w:space="0" w:color="000000"/>
            </w:tcBorders>
          </w:tcPr>
          <w:p>
            <w:pPr>
              <w:pStyle w:val="Compact"/>
              <w:keepNext/>
              <w:spacing w:before="0" w:after="0" w:lineRule="exact" w:line="220"/>
              <w:jc w:val="left"/>
            </w:pPr>
            <w:r>
              <w:rPr>
                <w:b/>
                <w:sz w:val="18"/>
              </w:rPr>
              <w:t xml:space="preserve">Lower incentives</w:t>
            </w:r>
          </w:p>
        </w:tc>
      </w:tr>
      <w:tr>
        <w:trPr>
          <w:cantSplit/>
        </w:trPr>
        <w:tc>
          <w:tcPr>
            <w:tcW w:w="1082" w:type="dxa"/>
          </w:tcPr>
          <w:p>
            <w:pPr>
              <w:pStyle w:val="Compact"/>
              <w:keepNext/>
              <w:spacing w:before="0" w:after="0" w:lineRule="exact" w:line="220"/>
              <w:jc w:val="left"/>
            </w:pPr>
            <w:r>
              <w:rPr>
                <w:sz w:val="18"/>
              </w:rPr>
              <w:t xml:space="preserve">Grab on-demand, 2021–24</w:t>
            </w:r>
          </w:p>
        </w:tc>
        <w:tc>
          <w:tcPr>
            <w:tcW w:w="1084" w:type="dxa"/>
          </w:tcPr>
          <w:p>
            <w:pPr>
              <w:pStyle w:val="Compact"/>
              <w:keepNext/>
              <w:spacing w:before="0" w:after="0" w:lineRule="exact" w:line="220"/>
              <w:jc w:val="left"/>
            </w:pPr>
            <w:r>
              <w:rPr>
                <w:sz w:val="18"/>
              </w:rPr>
              <w:t xml:space="preserve">320.5</w:t>
            </w:r>
          </w:p>
        </w:tc>
        <w:tc>
          <w:tcPr>
            <w:tcW w:w="1518" w:type="dxa"/>
          </w:tcPr>
          <w:p>
            <w:pPr>
              <w:pStyle w:val="Compact"/>
              <w:keepNext/>
              <w:spacing w:before="0" w:after="0" w:lineRule="exact" w:line="220"/>
              <w:jc w:val="left"/>
            </w:pPr>
            <w:r>
              <w:rPr>
                <w:sz w:val="18"/>
              </w:rPr>
              <w:t xml:space="preserve">62.3</w:t>
            </w:r>
          </w:p>
        </w:tc>
        <w:tc>
          <w:tcPr>
            <w:tcW w:w="1041" w:type="dxa"/>
          </w:tcPr>
          <w:p>
            <w:pPr>
              <w:pStyle w:val="Compact"/>
              <w:keepNext/>
              <w:spacing w:before="0" w:after="0" w:lineRule="exact" w:line="220"/>
              <w:jc w:val="left"/>
            </w:pPr>
            <w:r>
              <w:rPr>
                <w:sz w:val="18"/>
              </w:rPr>
              <w:t xml:space="preserve">5.34</w:t>
            </w:r>
          </w:p>
        </w:tc>
        <w:tc>
          <w:tcPr>
            <w:tcW w:w="954" w:type="dxa"/>
          </w:tcPr>
          <w:p>
            <w:pPr>
              <w:pStyle w:val="Compact"/>
              <w:keepNext/>
              <w:spacing w:before="0" w:after="0" w:lineRule="exact" w:line="220"/>
              <w:jc w:val="left"/>
            </w:pPr>
            <w:r>
              <w:rPr>
                <w:sz w:val="18"/>
              </w:rPr>
              <w:t xml:space="preserve">13.83</w:t>
            </w:r>
          </w:p>
        </w:tc>
        <w:tc>
          <w:tcPr>
            <w:tcW w:w="940" w:type="dxa"/>
          </w:tcPr>
          <w:p>
            <w:pPr>
              <w:pStyle w:val="Compact"/>
              <w:keepNext/>
              <w:spacing w:before="0" w:after="0" w:lineRule="exact" w:line="220"/>
              <w:jc w:val="left"/>
            </w:pPr>
            <w:r>
              <w:rPr>
                <w:sz w:val="18"/>
              </w:rPr>
              <w:t xml:space="preserve">33.7</w:t>
            </w:r>
          </w:p>
        </w:tc>
        <w:tc>
          <w:tcPr>
            <w:tcW w:w="750" w:type="dxa"/>
          </w:tcPr>
          <w:p>
            <w:pPr>
              <w:pStyle w:val="Compact"/>
              <w:keepNext/>
              <w:spacing w:before="0" w:after="0" w:lineRule="exact" w:line="220"/>
              <w:jc w:val="left"/>
            </w:pPr>
            <w:r>
              <w:rPr>
                <w:sz w:val="18"/>
              </w:rPr>
              <w:t xml:space="preserve">33.8</w:t>
            </w:r>
          </w:p>
        </w:tc>
        <w:tc>
          <w:tcPr>
            <w:tcW w:w="1130" w:type="dxa"/>
          </w:tcPr>
          <w:p>
            <w:pPr>
              <w:pStyle w:val="Compact"/>
              <w:keepNext/>
              <w:spacing w:before="0" w:after="0" w:lineRule="exact" w:line="220"/>
              <w:jc w:val="left"/>
            </w:pPr>
            <w:r>
              <w:rPr>
                <w:sz w:val="18"/>
              </w:rPr>
              <w:t xml:space="preserve">32.5</w:t>
            </w:r>
          </w:p>
        </w:tc>
      </w:tr>
      <w:tr>
        <w:trPr>
          <w:cantSplit/>
        </w:trPr>
        <w:tc>
          <w:tcPr>
            <w:tcW w:w="1082" w:type="dxa"/>
          </w:tcPr>
          <w:p>
            <w:pPr>
              <w:pStyle w:val="Compact"/>
              <w:keepNext/>
              <w:spacing w:before="0" w:after="0" w:lineRule="exact" w:line="220"/>
              <w:jc w:val="left"/>
            </w:pPr>
            <w:r>
              <w:rPr>
                <w:sz w:val="18"/>
              </w:rPr>
              <w:t xml:space="preserve">Grab on-demand, 2022–24</w:t>
            </w:r>
          </w:p>
        </w:tc>
        <w:tc>
          <w:tcPr>
            <w:tcW w:w="1084" w:type="dxa"/>
          </w:tcPr>
          <w:p>
            <w:pPr>
              <w:pStyle w:val="Compact"/>
              <w:keepNext/>
              <w:spacing w:before="0" w:after="0" w:lineRule="exact" w:line="220"/>
              <w:jc w:val="left"/>
            </w:pPr>
            <w:r>
              <w:rPr>
                <w:sz w:val="18"/>
              </w:rPr>
              <w:t xml:space="preserve">85.8</w:t>
            </w:r>
          </w:p>
        </w:tc>
        <w:tc>
          <w:tcPr>
            <w:tcW w:w="1518" w:type="dxa"/>
          </w:tcPr>
          <w:p>
            <w:pPr>
              <w:pStyle w:val="Compact"/>
              <w:keepNext/>
              <w:spacing w:before="0" w:after="0" w:lineRule="exact" w:line="220"/>
              <w:jc w:val="left"/>
            </w:pPr>
            <w:r>
              <w:rPr>
                <w:sz w:val="18"/>
              </w:rPr>
              <w:t xml:space="preserve">30.1</w:t>
            </w:r>
          </w:p>
        </w:tc>
        <w:tc>
          <w:tcPr>
            <w:tcW w:w="1041" w:type="dxa"/>
          </w:tcPr>
          <w:p>
            <w:pPr>
              <w:pStyle w:val="Compact"/>
              <w:keepNext/>
              <w:spacing w:before="0" w:after="0" w:lineRule="exact" w:line="220"/>
              <w:jc w:val="left"/>
            </w:pPr>
            <w:r>
              <w:rPr>
                <w:sz w:val="18"/>
              </w:rPr>
              <w:t xml:space="preserve">9.69</w:t>
            </w:r>
          </w:p>
        </w:tc>
        <w:tc>
          <w:tcPr>
            <w:tcW w:w="954" w:type="dxa"/>
          </w:tcPr>
          <w:p>
            <w:pPr>
              <w:pStyle w:val="Compact"/>
              <w:keepNext/>
              <w:spacing w:before="0" w:after="0" w:lineRule="exact" w:line="220"/>
              <w:jc w:val="left"/>
            </w:pPr>
            <w:r>
              <w:rPr>
                <w:sz w:val="18"/>
              </w:rPr>
              <w:t xml:space="preserve">13.83</w:t>
            </w:r>
          </w:p>
        </w:tc>
        <w:tc>
          <w:tcPr>
            <w:tcW w:w="940" w:type="dxa"/>
          </w:tcPr>
          <w:p>
            <w:pPr>
              <w:pStyle w:val="Compact"/>
              <w:keepNext/>
              <w:spacing w:before="0" w:after="0" w:lineRule="exact" w:line="220"/>
              <w:jc w:val="left"/>
            </w:pPr>
            <w:r>
              <w:rPr>
                <w:sz w:val="18"/>
              </w:rPr>
              <w:t xml:space="preserve">42.5</w:t>
            </w:r>
          </w:p>
        </w:tc>
        <w:tc>
          <w:tcPr>
            <w:tcW w:w="750" w:type="dxa"/>
          </w:tcPr>
          <w:p>
            <w:pPr>
              <w:pStyle w:val="Compact"/>
              <w:keepNext/>
              <w:spacing w:before="0" w:after="0" w:lineRule="exact" w:line="220"/>
              <w:jc w:val="left"/>
            </w:pPr>
            <w:r>
              <w:rPr>
                <w:sz w:val="18"/>
              </w:rPr>
              <w:t xml:space="preserve">10.6</w:t>
            </w:r>
          </w:p>
        </w:tc>
        <w:tc>
          <w:tcPr>
            <w:tcW w:w="1130" w:type="dxa"/>
          </w:tcPr>
          <w:p>
            <w:pPr>
              <w:pStyle w:val="Compact"/>
              <w:keepNext/>
              <w:spacing w:before="0" w:after="0" w:lineRule="exact" w:line="220"/>
              <w:jc w:val="left"/>
            </w:pPr>
            <w:r>
              <w:rPr>
                <w:sz w:val="18"/>
              </w:rPr>
              <w:t xml:space="preserve">46.9</w:t>
            </w:r>
          </w:p>
        </w:tc>
      </w:tr>
      <w:tr>
        <w:trPr>
          <w:cantSplit/>
        </w:trPr>
        <w:tc>
          <w:tcPr>
            <w:tcW w:w="1082" w:type="dxa"/>
          </w:tcPr>
          <w:p>
            <w:pPr>
              <w:pStyle w:val="Compact"/>
              <w:keepNext/>
              <w:spacing w:before="0" w:after="0" w:lineRule="exact" w:line="220"/>
              <w:jc w:val="left"/>
            </w:pPr>
            <w:r>
              <w:rPr>
                <w:sz w:val="18"/>
              </w:rPr>
              <w:t xml:space="preserve">GoTo on-demand, 2023–25</w:t>
            </w:r>
          </w:p>
        </w:tc>
        <w:tc>
          <w:tcPr>
            <w:tcW w:w="1084" w:type="dxa"/>
          </w:tcPr>
          <w:p>
            <w:pPr>
              <w:pStyle w:val="Compact"/>
              <w:keepNext/>
              <w:spacing w:before="0" w:after="0" w:lineRule="exact" w:line="220"/>
              <w:jc w:val="left"/>
            </w:pPr>
            <w:r>
              <w:rPr>
                <w:sz w:val="18"/>
              </w:rPr>
              <w:t xml:space="preserve">114.2</w:t>
            </w:r>
          </w:p>
        </w:tc>
        <w:tc>
          <w:tcPr>
            <w:tcW w:w="1518" w:type="dxa"/>
          </w:tcPr>
          <w:p>
            <w:pPr>
              <w:pStyle w:val="Compact"/>
              <w:keepNext/>
              <w:spacing w:before="0" w:after="0" w:lineRule="exact" w:line="220"/>
              <w:jc w:val="left"/>
            </w:pPr>
            <w:r>
              <w:rPr>
                <w:sz w:val="18"/>
              </w:rPr>
              <w:t xml:space="preserve">22.4</w:t>
            </w:r>
          </w:p>
        </w:tc>
        <w:tc>
          <w:tcPr>
            <w:tcW w:w="1041" w:type="dxa"/>
          </w:tcPr>
          <w:p>
            <w:pPr>
              <w:pStyle w:val="Compact"/>
              <w:keepNext/>
              <w:spacing w:before="0" w:after="0" w:lineRule="exact" w:line="220"/>
              <w:jc w:val="left"/>
            </w:pPr>
            <w:r>
              <w:rPr>
                <w:sz w:val="18"/>
              </w:rPr>
              <w:t xml:space="preserve">10.62</w:t>
            </w:r>
          </w:p>
        </w:tc>
        <w:tc>
          <w:tcPr>
            <w:tcW w:w="954" w:type="dxa"/>
          </w:tcPr>
          <w:p>
            <w:pPr>
              <w:pStyle w:val="Compact"/>
              <w:keepNext/>
              <w:spacing w:before="0" w:after="0" w:lineRule="exact" w:line="220"/>
              <w:jc w:val="left"/>
            </w:pPr>
            <w:r>
              <w:rPr>
                <w:sz w:val="18"/>
              </w:rPr>
              <w:t xml:space="preserve">18.58</w:t>
            </w:r>
          </w:p>
        </w:tc>
        <w:tc>
          <w:tcPr>
            <w:tcW w:w="940" w:type="dxa"/>
          </w:tcPr>
          <w:p>
            <w:pPr>
              <w:pStyle w:val="Compact"/>
              <w:keepNext/>
              <w:spacing w:before="0" w:after="0" w:lineRule="exact" w:line="220"/>
              <w:jc w:val="left"/>
            </w:pPr>
            <w:r>
              <w:rPr>
                <w:sz w:val="18"/>
              </w:rPr>
              <w:t xml:space="preserve">26.6</w:t>
            </w:r>
          </w:p>
        </w:tc>
        <w:tc>
          <w:tcPr>
            <w:tcW w:w="750" w:type="dxa"/>
          </w:tcPr>
          <w:p>
            <w:pPr>
              <w:pStyle w:val="Compact"/>
              <w:keepNext/>
              <w:spacing w:before="0" w:after="0" w:lineRule="exact" w:line="220"/>
              <w:jc w:val="left"/>
            </w:pPr>
            <w:r>
              <w:rPr>
                <w:sz w:val="18"/>
              </w:rPr>
              <w:t xml:space="preserve">6.1</w:t>
            </w:r>
          </w:p>
        </w:tc>
        <w:tc>
          <w:tcPr>
            <w:tcW w:w="1130" w:type="dxa"/>
          </w:tcPr>
          <w:p>
            <w:pPr>
              <w:pStyle w:val="Compact"/>
              <w:keepNext/>
              <w:spacing w:before="0" w:after="0" w:lineRule="exact" w:line="220"/>
              <w:jc w:val="left"/>
            </w:pPr>
            <w:r>
              <w:rPr>
                <w:sz w:val="18"/>
              </w:rPr>
              <w:t xml:space="preserve">67.3</w:t>
            </w:r>
          </w:p>
        </w:tc>
      </w:tr>
      <w:tr>
        <w:trPr>
          <w:cantSplit/>
        </w:trPr>
        <w:tc>
          <w:tcPr>
            <w:tcW w:w="1082" w:type="dxa"/>
          </w:tcPr>
          <w:p>
            <w:pPr>
              <w:pStyle w:val="Compact"/>
              <w:keepNext/>
              <w:spacing w:before="0" w:after="0" w:lineRule="exact" w:line="220"/>
              <w:jc w:val="left"/>
            </w:pPr>
            <w:r>
              <w:rPr>
                <w:sz w:val="18"/>
              </w:rPr>
              <w:t xml:space="preserve">GoTo on-demand, 2022–25</w:t>
            </w:r>
          </w:p>
        </w:tc>
        <w:tc>
          <w:tcPr>
            <w:tcW w:w="1084" w:type="dxa"/>
          </w:tcPr>
          <w:p>
            <w:pPr>
              <w:pStyle w:val="Compact"/>
              <w:keepNext/>
              <w:spacing w:before="0" w:after="0" w:lineRule="exact" w:line="220"/>
              <w:jc w:val="left"/>
            </w:pPr>
            <w:r>
              <w:rPr>
                <w:sz w:val="18"/>
              </w:rPr>
              <w:t xml:space="preserve">110.7</w:t>
            </w:r>
          </w:p>
        </w:tc>
        <w:tc>
          <w:tcPr>
            <w:tcW w:w="1518" w:type="dxa"/>
          </w:tcPr>
          <w:p>
            <w:pPr>
              <w:pStyle w:val="Compact"/>
              <w:keepNext/>
              <w:spacing w:before="0" w:after="0" w:lineRule="exact" w:line="220"/>
              <w:jc w:val="left"/>
            </w:pPr>
            <w:r>
              <w:rPr>
                <w:sz w:val="18"/>
              </w:rPr>
              <w:t xml:space="preserve">9.6</w:t>
            </w:r>
          </w:p>
        </w:tc>
        <w:tc>
          <w:tcPr>
            <w:tcW w:w="1041" w:type="dxa"/>
          </w:tcPr>
          <w:p>
            <w:pPr>
              <w:pStyle w:val="Compact"/>
              <w:keepNext/>
              <w:spacing w:before="0" w:after="0" w:lineRule="exact" w:line="220"/>
              <w:jc w:val="left"/>
            </w:pPr>
            <w:r>
              <w:rPr>
                <w:sz w:val="18"/>
              </w:rPr>
              <w:t xml:space="preserve">9.66</w:t>
            </w:r>
          </w:p>
        </w:tc>
        <w:tc>
          <w:tcPr>
            <w:tcW w:w="954" w:type="dxa"/>
          </w:tcPr>
          <w:p>
            <w:pPr>
              <w:pStyle w:val="Compact"/>
              <w:keepNext/>
              <w:spacing w:before="0" w:after="0" w:lineRule="exact" w:line="220"/>
              <w:jc w:val="left"/>
            </w:pPr>
            <w:r>
              <w:rPr>
                <w:sz w:val="18"/>
              </w:rPr>
              <w:t xml:space="preserve">18.58</w:t>
            </w:r>
          </w:p>
        </w:tc>
        <w:tc>
          <w:tcPr>
            <w:tcW w:w="940" w:type="dxa"/>
          </w:tcPr>
          <w:p>
            <w:pPr>
              <w:pStyle w:val="Compact"/>
              <w:keepNext/>
              <w:spacing w:before="0" w:after="0" w:lineRule="exact" w:line="220"/>
              <w:jc w:val="left"/>
            </w:pPr>
            <w:r>
              <w:rPr>
                <w:sz w:val="18"/>
              </w:rPr>
              <w:t xml:space="preserve">12.3</w:t>
            </w:r>
          </w:p>
        </w:tc>
        <w:tc>
          <w:tcPr>
            <w:tcW w:w="750" w:type="dxa"/>
          </w:tcPr>
          <w:p>
            <w:pPr>
              <w:pStyle w:val="Compact"/>
              <w:keepNext/>
              <w:spacing w:before="0" w:after="0" w:lineRule="exact" w:line="220"/>
              <w:jc w:val="left"/>
            </w:pPr>
            <w:r>
              <w:rPr>
                <w:sz w:val="18"/>
              </w:rPr>
              <w:t xml:space="preserve">36.1</w:t>
            </w:r>
          </w:p>
        </w:tc>
        <w:tc>
          <w:tcPr>
            <w:tcW w:w="1130" w:type="dxa"/>
          </w:tcPr>
          <w:p>
            <w:pPr>
              <w:pStyle w:val="Compact"/>
              <w:keepNext/>
              <w:spacing w:before="0" w:after="0" w:lineRule="exact" w:line="220"/>
              <w:jc w:val="left"/>
            </w:pPr>
            <w:r>
              <w:rPr>
                <w:sz w:val="18"/>
              </w:rPr>
              <w:t xml:space="preserve">51.7</w:t>
            </w:r>
          </w:p>
        </w:tc>
      </w:tr>
      <w:tr>
        <w:trPr>
          <w:cantSplit/>
        </w:trPr>
        <w:tc>
          <w:tcPr>
            <w:tcW w:w="1082" w:type="dxa"/>
          </w:tcPr>
          <w:p>
            <w:pPr>
              <w:pStyle w:val="Compact"/>
              <w:keepNext/>
              <w:spacing w:before="0" w:after="0" w:lineRule="exact" w:line="220"/>
              <w:jc w:val="left"/>
            </w:pPr>
            <w:r>
              <w:rPr>
                <w:sz w:val="18"/>
              </w:rPr>
              <w:t xml:space="preserve">Tokopedia, 2022–23</w:t>
            </w:r>
          </w:p>
        </w:tc>
        <w:tc>
          <w:tcPr>
            <w:tcW w:w="1084" w:type="dxa"/>
          </w:tcPr>
          <w:p>
            <w:pPr>
              <w:pStyle w:val="Compact"/>
              <w:keepNext/>
              <w:spacing w:before="0" w:after="0" w:lineRule="exact" w:line="220"/>
              <w:jc w:val="left"/>
            </w:pPr>
            <w:r>
              <w:rPr>
                <w:sz w:val="18"/>
              </w:rPr>
              <w:t xml:space="preserve">53.2</w:t>
            </w:r>
          </w:p>
        </w:tc>
        <w:tc>
          <w:tcPr>
            <w:tcW w:w="1518" w:type="dxa"/>
          </w:tcPr>
          <w:p>
            <w:pPr>
              <w:pStyle w:val="Compact"/>
              <w:keepNext/>
              <w:spacing w:before="0" w:after="0" w:lineRule="exact" w:line="220"/>
              <w:jc w:val="left"/>
            </w:pPr>
            <w:r>
              <w:rPr>
                <w:sz w:val="18"/>
              </w:rPr>
              <w:t xml:space="preserve">-8.9</w:t>
            </w:r>
          </w:p>
        </w:tc>
        <w:tc>
          <w:tcPr>
            <w:tcW w:w="1041" w:type="dxa"/>
          </w:tcPr>
          <w:p>
            <w:pPr>
              <w:pStyle w:val="Compact"/>
              <w:keepNext/>
              <w:spacing w:before="0" w:after="0" w:lineRule="exact" w:line="220"/>
              <w:jc w:val="left"/>
            </w:pPr>
            <w:r>
              <w:rPr>
                <w:sz w:val="18"/>
              </w:rPr>
              <w:t xml:space="preserve">1.48</w:t>
            </w:r>
          </w:p>
        </w:tc>
        <w:tc>
          <w:tcPr>
            <w:tcW w:w="954" w:type="dxa"/>
          </w:tcPr>
          <w:p>
            <w:pPr>
              <w:pStyle w:val="Compact"/>
              <w:keepNext/>
              <w:spacing w:before="0" w:after="0" w:lineRule="exact" w:line="220"/>
              <w:jc w:val="left"/>
            </w:pPr>
            <w:r>
              <w:rPr>
                <w:sz w:val="18"/>
              </w:rPr>
              <w:t xml:space="preserve">2.48</w:t>
            </w:r>
          </w:p>
        </w:tc>
        <w:tc>
          <w:tcPr>
            <w:tcW w:w="940" w:type="dxa"/>
          </w:tcPr>
          <w:p>
            <w:pPr>
              <w:pStyle w:val="Compact"/>
              <w:keepNext/>
              <w:spacing w:before="0" w:after="0" w:lineRule="exact" w:line="220"/>
              <w:jc w:val="left"/>
            </w:pPr>
            <w:r>
              <w:rPr>
                <w:sz w:val="18"/>
              </w:rPr>
              <w:t xml:space="preserve">-21.9</w:t>
            </w:r>
          </w:p>
        </w:tc>
        <w:tc>
          <w:tcPr>
            <w:tcW w:w="750" w:type="dxa"/>
          </w:tcPr>
          <w:p>
            <w:pPr>
              <w:pStyle w:val="Compact"/>
              <w:keepNext/>
              <w:spacing w:before="0" w:after="0" w:lineRule="exact" w:line="220"/>
              <w:jc w:val="left"/>
            </w:pPr>
            <w:r>
              <w:rPr>
                <w:sz w:val="18"/>
              </w:rPr>
              <w:t xml:space="preserve">76.5</w:t>
            </w:r>
          </w:p>
        </w:tc>
        <w:tc>
          <w:tcPr>
            <w:tcW w:w="1130" w:type="dxa"/>
          </w:tcPr>
          <w:p>
            <w:pPr>
              <w:pStyle w:val="Compact"/>
              <w:keepNext/>
              <w:spacing w:before="0" w:after="0" w:lineRule="exact" w:line="220"/>
              <w:jc w:val="left"/>
            </w:pPr>
            <w:r>
              <w:rPr>
                <w:sz w:val="18"/>
              </w:rPr>
              <w:t xml:space="preserve">45.4</w:t>
            </w:r>
          </w:p>
        </w:tc>
      </w:tr>
      <w:tr>
        <w:trPr>
          <w:cantSplit/>
        </w:trPr>
        <w:tc>
          <w:tcPr>
            <w:tcW w:w="1082" w:type="dxa"/>
          </w:tcPr>
          <w:p>
            <w:pPr>
              <w:pStyle w:val="Compact"/>
              <w:keepNext/>
              <w:spacing w:before="0" w:after="0" w:lineRule="exact" w:line="220"/>
              <w:jc w:val="left"/>
            </w:pPr>
            <w:r>
              <w:rPr>
                <w:sz w:val="18"/>
              </w:rPr>
              <w:t xml:space="preserve">Blibli third-party retail, 2022–25</w:t>
            </w:r>
          </w:p>
        </w:tc>
        <w:tc>
          <w:tcPr>
            <w:tcW w:w="1084" w:type="dxa"/>
          </w:tcPr>
          <w:p>
            <w:pPr>
              <w:pStyle w:val="Compact"/>
              <w:keepNext/>
              <w:spacing w:before="0" w:after="0" w:lineRule="exact" w:line="220"/>
              <w:jc w:val="left"/>
            </w:pPr>
            <w:r>
              <w:rPr>
                <w:sz w:val="18"/>
              </w:rPr>
              <w:t xml:space="preserve">679.4</w:t>
            </w:r>
          </w:p>
        </w:tc>
        <w:tc>
          <w:tcPr>
            <w:tcW w:w="1518" w:type="dxa"/>
          </w:tcPr>
          <w:p>
            <w:pPr>
              <w:pStyle w:val="Compact"/>
              <w:keepNext/>
              <w:spacing w:before="0" w:after="0" w:lineRule="exact" w:line="220"/>
              <w:jc w:val="left"/>
            </w:pPr>
            <w:r>
              <w:rPr>
                <w:sz w:val="18"/>
              </w:rPr>
              <w:t xml:space="preserve">43.6</w:t>
            </w:r>
          </w:p>
        </w:tc>
        <w:tc>
          <w:tcPr>
            <w:tcW w:w="1041" w:type="dxa"/>
          </w:tcPr>
          <w:p>
            <w:pPr>
              <w:pStyle w:val="Compact"/>
              <w:keepNext/>
              <w:spacing w:before="0" w:after="0" w:lineRule="exact" w:line="220"/>
              <w:jc w:val="left"/>
            </w:pPr>
            <w:r>
              <w:rPr>
                <w:sz w:val="18"/>
              </w:rPr>
              <w:t xml:space="preserve">0.54</w:t>
            </w:r>
          </w:p>
        </w:tc>
        <w:tc>
          <w:tcPr>
            <w:tcW w:w="954" w:type="dxa"/>
          </w:tcPr>
          <w:p>
            <w:pPr>
              <w:pStyle w:val="Compact"/>
              <w:keepNext/>
              <w:spacing w:before="0" w:after="0" w:lineRule="exact" w:line="220"/>
              <w:jc w:val="left"/>
            </w:pPr>
            <w:r>
              <w:rPr>
                <w:sz w:val="18"/>
              </w:rPr>
              <w:t xml:space="preserve">2.92</w:t>
            </w:r>
          </w:p>
        </w:tc>
        <w:tc>
          <w:tcPr>
            <w:tcW w:w="940" w:type="dxa"/>
          </w:tcPr>
          <w:p>
            <w:pPr>
              <w:pStyle w:val="Compact"/>
              <w:keepNext/>
              <w:spacing w:before="0" w:after="0" w:lineRule="exact" w:line="220"/>
              <w:jc w:val="left"/>
            </w:pPr>
            <w:r>
              <w:rPr>
                <w:sz w:val="18"/>
              </w:rPr>
              <w:t xml:space="preserve">17.6</w:t>
            </w:r>
          </w:p>
        </w:tc>
        <w:tc>
          <w:tcPr>
            <w:tcW w:w="750" w:type="dxa"/>
          </w:tcPr>
          <w:p>
            <w:pPr>
              <w:pStyle w:val="Compact"/>
              <w:keepNext/>
              <w:spacing w:before="0" w:after="0" w:lineRule="exact" w:line="220"/>
              <w:jc w:val="left"/>
            </w:pPr>
            <w:r>
              <w:rPr>
                <w:sz w:val="18"/>
              </w:rPr>
              <w:t xml:space="preserve">62.6</w:t>
            </w:r>
          </w:p>
        </w:tc>
        <w:tc>
          <w:tcPr>
            <w:tcW w:w="1130" w:type="dxa"/>
          </w:tcPr>
          <w:p>
            <w:pPr>
              <w:pStyle w:val="Compact"/>
              <w:keepNext/>
              <w:spacing w:before="0" w:after="0" w:lineRule="exact" w:line="220"/>
              <w:jc w:val="left"/>
            </w:pPr>
            <w:r>
              <w:rPr>
                <w:sz w:val="18"/>
              </w:rPr>
              <w:t xml:space="preserve">19.8</w:t>
            </w:r>
          </w:p>
        </w:tc>
      </w:tr>
      <w:tr>
        <w:trPr>
          <w:cantSplit/>
        </w:trPr>
        <w:tc>
          <w:tcPr>
            <w:tcW w:w="1082" w:type="dxa"/>
          </w:tcPr>
          <w:p>
            <w:pPr>
              <w:pStyle w:val="Compact"/>
              <w:spacing w:before="0" w:after="0" w:lineRule="exact" w:line="220"/>
              <w:jc w:val="left"/>
            </w:pPr>
            <w:r>
              <w:rPr>
                <w:sz w:val="18"/>
              </w:rPr>
              <w:t xml:space="preserve">Blibli third-party retail, 2022–23</w:t>
            </w:r>
          </w:p>
        </w:tc>
        <w:tc>
          <w:tcPr>
            <w:tcW w:w="1084" w:type="dxa"/>
          </w:tcPr>
          <w:p>
            <w:pPr>
              <w:pStyle w:val="Compact"/>
              <w:spacing w:before="0" w:after="0" w:lineRule="exact" w:line="220"/>
              <w:jc w:val="left"/>
            </w:pPr>
            <w:r>
              <w:rPr>
                <w:sz w:val="18"/>
              </w:rPr>
              <w:t xml:space="preserve">465.3</w:t>
            </w:r>
          </w:p>
        </w:tc>
        <w:tc>
          <w:tcPr>
            <w:tcW w:w="1518" w:type="dxa"/>
          </w:tcPr>
          <w:p>
            <w:pPr>
              <w:pStyle w:val="Compact"/>
              <w:spacing w:before="0" w:after="0" w:lineRule="exact" w:line="220"/>
              <w:jc w:val="left"/>
            </w:pPr>
            <w:r>
              <w:rPr>
                <w:sz w:val="18"/>
              </w:rPr>
              <w:t xml:space="preserve">34.7</w:t>
            </w:r>
          </w:p>
        </w:tc>
        <w:tc>
          <w:tcPr>
            <w:tcW w:w="1041" w:type="dxa"/>
          </w:tcPr>
          <w:p>
            <w:pPr>
              <w:pStyle w:val="Compact"/>
              <w:spacing w:before="0" w:after="0" w:lineRule="exact" w:line="220"/>
              <w:jc w:val="left"/>
            </w:pPr>
            <w:r>
              <w:rPr>
                <w:sz w:val="18"/>
              </w:rPr>
              <w:t xml:space="preserve">0.54</w:t>
            </w:r>
          </w:p>
        </w:tc>
        <w:tc>
          <w:tcPr>
            <w:tcW w:w="954" w:type="dxa"/>
          </w:tcPr>
          <w:p>
            <w:pPr>
              <w:pStyle w:val="Compact"/>
              <w:spacing w:before="0" w:after="0" w:lineRule="exact" w:line="220"/>
              <w:jc w:val="left"/>
            </w:pPr>
            <w:r>
              <w:rPr>
                <w:sz w:val="18"/>
              </w:rPr>
              <w:t xml:space="preserve">2.25</w:t>
            </w:r>
          </w:p>
        </w:tc>
        <w:tc>
          <w:tcPr>
            <w:tcW w:w="940" w:type="dxa"/>
          </w:tcPr>
          <w:p>
            <w:pPr>
              <w:pStyle w:val="Compact"/>
              <w:spacing w:before="0" w:after="0" w:lineRule="exact" w:line="220"/>
              <w:jc w:val="left"/>
            </w:pPr>
            <w:r>
              <w:rPr>
                <w:sz w:val="18"/>
              </w:rPr>
              <w:t xml:space="preserve">17.2</w:t>
            </w:r>
          </w:p>
        </w:tc>
        <w:tc>
          <w:tcPr>
            <w:tcW w:w="750" w:type="dxa"/>
          </w:tcPr>
          <w:p>
            <w:pPr>
              <w:pStyle w:val="Compact"/>
              <w:spacing w:before="0" w:after="0" w:lineRule="exact" w:line="220"/>
              <w:jc w:val="left"/>
            </w:pPr>
            <w:r>
              <w:rPr>
                <w:sz w:val="18"/>
              </w:rPr>
              <w:t xml:space="preserve">20.1</w:t>
            </w:r>
          </w:p>
        </w:tc>
        <w:tc>
          <w:tcPr>
            <w:tcW w:w="1130" w:type="dxa"/>
          </w:tcPr>
          <w:p>
            <w:pPr>
              <w:pStyle w:val="Compact"/>
              <w:spacing w:before="0" w:after="0" w:lineRule="exact" w:line="220"/>
              <w:jc w:val="left"/>
            </w:pPr>
            <w:r>
              <w:rPr>
                <w:sz w:val="18"/>
              </w:rPr>
              <w:t xml:space="preserve">62.7</w:t>
            </w:r>
          </w:p>
        </w:tc>
      </w:tr>
    </w:tbl>
    <w:p>
      <w:pPr>
        <w:pStyle w:val="BodyText"/>
        <w:spacing w:before="160"/>
        <w:jc w:val="left"/>
      </w:pPr>
      <w:r>
        <w:t xml:space="preserve">Tokopedia, 2022–23, line by line (Rp million,</w:t>
      </w:r>
      <w:r>
        <w:t xml:space="preserve"> </w:t>
      </w:r>
      <w:r>
        <w:rPr>
          <w:rStyle w:val="VerbatimChar"/>
        </w:rPr>
        <w:t xml:space="preserve">tables/tokopedia_segment.csv</w:t>
      </w:r>
      <w:r>
        <w:t xml:space="preserve">): gross revenue 8,143,239 to 8,988,909; incentives 4,112,320 to 2,813,719; net revenue 4,030,919 to 6,175,190. Net revenue rose by 2,144,271, of which lower incentives account for 60.6 percent and higher gross revenue for 39.4 percent (about 60 and 40 percent in the text).</w:t>
      </w:r>
    </w:p>
    <w:bookmarkEnd w:id="91"/>
    <w:bookmarkStart w:id="92" w:name="Xb702da1138b9cc3d1e10d1a4085988b12c1d217"/>
    <w:p>
      <w:pPr>
        <w:pStyle w:val="Heading3"/>
      </w:pPr>
      <w:r>
        <w:t xml:space="preserve">A.4 Wedge and ecosystem ratio by platform-year, Indonesian series</w:t>
      </w:r>
    </w:p>
    <w:p>
      <w:pPr>
        <w:pStyle w:val="FirstParagraph"/>
        <w:jc w:val="left"/>
      </w:pPr>
      <w:r>
        <w:t xml:space="preserve">Original currency and units, as in the filings: Rp million for Tokopedia and Bukalapak, Rp billion for Blibli, and US$ billion for Grab and Shopee, whose Indonesian amounts are derived or estimated. Shopee’s revenue assumes a take rate of 8.4 percent in 2022, 10 percent in 2023 and 10.8 percent in 2024. Table 9 converts Tokopedia’s 2023 rupiah amounts to US dollars. Take rate and ecosystem ratio carry no currency. Each label names the source of the transaction value and of the revenue in that row. Source:</w:t>
      </w:r>
      <w:r>
        <w:t xml:space="preserve"> </w:t>
      </w:r>
      <w:r>
        <w:rPr>
          <w:rStyle w:val="VerbatimChar"/>
        </w:rPr>
        <w:t xml:space="preserve">tables/take_rate_levels.csv</w:t>
      </w:r>
      <w:r>
        <w:t xml:space="preserve">.</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370"/>
        <w:gridCol w:w="560"/>
        <w:gridCol w:w="1225"/>
        <w:gridCol w:w="1035"/>
        <w:gridCol w:w="1225"/>
        <w:gridCol w:w="803"/>
        <w:gridCol w:w="1035"/>
        <w:gridCol w:w="1249"/>
      </w:tblGrid>
      <w:tr>
        <w:trPr>
          <w:tblHeader w:val="true"/>
          <w:cantSplit/>
          <w:tblHeader/>
        </w:trPr>
        <w:tc>
          <w:tcPr>
            <w:tcW w:w="1370" w:type="dxa"/>
            <w:tcBorders>
              <w:bottom w:val="single" w:sz="5" w:space="0" w:color="000000"/>
            </w:tcBorders>
          </w:tcPr>
          <w:p>
            <w:pPr>
              <w:pStyle w:val="Compact"/>
              <w:keepNext/>
              <w:spacing w:before="0" w:after="0" w:lineRule="exact" w:line="220"/>
              <w:jc w:val="left"/>
            </w:pPr>
            <w:r>
              <w:rPr>
                <w:b/>
                <w:sz w:val="18"/>
              </w:rPr>
              <w:t xml:space="preserve">Series</w:t>
            </w:r>
          </w:p>
        </w:tc>
        <w:tc>
          <w:tcPr>
            <w:tcW w:w="560" w:type="dxa"/>
            <w:tcBorders>
              <w:bottom w:val="single" w:sz="5" w:space="0" w:color="000000"/>
            </w:tcBorders>
          </w:tcPr>
          <w:p>
            <w:pPr>
              <w:pStyle w:val="Compact"/>
              <w:keepNext/>
              <w:spacing w:before="0" w:after="0" w:lineRule="exact" w:line="220"/>
              <w:jc w:val="left"/>
            </w:pPr>
            <w:r>
              <w:rPr>
                <w:b/>
                <w:sz w:val="18"/>
              </w:rPr>
              <w:t xml:space="preserve">Year</w:t>
            </w:r>
          </w:p>
        </w:tc>
        <w:tc>
          <w:tcPr>
            <w:tcW w:w="1225" w:type="dxa"/>
            <w:tcBorders>
              <w:bottom w:val="single" w:sz="5" w:space="0" w:color="000000"/>
            </w:tcBorders>
          </w:tcPr>
          <w:p>
            <w:pPr>
              <w:pStyle w:val="Compact"/>
              <w:keepNext/>
              <w:spacing w:before="0" w:after="0" w:lineRule="exact" w:line="220"/>
              <w:jc w:val="left"/>
            </w:pPr>
            <w:r>
              <w:rPr>
                <w:b/>
                <w:sz w:val="18"/>
              </w:rPr>
              <w:t xml:space="preserve">Transaction value</w:t>
            </w:r>
          </w:p>
        </w:tc>
        <w:tc>
          <w:tcPr>
            <w:tcW w:w="1035" w:type="dxa"/>
            <w:tcBorders>
              <w:bottom w:val="single" w:sz="5" w:space="0" w:color="000000"/>
            </w:tcBorders>
          </w:tcPr>
          <w:p>
            <w:pPr>
              <w:pStyle w:val="Compact"/>
              <w:keepNext/>
              <w:spacing w:before="0" w:after="0" w:lineRule="exact" w:line="220"/>
              <w:jc w:val="left"/>
            </w:pPr>
            <w:r>
              <w:rPr>
                <w:b/>
                <w:sz w:val="18"/>
              </w:rPr>
              <w:t xml:space="preserve">Revenue</w:t>
            </w:r>
          </w:p>
        </w:tc>
        <w:tc>
          <w:tcPr>
            <w:tcW w:w="1225" w:type="dxa"/>
            <w:tcBorders>
              <w:bottom w:val="single" w:sz="5" w:space="0" w:color="000000"/>
            </w:tcBorders>
          </w:tcPr>
          <w:p>
            <w:pPr>
              <w:pStyle w:val="Compact"/>
              <w:keepNext/>
              <w:spacing w:before="0" w:after="0" w:lineRule="exact" w:line="220"/>
              <w:jc w:val="left"/>
            </w:pPr>
            <w:r>
              <w:rPr>
                <w:b/>
                <w:sz w:val="18"/>
              </w:rPr>
              <w:t xml:space="preserve">Wedge</w:t>
            </w:r>
          </w:p>
        </w:tc>
        <w:tc>
          <w:tcPr>
            <w:tcW w:w="803" w:type="dxa"/>
            <w:tcBorders>
              <w:bottom w:val="single" w:sz="5" w:space="0" w:color="000000"/>
            </w:tcBorders>
          </w:tcPr>
          <w:p>
            <w:pPr>
              <w:pStyle w:val="Compact"/>
              <w:keepNext/>
              <w:spacing w:before="0" w:after="0" w:lineRule="exact" w:line="220"/>
              <w:jc w:val="left"/>
            </w:pPr>
            <w:r>
              <w:rPr>
                <w:b/>
                <w:sz w:val="18"/>
              </w:rPr>
              <w:t xml:space="preserve">Take rate (%)</w:t>
            </w:r>
          </w:p>
        </w:tc>
        <w:tc>
          <w:tcPr>
            <w:tcW w:w="1035" w:type="dxa"/>
            <w:tcBorders>
              <w:bottom w:val="single" w:sz="5" w:space="0" w:color="000000"/>
            </w:tcBorders>
          </w:tcPr>
          <w:p>
            <w:pPr>
              <w:pStyle w:val="Compact"/>
              <w:keepNext/>
              <w:spacing w:before="0" w:after="0" w:lineRule="exact" w:line="220"/>
              <w:jc w:val="left"/>
            </w:pPr>
            <w:r>
              <w:rPr>
                <w:b/>
                <w:sz w:val="18"/>
              </w:rPr>
              <w:t xml:space="preserve">Ecosystem ratio</w:t>
            </w:r>
          </w:p>
        </w:tc>
        <w:tc>
          <w:tcPr>
            <w:tcW w:w="1249" w:type="dxa"/>
            <w:tcBorders>
              <w:bottom w:val="single" w:sz="5" w:space="0" w:color="000000"/>
            </w:tcBorders>
          </w:tcPr>
          <w:p>
            <w:pPr>
              <w:pStyle w:val="Compact"/>
              <w:keepNext/>
              <w:spacing w:before="0" w:after="0" w:lineRule="exact" w:line="220"/>
              <w:jc w:val="left"/>
            </w:pPr>
            <w:r>
              <w:rPr>
                <w:b/>
                <w:sz w:val="18"/>
              </w:rPr>
              <w:t xml:space="preserve">Label</w:t>
            </w:r>
          </w:p>
        </w:tc>
      </w:tr>
      <w:tr>
        <w:trPr>
          <w:cantSplit/>
        </w:trPr>
        <w:tc>
          <w:tcPr>
            <w:tcW w:w="1370" w:type="dxa"/>
          </w:tcPr>
          <w:p>
            <w:pPr>
              <w:pStyle w:val="Compact"/>
              <w:keepNext/>
              <w:spacing w:before="0" w:after="0" w:lineRule="exact" w:line="220"/>
              <w:jc w:val="left"/>
            </w:pPr>
            <w:r>
              <w:rPr>
                <w:sz w:val="18"/>
              </w:rPr>
              <w:t xml:space="preserve">Grab</w:t>
            </w:r>
          </w:p>
        </w:tc>
        <w:tc>
          <w:tcPr>
            <w:tcW w:w="560" w:type="dxa"/>
          </w:tcPr>
          <w:p>
            <w:pPr>
              <w:pStyle w:val="Compact"/>
              <w:keepNext/>
              <w:spacing w:before="0" w:after="0" w:lineRule="exact" w:line="220"/>
              <w:jc w:val="left"/>
            </w:pPr>
            <w:r>
              <w:rPr>
                <w:sz w:val="18"/>
              </w:rPr>
              <w:t xml:space="preserve">2021</w:t>
            </w:r>
          </w:p>
        </w:tc>
        <w:tc>
          <w:tcPr>
            <w:tcW w:w="1225" w:type="dxa"/>
          </w:tcPr>
          <w:p>
            <w:pPr>
              <w:pStyle w:val="Compact"/>
              <w:keepNext/>
              <w:spacing w:before="0" w:after="0" w:lineRule="exact" w:line="220"/>
              <w:jc w:val="left"/>
            </w:pPr>
            <w:r>
              <w:rPr>
                <w:sz w:val="18"/>
              </w:rPr>
              <w:t xml:space="preserve">1.88</w:t>
            </w:r>
          </w:p>
        </w:tc>
        <w:tc>
          <w:tcPr>
            <w:tcW w:w="1035" w:type="dxa"/>
          </w:tcPr>
          <w:p>
            <w:pPr>
              <w:pStyle w:val="Compact"/>
              <w:keepNext/>
              <w:spacing w:before="0" w:after="0" w:lineRule="exact" w:line="220"/>
              <w:jc w:val="left"/>
            </w:pPr>
            <w:r>
              <w:rPr>
                <w:sz w:val="18"/>
              </w:rPr>
              <w:t xml:space="preserve">0.08</w:t>
            </w:r>
          </w:p>
        </w:tc>
        <w:tc>
          <w:tcPr>
            <w:tcW w:w="1225" w:type="dxa"/>
          </w:tcPr>
          <w:p>
            <w:pPr>
              <w:pStyle w:val="Compact"/>
              <w:keepNext/>
              <w:spacing w:before="0" w:after="0" w:lineRule="exact" w:line="220"/>
              <w:jc w:val="left"/>
            </w:pPr>
            <w:r>
              <w:rPr>
                <w:sz w:val="18"/>
              </w:rPr>
              <w:t xml:space="preserve">1.80</w:t>
            </w:r>
          </w:p>
        </w:tc>
        <w:tc>
          <w:tcPr>
            <w:tcW w:w="803" w:type="dxa"/>
          </w:tcPr>
          <w:p>
            <w:pPr>
              <w:pStyle w:val="Compact"/>
              <w:keepNext/>
              <w:spacing w:before="0" w:after="0" w:lineRule="exact" w:line="220"/>
              <w:jc w:val="left"/>
            </w:pPr>
            <w:r>
              <w:rPr>
                <w:sz w:val="18"/>
              </w:rPr>
              <w:t xml:space="preserve">4.20</w:t>
            </w:r>
          </w:p>
        </w:tc>
        <w:tc>
          <w:tcPr>
            <w:tcW w:w="1035" w:type="dxa"/>
          </w:tcPr>
          <w:p>
            <w:pPr>
              <w:pStyle w:val="Compact"/>
              <w:keepNext/>
              <w:spacing w:before="0" w:after="0" w:lineRule="exact" w:line="220"/>
              <w:jc w:val="left"/>
            </w:pPr>
            <w:r>
              <w:rPr>
                <w:sz w:val="18"/>
              </w:rPr>
              <w:t xml:space="preserve">22.8</w:t>
            </w:r>
          </w:p>
        </w:tc>
        <w:tc>
          <w:tcPr>
            <w:tcW w:w="1249" w:type="dxa"/>
          </w:tcPr>
          <w:p>
            <w:pPr>
              <w:pStyle w:val="Compact"/>
              <w:keepNext/>
              <w:spacing w:before="0" w:after="0" w:lineRule="exact" w:line="220"/>
              <w:jc w:val="left"/>
            </w:pPr>
            <w:r>
              <w:rPr>
                <w:sz w:val="18"/>
              </w:rPr>
              <w:t xml:space="preserve">Revenue: country disclosure; value: derived</w:t>
            </w:r>
          </w:p>
        </w:tc>
      </w:tr>
      <w:tr>
        <w:trPr>
          <w:cantSplit/>
        </w:trPr>
        <w:tc>
          <w:tcPr>
            <w:tcW w:w="1370" w:type="dxa"/>
          </w:tcPr>
          <w:p>
            <w:pPr>
              <w:pStyle w:val="Compact"/>
              <w:keepNext/>
              <w:spacing w:before="0" w:after="0" w:lineRule="exact" w:line="220"/>
              <w:jc w:val="left"/>
            </w:pPr>
            <w:r>
              <w:rPr>
                <w:sz w:val="18"/>
              </w:rPr>
              <w:t xml:space="preserve">Grab</w:t>
            </w:r>
          </w:p>
        </w:tc>
        <w:tc>
          <w:tcPr>
            <w:tcW w:w="560" w:type="dxa"/>
          </w:tcPr>
          <w:p>
            <w:pPr>
              <w:pStyle w:val="Compact"/>
              <w:keepNext/>
              <w:spacing w:before="0" w:after="0" w:lineRule="exact" w:line="220"/>
              <w:jc w:val="left"/>
            </w:pPr>
            <w:r>
              <w:rPr>
                <w:sz w:val="18"/>
              </w:rPr>
              <w:t xml:space="preserve">2022</w:t>
            </w:r>
          </w:p>
        </w:tc>
        <w:tc>
          <w:tcPr>
            <w:tcW w:w="1225" w:type="dxa"/>
          </w:tcPr>
          <w:p>
            <w:pPr>
              <w:pStyle w:val="Compact"/>
              <w:keepNext/>
              <w:spacing w:before="0" w:after="0" w:lineRule="exact" w:line="220"/>
              <w:jc w:val="left"/>
            </w:pPr>
            <w:r>
              <w:rPr>
                <w:sz w:val="18"/>
              </w:rPr>
              <w:t xml:space="preserve">3.83</w:t>
            </w:r>
          </w:p>
        </w:tc>
        <w:tc>
          <w:tcPr>
            <w:tcW w:w="1035" w:type="dxa"/>
          </w:tcPr>
          <w:p>
            <w:pPr>
              <w:pStyle w:val="Compact"/>
              <w:keepNext/>
              <w:spacing w:before="0" w:after="0" w:lineRule="exact" w:line="220"/>
              <w:jc w:val="left"/>
            </w:pPr>
            <w:r>
              <w:rPr>
                <w:sz w:val="18"/>
              </w:rPr>
              <w:t xml:space="preserve">0.28</w:t>
            </w:r>
          </w:p>
        </w:tc>
        <w:tc>
          <w:tcPr>
            <w:tcW w:w="1225" w:type="dxa"/>
          </w:tcPr>
          <w:p>
            <w:pPr>
              <w:pStyle w:val="Compact"/>
              <w:keepNext/>
              <w:spacing w:before="0" w:after="0" w:lineRule="exact" w:line="220"/>
              <w:jc w:val="left"/>
            </w:pPr>
            <w:r>
              <w:rPr>
                <w:sz w:val="18"/>
              </w:rPr>
              <w:t xml:space="preserve">3.55</w:t>
            </w:r>
          </w:p>
        </w:tc>
        <w:tc>
          <w:tcPr>
            <w:tcW w:w="803" w:type="dxa"/>
          </w:tcPr>
          <w:p>
            <w:pPr>
              <w:pStyle w:val="Compact"/>
              <w:keepNext/>
              <w:spacing w:before="0" w:after="0" w:lineRule="exact" w:line="220"/>
              <w:jc w:val="left"/>
            </w:pPr>
            <w:r>
              <w:rPr>
                <w:sz w:val="18"/>
              </w:rPr>
              <w:t xml:space="preserve">7.19</w:t>
            </w:r>
          </w:p>
        </w:tc>
        <w:tc>
          <w:tcPr>
            <w:tcW w:w="1035" w:type="dxa"/>
          </w:tcPr>
          <w:p>
            <w:pPr>
              <w:pStyle w:val="Compact"/>
              <w:keepNext/>
              <w:spacing w:before="0" w:after="0" w:lineRule="exact" w:line="220"/>
              <w:jc w:val="left"/>
            </w:pPr>
            <w:r>
              <w:rPr>
                <w:sz w:val="18"/>
              </w:rPr>
              <w:t xml:space="preserve">12.9</w:t>
            </w:r>
          </w:p>
        </w:tc>
        <w:tc>
          <w:tcPr>
            <w:tcW w:w="1249" w:type="dxa"/>
          </w:tcPr>
          <w:p>
            <w:pPr>
              <w:pStyle w:val="Compact"/>
              <w:keepNext/>
              <w:spacing w:before="0" w:after="0" w:lineRule="exact" w:line="220"/>
              <w:jc w:val="left"/>
            </w:pPr>
            <w:r>
              <w:rPr>
                <w:sz w:val="18"/>
              </w:rPr>
              <w:t xml:space="preserve">Revenue: country disclosure; value: derived</w:t>
            </w:r>
          </w:p>
        </w:tc>
      </w:tr>
      <w:tr>
        <w:trPr>
          <w:cantSplit/>
        </w:trPr>
        <w:tc>
          <w:tcPr>
            <w:tcW w:w="1370" w:type="dxa"/>
          </w:tcPr>
          <w:p>
            <w:pPr>
              <w:pStyle w:val="Compact"/>
              <w:spacing w:before="0" w:after="0" w:lineRule="exact" w:line="220"/>
              <w:jc w:val="left"/>
            </w:pPr>
            <w:r>
              <w:rPr>
                <w:sz w:val="18"/>
              </w:rPr>
              <w:t xml:space="preserve">Grab</w:t>
            </w:r>
          </w:p>
        </w:tc>
        <w:tc>
          <w:tcPr>
            <w:tcW w:w="560" w:type="dxa"/>
          </w:tcPr>
          <w:p>
            <w:pPr>
              <w:pStyle w:val="Compact"/>
              <w:spacing w:before="0" w:after="0" w:lineRule="exact" w:line="220"/>
              <w:jc w:val="left"/>
            </w:pPr>
            <w:r>
              <w:rPr>
                <w:sz w:val="18"/>
              </w:rPr>
              <w:t xml:space="preserve">2023</w:t>
            </w:r>
          </w:p>
        </w:tc>
        <w:tc>
          <w:tcPr>
            <w:tcW w:w="1225" w:type="dxa"/>
          </w:tcPr>
          <w:p>
            <w:pPr>
              <w:pStyle w:val="Compact"/>
              <w:spacing w:before="0" w:after="0" w:lineRule="exact" w:line="220"/>
              <w:jc w:val="left"/>
            </w:pPr>
            <w:r>
              <w:rPr>
                <w:sz w:val="18"/>
              </w:rPr>
              <w:t xml:space="preserve">5.38</w:t>
            </w:r>
          </w:p>
        </w:tc>
        <w:tc>
          <w:tcPr>
            <w:tcW w:w="1035" w:type="dxa"/>
          </w:tcPr>
          <w:p>
            <w:pPr>
              <w:pStyle w:val="Compact"/>
              <w:spacing w:before="0" w:after="0" w:lineRule="exact" w:line="220"/>
              <w:jc w:val="left"/>
            </w:pPr>
            <w:r>
              <w:rPr>
                <w:sz w:val="18"/>
              </w:rPr>
              <w:t xml:space="preserve">0.60</w:t>
            </w:r>
          </w:p>
        </w:tc>
        <w:tc>
          <w:tcPr>
            <w:tcW w:w="1225" w:type="dxa"/>
          </w:tcPr>
          <w:p>
            <w:pPr>
              <w:pStyle w:val="Compact"/>
              <w:spacing w:before="0" w:after="0" w:lineRule="exact" w:line="220"/>
              <w:jc w:val="left"/>
            </w:pPr>
            <w:r>
              <w:rPr>
                <w:sz w:val="18"/>
              </w:rPr>
              <w:t xml:space="preserve">4.78</w:t>
            </w:r>
          </w:p>
        </w:tc>
        <w:tc>
          <w:tcPr>
            <w:tcW w:w="803" w:type="dxa"/>
          </w:tcPr>
          <w:p>
            <w:pPr>
              <w:pStyle w:val="Compact"/>
              <w:spacing w:before="0" w:after="0" w:lineRule="exact" w:line="220"/>
              <w:jc w:val="left"/>
            </w:pPr>
            <w:r>
              <w:rPr>
                <w:sz w:val="18"/>
              </w:rPr>
              <w:t xml:space="preserve">11.24</w:t>
            </w:r>
          </w:p>
        </w:tc>
        <w:tc>
          <w:tcPr>
            <w:tcW w:w="1035" w:type="dxa"/>
          </w:tcPr>
          <w:p>
            <w:pPr>
              <w:pStyle w:val="Compact"/>
              <w:spacing w:before="0" w:after="0" w:lineRule="exact" w:line="220"/>
              <w:jc w:val="left"/>
            </w:pPr>
            <w:r>
              <w:rPr>
                <w:sz w:val="18"/>
              </w:rPr>
              <w:t xml:space="preserve">7.9</w:t>
            </w:r>
          </w:p>
        </w:tc>
        <w:tc>
          <w:tcPr>
            <w:tcW w:w="1249" w:type="dxa"/>
          </w:tcPr>
          <w:p>
            <w:pPr>
              <w:pStyle w:val="Compact"/>
              <w:spacing w:before="0" w:after="0" w:lineRule="exact" w:line="220"/>
              <w:jc w:val="left"/>
            </w:pPr>
            <w:r>
              <w:rPr>
                <w:sz w:val="18"/>
              </w:rPr>
              <w:t xml:space="preserve">Revenue: country disclosure; value: derived</w:t>
            </w:r>
          </w:p>
        </w:tc>
      </w:tr>
      <w:tr>
        <w:trPr>
          <w:cantSplit/>
        </w:trPr>
        <w:tc>
          <w:tcPr>
            <w:tcW w:w="1370" w:type="dxa"/>
          </w:tcPr>
          <w:p>
            <w:pPr>
              <w:pStyle w:val="Compact"/>
              <w:spacing w:before="0" w:after="0" w:lineRule="exact" w:line="220"/>
              <w:jc w:val="left"/>
            </w:pPr>
            <w:r>
              <w:rPr>
                <w:sz w:val="18"/>
              </w:rPr>
              <w:t xml:space="preserve">Shopee</w:t>
            </w:r>
          </w:p>
        </w:tc>
        <w:tc>
          <w:tcPr>
            <w:tcW w:w="560" w:type="dxa"/>
          </w:tcPr>
          <w:p>
            <w:pPr>
              <w:pStyle w:val="Compact"/>
              <w:spacing w:before="0" w:after="0" w:lineRule="exact" w:line="220"/>
              <w:jc w:val="left"/>
            </w:pPr>
            <w:r>
              <w:rPr>
                <w:sz w:val="18"/>
              </w:rPr>
              <w:t xml:space="preserve">2022</w:t>
            </w:r>
          </w:p>
        </w:tc>
        <w:tc>
          <w:tcPr>
            <w:tcW w:w="1225" w:type="dxa"/>
          </w:tcPr>
          <w:p>
            <w:pPr>
              <w:pStyle w:val="Compact"/>
              <w:spacing w:before="0" w:after="0" w:lineRule="exact" w:line="220"/>
              <w:jc w:val="left"/>
            </w:pPr>
            <w:r>
              <w:rPr>
                <w:sz w:val="18"/>
              </w:rPr>
              <w:t xml:space="preserve">18.68</w:t>
            </w:r>
          </w:p>
        </w:tc>
        <w:tc>
          <w:tcPr>
            <w:tcW w:w="1035" w:type="dxa"/>
          </w:tcPr>
          <w:p>
            <w:pPr>
              <w:pStyle w:val="Compact"/>
              <w:spacing w:before="0" w:after="0" w:lineRule="exact" w:line="220"/>
              <w:jc w:val="left"/>
            </w:pPr>
            <w:r>
              <w:rPr>
                <w:sz w:val="18"/>
              </w:rPr>
              <w:t xml:space="preserve">1.57</w:t>
            </w:r>
          </w:p>
        </w:tc>
        <w:tc>
          <w:tcPr>
            <w:tcW w:w="1225" w:type="dxa"/>
          </w:tcPr>
          <w:p>
            <w:pPr>
              <w:pStyle w:val="Compact"/>
              <w:spacing w:before="0" w:after="0" w:lineRule="exact" w:line="220"/>
              <w:jc w:val="left"/>
            </w:pPr>
            <w:r>
              <w:rPr>
                <w:sz w:val="18"/>
              </w:rPr>
              <w:t xml:space="preserve">17.11</w:t>
            </w:r>
          </w:p>
        </w:tc>
        <w:tc>
          <w:tcPr>
            <w:tcW w:w="803" w:type="dxa"/>
          </w:tcPr>
          <w:p>
            <w:pPr>
              <w:pStyle w:val="Compact"/>
              <w:spacing w:before="0" w:after="0" w:lineRule="exact" w:line="220"/>
              <w:jc w:val="left"/>
            </w:pPr>
            <w:r>
              <w:rPr>
                <w:sz w:val="18"/>
              </w:rPr>
              <w:t xml:space="preserve">8.40</w:t>
            </w:r>
          </w:p>
        </w:tc>
        <w:tc>
          <w:tcPr>
            <w:tcW w:w="1035" w:type="dxa"/>
          </w:tcPr>
          <w:p>
            <w:pPr>
              <w:pStyle w:val="Compact"/>
              <w:spacing w:before="0" w:after="0" w:lineRule="exact" w:line="220"/>
              <w:jc w:val="left"/>
            </w:pPr>
            <w:r>
              <w:rPr>
                <w:sz w:val="18"/>
              </w:rPr>
              <w:t xml:space="preserve">10.9</w:t>
            </w:r>
          </w:p>
        </w:tc>
        <w:tc>
          <w:tcPr>
            <w:tcW w:w="1249" w:type="dxa"/>
          </w:tcPr>
          <w:p>
            <w:pPr>
              <w:pStyle w:val="Compact"/>
              <w:spacing w:before="0" w:after="0" w:lineRule="exact" w:line="220"/>
              <w:jc w:val="left"/>
            </w:pPr>
            <w:r>
              <w:rPr>
                <w:sz w:val="18"/>
              </w:rPr>
              <w:t xml:space="preserve">Value: outside estimate; revenue: scenario</w:t>
            </w:r>
          </w:p>
        </w:tc>
      </w:tr>
      <w:tr>
        <w:trPr>
          <w:cantSplit/>
        </w:trPr>
        <w:tc>
          <w:tcPr>
            <w:tcW w:w="1370" w:type="dxa"/>
          </w:tcPr>
          <w:p>
            <w:pPr>
              <w:pStyle w:val="Compact"/>
              <w:spacing w:before="0" w:after="0" w:lineRule="exact" w:line="220"/>
              <w:jc w:val="left"/>
            </w:pPr>
            <w:r>
              <w:rPr>
                <w:sz w:val="18"/>
              </w:rPr>
              <w:t xml:space="preserve">Shopee</w:t>
            </w:r>
          </w:p>
        </w:tc>
        <w:tc>
          <w:tcPr>
            <w:tcW w:w="560" w:type="dxa"/>
          </w:tcPr>
          <w:p>
            <w:pPr>
              <w:pStyle w:val="Compact"/>
              <w:spacing w:before="0" w:after="0" w:lineRule="exact" w:line="220"/>
              <w:jc w:val="left"/>
            </w:pPr>
            <w:r>
              <w:rPr>
                <w:sz w:val="18"/>
              </w:rPr>
              <w:t xml:space="preserve">2023</w:t>
            </w:r>
          </w:p>
        </w:tc>
        <w:tc>
          <w:tcPr>
            <w:tcW w:w="1225" w:type="dxa"/>
          </w:tcPr>
          <w:p>
            <w:pPr>
              <w:pStyle w:val="Compact"/>
              <w:spacing w:before="0" w:after="0" w:lineRule="exact" w:line="220"/>
              <w:jc w:val="left"/>
            </w:pPr>
            <w:r>
              <w:rPr>
                <w:sz w:val="18"/>
              </w:rPr>
              <w:t xml:space="preserve">21.52</w:t>
            </w:r>
          </w:p>
        </w:tc>
        <w:tc>
          <w:tcPr>
            <w:tcW w:w="1035" w:type="dxa"/>
          </w:tcPr>
          <w:p>
            <w:pPr>
              <w:pStyle w:val="Compact"/>
              <w:spacing w:before="0" w:after="0" w:lineRule="exact" w:line="220"/>
              <w:jc w:val="left"/>
            </w:pPr>
            <w:r>
              <w:rPr>
                <w:sz w:val="18"/>
              </w:rPr>
              <w:t xml:space="preserve">2.15</w:t>
            </w:r>
          </w:p>
        </w:tc>
        <w:tc>
          <w:tcPr>
            <w:tcW w:w="1225" w:type="dxa"/>
          </w:tcPr>
          <w:p>
            <w:pPr>
              <w:pStyle w:val="Compact"/>
              <w:spacing w:before="0" w:after="0" w:lineRule="exact" w:line="220"/>
              <w:jc w:val="left"/>
            </w:pPr>
            <w:r>
              <w:rPr>
                <w:sz w:val="18"/>
              </w:rPr>
              <w:t xml:space="preserve">19.37</w:t>
            </w:r>
          </w:p>
        </w:tc>
        <w:tc>
          <w:tcPr>
            <w:tcW w:w="803" w:type="dxa"/>
          </w:tcPr>
          <w:p>
            <w:pPr>
              <w:pStyle w:val="Compact"/>
              <w:spacing w:before="0" w:after="0" w:lineRule="exact" w:line="220"/>
              <w:jc w:val="left"/>
            </w:pPr>
            <w:r>
              <w:rPr>
                <w:sz w:val="18"/>
              </w:rPr>
              <w:t xml:space="preserve">10.00</w:t>
            </w:r>
          </w:p>
        </w:tc>
        <w:tc>
          <w:tcPr>
            <w:tcW w:w="1035" w:type="dxa"/>
          </w:tcPr>
          <w:p>
            <w:pPr>
              <w:pStyle w:val="Compact"/>
              <w:spacing w:before="0" w:after="0" w:lineRule="exact" w:line="220"/>
              <w:jc w:val="left"/>
            </w:pPr>
            <w:r>
              <w:rPr>
                <w:sz w:val="18"/>
              </w:rPr>
              <w:t xml:space="preserve">9.0</w:t>
            </w:r>
          </w:p>
        </w:tc>
        <w:tc>
          <w:tcPr>
            <w:tcW w:w="1249" w:type="dxa"/>
          </w:tcPr>
          <w:p>
            <w:pPr>
              <w:pStyle w:val="Compact"/>
              <w:spacing w:before="0" w:after="0" w:lineRule="exact" w:line="220"/>
              <w:jc w:val="left"/>
            </w:pPr>
            <w:r>
              <w:rPr>
                <w:sz w:val="18"/>
              </w:rPr>
              <w:t xml:space="preserve">Value: outside estimate; revenue: scenario</w:t>
            </w:r>
          </w:p>
        </w:tc>
      </w:tr>
      <w:tr>
        <w:trPr>
          <w:cantSplit/>
        </w:trPr>
        <w:tc>
          <w:tcPr>
            <w:tcW w:w="1370" w:type="dxa"/>
          </w:tcPr>
          <w:p>
            <w:pPr>
              <w:pStyle w:val="Compact"/>
              <w:spacing w:before="0" w:after="0" w:lineRule="exact" w:line="220"/>
              <w:jc w:val="left"/>
            </w:pPr>
            <w:r>
              <w:rPr>
                <w:sz w:val="18"/>
              </w:rPr>
              <w:t xml:space="preserve">Shopee</w:t>
            </w:r>
          </w:p>
        </w:tc>
        <w:tc>
          <w:tcPr>
            <w:tcW w:w="560" w:type="dxa"/>
          </w:tcPr>
          <w:p>
            <w:pPr>
              <w:pStyle w:val="Compact"/>
              <w:spacing w:before="0" w:after="0" w:lineRule="exact" w:line="220"/>
              <w:jc w:val="left"/>
            </w:pPr>
            <w:r>
              <w:rPr>
                <w:sz w:val="18"/>
              </w:rPr>
              <w:t xml:space="preserve">2024</w:t>
            </w:r>
          </w:p>
        </w:tc>
        <w:tc>
          <w:tcPr>
            <w:tcW w:w="1225" w:type="dxa"/>
          </w:tcPr>
          <w:p>
            <w:pPr>
              <w:pStyle w:val="Compact"/>
              <w:spacing w:before="0" w:after="0" w:lineRule="exact" w:line="220"/>
              <w:jc w:val="left"/>
            </w:pPr>
            <w:r>
              <w:rPr>
                <w:sz w:val="18"/>
              </w:rPr>
              <w:t xml:space="preserve">25.99</w:t>
            </w:r>
          </w:p>
        </w:tc>
        <w:tc>
          <w:tcPr>
            <w:tcW w:w="1035" w:type="dxa"/>
          </w:tcPr>
          <w:p>
            <w:pPr>
              <w:pStyle w:val="Compact"/>
              <w:spacing w:before="0" w:after="0" w:lineRule="exact" w:line="220"/>
              <w:jc w:val="left"/>
            </w:pPr>
            <w:r>
              <w:rPr>
                <w:sz w:val="18"/>
              </w:rPr>
              <w:t xml:space="preserve">2.81</w:t>
            </w:r>
          </w:p>
        </w:tc>
        <w:tc>
          <w:tcPr>
            <w:tcW w:w="1225" w:type="dxa"/>
          </w:tcPr>
          <w:p>
            <w:pPr>
              <w:pStyle w:val="Compact"/>
              <w:spacing w:before="0" w:after="0" w:lineRule="exact" w:line="220"/>
              <w:jc w:val="left"/>
            </w:pPr>
            <w:r>
              <w:rPr>
                <w:sz w:val="18"/>
              </w:rPr>
              <w:t xml:space="preserve">23.18</w:t>
            </w:r>
          </w:p>
        </w:tc>
        <w:tc>
          <w:tcPr>
            <w:tcW w:w="803" w:type="dxa"/>
          </w:tcPr>
          <w:p>
            <w:pPr>
              <w:pStyle w:val="Compact"/>
              <w:spacing w:before="0" w:after="0" w:lineRule="exact" w:line="220"/>
              <w:jc w:val="left"/>
            </w:pPr>
            <w:r>
              <w:rPr>
                <w:sz w:val="18"/>
              </w:rPr>
              <w:t xml:space="preserve">10.80</w:t>
            </w:r>
          </w:p>
        </w:tc>
        <w:tc>
          <w:tcPr>
            <w:tcW w:w="1035" w:type="dxa"/>
          </w:tcPr>
          <w:p>
            <w:pPr>
              <w:pStyle w:val="Compact"/>
              <w:spacing w:before="0" w:after="0" w:lineRule="exact" w:line="220"/>
              <w:jc w:val="left"/>
            </w:pPr>
            <w:r>
              <w:rPr>
                <w:sz w:val="18"/>
              </w:rPr>
              <w:t xml:space="preserve">8.3</w:t>
            </w:r>
          </w:p>
        </w:tc>
        <w:tc>
          <w:tcPr>
            <w:tcW w:w="1249" w:type="dxa"/>
          </w:tcPr>
          <w:p>
            <w:pPr>
              <w:pStyle w:val="Compact"/>
              <w:spacing w:before="0" w:after="0" w:lineRule="exact" w:line="220"/>
              <w:jc w:val="left"/>
            </w:pPr>
            <w:r>
              <w:rPr>
                <w:sz w:val="18"/>
              </w:rPr>
              <w:t xml:space="preserve">Value: outside estimate; revenue: scenario</w:t>
            </w:r>
          </w:p>
        </w:tc>
      </w:tr>
      <w:tr>
        <w:trPr>
          <w:cantSplit/>
        </w:trPr>
        <w:tc>
          <w:tcPr>
            <w:tcW w:w="1370" w:type="dxa"/>
          </w:tcPr>
          <w:p>
            <w:pPr>
              <w:pStyle w:val="Compact"/>
              <w:spacing w:before="0" w:after="0" w:lineRule="exact" w:line="220"/>
              <w:jc w:val="left"/>
            </w:pPr>
            <w:r>
              <w:rPr>
                <w:sz w:val="18"/>
              </w:rPr>
              <w:t xml:space="preserve">Tokopedia</w:t>
            </w:r>
          </w:p>
        </w:tc>
        <w:tc>
          <w:tcPr>
            <w:tcW w:w="560" w:type="dxa"/>
          </w:tcPr>
          <w:p>
            <w:pPr>
              <w:pStyle w:val="Compact"/>
              <w:spacing w:before="0" w:after="0" w:lineRule="exact" w:line="220"/>
              <w:jc w:val="left"/>
            </w:pPr>
            <w:r>
              <w:rPr>
                <w:sz w:val="18"/>
              </w:rPr>
              <w:t xml:space="preserve">2022</w:t>
            </w:r>
          </w:p>
        </w:tc>
        <w:tc>
          <w:tcPr>
            <w:tcW w:w="1225" w:type="dxa"/>
          </w:tcPr>
          <w:p>
            <w:pPr>
              <w:pStyle w:val="Compact"/>
              <w:spacing w:before="0" w:after="0" w:lineRule="exact" w:line="220"/>
              <w:jc w:val="left"/>
            </w:pPr>
            <w:r>
              <w:rPr>
                <w:sz w:val="18"/>
              </w:rPr>
              <w:t xml:space="preserve">273,146,166</w:t>
            </w:r>
          </w:p>
        </w:tc>
        <w:tc>
          <w:tcPr>
            <w:tcW w:w="1035" w:type="dxa"/>
          </w:tcPr>
          <w:p>
            <w:pPr>
              <w:pStyle w:val="Compact"/>
              <w:spacing w:before="0" w:after="0" w:lineRule="exact" w:line="220"/>
              <w:jc w:val="left"/>
            </w:pPr>
            <w:r>
              <w:rPr>
                <w:sz w:val="18"/>
              </w:rPr>
              <w:t xml:space="preserve">4,030,919</w:t>
            </w:r>
          </w:p>
        </w:tc>
        <w:tc>
          <w:tcPr>
            <w:tcW w:w="1225" w:type="dxa"/>
          </w:tcPr>
          <w:p>
            <w:pPr>
              <w:pStyle w:val="Compact"/>
              <w:spacing w:before="0" w:after="0" w:lineRule="exact" w:line="220"/>
              <w:jc w:val="left"/>
            </w:pPr>
            <w:r>
              <w:rPr>
                <w:sz w:val="18"/>
              </w:rPr>
              <w:t xml:space="preserve">269,115,247</w:t>
            </w:r>
          </w:p>
        </w:tc>
        <w:tc>
          <w:tcPr>
            <w:tcW w:w="803" w:type="dxa"/>
          </w:tcPr>
          <w:p>
            <w:pPr>
              <w:pStyle w:val="Compact"/>
              <w:spacing w:before="0" w:after="0" w:lineRule="exact" w:line="220"/>
              <w:jc w:val="left"/>
            </w:pPr>
            <w:r>
              <w:rPr>
                <w:sz w:val="18"/>
              </w:rPr>
              <w:t xml:space="preserve">1.48</w:t>
            </w:r>
          </w:p>
        </w:tc>
        <w:tc>
          <w:tcPr>
            <w:tcW w:w="1035" w:type="dxa"/>
          </w:tcPr>
          <w:p>
            <w:pPr>
              <w:pStyle w:val="Compact"/>
              <w:spacing w:before="0" w:after="0" w:lineRule="exact" w:line="220"/>
              <w:jc w:val="left"/>
            </w:pPr>
            <w:r>
              <w:rPr>
                <w:sz w:val="18"/>
              </w:rPr>
              <w:t xml:space="preserve">66.8</w:t>
            </w:r>
          </w:p>
        </w:tc>
        <w:tc>
          <w:tcPr>
            <w:tcW w:w="1249" w:type="dxa"/>
          </w:tcPr>
          <w:p>
            <w:pPr>
              <w:pStyle w:val="Compact"/>
              <w:spacing w:before="0" w:after="0" w:lineRule="exact" w:line="220"/>
              <w:jc w:val="left"/>
            </w:pPr>
            <w:r>
              <w:rPr>
                <w:sz w:val="18"/>
              </w:rPr>
              <w:t xml:space="preserve">Direct segment disclosure</w:t>
            </w:r>
          </w:p>
        </w:tc>
      </w:tr>
      <w:tr>
        <w:trPr>
          <w:cantSplit/>
        </w:trPr>
        <w:tc>
          <w:tcPr>
            <w:tcW w:w="1370" w:type="dxa"/>
          </w:tcPr>
          <w:p>
            <w:pPr>
              <w:pStyle w:val="Compact"/>
              <w:spacing w:before="0" w:after="0" w:lineRule="exact" w:line="220"/>
              <w:jc w:val="left"/>
            </w:pPr>
            <w:r>
              <w:rPr>
                <w:sz w:val="18"/>
              </w:rPr>
              <w:t xml:space="preserve">Tokopedia</w:t>
            </w:r>
          </w:p>
        </w:tc>
        <w:tc>
          <w:tcPr>
            <w:tcW w:w="560" w:type="dxa"/>
          </w:tcPr>
          <w:p>
            <w:pPr>
              <w:pStyle w:val="Compact"/>
              <w:spacing w:before="0" w:after="0" w:lineRule="exact" w:line="220"/>
              <w:jc w:val="left"/>
            </w:pPr>
            <w:r>
              <w:rPr>
                <w:sz w:val="18"/>
              </w:rPr>
              <w:t xml:space="preserve">2023</w:t>
            </w:r>
          </w:p>
        </w:tc>
        <w:tc>
          <w:tcPr>
            <w:tcW w:w="1225" w:type="dxa"/>
          </w:tcPr>
          <w:p>
            <w:pPr>
              <w:pStyle w:val="Compact"/>
              <w:spacing w:before="0" w:after="0" w:lineRule="exact" w:line="220"/>
              <w:jc w:val="left"/>
            </w:pPr>
            <w:r>
              <w:rPr>
                <w:sz w:val="18"/>
              </w:rPr>
              <w:t xml:space="preserve">248,836,156</w:t>
            </w:r>
          </w:p>
        </w:tc>
        <w:tc>
          <w:tcPr>
            <w:tcW w:w="1035" w:type="dxa"/>
          </w:tcPr>
          <w:p>
            <w:pPr>
              <w:pStyle w:val="Compact"/>
              <w:spacing w:before="0" w:after="0" w:lineRule="exact" w:line="220"/>
              <w:jc w:val="left"/>
            </w:pPr>
            <w:r>
              <w:rPr>
                <w:sz w:val="18"/>
              </w:rPr>
              <w:t xml:space="preserve">6,175,190</w:t>
            </w:r>
          </w:p>
        </w:tc>
        <w:tc>
          <w:tcPr>
            <w:tcW w:w="1225" w:type="dxa"/>
          </w:tcPr>
          <w:p>
            <w:pPr>
              <w:pStyle w:val="Compact"/>
              <w:spacing w:before="0" w:after="0" w:lineRule="exact" w:line="220"/>
              <w:jc w:val="left"/>
            </w:pPr>
            <w:r>
              <w:rPr>
                <w:sz w:val="18"/>
              </w:rPr>
              <w:t xml:space="preserve">242,660,966</w:t>
            </w:r>
          </w:p>
        </w:tc>
        <w:tc>
          <w:tcPr>
            <w:tcW w:w="803" w:type="dxa"/>
          </w:tcPr>
          <w:p>
            <w:pPr>
              <w:pStyle w:val="Compact"/>
              <w:spacing w:before="0" w:after="0" w:lineRule="exact" w:line="220"/>
              <w:jc w:val="left"/>
            </w:pPr>
            <w:r>
              <w:rPr>
                <w:sz w:val="18"/>
              </w:rPr>
              <w:t xml:space="preserve">2.48</w:t>
            </w:r>
          </w:p>
        </w:tc>
        <w:tc>
          <w:tcPr>
            <w:tcW w:w="1035" w:type="dxa"/>
          </w:tcPr>
          <w:p>
            <w:pPr>
              <w:pStyle w:val="Compact"/>
              <w:spacing w:before="0" w:after="0" w:lineRule="exact" w:line="220"/>
              <w:jc w:val="left"/>
            </w:pPr>
            <w:r>
              <w:rPr>
                <w:sz w:val="18"/>
              </w:rPr>
              <w:t xml:space="preserve">39.3</w:t>
            </w:r>
          </w:p>
        </w:tc>
        <w:tc>
          <w:tcPr>
            <w:tcW w:w="1249" w:type="dxa"/>
          </w:tcPr>
          <w:p>
            <w:pPr>
              <w:pStyle w:val="Compact"/>
              <w:spacing w:before="0" w:after="0" w:lineRule="exact" w:line="220"/>
              <w:jc w:val="left"/>
            </w:pPr>
            <w:r>
              <w:rPr>
                <w:sz w:val="18"/>
              </w:rPr>
              <w:t xml:space="preserve">Direct segment disclosure</w:t>
            </w:r>
          </w:p>
        </w:tc>
      </w:tr>
      <w:tr>
        <w:trPr>
          <w:cantSplit/>
        </w:trPr>
        <w:tc>
          <w:tcPr>
            <w:tcW w:w="1370" w:type="dxa"/>
          </w:tcPr>
          <w:p>
            <w:pPr>
              <w:pStyle w:val="Compact"/>
              <w:spacing w:before="0" w:after="0" w:lineRule="exact" w:line="220"/>
              <w:jc w:val="left"/>
            </w:pPr>
            <w:r>
              <w:rPr>
                <w:sz w:val="18"/>
              </w:rPr>
              <w:t xml:space="preserve">Blibli third-party retail</w:t>
            </w:r>
          </w:p>
        </w:tc>
        <w:tc>
          <w:tcPr>
            <w:tcW w:w="560" w:type="dxa"/>
          </w:tcPr>
          <w:p>
            <w:pPr>
              <w:pStyle w:val="Compact"/>
              <w:spacing w:before="0" w:after="0" w:lineRule="exact" w:line="220"/>
              <w:jc w:val="left"/>
            </w:pPr>
            <w:r>
              <w:rPr>
                <w:sz w:val="18"/>
              </w:rPr>
              <w:t xml:space="preserve">2021</w:t>
            </w:r>
          </w:p>
        </w:tc>
        <w:tc>
          <w:tcPr>
            <w:tcW w:w="1225" w:type="dxa"/>
          </w:tcPr>
          <w:p>
            <w:pPr>
              <w:pStyle w:val="Compact"/>
              <w:spacing w:before="0" w:after="0" w:lineRule="exact" w:line="220"/>
              <w:jc w:val="left"/>
            </w:pPr>
            <w:r>
              <w:rPr>
                <w:sz w:val="18"/>
              </w:rPr>
              <w:t xml:space="preserve">15,746</w:t>
            </w:r>
          </w:p>
        </w:tc>
        <w:tc>
          <w:tcPr>
            <w:tcW w:w="1035" w:type="dxa"/>
          </w:tcPr>
          <w:p>
            <w:pPr>
              <w:pStyle w:val="Compact"/>
              <w:spacing w:before="0" w:after="0" w:lineRule="exact" w:line="220"/>
              <w:jc w:val="left"/>
            </w:pPr>
            <w:r>
              <w:rPr>
                <w:sz w:val="18"/>
              </w:rPr>
              <w:t xml:space="preserve">122</w:t>
            </w:r>
          </w:p>
        </w:tc>
        <w:tc>
          <w:tcPr>
            <w:tcW w:w="1225" w:type="dxa"/>
          </w:tcPr>
          <w:p>
            <w:pPr>
              <w:pStyle w:val="Compact"/>
              <w:spacing w:before="0" w:after="0" w:lineRule="exact" w:line="220"/>
              <w:jc w:val="left"/>
            </w:pPr>
            <w:r>
              <w:rPr>
                <w:sz w:val="18"/>
              </w:rPr>
              <w:t xml:space="preserve">15,624</w:t>
            </w:r>
          </w:p>
        </w:tc>
        <w:tc>
          <w:tcPr>
            <w:tcW w:w="803" w:type="dxa"/>
          </w:tcPr>
          <w:p>
            <w:pPr>
              <w:pStyle w:val="Compact"/>
              <w:spacing w:before="0" w:after="0" w:lineRule="exact" w:line="220"/>
              <w:jc w:val="left"/>
            </w:pPr>
            <w:r>
              <w:rPr>
                <w:sz w:val="18"/>
              </w:rPr>
              <w:t xml:space="preserve">0.77</w:t>
            </w:r>
          </w:p>
        </w:tc>
        <w:tc>
          <w:tcPr>
            <w:tcW w:w="1035" w:type="dxa"/>
          </w:tcPr>
          <w:p>
            <w:pPr>
              <w:pStyle w:val="Compact"/>
              <w:spacing w:before="0" w:after="0" w:lineRule="exact" w:line="220"/>
              <w:jc w:val="left"/>
            </w:pPr>
            <w:r>
              <w:rPr>
                <w:sz w:val="18"/>
              </w:rPr>
              <w:t xml:space="preserve">128.1</w:t>
            </w:r>
          </w:p>
        </w:tc>
        <w:tc>
          <w:tcPr>
            <w:tcW w:w="1249" w:type="dxa"/>
          </w:tcPr>
          <w:p>
            <w:pPr>
              <w:pStyle w:val="Compact"/>
              <w:spacing w:before="0" w:after="0" w:lineRule="exact" w:line="220"/>
              <w:jc w:val="left"/>
            </w:pPr>
            <w:r>
              <w:rPr>
                <w:sz w:val="18"/>
              </w:rPr>
              <w:t xml:space="preserve">Segment disclosure, includes travel</w:t>
            </w:r>
          </w:p>
        </w:tc>
      </w:tr>
      <w:tr>
        <w:trPr>
          <w:cantSplit/>
        </w:trPr>
        <w:tc>
          <w:tcPr>
            <w:tcW w:w="1370" w:type="dxa"/>
          </w:tcPr>
          <w:p>
            <w:pPr>
              <w:pStyle w:val="Compact"/>
              <w:spacing w:before="0" w:after="0" w:lineRule="exact" w:line="220"/>
              <w:jc w:val="left"/>
            </w:pPr>
            <w:r>
              <w:rPr>
                <w:sz w:val="18"/>
              </w:rPr>
              <w:t xml:space="preserve">Blibli third-party retail</w:t>
            </w:r>
          </w:p>
        </w:tc>
        <w:tc>
          <w:tcPr>
            <w:tcW w:w="560" w:type="dxa"/>
          </w:tcPr>
          <w:p>
            <w:pPr>
              <w:pStyle w:val="Compact"/>
              <w:spacing w:before="0" w:after="0" w:lineRule="exact" w:line="220"/>
              <w:jc w:val="left"/>
            </w:pPr>
            <w:r>
              <w:rPr>
                <w:sz w:val="18"/>
              </w:rPr>
              <w:t xml:space="preserve">2022</w:t>
            </w:r>
          </w:p>
        </w:tc>
        <w:tc>
          <w:tcPr>
            <w:tcW w:w="1225" w:type="dxa"/>
          </w:tcPr>
          <w:p>
            <w:pPr>
              <w:pStyle w:val="Compact"/>
              <w:spacing w:before="0" w:after="0" w:lineRule="exact" w:line="220"/>
              <w:jc w:val="left"/>
            </w:pPr>
            <w:r>
              <w:rPr>
                <w:sz w:val="18"/>
              </w:rPr>
              <w:t xml:space="preserve">37,050</w:t>
            </w:r>
          </w:p>
        </w:tc>
        <w:tc>
          <w:tcPr>
            <w:tcW w:w="1035" w:type="dxa"/>
          </w:tcPr>
          <w:p>
            <w:pPr>
              <w:pStyle w:val="Compact"/>
              <w:spacing w:before="0" w:after="0" w:lineRule="exact" w:line="220"/>
              <w:jc w:val="left"/>
            </w:pPr>
            <w:r>
              <w:rPr>
                <w:sz w:val="18"/>
              </w:rPr>
              <w:t xml:space="preserve">199</w:t>
            </w:r>
          </w:p>
        </w:tc>
        <w:tc>
          <w:tcPr>
            <w:tcW w:w="1225" w:type="dxa"/>
          </w:tcPr>
          <w:p>
            <w:pPr>
              <w:pStyle w:val="Compact"/>
              <w:spacing w:before="0" w:after="0" w:lineRule="exact" w:line="220"/>
              <w:jc w:val="left"/>
            </w:pPr>
            <w:r>
              <w:rPr>
                <w:sz w:val="18"/>
              </w:rPr>
              <w:t xml:space="preserve">36,851</w:t>
            </w:r>
          </w:p>
        </w:tc>
        <w:tc>
          <w:tcPr>
            <w:tcW w:w="803" w:type="dxa"/>
          </w:tcPr>
          <w:p>
            <w:pPr>
              <w:pStyle w:val="Compact"/>
              <w:spacing w:before="0" w:after="0" w:lineRule="exact" w:line="220"/>
              <w:jc w:val="left"/>
            </w:pPr>
            <w:r>
              <w:rPr>
                <w:sz w:val="18"/>
              </w:rPr>
              <w:t xml:space="preserve">0.54</w:t>
            </w:r>
          </w:p>
        </w:tc>
        <w:tc>
          <w:tcPr>
            <w:tcW w:w="1035" w:type="dxa"/>
          </w:tcPr>
          <w:p>
            <w:pPr>
              <w:pStyle w:val="Compact"/>
              <w:spacing w:before="0" w:after="0" w:lineRule="exact" w:line="220"/>
              <w:jc w:val="left"/>
            </w:pPr>
            <w:r>
              <w:rPr>
                <w:sz w:val="18"/>
              </w:rPr>
              <w:t xml:space="preserve">185.2</w:t>
            </w:r>
          </w:p>
        </w:tc>
        <w:tc>
          <w:tcPr>
            <w:tcW w:w="1249" w:type="dxa"/>
          </w:tcPr>
          <w:p>
            <w:pPr>
              <w:pStyle w:val="Compact"/>
              <w:spacing w:before="0" w:after="0" w:lineRule="exact" w:line="220"/>
              <w:jc w:val="left"/>
            </w:pPr>
            <w:r>
              <w:rPr>
                <w:sz w:val="18"/>
              </w:rPr>
              <w:t xml:space="preserve">Segment disclosure, includes travel</w:t>
            </w:r>
          </w:p>
        </w:tc>
      </w:tr>
      <w:tr>
        <w:trPr>
          <w:cantSplit/>
        </w:trPr>
        <w:tc>
          <w:tcPr>
            <w:tcW w:w="1370" w:type="dxa"/>
          </w:tcPr>
          <w:p>
            <w:pPr>
              <w:pStyle w:val="Compact"/>
              <w:spacing w:before="0" w:after="0" w:lineRule="exact" w:line="220"/>
              <w:jc w:val="left"/>
            </w:pPr>
            <w:r>
              <w:rPr>
                <w:sz w:val="18"/>
              </w:rPr>
              <w:t xml:space="preserve">Blibli third-party retail</w:t>
            </w:r>
          </w:p>
        </w:tc>
        <w:tc>
          <w:tcPr>
            <w:tcW w:w="560" w:type="dxa"/>
          </w:tcPr>
          <w:p>
            <w:pPr>
              <w:pStyle w:val="Compact"/>
              <w:spacing w:before="0" w:after="0" w:lineRule="exact" w:line="220"/>
              <w:jc w:val="left"/>
            </w:pPr>
            <w:r>
              <w:rPr>
                <w:sz w:val="18"/>
              </w:rPr>
              <w:t xml:space="preserve">2023</w:t>
            </w:r>
          </w:p>
        </w:tc>
        <w:tc>
          <w:tcPr>
            <w:tcW w:w="1225" w:type="dxa"/>
          </w:tcPr>
          <w:p>
            <w:pPr>
              <w:pStyle w:val="Compact"/>
              <w:spacing w:before="0" w:after="0" w:lineRule="exact" w:line="220"/>
              <w:jc w:val="left"/>
            </w:pPr>
            <w:r>
              <w:rPr>
                <w:sz w:val="18"/>
              </w:rPr>
              <w:t xml:space="preserve">49,912</w:t>
            </w:r>
          </w:p>
        </w:tc>
        <w:tc>
          <w:tcPr>
            <w:tcW w:w="1035" w:type="dxa"/>
          </w:tcPr>
          <w:p>
            <w:pPr>
              <w:pStyle w:val="Compact"/>
              <w:spacing w:before="0" w:after="0" w:lineRule="exact" w:line="220"/>
              <w:jc w:val="left"/>
            </w:pPr>
            <w:r>
              <w:rPr>
                <w:sz w:val="18"/>
              </w:rPr>
              <w:t xml:space="preserve">1,125</w:t>
            </w:r>
          </w:p>
        </w:tc>
        <w:tc>
          <w:tcPr>
            <w:tcW w:w="1225" w:type="dxa"/>
          </w:tcPr>
          <w:p>
            <w:pPr>
              <w:pStyle w:val="Compact"/>
              <w:spacing w:before="0" w:after="0" w:lineRule="exact" w:line="220"/>
              <w:jc w:val="left"/>
            </w:pPr>
            <w:r>
              <w:rPr>
                <w:sz w:val="18"/>
              </w:rPr>
              <w:t xml:space="preserve">48,787</w:t>
            </w:r>
          </w:p>
        </w:tc>
        <w:tc>
          <w:tcPr>
            <w:tcW w:w="803" w:type="dxa"/>
          </w:tcPr>
          <w:p>
            <w:pPr>
              <w:pStyle w:val="Compact"/>
              <w:spacing w:before="0" w:after="0" w:lineRule="exact" w:line="220"/>
              <w:jc w:val="left"/>
            </w:pPr>
            <w:r>
              <w:rPr>
                <w:sz w:val="18"/>
              </w:rPr>
              <w:t xml:space="preserve">2.25</w:t>
            </w:r>
          </w:p>
        </w:tc>
        <w:tc>
          <w:tcPr>
            <w:tcW w:w="1035" w:type="dxa"/>
          </w:tcPr>
          <w:p>
            <w:pPr>
              <w:pStyle w:val="Compact"/>
              <w:spacing w:before="0" w:after="0" w:lineRule="exact" w:line="220"/>
              <w:jc w:val="left"/>
            </w:pPr>
            <w:r>
              <w:rPr>
                <w:sz w:val="18"/>
              </w:rPr>
              <w:t xml:space="preserve">43.4</w:t>
            </w:r>
          </w:p>
        </w:tc>
        <w:tc>
          <w:tcPr>
            <w:tcW w:w="1249" w:type="dxa"/>
          </w:tcPr>
          <w:p>
            <w:pPr>
              <w:pStyle w:val="Compact"/>
              <w:spacing w:before="0" w:after="0" w:lineRule="exact" w:line="220"/>
              <w:jc w:val="left"/>
            </w:pPr>
            <w:r>
              <w:rPr>
                <w:sz w:val="18"/>
              </w:rPr>
              <w:t xml:space="preserve">Segment disclosure, includes travel</w:t>
            </w:r>
          </w:p>
        </w:tc>
      </w:tr>
      <w:tr>
        <w:trPr>
          <w:cantSplit/>
        </w:trPr>
        <w:tc>
          <w:tcPr>
            <w:tcW w:w="1370" w:type="dxa"/>
          </w:tcPr>
          <w:p>
            <w:pPr>
              <w:pStyle w:val="Compact"/>
              <w:spacing w:before="0" w:after="0" w:lineRule="exact" w:line="220"/>
              <w:jc w:val="left"/>
            </w:pPr>
            <w:r>
              <w:rPr>
                <w:sz w:val="18"/>
              </w:rPr>
              <w:t xml:space="preserve">Blibli third-party retail</w:t>
            </w:r>
          </w:p>
        </w:tc>
        <w:tc>
          <w:tcPr>
            <w:tcW w:w="560" w:type="dxa"/>
          </w:tcPr>
          <w:p>
            <w:pPr>
              <w:pStyle w:val="Compact"/>
              <w:spacing w:before="0" w:after="0" w:lineRule="exact" w:line="220"/>
              <w:jc w:val="left"/>
            </w:pPr>
            <w:r>
              <w:rPr>
                <w:sz w:val="18"/>
              </w:rPr>
              <w:t xml:space="preserve">2024</w:t>
            </w:r>
          </w:p>
        </w:tc>
        <w:tc>
          <w:tcPr>
            <w:tcW w:w="1225" w:type="dxa"/>
          </w:tcPr>
          <w:p>
            <w:pPr>
              <w:pStyle w:val="Compact"/>
              <w:spacing w:before="0" w:after="0" w:lineRule="exact" w:line="220"/>
              <w:jc w:val="left"/>
            </w:pPr>
            <w:r>
              <w:rPr>
                <w:sz w:val="18"/>
              </w:rPr>
              <w:t xml:space="preserve">54,210</w:t>
            </w:r>
          </w:p>
        </w:tc>
        <w:tc>
          <w:tcPr>
            <w:tcW w:w="1035" w:type="dxa"/>
          </w:tcPr>
          <w:p>
            <w:pPr>
              <w:pStyle w:val="Compact"/>
              <w:spacing w:before="0" w:after="0" w:lineRule="exact" w:line="220"/>
              <w:jc w:val="left"/>
            </w:pPr>
            <w:r>
              <w:rPr>
                <w:sz w:val="18"/>
              </w:rPr>
              <w:t xml:space="preserve">1,384</w:t>
            </w:r>
          </w:p>
        </w:tc>
        <w:tc>
          <w:tcPr>
            <w:tcW w:w="1225" w:type="dxa"/>
          </w:tcPr>
          <w:p>
            <w:pPr>
              <w:pStyle w:val="Compact"/>
              <w:spacing w:before="0" w:after="0" w:lineRule="exact" w:line="220"/>
              <w:jc w:val="left"/>
            </w:pPr>
            <w:r>
              <w:rPr>
                <w:sz w:val="18"/>
              </w:rPr>
              <w:t xml:space="preserve">52,826</w:t>
            </w:r>
          </w:p>
        </w:tc>
        <w:tc>
          <w:tcPr>
            <w:tcW w:w="803" w:type="dxa"/>
          </w:tcPr>
          <w:p>
            <w:pPr>
              <w:pStyle w:val="Compact"/>
              <w:spacing w:before="0" w:after="0" w:lineRule="exact" w:line="220"/>
              <w:jc w:val="left"/>
            </w:pPr>
            <w:r>
              <w:rPr>
                <w:sz w:val="18"/>
              </w:rPr>
              <w:t xml:space="preserve">2.55</w:t>
            </w:r>
          </w:p>
        </w:tc>
        <w:tc>
          <w:tcPr>
            <w:tcW w:w="1035" w:type="dxa"/>
          </w:tcPr>
          <w:p>
            <w:pPr>
              <w:pStyle w:val="Compact"/>
              <w:spacing w:before="0" w:after="0" w:lineRule="exact" w:line="220"/>
              <w:jc w:val="left"/>
            </w:pPr>
            <w:r>
              <w:rPr>
                <w:sz w:val="18"/>
              </w:rPr>
              <w:t xml:space="preserve">38.2</w:t>
            </w:r>
          </w:p>
        </w:tc>
        <w:tc>
          <w:tcPr>
            <w:tcW w:w="1249" w:type="dxa"/>
          </w:tcPr>
          <w:p>
            <w:pPr>
              <w:pStyle w:val="Compact"/>
              <w:spacing w:before="0" w:after="0" w:lineRule="exact" w:line="220"/>
              <w:jc w:val="left"/>
            </w:pPr>
            <w:r>
              <w:rPr>
                <w:sz w:val="18"/>
              </w:rPr>
              <w:t xml:space="preserve">Segment disclosure, includes travel</w:t>
            </w:r>
          </w:p>
        </w:tc>
      </w:tr>
      <w:tr>
        <w:trPr>
          <w:cantSplit/>
        </w:trPr>
        <w:tc>
          <w:tcPr>
            <w:tcW w:w="1370" w:type="dxa"/>
          </w:tcPr>
          <w:p>
            <w:pPr>
              <w:pStyle w:val="Compact"/>
              <w:spacing w:before="0" w:after="0" w:lineRule="exact" w:line="220"/>
              <w:jc w:val="left"/>
            </w:pPr>
            <w:r>
              <w:rPr>
                <w:sz w:val="18"/>
              </w:rPr>
              <w:t xml:space="preserve">Blibli third-party retail</w:t>
            </w:r>
          </w:p>
        </w:tc>
        <w:tc>
          <w:tcPr>
            <w:tcW w:w="560" w:type="dxa"/>
          </w:tcPr>
          <w:p>
            <w:pPr>
              <w:pStyle w:val="Compact"/>
              <w:spacing w:before="0" w:after="0" w:lineRule="exact" w:line="220"/>
              <w:jc w:val="left"/>
            </w:pPr>
            <w:r>
              <w:rPr>
                <w:sz w:val="18"/>
              </w:rPr>
              <w:t xml:space="preserve">2025</w:t>
            </w:r>
          </w:p>
        </w:tc>
        <w:tc>
          <w:tcPr>
            <w:tcW w:w="1225" w:type="dxa"/>
          </w:tcPr>
          <w:p>
            <w:pPr>
              <w:pStyle w:val="Compact"/>
              <w:spacing w:before="0" w:after="0" w:lineRule="exact" w:line="220"/>
              <w:jc w:val="left"/>
            </w:pPr>
            <w:r>
              <w:rPr>
                <w:sz w:val="18"/>
              </w:rPr>
              <w:t xml:space="preserve">53,187</w:t>
            </w:r>
          </w:p>
        </w:tc>
        <w:tc>
          <w:tcPr>
            <w:tcW w:w="1035" w:type="dxa"/>
          </w:tcPr>
          <w:p>
            <w:pPr>
              <w:pStyle w:val="Compact"/>
              <w:spacing w:before="0" w:after="0" w:lineRule="exact" w:line="220"/>
              <w:jc w:val="left"/>
            </w:pPr>
            <w:r>
              <w:rPr>
                <w:sz w:val="18"/>
              </w:rPr>
              <w:t xml:space="preserve">1,551</w:t>
            </w:r>
          </w:p>
        </w:tc>
        <w:tc>
          <w:tcPr>
            <w:tcW w:w="1225" w:type="dxa"/>
          </w:tcPr>
          <w:p>
            <w:pPr>
              <w:pStyle w:val="Compact"/>
              <w:spacing w:before="0" w:after="0" w:lineRule="exact" w:line="220"/>
              <w:jc w:val="left"/>
            </w:pPr>
            <w:r>
              <w:rPr>
                <w:sz w:val="18"/>
              </w:rPr>
              <w:t xml:space="preserve">51,636</w:t>
            </w:r>
          </w:p>
        </w:tc>
        <w:tc>
          <w:tcPr>
            <w:tcW w:w="803" w:type="dxa"/>
          </w:tcPr>
          <w:p>
            <w:pPr>
              <w:pStyle w:val="Compact"/>
              <w:spacing w:before="0" w:after="0" w:lineRule="exact" w:line="220"/>
              <w:jc w:val="left"/>
            </w:pPr>
            <w:r>
              <w:rPr>
                <w:sz w:val="18"/>
              </w:rPr>
              <w:t xml:space="preserve">2.92</w:t>
            </w:r>
          </w:p>
        </w:tc>
        <w:tc>
          <w:tcPr>
            <w:tcW w:w="1035" w:type="dxa"/>
          </w:tcPr>
          <w:p>
            <w:pPr>
              <w:pStyle w:val="Compact"/>
              <w:spacing w:before="0" w:after="0" w:lineRule="exact" w:line="220"/>
              <w:jc w:val="left"/>
            </w:pPr>
            <w:r>
              <w:rPr>
                <w:sz w:val="18"/>
              </w:rPr>
              <w:t xml:space="preserve">33.3</w:t>
            </w:r>
          </w:p>
        </w:tc>
        <w:tc>
          <w:tcPr>
            <w:tcW w:w="1249" w:type="dxa"/>
          </w:tcPr>
          <w:p>
            <w:pPr>
              <w:pStyle w:val="Compact"/>
              <w:spacing w:before="0" w:after="0" w:lineRule="exact" w:line="220"/>
              <w:jc w:val="left"/>
            </w:pPr>
            <w:r>
              <w:rPr>
                <w:sz w:val="18"/>
              </w:rPr>
              <w:t xml:space="preserve">Segment disclosure, includes travel</w:t>
            </w:r>
          </w:p>
        </w:tc>
      </w:tr>
      <w:tr>
        <w:trPr>
          <w:cantSplit/>
        </w:trPr>
        <w:tc>
          <w:tcPr>
            <w:tcW w:w="1370" w:type="dxa"/>
          </w:tcPr>
          <w:p>
            <w:pPr>
              <w:pStyle w:val="Compact"/>
              <w:spacing w:before="0" w:after="0" w:lineRule="exact" w:line="220"/>
              <w:jc w:val="left"/>
            </w:pPr>
            <w:r>
              <w:rPr>
                <w:sz w:val="18"/>
              </w:rPr>
              <w:t xml:space="preserve">Bukalapak Group</w:t>
            </w:r>
          </w:p>
        </w:tc>
        <w:tc>
          <w:tcPr>
            <w:tcW w:w="560" w:type="dxa"/>
          </w:tcPr>
          <w:p>
            <w:pPr>
              <w:pStyle w:val="Compact"/>
              <w:spacing w:before="0" w:after="0" w:lineRule="exact" w:line="220"/>
              <w:jc w:val="left"/>
            </w:pPr>
            <w:r>
              <w:rPr>
                <w:sz w:val="18"/>
              </w:rPr>
              <w:t xml:space="preserve">2020</w:t>
            </w:r>
          </w:p>
        </w:tc>
        <w:tc>
          <w:tcPr>
            <w:tcW w:w="1225" w:type="dxa"/>
          </w:tcPr>
          <w:p>
            <w:pPr>
              <w:pStyle w:val="Compact"/>
              <w:spacing w:before="0" w:after="0" w:lineRule="exact" w:line="220"/>
              <w:jc w:val="left"/>
            </w:pPr>
            <w:r>
              <w:rPr>
                <w:sz w:val="18"/>
              </w:rPr>
              <w:t xml:space="preserve">85,081,843</w:t>
            </w:r>
          </w:p>
        </w:tc>
        <w:tc>
          <w:tcPr>
            <w:tcW w:w="1035" w:type="dxa"/>
          </w:tcPr>
          <w:p>
            <w:pPr>
              <w:pStyle w:val="Compact"/>
              <w:spacing w:before="0" w:after="0" w:lineRule="exact" w:line="220"/>
              <w:jc w:val="left"/>
            </w:pPr>
            <w:r>
              <w:rPr>
                <w:sz w:val="18"/>
              </w:rPr>
              <w:t xml:space="preserve">1,351,664</w:t>
            </w:r>
          </w:p>
        </w:tc>
        <w:tc>
          <w:tcPr>
            <w:tcW w:w="1225" w:type="dxa"/>
          </w:tcPr>
          <w:p>
            <w:pPr>
              <w:pStyle w:val="Compact"/>
              <w:spacing w:before="0" w:after="0" w:lineRule="exact" w:line="220"/>
              <w:jc w:val="left"/>
            </w:pPr>
            <w:r>
              <w:rPr>
                <w:sz w:val="18"/>
              </w:rPr>
              <w:t xml:space="preserve">83,730,179</w:t>
            </w:r>
          </w:p>
        </w:tc>
        <w:tc>
          <w:tcPr>
            <w:tcW w:w="803" w:type="dxa"/>
          </w:tcPr>
          <w:p>
            <w:pPr>
              <w:pStyle w:val="Compact"/>
              <w:spacing w:before="0" w:after="0" w:lineRule="exact" w:line="220"/>
              <w:jc w:val="left"/>
            </w:pPr>
            <w:r>
              <w:rPr>
                <w:sz w:val="18"/>
              </w:rPr>
              <w:t xml:space="preserve">1.59</w:t>
            </w:r>
          </w:p>
        </w:tc>
        <w:tc>
          <w:tcPr>
            <w:tcW w:w="1035" w:type="dxa"/>
          </w:tcPr>
          <w:p>
            <w:pPr>
              <w:pStyle w:val="Compact"/>
              <w:spacing w:before="0" w:after="0" w:lineRule="exact" w:line="220"/>
              <w:jc w:val="left"/>
            </w:pPr>
            <w:r>
              <w:rPr>
                <w:sz w:val="18"/>
              </w:rPr>
              <w:t xml:space="preserve">61.9</w:t>
            </w:r>
          </w:p>
        </w:tc>
        <w:tc>
          <w:tcPr>
            <w:tcW w:w="1249" w:type="dxa"/>
          </w:tcPr>
          <w:p>
            <w:pPr>
              <w:pStyle w:val="Compact"/>
              <w:spacing w:before="0" w:after="0" w:lineRule="exact" w:line="220"/>
              <w:jc w:val="left"/>
            </w:pPr>
            <w:r>
              <w:rPr>
                <w:sz w:val="18"/>
              </w:rPr>
              <w:t xml:space="preserve">Company-wide disclosure</w:t>
            </w:r>
          </w:p>
        </w:tc>
      </w:tr>
      <w:tr>
        <w:trPr>
          <w:cantSplit/>
        </w:trPr>
        <w:tc>
          <w:tcPr>
            <w:tcW w:w="1370" w:type="dxa"/>
          </w:tcPr>
          <w:p>
            <w:pPr>
              <w:pStyle w:val="Compact"/>
              <w:spacing w:before="0" w:after="0" w:lineRule="exact" w:line="220"/>
              <w:jc w:val="left"/>
            </w:pPr>
            <w:r>
              <w:rPr>
                <w:sz w:val="18"/>
              </w:rPr>
              <w:t xml:space="preserve">Bukalapak Group</w:t>
            </w:r>
          </w:p>
        </w:tc>
        <w:tc>
          <w:tcPr>
            <w:tcW w:w="560" w:type="dxa"/>
          </w:tcPr>
          <w:p>
            <w:pPr>
              <w:pStyle w:val="Compact"/>
              <w:spacing w:before="0" w:after="0" w:lineRule="exact" w:line="220"/>
              <w:jc w:val="left"/>
            </w:pPr>
            <w:r>
              <w:rPr>
                <w:sz w:val="18"/>
              </w:rPr>
              <w:t xml:space="preserve">2021</w:t>
            </w:r>
          </w:p>
        </w:tc>
        <w:tc>
          <w:tcPr>
            <w:tcW w:w="1225" w:type="dxa"/>
          </w:tcPr>
          <w:p>
            <w:pPr>
              <w:pStyle w:val="Compact"/>
              <w:spacing w:before="0" w:after="0" w:lineRule="exact" w:line="220"/>
              <w:jc w:val="left"/>
            </w:pPr>
            <w:r>
              <w:rPr>
                <w:sz w:val="18"/>
              </w:rPr>
              <w:t xml:space="preserve">122,618,794</w:t>
            </w:r>
          </w:p>
        </w:tc>
        <w:tc>
          <w:tcPr>
            <w:tcW w:w="1035" w:type="dxa"/>
          </w:tcPr>
          <w:p>
            <w:pPr>
              <w:pStyle w:val="Compact"/>
              <w:spacing w:before="0" w:after="0" w:lineRule="exact" w:line="220"/>
              <w:jc w:val="left"/>
            </w:pPr>
            <w:r>
              <w:rPr>
                <w:sz w:val="18"/>
              </w:rPr>
              <w:t xml:space="preserve">1,869,122</w:t>
            </w:r>
          </w:p>
        </w:tc>
        <w:tc>
          <w:tcPr>
            <w:tcW w:w="1225" w:type="dxa"/>
          </w:tcPr>
          <w:p>
            <w:pPr>
              <w:pStyle w:val="Compact"/>
              <w:spacing w:before="0" w:after="0" w:lineRule="exact" w:line="220"/>
              <w:jc w:val="left"/>
            </w:pPr>
            <w:r>
              <w:rPr>
                <w:sz w:val="18"/>
              </w:rPr>
              <w:t xml:space="preserve">120,749,672</w:t>
            </w:r>
          </w:p>
        </w:tc>
        <w:tc>
          <w:tcPr>
            <w:tcW w:w="803" w:type="dxa"/>
          </w:tcPr>
          <w:p>
            <w:pPr>
              <w:pStyle w:val="Compact"/>
              <w:spacing w:before="0" w:after="0" w:lineRule="exact" w:line="220"/>
              <w:jc w:val="left"/>
            </w:pPr>
            <w:r>
              <w:rPr>
                <w:sz w:val="18"/>
              </w:rPr>
              <w:t xml:space="preserve">1.52</w:t>
            </w:r>
          </w:p>
        </w:tc>
        <w:tc>
          <w:tcPr>
            <w:tcW w:w="1035" w:type="dxa"/>
          </w:tcPr>
          <w:p>
            <w:pPr>
              <w:pStyle w:val="Compact"/>
              <w:spacing w:before="0" w:after="0" w:lineRule="exact" w:line="220"/>
              <w:jc w:val="left"/>
            </w:pPr>
            <w:r>
              <w:rPr>
                <w:sz w:val="18"/>
              </w:rPr>
              <w:t xml:space="preserve">64.6</w:t>
            </w:r>
          </w:p>
        </w:tc>
        <w:tc>
          <w:tcPr>
            <w:tcW w:w="1249" w:type="dxa"/>
          </w:tcPr>
          <w:p>
            <w:pPr>
              <w:pStyle w:val="Compact"/>
              <w:spacing w:before="0" w:after="0" w:lineRule="exact" w:line="220"/>
              <w:jc w:val="left"/>
            </w:pPr>
            <w:r>
              <w:rPr>
                <w:sz w:val="18"/>
              </w:rPr>
              <w:t xml:space="preserve">Company-wide disclosure</w:t>
            </w:r>
          </w:p>
        </w:tc>
      </w:tr>
      <w:tr>
        <w:trPr>
          <w:cantSplit/>
        </w:trPr>
        <w:tc>
          <w:tcPr>
            <w:tcW w:w="1370" w:type="dxa"/>
          </w:tcPr>
          <w:p>
            <w:pPr>
              <w:pStyle w:val="Compact"/>
              <w:keepNext/>
              <w:spacing w:before="0" w:after="0" w:lineRule="exact" w:line="220"/>
              <w:jc w:val="left"/>
            </w:pPr>
            <w:r>
              <w:rPr>
                <w:sz w:val="18"/>
              </w:rPr>
              <w:t xml:space="preserve">Bukalapak Group</w:t>
            </w:r>
          </w:p>
        </w:tc>
        <w:tc>
          <w:tcPr>
            <w:tcW w:w="560" w:type="dxa"/>
          </w:tcPr>
          <w:p>
            <w:pPr>
              <w:pStyle w:val="Compact"/>
              <w:keepNext/>
              <w:spacing w:before="0" w:after="0" w:lineRule="exact" w:line="220"/>
              <w:jc w:val="left"/>
            </w:pPr>
            <w:r>
              <w:rPr>
                <w:sz w:val="18"/>
              </w:rPr>
              <w:t xml:space="preserve">2022</w:t>
            </w:r>
          </w:p>
        </w:tc>
        <w:tc>
          <w:tcPr>
            <w:tcW w:w="1225" w:type="dxa"/>
          </w:tcPr>
          <w:p>
            <w:pPr>
              <w:pStyle w:val="Compact"/>
              <w:keepNext/>
              <w:spacing w:before="0" w:after="0" w:lineRule="exact" w:line="220"/>
              <w:jc w:val="left"/>
            </w:pPr>
            <w:r>
              <w:rPr>
                <w:sz w:val="18"/>
              </w:rPr>
              <w:t xml:space="preserve">153,738,958</w:t>
            </w:r>
          </w:p>
        </w:tc>
        <w:tc>
          <w:tcPr>
            <w:tcW w:w="1035" w:type="dxa"/>
          </w:tcPr>
          <w:p>
            <w:pPr>
              <w:pStyle w:val="Compact"/>
              <w:keepNext/>
              <w:spacing w:before="0" w:after="0" w:lineRule="exact" w:line="220"/>
              <w:jc w:val="left"/>
            </w:pPr>
            <w:r>
              <w:rPr>
                <w:sz w:val="18"/>
              </w:rPr>
              <w:t xml:space="preserve">3,618,366</w:t>
            </w:r>
          </w:p>
        </w:tc>
        <w:tc>
          <w:tcPr>
            <w:tcW w:w="1225" w:type="dxa"/>
          </w:tcPr>
          <w:p>
            <w:pPr>
              <w:pStyle w:val="Compact"/>
              <w:keepNext/>
              <w:spacing w:before="0" w:after="0" w:lineRule="exact" w:line="220"/>
              <w:jc w:val="left"/>
            </w:pPr>
            <w:r>
              <w:rPr>
                <w:sz w:val="18"/>
              </w:rPr>
              <w:t xml:space="preserve">150,120,592</w:t>
            </w:r>
          </w:p>
        </w:tc>
        <w:tc>
          <w:tcPr>
            <w:tcW w:w="803" w:type="dxa"/>
          </w:tcPr>
          <w:p>
            <w:pPr>
              <w:pStyle w:val="Compact"/>
              <w:keepNext/>
              <w:spacing w:before="0" w:after="0" w:lineRule="exact" w:line="220"/>
              <w:jc w:val="left"/>
            </w:pPr>
            <w:r>
              <w:rPr>
                <w:sz w:val="18"/>
              </w:rPr>
              <w:t xml:space="preserve">2.35</w:t>
            </w:r>
          </w:p>
        </w:tc>
        <w:tc>
          <w:tcPr>
            <w:tcW w:w="1035" w:type="dxa"/>
          </w:tcPr>
          <w:p>
            <w:pPr>
              <w:pStyle w:val="Compact"/>
              <w:keepNext/>
              <w:spacing w:before="0" w:after="0" w:lineRule="exact" w:line="220"/>
              <w:jc w:val="left"/>
            </w:pPr>
            <w:r>
              <w:rPr>
                <w:sz w:val="18"/>
              </w:rPr>
              <w:t xml:space="preserve">41.5</w:t>
            </w:r>
          </w:p>
        </w:tc>
        <w:tc>
          <w:tcPr>
            <w:tcW w:w="1249" w:type="dxa"/>
          </w:tcPr>
          <w:p>
            <w:pPr>
              <w:pStyle w:val="Compact"/>
              <w:keepNext/>
              <w:spacing w:before="0" w:after="0" w:lineRule="exact" w:line="220"/>
              <w:jc w:val="left"/>
            </w:pPr>
            <w:r>
              <w:rPr>
                <w:sz w:val="18"/>
              </w:rPr>
              <w:t xml:space="preserve">Company-wide disclosure</w:t>
            </w:r>
          </w:p>
        </w:tc>
      </w:tr>
      <w:tr>
        <w:trPr>
          <w:cantSplit/>
        </w:trPr>
        <w:tc>
          <w:tcPr>
            <w:tcW w:w="1370" w:type="dxa"/>
          </w:tcPr>
          <w:p>
            <w:pPr>
              <w:pStyle w:val="Compact"/>
              <w:spacing w:before="0" w:after="0" w:lineRule="exact" w:line="220"/>
              <w:jc w:val="left"/>
            </w:pPr>
            <w:r>
              <w:rPr>
                <w:sz w:val="18"/>
              </w:rPr>
              <w:t xml:space="preserve">Bukalapak Group</w:t>
            </w:r>
          </w:p>
        </w:tc>
        <w:tc>
          <w:tcPr>
            <w:tcW w:w="560" w:type="dxa"/>
          </w:tcPr>
          <w:p>
            <w:pPr>
              <w:pStyle w:val="Compact"/>
              <w:spacing w:before="0" w:after="0" w:lineRule="exact" w:line="220"/>
              <w:jc w:val="left"/>
            </w:pPr>
            <w:r>
              <w:rPr>
                <w:sz w:val="18"/>
              </w:rPr>
              <w:t xml:space="preserve">2023</w:t>
            </w:r>
          </w:p>
        </w:tc>
        <w:tc>
          <w:tcPr>
            <w:tcW w:w="1225" w:type="dxa"/>
          </w:tcPr>
          <w:p>
            <w:pPr>
              <w:pStyle w:val="Compact"/>
              <w:spacing w:before="0" w:after="0" w:lineRule="exact" w:line="220"/>
              <w:jc w:val="left"/>
            </w:pPr>
            <w:r>
              <w:rPr>
                <w:sz w:val="18"/>
              </w:rPr>
              <w:t xml:space="preserve">164,380,065</w:t>
            </w:r>
          </w:p>
        </w:tc>
        <w:tc>
          <w:tcPr>
            <w:tcW w:w="1035" w:type="dxa"/>
          </w:tcPr>
          <w:p>
            <w:pPr>
              <w:pStyle w:val="Compact"/>
              <w:spacing w:before="0" w:after="0" w:lineRule="exact" w:line="220"/>
              <w:jc w:val="left"/>
            </w:pPr>
            <w:r>
              <w:rPr>
                <w:sz w:val="18"/>
              </w:rPr>
              <w:t xml:space="preserve">4,438,269</w:t>
            </w:r>
          </w:p>
        </w:tc>
        <w:tc>
          <w:tcPr>
            <w:tcW w:w="1225" w:type="dxa"/>
          </w:tcPr>
          <w:p>
            <w:pPr>
              <w:pStyle w:val="Compact"/>
              <w:spacing w:before="0" w:after="0" w:lineRule="exact" w:line="220"/>
              <w:jc w:val="left"/>
            </w:pPr>
            <w:r>
              <w:rPr>
                <w:sz w:val="18"/>
              </w:rPr>
              <w:t xml:space="preserve">159,941,796</w:t>
            </w:r>
          </w:p>
        </w:tc>
        <w:tc>
          <w:tcPr>
            <w:tcW w:w="803" w:type="dxa"/>
          </w:tcPr>
          <w:p>
            <w:pPr>
              <w:pStyle w:val="Compact"/>
              <w:spacing w:before="0" w:after="0" w:lineRule="exact" w:line="220"/>
              <w:jc w:val="left"/>
            </w:pPr>
            <w:r>
              <w:rPr>
                <w:sz w:val="18"/>
              </w:rPr>
              <w:t xml:space="preserve">2.70</w:t>
            </w:r>
          </w:p>
        </w:tc>
        <w:tc>
          <w:tcPr>
            <w:tcW w:w="1035" w:type="dxa"/>
          </w:tcPr>
          <w:p>
            <w:pPr>
              <w:pStyle w:val="Compact"/>
              <w:spacing w:before="0" w:after="0" w:lineRule="exact" w:line="220"/>
              <w:jc w:val="left"/>
            </w:pPr>
            <w:r>
              <w:rPr>
                <w:sz w:val="18"/>
              </w:rPr>
              <w:t xml:space="preserve">36.0</w:t>
            </w:r>
          </w:p>
        </w:tc>
        <w:tc>
          <w:tcPr>
            <w:tcW w:w="1249" w:type="dxa"/>
          </w:tcPr>
          <w:p>
            <w:pPr>
              <w:pStyle w:val="Compact"/>
              <w:spacing w:before="0" w:after="0" w:lineRule="exact" w:line="220"/>
              <w:jc w:val="left"/>
            </w:pPr>
            <w:r>
              <w:rPr>
                <w:sz w:val="18"/>
              </w:rPr>
              <w:t xml:space="preserve">Company-wide disclosure</w:t>
            </w:r>
          </w:p>
        </w:tc>
      </w:tr>
    </w:tbl>
    <w:bookmarkEnd w:id="92"/>
    <w:bookmarkEnd w:id="93"/>
    <w:bookmarkStart w:id="96" w:name="appendix-b.-the-checks-on-the-test-of-h1"/>
    <w:p>
      <w:pPr>
        <w:pStyle w:val="Heading2"/>
      </w:pPr>
      <w:r>
        <w:t xml:space="preserve">Appendix B. The checks on the test of H1</w:t>
      </w:r>
    </w:p>
    <w:bookmarkStart w:id="94" w:name="b.1-the-checks"/>
    <w:p>
      <w:pPr>
        <w:pStyle w:val="Heading3"/>
      </w:pPr>
      <w:r>
        <w:t xml:space="preserve">B.1 The checks</w:t>
      </w:r>
    </w:p>
    <w:p>
      <w:pPr>
        <w:pStyle w:val="FirstParagraph"/>
        <w:jc w:val="left"/>
      </w:pPr>
      <w:r>
        <w:t xml:space="preserve">The main test is in Table 10. This appendix lists each check with both p-values where both exist. Sources:</w:t>
      </w:r>
      <w:r>
        <w:t xml:space="preserve"> </w:t>
      </w:r>
      <w:r>
        <w:rPr>
          <w:rStyle w:val="VerbatimChar"/>
        </w:rPr>
        <w:t xml:space="preserve">h1_extended.py</w:t>
      </w:r>
      <w:r>
        <w:t xml:space="preserve"> </w:t>
      </w:r>
      <w:r>
        <w:t xml:space="preserve">(</w:t>
      </w:r>
      <w:r>
        <w:rPr>
          <w:rStyle w:val="VerbatimChar"/>
        </w:rPr>
        <w:t xml:space="preserve">tables/h1_extended_results.json</w:t>
      </w:r>
      <w:r>
        <w:t xml:space="preserve">),</w:t>
      </w:r>
      <w:r>
        <w:t xml:space="preserve"> </w:t>
      </w:r>
      <w:r>
        <w:rPr>
          <w:rStyle w:val="VerbatimChar"/>
        </w:rPr>
        <w:t xml:space="preserve">tables/test_battery.csv</w:t>
      </w:r>
      <w:r>
        <w:t xml:space="preserve">,</w:t>
      </w:r>
      <w:r>
        <w:t xml:space="preserve"> </w:t>
      </w:r>
      <w:r>
        <w:rPr>
          <w:rStyle w:val="VerbatimChar"/>
        </w:rPr>
        <w:t xml:space="preserve">tables/h1_quarterly_results.json</w:t>
      </w:r>
      <w:r>
        <w:t xml:space="preserve">,</w:t>
      </w:r>
      <w:r>
        <w:t xml:space="preserve"> </w:t>
      </w:r>
      <w:r>
        <w:rPr>
          <w:rStyle w:val="VerbatimChar"/>
        </w:rPr>
        <w:t xml:space="preserve">tables/h1_points_vs_log.json</w:t>
      </w:r>
      <w:r>
        <w:t xml:space="preserve">,</w:t>
      </w:r>
      <w:r>
        <w:t xml:space="preserve"> </w:t>
      </w:r>
      <w:r>
        <w:rPr>
          <w:rStyle w:val="VerbatimChar"/>
        </w:rPr>
        <w:t xml:space="preserve">tables/h1_thesis_drops.json</w:t>
      </w:r>
      <w:r>
        <w:t xml:space="preserve">. The two rows on how platforms book shopper discounts come from</w:t>
      </w:r>
      <w:r>
        <w:t xml:space="preserve"> </w:t>
      </w:r>
      <w:r>
        <w:rPr>
          <w:rStyle w:val="VerbatimChar"/>
        </w:rPr>
        <w:t xml:space="preserve">research/option_space_2026-10-01/materials_2026-10-15/incentive_accounting_check.py</w:t>
      </w:r>
      <w:r>
        <w:t xml:space="preserve"> </w:t>
      </w:r>
      <w:r>
        <w:t xml:space="preserve">(classification and filing quotes in</w:t>
      </w:r>
      <w:r>
        <w:t xml:space="preserve"> </w:t>
      </w:r>
      <w:r>
        <w:rPr>
          <w:rStyle w:val="VerbatimChar"/>
        </w:rPr>
        <w:t xml:space="preserve">INCENTIVE_ACCOUNTING.md</w:t>
      </w:r>
      <w:r>
        <w:t xml:space="preserve">); their shuffle uses a different seed.</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3470"/>
        <w:gridCol w:w="1844"/>
        <w:gridCol w:w="1024"/>
        <w:gridCol w:w="1320"/>
        <w:gridCol w:w="845"/>
      </w:tblGrid>
      <w:tr>
        <w:trPr>
          <w:tblHeader w:val="true"/>
          <w:cantSplit/>
          <w:tblHeader/>
        </w:trPr>
        <w:tc>
          <w:tcPr>
            <w:tcW w:w="3470" w:type="dxa"/>
            <w:tcBorders>
              <w:bottom w:val="single" w:sz="5" w:space="0" w:color="000000"/>
            </w:tcBorders>
          </w:tcPr>
          <w:p>
            <w:pPr>
              <w:pStyle w:val="Compact"/>
              <w:keepNext/>
              <w:spacing w:before="0" w:after="0" w:lineRule="exact" w:line="220"/>
              <w:jc w:val="left"/>
            </w:pPr>
            <w:r>
              <w:rPr>
                <w:b/>
                <w:sz w:val="18"/>
              </w:rPr>
              <w:t xml:space="preserve">Check</w:t>
            </w:r>
          </w:p>
        </w:tc>
        <w:tc>
          <w:tcPr>
            <w:tcW w:w="1844" w:type="dxa"/>
            <w:tcBorders>
              <w:bottom w:val="single" w:sz="5" w:space="0" w:color="000000"/>
            </w:tcBorders>
          </w:tcPr>
          <w:p>
            <w:pPr>
              <w:pStyle w:val="Compact"/>
              <w:keepNext/>
              <w:spacing w:before="0" w:after="0" w:lineRule="exact" w:line="220"/>
              <w:jc w:val="left"/>
            </w:pPr>
            <w:r>
              <w:rPr>
                <w:b/>
                <w:sz w:val="18"/>
              </w:rPr>
              <w:t xml:space="preserve">Indonesian and regional (median)</w:t>
            </w:r>
          </w:p>
        </w:tc>
        <w:tc>
          <w:tcPr>
            <w:tcW w:w="1024" w:type="dxa"/>
            <w:tcBorders>
              <w:bottom w:val="single" w:sz="5" w:space="0" w:color="000000"/>
            </w:tcBorders>
          </w:tcPr>
          <w:p>
            <w:pPr>
              <w:pStyle w:val="Compact"/>
              <w:keepNext/>
              <w:spacing w:before="0" w:after="0" w:lineRule="exact" w:line="220"/>
              <w:jc w:val="left"/>
            </w:pPr>
            <w:r>
              <w:rPr>
                <w:b/>
                <w:sz w:val="18"/>
              </w:rPr>
              <w:t xml:space="preserve">Foreign (median)</w:t>
            </w:r>
          </w:p>
        </w:tc>
        <w:tc>
          <w:tcPr>
            <w:tcW w:w="1320" w:type="dxa"/>
            <w:tcBorders>
              <w:bottom w:val="single" w:sz="5" w:space="0" w:color="000000"/>
            </w:tcBorders>
          </w:tcPr>
          <w:p>
            <w:pPr>
              <w:pStyle w:val="Compact"/>
              <w:keepNext/>
              <w:spacing w:before="0" w:after="0" w:lineRule="exact" w:line="220"/>
              <w:jc w:val="left"/>
            </w:pPr>
            <w:r>
              <w:rPr>
                <w:b/>
                <w:sz w:val="18"/>
              </w:rPr>
              <w:t xml:space="preserve">Mann–Whitney p</w:t>
            </w:r>
          </w:p>
        </w:tc>
        <w:tc>
          <w:tcPr>
            <w:tcW w:w="845" w:type="dxa"/>
            <w:tcBorders>
              <w:bottom w:val="single" w:sz="5" w:space="0" w:color="000000"/>
            </w:tcBorders>
          </w:tcPr>
          <w:p>
            <w:pPr>
              <w:pStyle w:val="Compact"/>
              <w:keepNext/>
              <w:spacing w:before="0" w:after="0" w:lineRule="exact" w:line="220"/>
              <w:jc w:val="left"/>
            </w:pPr>
            <w:r>
              <w:rPr>
                <w:b/>
                <w:sz w:val="18"/>
              </w:rPr>
              <w:t xml:space="preserve">Shuffle p</w:t>
            </w:r>
          </w:p>
        </w:tc>
      </w:tr>
      <w:tr>
        <w:trPr>
          <w:cantSplit/>
        </w:trPr>
        <w:tc>
          <w:tcPr>
            <w:tcW w:w="3470" w:type="dxa"/>
          </w:tcPr>
          <w:p>
            <w:pPr>
              <w:pStyle w:val="Compact"/>
              <w:keepNext/>
              <w:spacing w:before="0" w:after="0" w:lineRule="exact" w:line="220"/>
              <w:jc w:val="left"/>
            </w:pPr>
            <w:r>
              <w:rPr>
                <w:sz w:val="18"/>
              </w:rPr>
              <w:t xml:space="preserve">Main test, 5 against 27</w:t>
            </w:r>
          </w:p>
        </w:tc>
        <w:tc>
          <w:tcPr>
            <w:tcW w:w="1844" w:type="dxa"/>
          </w:tcPr>
          <w:p>
            <w:pPr>
              <w:pStyle w:val="Compact"/>
              <w:keepNext/>
              <w:spacing w:before="0" w:after="0" w:lineRule="exact" w:line="220"/>
              <w:jc w:val="left"/>
            </w:pPr>
            <w:r>
              <w:rPr>
                <w:sz w:val="18"/>
              </w:rPr>
              <w:t xml:space="preserve">0.201</w:t>
            </w:r>
          </w:p>
        </w:tc>
        <w:tc>
          <w:tcPr>
            <w:tcW w:w="1024" w:type="dxa"/>
          </w:tcPr>
          <w:p>
            <w:pPr>
              <w:pStyle w:val="Compact"/>
              <w:keepNext/>
              <w:spacing w:before="0" w:after="0" w:lineRule="exact" w:line="220"/>
              <w:jc w:val="left"/>
            </w:pPr>
            <w:r>
              <w:rPr>
                <w:sz w:val="18"/>
              </w:rPr>
              <w:t xml:space="preserve">0.062</w:t>
            </w:r>
          </w:p>
        </w:tc>
        <w:tc>
          <w:tcPr>
            <w:tcW w:w="1320" w:type="dxa"/>
          </w:tcPr>
          <w:p>
            <w:pPr>
              <w:pStyle w:val="Compact"/>
              <w:keepNext/>
              <w:spacing w:before="0" w:after="0" w:lineRule="exact" w:line="220"/>
              <w:jc w:val="left"/>
            </w:pPr>
            <w:r>
              <w:rPr>
                <w:sz w:val="18"/>
              </w:rPr>
              <w:t xml:space="preserve">0.0038</w:t>
            </w:r>
          </w:p>
        </w:tc>
        <w:tc>
          <w:tcPr>
            <w:tcW w:w="845" w:type="dxa"/>
          </w:tcPr>
          <w:p>
            <w:pPr>
              <w:pStyle w:val="Compact"/>
              <w:keepNext/>
              <w:spacing w:before="0" w:after="0" w:lineRule="exact" w:line="220"/>
              <w:jc w:val="left"/>
            </w:pPr>
            <w:r>
              <w:rPr>
                <w:sz w:val="18"/>
              </w:rPr>
              <w:t xml:space="preserve">0.0221</w:t>
            </w:r>
          </w:p>
        </w:tc>
      </w:tr>
      <w:tr>
        <w:trPr>
          <w:cantSplit/>
        </w:trPr>
        <w:tc>
          <w:tcPr>
            <w:tcW w:w="3470" w:type="dxa"/>
          </w:tcPr>
          <w:p>
            <w:pPr>
              <w:pStyle w:val="Compact"/>
              <w:keepNext/>
              <w:spacing w:before="0" w:after="0" w:lineRule="exact" w:line="220"/>
              <w:jc w:val="left"/>
            </w:pPr>
            <w:r>
              <w:rPr>
                <w:sz w:val="18"/>
              </w:rPr>
              <w:t xml:space="preserve">5 against the 8 chosen first</w:t>
            </w:r>
          </w:p>
        </w:tc>
        <w:tc>
          <w:tcPr>
            <w:tcW w:w="1844" w:type="dxa"/>
          </w:tcPr>
          <w:p>
            <w:pPr>
              <w:pStyle w:val="Compact"/>
              <w:keepNext/>
              <w:spacing w:before="0" w:after="0" w:lineRule="exact" w:line="220"/>
              <w:jc w:val="left"/>
            </w:pPr>
            <w:r>
              <w:rPr>
                <w:sz w:val="18"/>
              </w:rPr>
              <w:t xml:space="preserve">0.201</w:t>
            </w:r>
          </w:p>
        </w:tc>
        <w:tc>
          <w:tcPr>
            <w:tcW w:w="1024" w:type="dxa"/>
          </w:tcPr>
          <w:p>
            <w:pPr>
              <w:pStyle w:val="Compact"/>
              <w:keepNext/>
              <w:spacing w:before="0" w:after="0" w:lineRule="exact" w:line="220"/>
              <w:jc w:val="left"/>
            </w:pPr>
            <w:r>
              <w:rPr>
                <w:sz w:val="18"/>
              </w:rPr>
              <w:t xml:space="preserve">0.055</w:t>
            </w:r>
          </w:p>
        </w:tc>
        <w:tc>
          <w:tcPr>
            <w:tcW w:w="1320" w:type="dxa"/>
          </w:tcPr>
          <w:p>
            <w:pPr>
              <w:pStyle w:val="Compact"/>
              <w:keepNext/>
              <w:spacing w:before="0" w:after="0" w:lineRule="exact" w:line="220"/>
              <w:jc w:val="left"/>
            </w:pPr>
            <w:r>
              <w:rPr>
                <w:sz w:val="18"/>
              </w:rPr>
              <w:t xml:space="preserve">0.0225</w:t>
            </w:r>
          </w:p>
        </w:tc>
        <w:tc>
          <w:tcPr>
            <w:tcW w:w="845" w:type="dxa"/>
          </w:tcPr>
          <w:p>
            <w:pPr>
              <w:pStyle w:val="Compact"/>
              <w:keepNext/>
              <w:spacing w:before="0" w:after="0" w:lineRule="exact" w:line="220"/>
              <w:jc w:val="left"/>
            </w:pPr>
            <w:r>
              <w:rPr>
                <w:sz w:val="18"/>
              </w:rPr>
              <w:t xml:space="preserve">0.0497</w:t>
            </w:r>
          </w:p>
        </w:tc>
      </w:tr>
      <w:tr>
        <w:trPr>
          <w:cantSplit/>
        </w:trPr>
        <w:tc>
          <w:tcPr>
            <w:tcW w:w="3470" w:type="dxa"/>
          </w:tcPr>
          <w:p>
            <w:pPr>
              <w:pStyle w:val="Compact"/>
              <w:spacing w:before="0" w:after="0" w:lineRule="exact" w:line="220"/>
              <w:jc w:val="left"/>
            </w:pPr>
            <w:r>
              <w:rPr>
                <w:sz w:val="18"/>
              </w:rPr>
              <w:t xml:space="preserve">5 against the 19 added</w:t>
            </w:r>
          </w:p>
        </w:tc>
        <w:tc>
          <w:tcPr>
            <w:tcW w:w="1844" w:type="dxa"/>
          </w:tcPr>
          <w:p>
            <w:pPr>
              <w:pStyle w:val="Compact"/>
              <w:spacing w:before="0" w:after="0" w:lineRule="exact" w:line="220"/>
              <w:jc w:val="left"/>
            </w:pPr>
            <w:r>
              <w:rPr>
                <w:sz w:val="18"/>
              </w:rPr>
              <w:t xml:space="preserve">0.201</w:t>
            </w:r>
          </w:p>
        </w:tc>
        <w:tc>
          <w:tcPr>
            <w:tcW w:w="1024" w:type="dxa"/>
          </w:tcPr>
          <w:p>
            <w:pPr>
              <w:pStyle w:val="Compact"/>
              <w:spacing w:before="0" w:after="0" w:lineRule="exact" w:line="220"/>
              <w:jc w:val="left"/>
            </w:pPr>
            <w:r>
              <w:rPr>
                <w:sz w:val="18"/>
              </w:rPr>
              <w:t xml:space="preserve">0.070</w:t>
            </w:r>
          </w:p>
        </w:tc>
        <w:tc>
          <w:tcPr>
            <w:tcW w:w="1320" w:type="dxa"/>
          </w:tcPr>
          <w:p>
            <w:pPr>
              <w:pStyle w:val="Compact"/>
              <w:spacing w:before="0" w:after="0" w:lineRule="exact" w:line="220"/>
              <w:jc w:val="left"/>
            </w:pPr>
            <w:r>
              <w:rPr>
                <w:sz w:val="18"/>
              </w:rPr>
              <w:t xml:space="preserve">0.0046</w:t>
            </w:r>
          </w:p>
        </w:tc>
        <w:tc>
          <w:tcPr>
            <w:tcW w:w="845" w:type="dxa"/>
          </w:tcPr>
          <w:p>
            <w:pPr>
              <w:pStyle w:val="Compact"/>
              <w:spacing w:before="0" w:after="0" w:lineRule="exact" w:line="220"/>
              <w:jc w:val="left"/>
            </w:pPr>
            <w:r>
              <w:rPr>
                <w:sz w:val="18"/>
              </w:rPr>
              <w:t xml:space="preserve">0.0175</w:t>
            </w:r>
          </w:p>
        </w:tc>
      </w:tr>
      <w:tr>
        <w:trPr>
          <w:cantSplit/>
        </w:trPr>
        <w:tc>
          <w:tcPr>
            <w:tcW w:w="3470" w:type="dxa"/>
          </w:tcPr>
          <w:p>
            <w:pPr>
              <w:pStyle w:val="Compact"/>
              <w:spacing w:before="0" w:after="0" w:lineRule="exact" w:line="220"/>
              <w:jc w:val="left"/>
            </w:pPr>
            <w:r>
              <w:rPr>
                <w:sz w:val="18"/>
              </w:rPr>
              <w:t xml:space="preserve">Without the 8 foreign platforms that book shopper discounts as marketing costs (exploratory, 15 Oct 2026)</w:t>
            </w:r>
          </w:p>
        </w:tc>
        <w:tc>
          <w:tcPr>
            <w:tcW w:w="1844" w:type="dxa"/>
          </w:tcPr>
          <w:p>
            <w:pPr>
              <w:pStyle w:val="Compact"/>
              <w:spacing w:before="0" w:after="0" w:lineRule="exact" w:line="220"/>
              <w:jc w:val="left"/>
            </w:pPr>
            <w:r>
              <w:rPr>
                <w:sz w:val="18"/>
              </w:rPr>
              <w:t xml:space="preserve">0.201</w:t>
            </w:r>
          </w:p>
        </w:tc>
        <w:tc>
          <w:tcPr>
            <w:tcW w:w="1024" w:type="dxa"/>
          </w:tcPr>
          <w:p>
            <w:pPr>
              <w:pStyle w:val="Compact"/>
              <w:spacing w:before="0" w:after="0" w:lineRule="exact" w:line="220"/>
              <w:jc w:val="left"/>
            </w:pPr>
            <w:r>
              <w:rPr>
                <w:sz w:val="18"/>
              </w:rPr>
              <w:t xml:space="preserve">0.062</w:t>
            </w:r>
          </w:p>
        </w:tc>
        <w:tc>
          <w:tcPr>
            <w:tcW w:w="1320" w:type="dxa"/>
          </w:tcPr>
          <w:p>
            <w:pPr>
              <w:pStyle w:val="Compact"/>
              <w:spacing w:before="0" w:after="0" w:lineRule="exact" w:line="220"/>
              <w:jc w:val="left"/>
            </w:pPr>
            <w:r>
              <w:rPr>
                <w:sz w:val="18"/>
              </w:rPr>
              <w:t xml:space="preserve">0.0035</w:t>
            </w:r>
          </w:p>
        </w:tc>
        <w:tc>
          <w:tcPr>
            <w:tcW w:w="845" w:type="dxa"/>
          </w:tcPr>
          <w:p>
            <w:pPr>
              <w:pStyle w:val="Compact"/>
              <w:spacing w:before="0" w:after="0" w:lineRule="exact" w:line="220"/>
              <w:jc w:val="left"/>
            </w:pPr>
            <w:r>
              <w:rPr>
                <w:sz w:val="18"/>
              </w:rPr>
              <w:t xml:space="preserve">0.0066</w:t>
            </w:r>
          </w:p>
        </w:tc>
      </w:tr>
      <w:tr>
        <w:trPr>
          <w:cantSplit/>
        </w:trPr>
        <w:tc>
          <w:tcPr>
            <w:tcW w:w="3470" w:type="dxa"/>
          </w:tcPr>
          <w:p>
            <w:pPr>
              <w:pStyle w:val="Compact"/>
              <w:spacing w:before="0" w:after="0" w:lineRule="exact" w:line="220"/>
              <w:jc w:val="left"/>
            </w:pPr>
            <w:r>
              <w:rPr>
                <w:sz w:val="18"/>
              </w:rPr>
              <w:t xml:space="preserve">Only the 11 foreign platforms that deduct shopper discounts from revenue (exploratory, 15 Oct 2026)</w:t>
            </w:r>
          </w:p>
        </w:tc>
        <w:tc>
          <w:tcPr>
            <w:tcW w:w="1844" w:type="dxa"/>
          </w:tcPr>
          <w:p>
            <w:pPr>
              <w:pStyle w:val="Compact"/>
              <w:spacing w:before="0" w:after="0" w:lineRule="exact" w:line="220"/>
              <w:jc w:val="left"/>
            </w:pPr>
            <w:r>
              <w:rPr>
                <w:sz w:val="18"/>
              </w:rPr>
              <w:t xml:space="preserve">0.201</w:t>
            </w:r>
          </w:p>
        </w:tc>
        <w:tc>
          <w:tcPr>
            <w:tcW w:w="1024" w:type="dxa"/>
          </w:tcPr>
          <w:p>
            <w:pPr>
              <w:pStyle w:val="Compact"/>
              <w:spacing w:before="0" w:after="0" w:lineRule="exact" w:line="220"/>
              <w:jc w:val="left"/>
            </w:pPr>
            <w:r>
              <w:rPr>
                <w:sz w:val="18"/>
              </w:rPr>
              <w:t xml:space="preserve">0.075</w:t>
            </w:r>
          </w:p>
        </w:tc>
        <w:tc>
          <w:tcPr>
            <w:tcW w:w="1320" w:type="dxa"/>
          </w:tcPr>
          <w:p>
            <w:pPr>
              <w:pStyle w:val="Compact"/>
              <w:spacing w:before="0" w:after="0" w:lineRule="exact" w:line="220"/>
              <w:jc w:val="left"/>
            </w:pPr>
            <w:r>
              <w:rPr>
                <w:sz w:val="18"/>
              </w:rPr>
              <w:t xml:space="preserve">0.0043</w:t>
            </w:r>
          </w:p>
        </w:tc>
        <w:tc>
          <w:tcPr>
            <w:tcW w:w="845" w:type="dxa"/>
          </w:tcPr>
          <w:p>
            <w:pPr>
              <w:pStyle w:val="Compact"/>
              <w:spacing w:before="0" w:after="0" w:lineRule="exact" w:line="220"/>
              <w:jc w:val="left"/>
            </w:pPr>
            <w:r>
              <w:rPr>
                <w:sz w:val="18"/>
              </w:rPr>
              <w:t xml:space="preserve">0.0052</w:t>
            </w:r>
          </w:p>
        </w:tc>
      </w:tr>
      <w:tr>
        <w:trPr>
          <w:cantSplit/>
        </w:trPr>
        <w:tc>
          <w:tcPr>
            <w:tcW w:w="3470" w:type="dxa"/>
          </w:tcPr>
          <w:p>
            <w:pPr>
              <w:pStyle w:val="Compact"/>
              <w:spacing w:before="0" w:after="0" w:lineRule="exact" w:line="220"/>
              <w:jc w:val="left"/>
            </w:pPr>
            <w:r>
              <w:rPr>
                <w:sz w:val="18"/>
              </w:rPr>
              <w:t xml:space="preserve">Growth divergence in points, 5 against 26</w:t>
            </w:r>
          </w:p>
        </w:tc>
        <w:tc>
          <w:tcPr>
            <w:tcW w:w="1844" w:type="dxa"/>
          </w:tcPr>
          <w:p>
            <w:pPr>
              <w:pStyle w:val="Compact"/>
              <w:spacing w:before="0" w:after="0" w:lineRule="exact" w:line="220"/>
              <w:jc w:val="left"/>
            </w:pPr>
            <w:r>
              <w:rPr>
                <w:sz w:val="18"/>
              </w:rPr>
              <w:t xml:space="preserve">27.0</w:t>
            </w:r>
          </w:p>
        </w:tc>
        <w:tc>
          <w:tcPr>
            <w:tcW w:w="1024" w:type="dxa"/>
          </w:tcPr>
          <w:p>
            <w:pPr>
              <w:pStyle w:val="Compact"/>
              <w:spacing w:before="0" w:after="0" w:lineRule="exact" w:line="220"/>
              <w:jc w:val="left"/>
            </w:pPr>
            <w:r>
              <w:rPr>
                <w:sz w:val="18"/>
              </w:rPr>
              <w:t xml:space="preserve">6.5</w:t>
            </w:r>
          </w:p>
        </w:tc>
        <w:tc>
          <w:tcPr>
            <w:tcW w:w="1320" w:type="dxa"/>
          </w:tcPr>
          <w:p>
            <w:pPr>
              <w:pStyle w:val="Compact"/>
              <w:spacing w:before="0" w:after="0" w:lineRule="exact" w:line="220"/>
              <w:jc w:val="left"/>
            </w:pPr>
            <w:r>
              <w:rPr>
                <w:sz w:val="18"/>
              </w:rPr>
              <w:t xml:space="preserve">0.0055</w:t>
            </w:r>
          </w:p>
        </w:tc>
        <w:tc>
          <w:tcPr>
            <w:tcW w:w="845" w:type="dxa"/>
          </w:tcPr>
          <w:p>
            <w:pPr>
              <w:pStyle w:val="Compact"/>
              <w:spacing w:before="0" w:after="0" w:lineRule="exact" w:line="220"/>
              <w:jc w:val="left"/>
            </w:pPr>
          </w:p>
        </w:tc>
      </w:tr>
      <w:tr>
        <w:trPr>
          <w:cantSplit/>
        </w:trPr>
        <w:tc>
          <w:tcPr>
            <w:tcW w:w="3470" w:type="dxa"/>
          </w:tcPr>
          <w:p>
            <w:pPr>
              <w:pStyle w:val="Compact"/>
              <w:spacing w:before="0" w:after="0" w:lineRule="exact" w:line="220"/>
              <w:jc w:val="left"/>
            </w:pPr>
            <w:r>
              <w:rPr>
                <w:sz w:val="18"/>
              </w:rPr>
              <w:t xml:space="preserve">Without Ozon, 26 foreign platforms</w:t>
            </w:r>
          </w:p>
        </w:tc>
        <w:tc>
          <w:tcPr>
            <w:tcW w:w="1844" w:type="dxa"/>
          </w:tcPr>
          <w:p>
            <w:pPr>
              <w:pStyle w:val="Compact"/>
              <w:spacing w:before="0" w:after="0" w:lineRule="exact" w:line="220"/>
              <w:jc w:val="left"/>
            </w:pPr>
            <w:r>
              <w:rPr>
                <w:sz w:val="18"/>
              </w:rPr>
              <w:t xml:space="preserve">0.201</w:t>
            </w:r>
          </w:p>
        </w:tc>
        <w:tc>
          <w:tcPr>
            <w:tcW w:w="1024" w:type="dxa"/>
          </w:tcPr>
          <w:p>
            <w:pPr>
              <w:pStyle w:val="Compact"/>
              <w:spacing w:before="0" w:after="0" w:lineRule="exact" w:line="220"/>
              <w:jc w:val="left"/>
            </w:pPr>
            <w:r>
              <w:rPr>
                <w:sz w:val="18"/>
              </w:rPr>
              <w:t xml:space="preserve">0.060</w:t>
            </w:r>
          </w:p>
        </w:tc>
        <w:tc>
          <w:tcPr>
            <w:tcW w:w="1320" w:type="dxa"/>
          </w:tcPr>
          <w:p>
            <w:pPr>
              <w:pStyle w:val="Compact"/>
              <w:spacing w:before="0" w:after="0" w:lineRule="exact" w:line="220"/>
              <w:jc w:val="left"/>
            </w:pPr>
            <w:r>
              <w:rPr>
                <w:sz w:val="18"/>
              </w:rPr>
              <w:t xml:space="preserve">0.0030</w:t>
            </w:r>
          </w:p>
        </w:tc>
        <w:tc>
          <w:tcPr>
            <w:tcW w:w="845" w:type="dxa"/>
          </w:tcPr>
          <w:p>
            <w:pPr>
              <w:pStyle w:val="Compact"/>
              <w:spacing w:before="0" w:after="0" w:lineRule="exact" w:line="220"/>
              <w:jc w:val="left"/>
            </w:pPr>
            <w:r>
              <w:rPr>
                <w:sz w:val="18"/>
              </w:rPr>
              <w:t xml:space="preserve">0.0215</w:t>
            </w:r>
          </w:p>
        </w:tc>
      </w:tr>
      <w:tr>
        <w:trPr>
          <w:cantSplit/>
        </w:trPr>
        <w:tc>
          <w:tcPr>
            <w:tcW w:w="3470" w:type="dxa"/>
          </w:tcPr>
          <w:p>
            <w:pPr>
              <w:pStyle w:val="Compact"/>
              <w:spacing w:before="0" w:after="0" w:lineRule="exact" w:line="220"/>
              <w:jc w:val="left"/>
            </w:pPr>
            <w:r>
              <w:rPr>
                <w:sz w:val="18"/>
              </w:rPr>
              <w:t xml:space="preserve">Without Zalando, 26 foreign platforms</w:t>
            </w:r>
          </w:p>
        </w:tc>
        <w:tc>
          <w:tcPr>
            <w:tcW w:w="1844" w:type="dxa"/>
          </w:tcPr>
          <w:p>
            <w:pPr>
              <w:pStyle w:val="Compact"/>
              <w:spacing w:before="0" w:after="0" w:lineRule="exact" w:line="220"/>
              <w:jc w:val="left"/>
            </w:pPr>
            <w:r>
              <w:rPr>
                <w:sz w:val="18"/>
              </w:rPr>
              <w:t xml:space="preserve">0.201</w:t>
            </w:r>
          </w:p>
        </w:tc>
        <w:tc>
          <w:tcPr>
            <w:tcW w:w="1024" w:type="dxa"/>
          </w:tcPr>
          <w:p>
            <w:pPr>
              <w:pStyle w:val="Compact"/>
              <w:spacing w:before="0" w:after="0" w:lineRule="exact" w:line="220"/>
              <w:jc w:val="left"/>
            </w:pPr>
            <w:r>
              <w:rPr>
                <w:sz w:val="18"/>
              </w:rPr>
              <w:t xml:space="preserve">0.064</w:t>
            </w:r>
          </w:p>
        </w:tc>
        <w:tc>
          <w:tcPr>
            <w:tcW w:w="1320" w:type="dxa"/>
          </w:tcPr>
          <w:p>
            <w:pPr>
              <w:pStyle w:val="Compact"/>
              <w:spacing w:before="0" w:after="0" w:lineRule="exact" w:line="220"/>
              <w:jc w:val="left"/>
            </w:pPr>
            <w:r>
              <w:rPr>
                <w:sz w:val="18"/>
              </w:rPr>
              <w:t xml:space="preserve">0.0045</w:t>
            </w:r>
          </w:p>
        </w:tc>
        <w:tc>
          <w:tcPr>
            <w:tcW w:w="845" w:type="dxa"/>
          </w:tcPr>
          <w:p>
            <w:pPr>
              <w:pStyle w:val="Compact"/>
              <w:spacing w:before="0" w:after="0" w:lineRule="exact" w:line="220"/>
              <w:jc w:val="left"/>
            </w:pPr>
            <w:r>
              <w:rPr>
                <w:sz w:val="18"/>
              </w:rPr>
              <w:t xml:space="preserve">0.0238</w:t>
            </w:r>
          </w:p>
        </w:tc>
      </w:tr>
      <w:tr>
        <w:trPr>
          <w:cantSplit/>
        </w:trPr>
        <w:tc>
          <w:tcPr>
            <w:tcW w:w="3470" w:type="dxa"/>
          </w:tcPr>
          <w:p>
            <w:pPr>
              <w:pStyle w:val="Compact"/>
              <w:spacing w:before="0" w:after="0" w:lineRule="exact" w:line="220"/>
              <w:jc w:val="left"/>
            </w:pPr>
            <w:r>
              <w:rPr>
                <w:sz w:val="18"/>
              </w:rPr>
              <w:t xml:space="preserve">Without Ozon and Zalando, 25 foreign platforms</w:t>
            </w:r>
          </w:p>
        </w:tc>
        <w:tc>
          <w:tcPr>
            <w:tcW w:w="1844" w:type="dxa"/>
          </w:tcPr>
          <w:p>
            <w:pPr>
              <w:pStyle w:val="Compact"/>
              <w:spacing w:before="0" w:after="0" w:lineRule="exact" w:line="220"/>
              <w:jc w:val="left"/>
            </w:pPr>
            <w:r>
              <w:rPr>
                <w:sz w:val="18"/>
              </w:rPr>
              <w:t xml:space="preserve">0.201</w:t>
            </w:r>
          </w:p>
        </w:tc>
        <w:tc>
          <w:tcPr>
            <w:tcW w:w="1024" w:type="dxa"/>
          </w:tcPr>
          <w:p>
            <w:pPr>
              <w:pStyle w:val="Compact"/>
              <w:spacing w:before="0" w:after="0" w:lineRule="exact" w:line="220"/>
              <w:jc w:val="left"/>
            </w:pPr>
            <w:r>
              <w:rPr>
                <w:sz w:val="18"/>
              </w:rPr>
              <w:t xml:space="preserve">0.062</w:t>
            </w:r>
          </w:p>
        </w:tc>
        <w:tc>
          <w:tcPr>
            <w:tcW w:w="1320" w:type="dxa"/>
          </w:tcPr>
          <w:p>
            <w:pPr>
              <w:pStyle w:val="Compact"/>
              <w:spacing w:before="0" w:after="0" w:lineRule="exact" w:line="220"/>
              <w:jc w:val="left"/>
            </w:pPr>
            <w:r>
              <w:rPr>
                <w:sz w:val="18"/>
              </w:rPr>
              <w:t xml:space="preserve">0.0036</w:t>
            </w:r>
          </w:p>
        </w:tc>
        <w:tc>
          <w:tcPr>
            <w:tcW w:w="845" w:type="dxa"/>
          </w:tcPr>
          <w:p>
            <w:pPr>
              <w:pStyle w:val="Compact"/>
              <w:spacing w:before="0" w:after="0" w:lineRule="exact" w:line="220"/>
              <w:jc w:val="left"/>
            </w:pPr>
            <w:r>
              <w:rPr>
                <w:sz w:val="18"/>
              </w:rPr>
              <w:t xml:space="preserve">0.0230</w:t>
            </w:r>
          </w:p>
        </w:tc>
      </w:tr>
      <w:tr>
        <w:trPr>
          <w:cantSplit/>
        </w:trPr>
        <w:tc>
          <w:tcPr>
            <w:tcW w:w="3470" w:type="dxa"/>
          </w:tcPr>
          <w:p>
            <w:pPr>
              <w:pStyle w:val="Compact"/>
              <w:spacing w:before="0" w:after="0" w:lineRule="exact" w:line="220"/>
              <w:jc w:val="left"/>
            </w:pPr>
            <w:r>
              <w:rPr>
                <w:sz w:val="18"/>
              </w:rPr>
              <w:t xml:space="preserve">Without Blibli third-party retail</w:t>
            </w:r>
          </w:p>
        </w:tc>
        <w:tc>
          <w:tcPr>
            <w:tcW w:w="1844" w:type="dxa"/>
          </w:tcPr>
          <w:p>
            <w:pPr>
              <w:pStyle w:val="Compact"/>
              <w:spacing w:before="0" w:after="0" w:lineRule="exact" w:line="220"/>
              <w:jc w:val="left"/>
            </w:pPr>
            <w:r>
              <w:rPr>
                <w:sz w:val="18"/>
              </w:rPr>
              <w:t xml:space="preserve">0.169</w:t>
            </w:r>
          </w:p>
        </w:tc>
        <w:tc>
          <w:tcPr>
            <w:tcW w:w="1024"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0.0137</w:t>
            </w:r>
          </w:p>
        </w:tc>
        <w:tc>
          <w:tcPr>
            <w:tcW w:w="845" w:type="dxa"/>
          </w:tcPr>
          <w:p>
            <w:pPr>
              <w:pStyle w:val="Compact"/>
              <w:spacing w:before="0" w:after="0" w:lineRule="exact" w:line="220"/>
              <w:jc w:val="left"/>
            </w:pPr>
            <w:r>
              <w:rPr>
                <w:sz w:val="18"/>
              </w:rPr>
              <w:t xml:space="preserve">0.0364</w:t>
            </w:r>
          </w:p>
        </w:tc>
      </w:tr>
      <w:tr>
        <w:trPr>
          <w:cantSplit/>
        </w:trPr>
        <w:tc>
          <w:tcPr>
            <w:tcW w:w="3470" w:type="dxa"/>
          </w:tcPr>
          <w:p>
            <w:pPr>
              <w:pStyle w:val="Compact"/>
              <w:spacing w:before="0" w:after="0" w:lineRule="exact" w:line="220"/>
              <w:jc w:val="left"/>
            </w:pPr>
            <w:r>
              <w:rPr>
                <w:sz w:val="18"/>
              </w:rPr>
              <w:t xml:space="preserve">Without Bukalapak Group</w:t>
            </w:r>
          </w:p>
        </w:tc>
        <w:tc>
          <w:tcPr>
            <w:tcW w:w="1844" w:type="dxa"/>
          </w:tcPr>
          <w:p>
            <w:pPr>
              <w:pStyle w:val="Compact"/>
              <w:spacing w:before="0" w:after="0" w:lineRule="exact" w:line="220"/>
              <w:jc w:val="left"/>
            </w:pPr>
            <w:r>
              <w:rPr>
                <w:sz w:val="18"/>
              </w:rPr>
              <w:t xml:space="preserve">0.225</w:t>
            </w:r>
          </w:p>
        </w:tc>
        <w:tc>
          <w:tcPr>
            <w:tcW w:w="1024"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0.0049</w:t>
            </w:r>
          </w:p>
        </w:tc>
        <w:tc>
          <w:tcPr>
            <w:tcW w:w="845" w:type="dxa"/>
          </w:tcPr>
          <w:p>
            <w:pPr>
              <w:pStyle w:val="Compact"/>
              <w:spacing w:before="0" w:after="0" w:lineRule="exact" w:line="220"/>
              <w:jc w:val="left"/>
            </w:pPr>
            <w:r>
              <w:rPr>
                <w:sz w:val="18"/>
              </w:rPr>
              <w:t xml:space="preserve">0.0070</w:t>
            </w:r>
          </w:p>
        </w:tc>
      </w:tr>
      <w:tr>
        <w:trPr>
          <w:cantSplit/>
        </w:trPr>
        <w:tc>
          <w:tcPr>
            <w:tcW w:w="3470" w:type="dxa"/>
          </w:tcPr>
          <w:p>
            <w:pPr>
              <w:pStyle w:val="Compact"/>
              <w:spacing w:before="0" w:after="0" w:lineRule="exact" w:line="220"/>
              <w:jc w:val="left"/>
            </w:pPr>
            <w:r>
              <w:rPr>
                <w:sz w:val="18"/>
              </w:rPr>
              <w:t xml:space="preserve">Without GoTo on-demand</w:t>
            </w:r>
          </w:p>
        </w:tc>
        <w:tc>
          <w:tcPr>
            <w:tcW w:w="1844" w:type="dxa"/>
          </w:tcPr>
          <w:p>
            <w:pPr>
              <w:pStyle w:val="Compact"/>
              <w:spacing w:before="0" w:after="0" w:lineRule="exact" w:line="220"/>
              <w:jc w:val="left"/>
            </w:pPr>
            <w:r>
              <w:rPr>
                <w:sz w:val="18"/>
              </w:rPr>
              <w:t xml:space="preserve">0.225</w:t>
            </w:r>
          </w:p>
        </w:tc>
        <w:tc>
          <w:tcPr>
            <w:tcW w:w="1024"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0.0030</w:t>
            </w:r>
          </w:p>
        </w:tc>
        <w:tc>
          <w:tcPr>
            <w:tcW w:w="845" w:type="dxa"/>
          </w:tcPr>
          <w:p>
            <w:pPr>
              <w:pStyle w:val="Compact"/>
              <w:spacing w:before="0" w:after="0" w:lineRule="exact" w:line="220"/>
              <w:jc w:val="left"/>
            </w:pPr>
            <w:r>
              <w:rPr>
                <w:sz w:val="18"/>
              </w:rPr>
              <w:t xml:space="preserve">0.0071</w:t>
            </w:r>
          </w:p>
        </w:tc>
      </w:tr>
      <w:tr>
        <w:trPr>
          <w:cantSplit/>
        </w:trPr>
        <w:tc>
          <w:tcPr>
            <w:tcW w:w="3470" w:type="dxa"/>
          </w:tcPr>
          <w:p>
            <w:pPr>
              <w:pStyle w:val="Compact"/>
              <w:spacing w:before="0" w:after="0" w:lineRule="exact" w:line="220"/>
              <w:jc w:val="left"/>
            </w:pPr>
            <w:r>
              <w:rPr>
                <w:sz w:val="18"/>
              </w:rPr>
              <w:t xml:space="preserve">Without Grab on-demand</w:t>
            </w:r>
          </w:p>
        </w:tc>
        <w:tc>
          <w:tcPr>
            <w:tcW w:w="1844" w:type="dxa"/>
          </w:tcPr>
          <w:p>
            <w:pPr>
              <w:pStyle w:val="Compact"/>
              <w:spacing w:before="0" w:after="0" w:lineRule="exact" w:line="220"/>
              <w:jc w:val="left"/>
            </w:pPr>
            <w:r>
              <w:rPr>
                <w:sz w:val="18"/>
              </w:rPr>
              <w:t xml:space="preserve">0.194</w:t>
            </w:r>
          </w:p>
        </w:tc>
        <w:tc>
          <w:tcPr>
            <w:tcW w:w="1024"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0.0094</w:t>
            </w:r>
          </w:p>
        </w:tc>
        <w:tc>
          <w:tcPr>
            <w:tcW w:w="845" w:type="dxa"/>
          </w:tcPr>
          <w:p>
            <w:pPr>
              <w:pStyle w:val="Compact"/>
              <w:spacing w:before="0" w:after="0" w:lineRule="exact" w:line="220"/>
              <w:jc w:val="left"/>
            </w:pPr>
            <w:r>
              <w:rPr>
                <w:sz w:val="18"/>
              </w:rPr>
              <w:t xml:space="preserve">0.0166</w:t>
            </w:r>
          </w:p>
        </w:tc>
      </w:tr>
      <w:tr>
        <w:trPr>
          <w:cantSplit/>
        </w:trPr>
        <w:tc>
          <w:tcPr>
            <w:tcW w:w="3470" w:type="dxa"/>
          </w:tcPr>
          <w:p>
            <w:pPr>
              <w:pStyle w:val="Compact"/>
              <w:spacing w:before="0" w:after="0" w:lineRule="exact" w:line="220"/>
              <w:jc w:val="left"/>
            </w:pPr>
            <w:r>
              <w:rPr>
                <w:sz w:val="18"/>
              </w:rPr>
              <w:t xml:space="preserve">Without Tokopedia</w:t>
            </w:r>
          </w:p>
        </w:tc>
        <w:tc>
          <w:tcPr>
            <w:tcW w:w="1844" w:type="dxa"/>
          </w:tcPr>
          <w:p>
            <w:pPr>
              <w:pStyle w:val="Compact"/>
              <w:spacing w:before="0" w:after="0" w:lineRule="exact" w:line="220"/>
              <w:jc w:val="left"/>
            </w:pPr>
            <w:r>
              <w:rPr>
                <w:sz w:val="18"/>
              </w:rPr>
              <w:t xml:space="preserve">0.169</w:t>
            </w:r>
          </w:p>
        </w:tc>
        <w:tc>
          <w:tcPr>
            <w:tcW w:w="1024"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0.0164</w:t>
            </w:r>
          </w:p>
        </w:tc>
        <w:tc>
          <w:tcPr>
            <w:tcW w:w="845" w:type="dxa"/>
          </w:tcPr>
          <w:p>
            <w:pPr>
              <w:pStyle w:val="Compact"/>
              <w:spacing w:before="0" w:after="0" w:lineRule="exact" w:line="220"/>
              <w:jc w:val="left"/>
            </w:pPr>
            <w:r>
              <w:rPr>
                <w:sz w:val="18"/>
              </w:rPr>
              <w:t xml:space="preserve">0.0409</w:t>
            </w:r>
          </w:p>
        </w:tc>
      </w:tr>
      <w:tr>
        <w:trPr>
          <w:cantSplit/>
        </w:trPr>
        <w:tc>
          <w:tcPr>
            <w:tcW w:w="3470" w:type="dxa"/>
          </w:tcPr>
          <w:p>
            <w:pPr>
              <w:pStyle w:val="Compact"/>
              <w:spacing w:before="0" w:after="0" w:lineRule="exact" w:line="220"/>
              <w:jc w:val="left"/>
            </w:pPr>
            <w:r>
              <w:rPr>
                <w:sz w:val="18"/>
              </w:rPr>
              <w:t xml:space="preserve">Three marketplaces against the 8 chosen first, comparing pairs of years, absolute growth divergence in points</w:t>
            </w:r>
          </w:p>
        </w:tc>
        <w:tc>
          <w:tcPr>
            <w:tcW w:w="1844" w:type="dxa"/>
          </w:tcPr>
          <w:p>
            <w:pPr>
              <w:pStyle w:val="Compact"/>
              <w:spacing w:before="0" w:after="0" w:lineRule="exact" w:line="220"/>
              <w:jc w:val="left"/>
            </w:pPr>
            <w:r>
              <w:rPr>
                <w:sz w:val="18"/>
              </w:rPr>
              <w:t xml:space="preserve">38.917</w:t>
            </w:r>
          </w:p>
        </w:tc>
        <w:tc>
          <w:tcPr>
            <w:tcW w:w="1024" w:type="dxa"/>
          </w:tcPr>
          <w:p>
            <w:pPr>
              <w:pStyle w:val="Compact"/>
              <w:spacing w:before="0" w:after="0" w:lineRule="exact" w:line="220"/>
              <w:jc w:val="left"/>
            </w:pPr>
            <w:r>
              <w:rPr>
                <w:sz w:val="18"/>
              </w:rPr>
              <w:t xml:space="preserve">7.105</w:t>
            </w:r>
          </w:p>
        </w:tc>
        <w:tc>
          <w:tcPr>
            <w:tcW w:w="1320" w:type="dxa"/>
          </w:tcPr>
          <w:p>
            <w:pPr>
              <w:pStyle w:val="Compact"/>
              <w:spacing w:before="0" w:after="0" w:lineRule="exact" w:line="220"/>
              <w:jc w:val="left"/>
            </w:pPr>
            <w:r>
              <w:rPr>
                <w:sz w:val="18"/>
              </w:rPr>
              <w:t xml:space="preserve">0.0022</w:t>
            </w:r>
          </w:p>
        </w:tc>
        <w:tc>
          <w:tcPr>
            <w:tcW w:w="845" w:type="dxa"/>
          </w:tcPr>
          <w:p>
            <w:pPr>
              <w:pStyle w:val="Compact"/>
              <w:spacing w:before="0" w:after="0" w:lineRule="exact" w:line="220"/>
              <w:jc w:val="left"/>
            </w:pPr>
            <w:r>
              <w:rPr>
                <w:sz w:val="18"/>
              </w:rPr>
              <w:t xml:space="preserve">0.0606</w:t>
            </w:r>
          </w:p>
        </w:tc>
      </w:tr>
      <w:tr>
        <w:trPr>
          <w:cantSplit/>
        </w:trPr>
        <w:tc>
          <w:tcPr>
            <w:tcW w:w="3470" w:type="dxa"/>
          </w:tcPr>
          <w:p>
            <w:pPr>
              <w:pStyle w:val="Compact"/>
              <w:spacing w:before="0" w:after="0" w:lineRule="exact" w:line="220"/>
              <w:jc w:val="left"/>
            </w:pPr>
            <w:r>
              <w:rPr>
                <w:sz w:val="18"/>
              </w:rPr>
              <w:t xml:space="preserve">Three marketplaces against the 8 chosen first, one median per platform, absolute growth divergence in points (claims ledger C47,</w:t>
            </w:r>
            <w:r>
              <w:rPr>
                <w:sz w:val="18"/>
              </w:rPr>
              <w:t xml:space="preserve"> </w:t>
            </w:r>
            <w:r>
              <w:rPr>
                <w:rStyle w:val="VerbatimChar"/>
                <w:sz w:val="18"/>
              </w:rPr>
              <w:t xml:space="preserve">build_numbers.py</w:t>
            </w:r>
            <w:r>
              <w:rPr>
                <w:sz w:val="18"/>
              </w:rPr>
              <w:t xml:space="preserve">)</w:t>
            </w:r>
          </w:p>
        </w:tc>
        <w:tc>
          <w:tcPr>
            <w:tcW w:w="1844" w:type="dxa"/>
          </w:tcPr>
          <w:p>
            <w:pPr>
              <w:pStyle w:val="Compact"/>
              <w:spacing w:before="0" w:after="0" w:lineRule="exact" w:line="220"/>
              <w:jc w:val="left"/>
            </w:pPr>
          </w:p>
        </w:tc>
        <w:tc>
          <w:tcPr>
            <w:tcW w:w="1024"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0.0242</w:t>
            </w:r>
          </w:p>
        </w:tc>
        <w:tc>
          <w:tcPr>
            <w:tcW w:w="845" w:type="dxa"/>
          </w:tcPr>
          <w:p>
            <w:pPr>
              <w:pStyle w:val="Compact"/>
              <w:spacing w:before="0" w:after="0" w:lineRule="exact" w:line="220"/>
              <w:jc w:val="left"/>
            </w:pPr>
          </w:p>
        </w:tc>
      </w:tr>
      <w:tr>
        <w:trPr>
          <w:cantSplit/>
        </w:trPr>
        <w:tc>
          <w:tcPr>
            <w:tcW w:w="3470" w:type="dxa"/>
          </w:tcPr>
          <w:p>
            <w:pPr>
              <w:pStyle w:val="Compact"/>
              <w:spacing w:before="0" w:after="0" w:lineRule="exact" w:line="220"/>
              <w:jc w:val="left"/>
            </w:pPr>
            <w:r>
              <w:rPr>
                <w:sz w:val="18"/>
              </w:rPr>
              <w:t xml:space="preserve">Three marketplaces against the 8 chosen first, comparing pairs of years, absolute growth divergence in points (without Sea)</w:t>
            </w:r>
          </w:p>
        </w:tc>
        <w:tc>
          <w:tcPr>
            <w:tcW w:w="1844" w:type="dxa"/>
          </w:tcPr>
          <w:p>
            <w:pPr>
              <w:pStyle w:val="Compact"/>
              <w:spacing w:before="0" w:after="0" w:lineRule="exact" w:line="220"/>
              <w:jc w:val="left"/>
            </w:pPr>
            <w:r>
              <w:rPr>
                <w:sz w:val="18"/>
              </w:rPr>
              <w:t xml:space="preserve">38.917</w:t>
            </w:r>
          </w:p>
        </w:tc>
        <w:tc>
          <w:tcPr>
            <w:tcW w:w="1024" w:type="dxa"/>
          </w:tcPr>
          <w:p>
            <w:pPr>
              <w:pStyle w:val="Compact"/>
              <w:spacing w:before="0" w:after="0" w:lineRule="exact" w:line="220"/>
              <w:jc w:val="left"/>
            </w:pPr>
            <w:r>
              <w:rPr>
                <w:sz w:val="18"/>
              </w:rPr>
              <w:t xml:space="preserve">4.192</w:t>
            </w:r>
          </w:p>
        </w:tc>
        <w:tc>
          <w:tcPr>
            <w:tcW w:w="1320" w:type="dxa"/>
          </w:tcPr>
          <w:p>
            <w:pPr>
              <w:pStyle w:val="Compact"/>
              <w:spacing w:before="0" w:after="0" w:lineRule="exact" w:line="220"/>
              <w:jc w:val="left"/>
            </w:pPr>
            <w:r>
              <w:rPr>
                <w:sz w:val="18"/>
              </w:rPr>
              <w:t xml:space="preserve">&lt;0.0001</w:t>
            </w:r>
          </w:p>
        </w:tc>
        <w:tc>
          <w:tcPr>
            <w:tcW w:w="845" w:type="dxa"/>
          </w:tcPr>
          <w:p>
            <w:pPr>
              <w:pStyle w:val="Compact"/>
              <w:spacing w:before="0" w:after="0" w:lineRule="exact" w:line="220"/>
              <w:jc w:val="left"/>
            </w:pPr>
            <w:r>
              <w:rPr>
                <w:sz w:val="18"/>
              </w:rPr>
              <w:t xml:space="preserve">0.0083</w:t>
            </w:r>
          </w:p>
        </w:tc>
      </w:tr>
      <w:tr>
        <w:trPr>
          <w:cantSplit/>
        </w:trPr>
        <w:tc>
          <w:tcPr>
            <w:tcW w:w="3470" w:type="dxa"/>
          </w:tcPr>
          <w:p>
            <w:pPr>
              <w:pStyle w:val="Compact"/>
              <w:spacing w:before="0" w:after="0" w:lineRule="exact" w:line="220"/>
              <w:jc w:val="left"/>
            </w:pPr>
            <w:r>
              <w:rPr>
                <w:sz w:val="18"/>
              </w:rPr>
              <w:t xml:space="preserve">Three marketplaces against the 8 chosen first, comparing pairs of years, absolute change in log take rate</w:t>
            </w:r>
          </w:p>
        </w:tc>
        <w:tc>
          <w:tcPr>
            <w:tcW w:w="1844" w:type="dxa"/>
          </w:tcPr>
          <w:p>
            <w:pPr>
              <w:pStyle w:val="Compact"/>
              <w:spacing w:before="0" w:after="0" w:lineRule="exact" w:line="220"/>
              <w:jc w:val="left"/>
            </w:pPr>
            <w:r>
              <w:rPr>
                <w:sz w:val="18"/>
              </w:rPr>
              <w:t xml:space="preserve">0.252</w:t>
            </w:r>
          </w:p>
        </w:tc>
        <w:tc>
          <w:tcPr>
            <w:tcW w:w="1024" w:type="dxa"/>
          </w:tcPr>
          <w:p>
            <w:pPr>
              <w:pStyle w:val="Compact"/>
              <w:spacing w:before="0" w:after="0" w:lineRule="exact" w:line="220"/>
              <w:jc w:val="left"/>
            </w:pPr>
            <w:r>
              <w:rPr>
                <w:sz w:val="18"/>
              </w:rPr>
              <w:t xml:space="preserve">0.055</w:t>
            </w:r>
          </w:p>
        </w:tc>
        <w:tc>
          <w:tcPr>
            <w:tcW w:w="1320" w:type="dxa"/>
          </w:tcPr>
          <w:p>
            <w:pPr>
              <w:pStyle w:val="Compact"/>
              <w:spacing w:before="0" w:after="0" w:lineRule="exact" w:line="220"/>
              <w:jc w:val="left"/>
            </w:pPr>
            <w:r>
              <w:rPr>
                <w:sz w:val="18"/>
              </w:rPr>
              <w:t xml:space="preserve">0.0037</w:t>
            </w:r>
          </w:p>
        </w:tc>
        <w:tc>
          <w:tcPr>
            <w:tcW w:w="845" w:type="dxa"/>
          </w:tcPr>
          <w:p>
            <w:pPr>
              <w:pStyle w:val="Compact"/>
              <w:spacing w:before="0" w:after="0" w:lineRule="exact" w:line="220"/>
              <w:jc w:val="left"/>
            </w:pPr>
            <w:r>
              <w:rPr>
                <w:sz w:val="18"/>
              </w:rPr>
              <w:t xml:space="preserve">0.0303</w:t>
            </w:r>
          </w:p>
        </w:tc>
      </w:tr>
      <w:tr>
        <w:trPr>
          <w:cantSplit/>
        </w:trPr>
        <w:tc>
          <w:tcPr>
            <w:tcW w:w="3470" w:type="dxa"/>
          </w:tcPr>
          <w:p>
            <w:pPr>
              <w:pStyle w:val="Compact"/>
              <w:spacing w:before="0" w:after="0" w:lineRule="exact" w:line="220"/>
              <w:jc w:val="left"/>
            </w:pPr>
            <w:r>
              <w:rPr>
                <w:sz w:val="18"/>
              </w:rPr>
              <w:t xml:space="preserve">Three marketplaces against the 8 chosen first, comparing pairs of years, absolute change in log take rate (without Sea)</w:t>
            </w:r>
          </w:p>
        </w:tc>
        <w:tc>
          <w:tcPr>
            <w:tcW w:w="1844" w:type="dxa"/>
          </w:tcPr>
          <w:p>
            <w:pPr>
              <w:pStyle w:val="Compact"/>
              <w:spacing w:before="0" w:after="0" w:lineRule="exact" w:line="220"/>
              <w:jc w:val="left"/>
            </w:pPr>
            <w:r>
              <w:rPr>
                <w:sz w:val="18"/>
              </w:rPr>
              <w:t xml:space="preserve">0.252</w:t>
            </w:r>
          </w:p>
        </w:tc>
        <w:tc>
          <w:tcPr>
            <w:tcW w:w="1024" w:type="dxa"/>
          </w:tcPr>
          <w:p>
            <w:pPr>
              <w:pStyle w:val="Compact"/>
              <w:spacing w:before="0" w:after="0" w:lineRule="exact" w:line="220"/>
              <w:jc w:val="left"/>
            </w:pPr>
            <w:r>
              <w:rPr>
                <w:sz w:val="18"/>
              </w:rPr>
              <w:t xml:space="preserve">0.033</w:t>
            </w:r>
          </w:p>
        </w:tc>
        <w:tc>
          <w:tcPr>
            <w:tcW w:w="1320" w:type="dxa"/>
          </w:tcPr>
          <w:p>
            <w:pPr>
              <w:pStyle w:val="Compact"/>
              <w:spacing w:before="0" w:after="0" w:lineRule="exact" w:line="220"/>
              <w:jc w:val="left"/>
            </w:pPr>
            <w:r>
              <w:rPr>
                <w:sz w:val="18"/>
              </w:rPr>
              <w:t xml:space="preserve">0.0001</w:t>
            </w:r>
          </w:p>
        </w:tc>
        <w:tc>
          <w:tcPr>
            <w:tcW w:w="845" w:type="dxa"/>
          </w:tcPr>
          <w:p>
            <w:pPr>
              <w:pStyle w:val="Compact"/>
              <w:spacing w:before="0" w:after="0" w:lineRule="exact" w:line="220"/>
              <w:jc w:val="left"/>
            </w:pPr>
            <w:r>
              <w:rPr>
                <w:sz w:val="18"/>
              </w:rPr>
              <w:t xml:space="preserve">0.0167</w:t>
            </w:r>
          </w:p>
        </w:tc>
      </w:tr>
      <w:tr>
        <w:trPr>
          <w:cantSplit/>
        </w:trPr>
        <w:tc>
          <w:tcPr>
            <w:tcW w:w="3470" w:type="dxa"/>
          </w:tcPr>
          <w:p>
            <w:pPr>
              <w:pStyle w:val="Compact"/>
              <w:spacing w:before="0" w:after="0" w:lineRule="exact" w:line="220"/>
              <w:jc w:val="left"/>
            </w:pPr>
            <w:r>
              <w:rPr>
                <w:sz w:val="18"/>
              </w:rPr>
              <w:t xml:space="preserve">Three marketplaces, dropping all three 2022–23 comparisons (5 pairs), absolute growth divergence in points</w:t>
            </w:r>
          </w:p>
        </w:tc>
        <w:tc>
          <w:tcPr>
            <w:tcW w:w="1844" w:type="dxa"/>
          </w:tcPr>
          <w:p>
            <w:pPr>
              <w:pStyle w:val="Compact"/>
              <w:spacing w:before="0" w:after="0" w:lineRule="exact" w:line="220"/>
              <w:jc w:val="left"/>
            </w:pPr>
            <w:r>
              <w:rPr>
                <w:sz w:val="18"/>
              </w:rPr>
              <w:t xml:space="preserve">14.411</w:t>
            </w:r>
          </w:p>
        </w:tc>
        <w:tc>
          <w:tcPr>
            <w:tcW w:w="1024" w:type="dxa"/>
          </w:tcPr>
          <w:p>
            <w:pPr>
              <w:pStyle w:val="Compact"/>
              <w:spacing w:before="0" w:after="0" w:lineRule="exact" w:line="220"/>
              <w:jc w:val="left"/>
            </w:pPr>
            <w:r>
              <w:rPr>
                <w:sz w:val="18"/>
              </w:rPr>
              <w:t xml:space="preserve">7.105</w:t>
            </w:r>
          </w:p>
        </w:tc>
        <w:tc>
          <w:tcPr>
            <w:tcW w:w="1320" w:type="dxa"/>
          </w:tcPr>
          <w:p>
            <w:pPr>
              <w:pStyle w:val="Compact"/>
              <w:spacing w:before="0" w:after="0" w:lineRule="exact" w:line="220"/>
              <w:jc w:val="left"/>
            </w:pPr>
            <w:r>
              <w:rPr>
                <w:sz w:val="18"/>
              </w:rPr>
              <w:t xml:space="preserve">0.0248</w:t>
            </w:r>
          </w:p>
        </w:tc>
        <w:tc>
          <w:tcPr>
            <w:tcW w:w="845" w:type="dxa"/>
          </w:tcPr>
          <w:p>
            <w:pPr>
              <w:pStyle w:val="Compact"/>
              <w:spacing w:before="0" w:after="0" w:lineRule="exact" w:line="220"/>
              <w:jc w:val="left"/>
            </w:pPr>
            <w:r>
              <w:rPr>
                <w:sz w:val="18"/>
              </w:rPr>
              <w:t xml:space="preserve">0.2222</w:t>
            </w:r>
          </w:p>
        </w:tc>
      </w:tr>
      <w:tr>
        <w:trPr>
          <w:cantSplit/>
        </w:trPr>
        <w:tc>
          <w:tcPr>
            <w:tcW w:w="3470" w:type="dxa"/>
          </w:tcPr>
          <w:p>
            <w:pPr>
              <w:pStyle w:val="Compact"/>
              <w:spacing w:before="0" w:after="0" w:lineRule="exact" w:line="220"/>
              <w:jc w:val="left"/>
            </w:pPr>
            <w:r>
              <w:rPr>
                <w:sz w:val="18"/>
              </w:rPr>
              <w:t xml:space="preserve">Three marketplaces, dropping the largest comparison (7 pairs), absolute growth divergence in points</w:t>
            </w:r>
          </w:p>
        </w:tc>
        <w:tc>
          <w:tcPr>
            <w:tcW w:w="1844" w:type="dxa"/>
          </w:tcPr>
          <w:p>
            <w:pPr>
              <w:pStyle w:val="Compact"/>
              <w:spacing w:before="0" w:after="0" w:lineRule="exact" w:line="220"/>
              <w:jc w:val="left"/>
            </w:pPr>
            <w:r>
              <w:rPr>
                <w:sz w:val="18"/>
              </w:rPr>
              <w:t xml:space="preserve">15.738</w:t>
            </w:r>
          </w:p>
        </w:tc>
        <w:tc>
          <w:tcPr>
            <w:tcW w:w="1024" w:type="dxa"/>
          </w:tcPr>
          <w:p>
            <w:pPr>
              <w:pStyle w:val="Compact"/>
              <w:spacing w:before="0" w:after="0" w:lineRule="exact" w:line="220"/>
              <w:jc w:val="left"/>
            </w:pPr>
            <w:r>
              <w:rPr>
                <w:sz w:val="18"/>
              </w:rPr>
              <w:t xml:space="preserve">7.105</w:t>
            </w:r>
          </w:p>
        </w:tc>
        <w:tc>
          <w:tcPr>
            <w:tcW w:w="1320" w:type="dxa"/>
          </w:tcPr>
          <w:p>
            <w:pPr>
              <w:pStyle w:val="Compact"/>
              <w:spacing w:before="0" w:after="0" w:lineRule="exact" w:line="220"/>
              <w:jc w:val="left"/>
            </w:pPr>
            <w:r>
              <w:rPr>
                <w:sz w:val="18"/>
              </w:rPr>
              <w:t xml:space="preserve">0.0061</w:t>
            </w:r>
          </w:p>
        </w:tc>
        <w:tc>
          <w:tcPr>
            <w:tcW w:w="845" w:type="dxa"/>
          </w:tcPr>
          <w:p>
            <w:pPr>
              <w:pStyle w:val="Compact"/>
              <w:spacing w:before="0" w:after="0" w:lineRule="exact" w:line="220"/>
              <w:jc w:val="left"/>
            </w:pPr>
            <w:r>
              <w:rPr>
                <w:sz w:val="18"/>
              </w:rPr>
              <w:t xml:space="preserve">0.0606</w:t>
            </w:r>
          </w:p>
        </w:tc>
      </w:tr>
      <w:tr>
        <w:trPr>
          <w:cantSplit/>
        </w:trPr>
        <w:tc>
          <w:tcPr>
            <w:tcW w:w="3470" w:type="dxa"/>
          </w:tcPr>
          <w:p>
            <w:pPr>
              <w:pStyle w:val="Compact"/>
              <w:spacing w:before="0" w:after="0" w:lineRule="exact" w:line="220"/>
              <w:jc w:val="left"/>
            </w:pPr>
            <w:r>
              <w:rPr>
                <w:sz w:val="18"/>
              </w:rPr>
              <w:t xml:space="preserve">Three marketplaces against all 40 foreign pairs, absolute growth divergence in points</w:t>
            </w:r>
          </w:p>
        </w:tc>
        <w:tc>
          <w:tcPr>
            <w:tcW w:w="1844" w:type="dxa"/>
          </w:tcPr>
          <w:p>
            <w:pPr>
              <w:pStyle w:val="Compact"/>
              <w:spacing w:before="0" w:after="0" w:lineRule="exact" w:line="220"/>
              <w:jc w:val="left"/>
            </w:pPr>
            <w:r>
              <w:rPr>
                <w:sz w:val="18"/>
              </w:rPr>
              <w:t xml:space="preserve">38.917</w:t>
            </w:r>
          </w:p>
        </w:tc>
        <w:tc>
          <w:tcPr>
            <w:tcW w:w="1024" w:type="dxa"/>
          </w:tcPr>
          <w:p>
            <w:pPr>
              <w:pStyle w:val="Compact"/>
              <w:spacing w:before="0" w:after="0" w:lineRule="exact" w:line="220"/>
              <w:jc w:val="left"/>
            </w:pPr>
            <w:r>
              <w:rPr>
                <w:sz w:val="18"/>
              </w:rPr>
              <w:t xml:space="preserve">7.373</w:t>
            </w:r>
          </w:p>
        </w:tc>
        <w:tc>
          <w:tcPr>
            <w:tcW w:w="1320" w:type="dxa"/>
          </w:tcPr>
          <w:p>
            <w:pPr>
              <w:pStyle w:val="Compact"/>
              <w:spacing w:before="0" w:after="0" w:lineRule="exact" w:line="220"/>
              <w:jc w:val="left"/>
            </w:pPr>
            <w:r>
              <w:rPr>
                <w:sz w:val="18"/>
              </w:rPr>
              <w:t xml:space="preserve">0.0014</w:t>
            </w:r>
          </w:p>
        </w:tc>
        <w:tc>
          <w:tcPr>
            <w:tcW w:w="845" w:type="dxa"/>
          </w:tcPr>
          <w:p>
            <w:pPr>
              <w:pStyle w:val="Compact"/>
              <w:spacing w:before="0" w:after="0" w:lineRule="exact" w:line="220"/>
              <w:jc w:val="left"/>
            </w:pPr>
            <w:r>
              <w:rPr>
                <w:sz w:val="18"/>
              </w:rPr>
              <w:t xml:space="preserve">0.0121</w:t>
            </w:r>
          </w:p>
        </w:tc>
      </w:tr>
      <w:tr>
        <w:trPr>
          <w:cantSplit/>
        </w:trPr>
        <w:tc>
          <w:tcPr>
            <w:tcW w:w="3470" w:type="dxa"/>
          </w:tcPr>
          <w:p>
            <w:pPr>
              <w:pStyle w:val="Compact"/>
              <w:spacing w:before="0" w:after="0" w:lineRule="exact" w:line="220"/>
              <w:jc w:val="left"/>
            </w:pPr>
            <w:r>
              <w:rPr>
                <w:sz w:val="18"/>
              </w:rPr>
              <w:t xml:space="preserve">Five Indonesian and regional series including constructed Grab and Shopee (12 pairs) against the 8 chosen first, absolute growth divergence in points</w:t>
            </w:r>
          </w:p>
        </w:tc>
        <w:tc>
          <w:tcPr>
            <w:tcW w:w="1844" w:type="dxa"/>
          </w:tcPr>
          <w:p>
            <w:pPr>
              <w:pStyle w:val="Compact"/>
              <w:spacing w:before="0" w:after="0" w:lineRule="exact" w:line="220"/>
              <w:jc w:val="left"/>
            </w:pPr>
            <w:r>
              <w:rPr>
                <w:sz w:val="18"/>
              </w:rPr>
              <w:t xml:space="preserve">42.017</w:t>
            </w:r>
          </w:p>
        </w:tc>
        <w:tc>
          <w:tcPr>
            <w:tcW w:w="1024" w:type="dxa"/>
          </w:tcPr>
          <w:p>
            <w:pPr>
              <w:pStyle w:val="Compact"/>
              <w:spacing w:before="0" w:after="0" w:lineRule="exact" w:line="220"/>
              <w:jc w:val="left"/>
            </w:pPr>
            <w:r>
              <w:rPr>
                <w:sz w:val="18"/>
              </w:rPr>
              <w:t xml:space="preserve">7.105</w:t>
            </w:r>
          </w:p>
        </w:tc>
        <w:tc>
          <w:tcPr>
            <w:tcW w:w="1320" w:type="dxa"/>
          </w:tcPr>
          <w:p>
            <w:pPr>
              <w:pStyle w:val="Compact"/>
              <w:spacing w:before="0" w:after="0" w:lineRule="exact" w:line="220"/>
              <w:jc w:val="left"/>
            </w:pPr>
            <w:r>
              <w:rPr>
                <w:sz w:val="18"/>
              </w:rPr>
              <w:t xml:space="preserve">0.0006</w:t>
            </w:r>
          </w:p>
        </w:tc>
        <w:tc>
          <w:tcPr>
            <w:tcW w:w="845" w:type="dxa"/>
          </w:tcPr>
          <w:p>
            <w:pPr>
              <w:pStyle w:val="Compact"/>
              <w:spacing w:before="0" w:after="0" w:lineRule="exact" w:line="220"/>
              <w:jc w:val="left"/>
            </w:pPr>
            <w:r>
              <w:rPr>
                <w:sz w:val="18"/>
              </w:rPr>
              <w:t xml:space="preserve">0.0225</w:t>
            </w:r>
          </w:p>
        </w:tc>
      </w:tr>
      <w:tr>
        <w:trPr>
          <w:cantSplit/>
        </w:trPr>
        <w:tc>
          <w:tcPr>
            <w:tcW w:w="3470" w:type="dxa"/>
          </w:tcPr>
          <w:p>
            <w:pPr>
              <w:pStyle w:val="Compact"/>
              <w:spacing w:before="0" w:after="0" w:lineRule="exact" w:line="220"/>
              <w:jc w:val="left"/>
            </w:pPr>
            <w:r>
              <w:rPr>
                <w:sz w:val="18"/>
              </w:rPr>
              <w:t xml:space="preserve">Tokopedia and GoTo on-demand as one company, 4 against 27</w:t>
            </w:r>
          </w:p>
        </w:tc>
        <w:tc>
          <w:tcPr>
            <w:tcW w:w="1844" w:type="dxa"/>
          </w:tcPr>
          <w:p>
            <w:pPr>
              <w:pStyle w:val="Compact"/>
              <w:spacing w:before="0" w:after="0" w:lineRule="exact" w:line="220"/>
              <w:jc w:val="left"/>
            </w:pPr>
          </w:p>
        </w:tc>
        <w:tc>
          <w:tcPr>
            <w:tcW w:w="1024" w:type="dxa"/>
          </w:tcPr>
          <w:p>
            <w:pPr>
              <w:pStyle w:val="Compact"/>
              <w:spacing w:before="0" w:after="0" w:lineRule="exact" w:line="220"/>
              <w:jc w:val="left"/>
            </w:pPr>
          </w:p>
        </w:tc>
        <w:tc>
          <w:tcPr>
            <w:tcW w:w="1320" w:type="dxa"/>
          </w:tcPr>
          <w:p>
            <w:pPr>
              <w:pStyle w:val="Compact"/>
              <w:spacing w:before="0" w:after="0" w:lineRule="exact" w:line="220"/>
              <w:jc w:val="left"/>
            </w:pPr>
            <w:r>
              <w:rPr>
                <w:sz w:val="18"/>
              </w:rPr>
              <w:t xml:space="preserve">0.003</w:t>
            </w:r>
          </w:p>
        </w:tc>
        <w:tc>
          <w:tcPr>
            <w:tcW w:w="845" w:type="dxa"/>
          </w:tcPr>
          <w:p>
            <w:pPr>
              <w:pStyle w:val="Compact"/>
              <w:spacing w:before="0" w:after="0" w:lineRule="exact" w:line="220"/>
              <w:jc w:val="left"/>
            </w:pPr>
            <w:r>
              <w:rPr>
                <w:sz w:val="18"/>
              </w:rPr>
              <w:t xml:space="preserve">0.007</w:t>
            </w:r>
          </w:p>
        </w:tc>
      </w:tr>
      <w:tr>
        <w:trPr>
          <w:cantSplit/>
        </w:trPr>
        <w:tc>
          <w:tcPr>
            <w:tcW w:w="3470" w:type="dxa"/>
          </w:tcPr>
          <w:p>
            <w:pPr>
              <w:pStyle w:val="Compact"/>
              <w:spacing w:before="0" w:after="0" w:lineRule="exact" w:line="220"/>
              <w:jc w:val="left"/>
            </w:pPr>
            <w:r>
              <w:rPr>
                <w:sz w:val="18"/>
              </w:rPr>
              <w:t xml:space="preserve">Exact tests over all 201,376 ways to pick the five platforms, main test (exploratory, 22 Oct 2026)</w:t>
            </w:r>
          </w:p>
        </w:tc>
        <w:tc>
          <w:tcPr>
            <w:tcW w:w="1844" w:type="dxa"/>
          </w:tcPr>
          <w:p>
            <w:pPr>
              <w:pStyle w:val="Compact"/>
              <w:spacing w:before="0" w:after="0" w:lineRule="exact" w:line="220"/>
              <w:jc w:val="left"/>
            </w:pPr>
            <w:r>
              <w:rPr>
                <w:sz w:val="18"/>
              </w:rPr>
              <w:t xml:space="preserve">0.201</w:t>
            </w:r>
          </w:p>
        </w:tc>
        <w:tc>
          <w:tcPr>
            <w:tcW w:w="1024" w:type="dxa"/>
          </w:tcPr>
          <w:p>
            <w:pPr>
              <w:pStyle w:val="Compact"/>
              <w:spacing w:before="0" w:after="0" w:lineRule="exact" w:line="220"/>
              <w:jc w:val="left"/>
            </w:pPr>
            <w:r>
              <w:rPr>
                <w:sz w:val="18"/>
              </w:rPr>
              <w:t xml:space="preserve">0.062</w:t>
            </w:r>
          </w:p>
        </w:tc>
        <w:tc>
          <w:tcPr>
            <w:tcW w:w="1320" w:type="dxa"/>
          </w:tcPr>
          <w:p>
            <w:pPr>
              <w:pStyle w:val="Compact"/>
              <w:spacing w:before="0" w:after="0" w:lineRule="exact" w:line="220"/>
              <w:jc w:val="left"/>
            </w:pPr>
            <w:r>
              <w:rPr>
                <w:sz w:val="18"/>
              </w:rPr>
              <w:t xml:space="preserve">0.0038</w:t>
            </w:r>
          </w:p>
        </w:tc>
        <w:tc>
          <w:tcPr>
            <w:tcW w:w="845" w:type="dxa"/>
          </w:tcPr>
          <w:p>
            <w:pPr>
              <w:pStyle w:val="Compact"/>
              <w:spacing w:before="0" w:after="0" w:lineRule="exact" w:line="220"/>
              <w:jc w:val="left"/>
            </w:pPr>
            <w:r>
              <w:rPr>
                <w:sz w:val="18"/>
              </w:rPr>
              <w:t xml:space="preserve">0.0214</w:t>
            </w:r>
          </w:p>
        </w:tc>
      </w:tr>
      <w:tr>
        <w:trPr>
          <w:cantSplit/>
        </w:trPr>
        <w:tc>
          <w:tcPr>
            <w:tcW w:w="3470" w:type="dxa"/>
          </w:tcPr>
          <w:p>
            <w:pPr>
              <w:pStyle w:val="Compact"/>
              <w:spacing w:before="0" w:after="0" w:lineRule="exact" w:line="220"/>
              <w:jc w:val="left"/>
            </w:pPr>
            <w:r>
              <w:rPr>
                <w:sz w:val="18"/>
              </w:rPr>
              <w:t xml:space="preserve">Sea moved to the regional group, 6 against 26 (exploratory, 22 Oct 2026; exact tests)</w:t>
            </w:r>
          </w:p>
        </w:tc>
        <w:tc>
          <w:tcPr>
            <w:tcW w:w="1844" w:type="dxa"/>
          </w:tcPr>
          <w:p>
            <w:pPr>
              <w:pStyle w:val="Compact"/>
              <w:spacing w:before="0" w:after="0" w:lineRule="exact" w:line="220"/>
              <w:jc w:val="left"/>
            </w:pPr>
            <w:r>
              <w:rPr>
                <w:sz w:val="18"/>
              </w:rPr>
              <w:t xml:space="preserve">0.225</w:t>
            </w:r>
          </w:p>
        </w:tc>
        <w:tc>
          <w:tcPr>
            <w:tcW w:w="1024" w:type="dxa"/>
          </w:tcPr>
          <w:p>
            <w:pPr>
              <w:pStyle w:val="Compact"/>
              <w:spacing w:before="0" w:after="0" w:lineRule="exact" w:line="220"/>
              <w:jc w:val="left"/>
            </w:pPr>
            <w:r>
              <w:rPr>
                <w:sz w:val="18"/>
              </w:rPr>
              <w:t xml:space="preserve">0.060</w:t>
            </w:r>
          </w:p>
        </w:tc>
        <w:tc>
          <w:tcPr>
            <w:tcW w:w="1320" w:type="dxa"/>
          </w:tcPr>
          <w:p>
            <w:pPr>
              <w:pStyle w:val="Compact"/>
              <w:spacing w:before="0" w:after="0" w:lineRule="exact" w:line="220"/>
              <w:jc w:val="left"/>
            </w:pPr>
            <w:r>
              <w:rPr>
                <w:sz w:val="18"/>
              </w:rPr>
              <w:t xml:space="preserve">0.0004</w:t>
            </w:r>
          </w:p>
        </w:tc>
        <w:tc>
          <w:tcPr>
            <w:tcW w:w="845" w:type="dxa"/>
          </w:tcPr>
          <w:p>
            <w:pPr>
              <w:pStyle w:val="Compact"/>
              <w:spacing w:before="0" w:after="0" w:lineRule="exact" w:line="220"/>
              <w:jc w:val="left"/>
            </w:pPr>
            <w:r>
              <w:rPr>
                <w:sz w:val="18"/>
              </w:rPr>
              <w:t xml:space="preserve">0.0006</w:t>
            </w:r>
          </w:p>
        </w:tc>
      </w:tr>
      <w:tr>
        <w:trPr>
          <w:cantSplit/>
        </w:trPr>
        <w:tc>
          <w:tcPr>
            <w:tcW w:w="3470" w:type="dxa"/>
          </w:tcPr>
          <w:p>
            <w:pPr>
              <w:pStyle w:val="Compact"/>
              <w:spacing w:before="0" w:after="0" w:lineRule="exact" w:line="220"/>
              <w:jc w:val="left"/>
            </w:pPr>
            <w:r>
              <w:rPr>
                <w:sz w:val="18"/>
              </w:rPr>
              <w:t xml:space="preserve">Dropping any two of the five platforms, 10 cases (exploratory, 22 Oct 2026; exact test)</w:t>
            </w:r>
          </w:p>
        </w:tc>
        <w:tc>
          <w:tcPr>
            <w:tcW w:w="1844" w:type="dxa"/>
          </w:tcPr>
          <w:p>
            <w:pPr>
              <w:pStyle w:val="Compact"/>
              <w:spacing w:before="0" w:after="0" w:lineRule="exact" w:line="220"/>
              <w:jc w:val="left"/>
            </w:pPr>
            <w:r>
              <w:rPr>
                <w:sz w:val="18"/>
              </w:rPr>
              <w:t xml:space="preserve">0.137 to 0.250</w:t>
            </w:r>
          </w:p>
        </w:tc>
        <w:tc>
          <w:tcPr>
            <w:tcW w:w="1024" w:type="dxa"/>
          </w:tcPr>
          <w:p>
            <w:pPr>
              <w:pStyle w:val="Compact"/>
              <w:spacing w:before="0" w:after="0" w:lineRule="exact" w:line="220"/>
              <w:jc w:val="left"/>
            </w:pPr>
            <w:r>
              <w:rPr>
                <w:sz w:val="18"/>
              </w:rPr>
              <w:t xml:space="preserve">0.062</w:t>
            </w:r>
          </w:p>
        </w:tc>
        <w:tc>
          <w:tcPr>
            <w:tcW w:w="1320" w:type="dxa"/>
          </w:tcPr>
          <w:p>
            <w:pPr>
              <w:pStyle w:val="Compact"/>
              <w:spacing w:before="0" w:after="0" w:lineRule="exact" w:line="220"/>
              <w:jc w:val="left"/>
            </w:pPr>
            <w:r>
              <w:rPr>
                <w:sz w:val="18"/>
              </w:rPr>
              <w:t xml:space="preserve">0.003 to 0.058</w:t>
            </w:r>
          </w:p>
        </w:tc>
        <w:tc>
          <w:tcPr>
            <w:tcW w:w="845" w:type="dxa"/>
          </w:tcPr>
          <w:p>
            <w:pPr>
              <w:pStyle w:val="Compact"/>
              <w:spacing w:before="0" w:after="0" w:lineRule="exact" w:line="220"/>
              <w:jc w:val="left"/>
            </w:pPr>
          </w:p>
        </w:tc>
      </w:tr>
      <w:tr>
        <w:trPr>
          <w:cantSplit/>
        </w:trPr>
        <w:tc>
          <w:tcPr>
            <w:tcW w:w="3470" w:type="dxa"/>
          </w:tcPr>
          <w:p>
            <w:pPr>
              <w:pStyle w:val="Compact"/>
              <w:keepNext/>
              <w:spacing w:before="0" w:after="0" w:lineRule="exact" w:line="220"/>
              <w:jc w:val="left"/>
            </w:pPr>
            <w:r>
              <w:rPr>
                <w:sz w:val="18"/>
              </w:rPr>
              <w:t xml:space="preserve">Only years up to 5 after listing, 4 against 18 platforms (exploratory, 22 Oct 2026; exact test)</w:t>
            </w:r>
          </w:p>
        </w:tc>
        <w:tc>
          <w:tcPr>
            <w:tcW w:w="1844" w:type="dxa"/>
          </w:tcPr>
          <w:p>
            <w:pPr>
              <w:pStyle w:val="Compact"/>
              <w:keepNext/>
              <w:spacing w:before="0" w:after="0" w:lineRule="exact" w:line="220"/>
              <w:jc w:val="left"/>
            </w:pPr>
            <w:r>
              <w:rPr>
                <w:sz w:val="18"/>
              </w:rPr>
              <w:t xml:space="preserve">0.169</w:t>
            </w:r>
          </w:p>
        </w:tc>
        <w:tc>
          <w:tcPr>
            <w:tcW w:w="1024" w:type="dxa"/>
          </w:tcPr>
          <w:p>
            <w:pPr>
              <w:pStyle w:val="Compact"/>
              <w:keepNext/>
              <w:spacing w:before="0" w:after="0" w:lineRule="exact" w:line="220"/>
              <w:jc w:val="left"/>
            </w:pPr>
            <w:r>
              <w:rPr>
                <w:sz w:val="18"/>
              </w:rPr>
              <w:t xml:space="preserve">0.069</w:t>
            </w:r>
          </w:p>
        </w:tc>
        <w:tc>
          <w:tcPr>
            <w:tcW w:w="1320" w:type="dxa"/>
          </w:tcPr>
          <w:p>
            <w:pPr>
              <w:pStyle w:val="Compact"/>
              <w:keepNext/>
              <w:spacing w:before="0" w:after="0" w:lineRule="exact" w:line="220"/>
              <w:jc w:val="left"/>
            </w:pPr>
            <w:r>
              <w:rPr>
                <w:sz w:val="18"/>
              </w:rPr>
              <w:t xml:space="preserve">0.059</w:t>
            </w:r>
          </w:p>
        </w:tc>
        <w:tc>
          <w:tcPr>
            <w:tcW w:w="845" w:type="dxa"/>
          </w:tcPr>
          <w:p>
            <w:pPr>
              <w:pStyle w:val="Compact"/>
              <w:keepNext/>
              <w:spacing w:before="0" w:after="0" w:lineRule="exact" w:line="220"/>
              <w:jc w:val="left"/>
            </w:pPr>
          </w:p>
        </w:tc>
      </w:tr>
      <w:tr>
        <w:trPr>
          <w:cantSplit/>
        </w:trPr>
        <w:tc>
          <w:tcPr>
            <w:tcW w:w="3470" w:type="dxa"/>
          </w:tcPr>
          <w:p>
            <w:pPr>
              <w:pStyle w:val="Compact"/>
              <w:spacing w:before="0" w:after="0" w:lineRule="exact" w:line="220"/>
              <w:jc w:val="left"/>
            </w:pPr>
            <w:r>
              <w:rPr>
                <w:sz w:val="18"/>
              </w:rPr>
              <w:t xml:space="preserve">Quarterly pairs, 3 against 8 (same quarter a year earlier)</w:t>
            </w:r>
          </w:p>
        </w:tc>
        <w:tc>
          <w:tcPr>
            <w:tcW w:w="1844" w:type="dxa"/>
          </w:tcPr>
          <w:p>
            <w:pPr>
              <w:pStyle w:val="Compact"/>
              <w:spacing w:before="0" w:after="0" w:lineRule="exact" w:line="220"/>
              <w:jc w:val="left"/>
            </w:pPr>
            <w:r>
              <w:rPr>
                <w:sz w:val="18"/>
              </w:rPr>
              <w:t xml:space="preserve">0.071</w:t>
            </w:r>
          </w:p>
        </w:tc>
        <w:tc>
          <w:tcPr>
            <w:tcW w:w="1024" w:type="dxa"/>
          </w:tcPr>
          <w:p>
            <w:pPr>
              <w:pStyle w:val="Compact"/>
              <w:spacing w:before="0" w:after="0" w:lineRule="exact" w:line="220"/>
              <w:jc w:val="left"/>
            </w:pPr>
            <w:r>
              <w:rPr>
                <w:sz w:val="18"/>
              </w:rPr>
              <w:t xml:space="preserve">0.049</w:t>
            </w:r>
          </w:p>
        </w:tc>
        <w:tc>
          <w:tcPr>
            <w:tcW w:w="1320" w:type="dxa"/>
          </w:tcPr>
          <w:p>
            <w:pPr>
              <w:pStyle w:val="Compact"/>
              <w:spacing w:before="0" w:after="0" w:lineRule="exact" w:line="220"/>
              <w:jc w:val="left"/>
            </w:pPr>
            <w:r>
              <w:rPr>
                <w:sz w:val="18"/>
              </w:rPr>
              <w:t xml:space="preserve">0.19</w:t>
            </w:r>
          </w:p>
        </w:tc>
        <w:tc>
          <w:tcPr>
            <w:tcW w:w="845" w:type="dxa"/>
          </w:tcPr>
          <w:p>
            <w:pPr>
              <w:pStyle w:val="Compact"/>
              <w:spacing w:before="0" w:after="0" w:lineRule="exact" w:line="220"/>
              <w:jc w:val="left"/>
            </w:pPr>
            <w:r>
              <w:rPr>
                <w:sz w:val="18"/>
              </w:rPr>
              <w:t xml:space="preserve">0.33</w:t>
            </w:r>
          </w:p>
        </w:tc>
      </w:tr>
    </w:tbl>
    <w:p>
      <w:pPr>
        <w:pStyle w:val="BodyText"/>
        <w:spacing w:before="160"/>
        <w:jc w:val="left"/>
      </w:pPr>
      <w:r>
        <w:t xml:space="preserve">The four rows marked 22 Oct 2026 were added after all other results were known, so they are exploratory. They use exact tests, which list every possible split of the 32 platforms, and they agree with the approximations in Table 10. The typical gap between an Indonesian or regional platform and a foreign one is 0.117 in the size of the yearly change in log take rate. That is the median of all 135 pairwise differences, with an exact 95 percent interval of 0.039 to 0.223. The ratio of the group medians is 3.3, and a bootstrap interval of 1.4 to 8.5 shows how loosely five platforms fix its size. Moving Sea to the regional group makes the gap clearer. Dropping two platforms can weaken it. The one case above 0.05 drops Blibli and Tokopedia, the two largest movers, and leaves p = 0.058. Keeping only the years up to five after listing leaves the same direction, but p = 0.059 (</w:t>
      </w:r>
      <w:r>
        <w:rPr>
          <w:rStyle w:val="VerbatimChar"/>
        </w:rPr>
        <w:t xml:space="preserve">tables/h1_exact_inference.json</w:t>
      </w:r>
      <w:r>
        <w:t xml:space="preserve">, from</w:t>
      </w:r>
      <w:r>
        <w:t xml:space="preserve"> </w:t>
      </w:r>
      <w:r>
        <w:rPr>
          <w:rStyle w:val="VerbatimChar"/>
        </w:rPr>
        <w:t xml:space="preserve">h1_exact_inference.py</w:t>
      </w:r>
      <w:r>
        <w:t xml:space="preserve">).</w:t>
      </w:r>
    </w:p>
    <w:p>
      <w:pPr>
        <w:pStyle w:val="BodyText"/>
        <w:jc w:val="left"/>
      </w:pPr>
      <w:r>
        <w:t xml:space="preserve">Growth in revenue and growth in transaction value had a correlation of 0.10 in the Indonesian main sample and 0.98 in the foreign sample excluding Sea (</w:t>
      </w:r>
      <w:r>
        <w:rPr>
          <w:rStyle w:val="VerbatimChar"/>
        </w:rPr>
        <w:t xml:space="preserve">tables/claims_ledger.csv</w:t>
      </w:r>
      <w:r>
        <w:t xml:space="preserve">, C48 and C49).</w:t>
      </w:r>
    </w:p>
    <w:p>
      <w:pPr>
        <w:pStyle w:val="BodyText"/>
      </w:pPr>
      <w:r>
        <w:t xml:space="preserve">The quarterly sample is Grab on-demand, GoTo on-demand and Blibli against Sea, Airbnb, Booking, DoorDash, eBay, Etsy, Lyft and Uber. Airbnb and Booking use trailing four-quarter sums because they book revenue at check-in. DoorDash pairs ending in 2025Q4 or later are dropped because of an acquisition.</w:t>
      </w:r>
    </w:p>
    <w:p>
      <w:pPr>
        <w:pStyle w:val="BodyText"/>
      </w:pPr>
      <w:r>
        <w:t xml:space="preserve">In the pairs of the Indonesian and regional group, the take rate stayed within about 10 percent (0.10 in log terms) in one third of pairs, against 67 to 69 percent in the foreign groups. The version of the test with growth divergence in points has 26 foreign platforms because Ozon has no pair in which both years pass the own-goods rule. The main test keeps Ozon’s pair, whose later year passes, and the first rows above show that dropping it, or Zalando, leaves the result in place.</w:t>
      </w:r>
    </w:p>
    <w:p>
      <w:pPr>
        <w:pStyle w:val="BodyText"/>
        <w:jc w:val="left"/>
      </w:pPr>
      <w:r>
        <w:t xml:space="preserve">The comparison in points of the take rate (exploratory,</w:t>
      </w:r>
      <w:r>
        <w:t xml:space="preserve"> </w:t>
      </w:r>
      <w:r>
        <w:rPr>
          <w:rStyle w:val="VerbatimChar"/>
        </w:rPr>
        <w:t xml:space="preserve">h1_points_vs_log.py</w:t>
      </w:r>
      <w:r>
        <w:t xml:space="preserve">): median yearly change 1.01 points in the Indonesian and regional group and 0.98 points in the foreign group (26 platforms), Mann–Whitney p = 0.65; median share kept 1.59 percent against 16.93 percent.</w:t>
      </w:r>
    </w:p>
    <w:bookmarkEnd w:id="94"/>
    <w:bookmarkStart w:id="95" w:name="X37cde8a079398bfdfe609378b26a4d5794a5319"/>
    <w:p>
      <w:pPr>
        <w:pStyle w:val="Heading3"/>
      </w:pPr>
      <w:r>
        <w:t xml:space="preserve">B.2 Where the 2023 break sits (exploratory)</w:t>
      </w:r>
    </w:p>
    <w:p>
      <w:pPr>
        <w:pStyle w:val="FirstParagraph"/>
        <w:jc w:val="left"/>
      </w:pPr>
      <w:r>
        <w:t xml:space="preserve">At the top of the size distribution, sellers with revenue above Rp50 billion a year (about US$3.4 million at the 2022 rate) were 0.5 percent of BPS’s marketplace sellers in 2022 and held between 18 and 39 percent of the marketplace slice’s value, resting on 19 sample rows (</w:t>
      </w:r>
      <w:r>
        <w:rPr>
          <w:rStyle w:val="VerbatimChar"/>
        </w:rPr>
        <w:t xml:space="preserve">tables/part5_checks.json</w:t>
      </w:r>
      <w:r>
        <w:t xml:space="preserve">).</w:t>
      </w:r>
    </w:p>
    <w:p>
      <w:pPr>
        <w:pStyle w:val="BodyText"/>
        <w:jc w:val="left"/>
      </w:pPr>
      <w:r>
        <w:t xml:space="preserve">Across the 34 provinces, count growth had a rank correlation of 0.10 (p = 0.59) with the share of new sellers and 0.35 (p = 0.04) with growth in sample size. In 23 provinces count growth exceeded what entry can explain, and these provinces carry 98.5 percent of the increase. The standard error of the national count implied by BPS’s published relative standard errors is about 1.4 percent. The 306 thousand newly counted sellers are about 4.6 times the standard error of the change, and 2.3 times if the true error were twice as large (</w:t>
      </w:r>
      <w:r>
        <w:rPr>
          <w:rStyle w:val="VerbatimChar"/>
        </w:rPr>
        <w:t xml:space="preserve">tables/bps_frame_check.json</w:t>
      </w:r>
      <w:r>
        <w:t xml:space="preserve">,</w:t>
      </w:r>
      <w:r>
        <w:t xml:space="preserve"> </w:t>
      </w:r>
      <w:r>
        <w:rPr>
          <w:rStyle w:val="VerbatimChar"/>
        </w:rPr>
        <w:t xml:space="preserve">tables/rq_closing_checks.json</w:t>
      </w:r>
      <w:r>
        <w:t xml:space="preserve">).</w:t>
      </w:r>
    </w:p>
    <w:bookmarkEnd w:id="95"/>
    <w:bookmarkEnd w:id="96"/>
    <w:bookmarkStart w:id="97" w:name="X67e1483049b7627842872d160395e7f1a5f4538"/>
    <w:p>
      <w:pPr>
        <w:pStyle w:val="Heading2"/>
      </w:pPr>
      <w:r>
        <w:t xml:space="preserve">Appendix C. Registered tests and their outcomes</w:t>
      </w:r>
    </w:p>
    <w:p>
      <w:pPr>
        <w:pStyle w:val="FirstParagraph"/>
        <w:jc w:val="left"/>
      </w:pPr>
      <w:r>
        <w:t xml:space="preserve">A registered test was written down, dated and stored in the repository before the data it concerns were opened. The dates are those of the commits in</w:t>
      </w:r>
      <w:r>
        <w:t xml:space="preserve"> </w:t>
      </w:r>
      <w:r>
        <w:rPr>
          <w:rStyle w:val="VerbatimChar"/>
        </w:rPr>
        <w:t xml:space="preserve">research/option_space_2026-10-01/PREREGISTRATION.md</w:t>
      </w:r>
      <w:r>
        <w:t xml:space="preserve">. Exact wording and thresholds are in that file.</w:t>
      </w:r>
    </w:p>
    <w:tbl>
      <w:tblPr>
        <w:tblStyle w:val="Table"/>
        <w:tblLook w:firstRow="1" w:lastRow="0" w:firstColumn="0" w:lastColumn="0" w:noHBand="0" w:noVBand="0" w:val="0020"/>
        <w:jc w:val="start"/>
        <w:tblBorders>
          <w:top w:val="single" w:sz="8" w:space="0" w:color="000000"/>
          <w:bottom w:val="single" w:sz="8" w:space="0" w:color="000000"/>
        </w:tblBorders>
        <w:tblW w:w="8505" w:type="dxa"/>
        <w:tblLayout w:type="fixed"/>
        <w:tblCellMar>
          <w:top w:w="30" w:type="dxa"/>
          <w:left w:w="0" w:type="dxa"/>
          <w:bottom w:w="30" w:type="dxa"/>
          <w:right w:w="100" w:type="dxa"/>
        </w:tblCellMar>
      </w:tblPr>
      <w:tblGrid>
        <w:gridCol w:w="1225"/>
        <w:gridCol w:w="2183"/>
        <w:gridCol w:w="2548"/>
        <w:gridCol w:w="2548"/>
      </w:tblGrid>
      <w:tr>
        <w:trPr>
          <w:tblHeader w:val="true"/>
          <w:cantSplit/>
          <w:tblHeader/>
        </w:trPr>
        <w:tc>
          <w:tcPr>
            <w:tcW w:w="1225" w:type="dxa"/>
            <w:tcBorders>
              <w:bottom w:val="single" w:sz="5" w:space="0" w:color="000000"/>
            </w:tcBorders>
          </w:tcPr>
          <w:p>
            <w:pPr>
              <w:pStyle w:val="Compact"/>
              <w:keepNext/>
              <w:spacing w:before="0" w:after="0" w:lineRule="exact" w:line="220"/>
              <w:jc w:val="left"/>
            </w:pPr>
            <w:r>
              <w:rPr>
                <w:b/>
                <w:sz w:val="18"/>
              </w:rPr>
              <w:t xml:space="preserve">Test</w:t>
            </w:r>
          </w:p>
        </w:tc>
        <w:tc>
          <w:tcPr>
            <w:tcW w:w="2183" w:type="dxa"/>
            <w:tcBorders>
              <w:bottom w:val="single" w:sz="5" w:space="0" w:color="000000"/>
            </w:tcBorders>
          </w:tcPr>
          <w:p>
            <w:pPr>
              <w:pStyle w:val="Compact"/>
              <w:keepNext/>
              <w:spacing w:before="0" w:after="0" w:lineRule="exact" w:line="220"/>
              <w:jc w:val="left"/>
            </w:pPr>
            <w:r>
              <w:rPr>
                <w:b/>
                <w:sz w:val="18"/>
              </w:rPr>
              <w:t xml:space="preserve">What it predicted</w:t>
            </w:r>
          </w:p>
        </w:tc>
        <w:tc>
          <w:tcPr>
            <w:tcW w:w="2548" w:type="dxa"/>
            <w:tcBorders>
              <w:bottom w:val="single" w:sz="5" w:space="0" w:color="000000"/>
            </w:tcBorders>
          </w:tcPr>
          <w:p>
            <w:pPr>
              <w:pStyle w:val="Compact"/>
              <w:keepNext/>
              <w:spacing w:before="0" w:after="0" w:lineRule="exact" w:line="220"/>
              <w:jc w:val="left"/>
            </w:pPr>
            <w:r>
              <w:rPr>
                <w:b/>
                <w:sz w:val="18"/>
              </w:rPr>
              <w:t xml:space="preserve">Registered</w:t>
            </w:r>
          </w:p>
        </w:tc>
        <w:tc>
          <w:tcPr>
            <w:tcW w:w="2548" w:type="dxa"/>
            <w:tcBorders>
              <w:bottom w:val="single" w:sz="5" w:space="0" w:color="000000"/>
            </w:tcBorders>
          </w:tcPr>
          <w:p>
            <w:pPr>
              <w:pStyle w:val="Compact"/>
              <w:keepNext/>
              <w:spacing w:before="0" w:after="0" w:lineRule="exact" w:line="220"/>
              <w:jc w:val="left"/>
            </w:pPr>
            <w:r>
              <w:rPr>
                <w:b/>
                <w:sz w:val="18"/>
              </w:rPr>
              <w:t xml:space="preserve">Outcome</w:t>
            </w:r>
          </w:p>
        </w:tc>
      </w:tr>
      <w:tr>
        <w:trPr>
          <w:cantSplit/>
        </w:trPr>
        <w:tc>
          <w:tcPr>
            <w:tcW w:w="1225" w:type="dxa"/>
          </w:tcPr>
          <w:p>
            <w:pPr>
              <w:pStyle w:val="Compact"/>
              <w:keepNext/>
              <w:spacing w:before="0" w:after="0" w:lineRule="exact" w:line="220"/>
              <w:jc w:val="left"/>
            </w:pPr>
            <w:r>
              <w:rPr>
                <w:sz w:val="18"/>
              </w:rPr>
              <w:t xml:space="preserve">E1</w:t>
            </w:r>
          </w:p>
        </w:tc>
        <w:tc>
          <w:tcPr>
            <w:tcW w:w="2183" w:type="dxa"/>
          </w:tcPr>
          <w:p>
            <w:pPr>
              <w:pStyle w:val="Compact"/>
              <w:keepNext/>
              <w:spacing w:before="0" w:after="0" w:lineRule="exact" w:line="220"/>
              <w:jc w:val="left"/>
            </w:pPr>
            <w:r>
              <w:rPr>
                <w:sz w:val="18"/>
              </w:rPr>
              <w:t xml:space="preserve">Sellers without financial statements hold a smaller share of online value than of the count</w:t>
            </w:r>
          </w:p>
        </w:tc>
        <w:tc>
          <w:tcPr>
            <w:tcW w:w="2548" w:type="dxa"/>
          </w:tcPr>
          <w:p>
            <w:pPr>
              <w:pStyle w:val="Compact"/>
              <w:keepNext/>
              <w:spacing w:before="0" w:after="0" w:lineRule="exact" w:line="220"/>
              <w:jc w:val="left"/>
            </w:pPr>
            <w:r>
              <w:rPr>
                <w:sz w:val="18"/>
              </w:rPr>
              <w:t xml:space="preserve">2 Oct 2026</w:t>
            </w:r>
          </w:p>
        </w:tc>
        <w:tc>
          <w:tcPr>
            <w:tcW w:w="2548" w:type="dxa"/>
          </w:tcPr>
          <w:p>
            <w:pPr>
              <w:pStyle w:val="Compact"/>
              <w:keepNext/>
              <w:spacing w:before="0" w:after="0" w:lineRule="exact" w:line="220"/>
              <w:jc w:val="left"/>
            </w:pPr>
            <w:r>
              <w:rPr>
                <w:sz w:val="18"/>
              </w:rPr>
              <w:t xml:space="preserve">Holds, as a range (25.7 to 40.4 percent of value against 79.3 percent of the count)</w:t>
            </w:r>
          </w:p>
        </w:tc>
      </w:tr>
      <w:tr>
        <w:trPr>
          <w:cantSplit/>
        </w:trPr>
        <w:tc>
          <w:tcPr>
            <w:tcW w:w="1225" w:type="dxa"/>
          </w:tcPr>
          <w:p>
            <w:pPr>
              <w:pStyle w:val="Compact"/>
              <w:keepNext/>
              <w:spacing w:before="0" w:after="0" w:lineRule="exact" w:line="220"/>
              <w:jc w:val="left"/>
            </w:pPr>
            <w:r>
              <w:rPr>
                <w:sz w:val="18"/>
              </w:rPr>
              <w:t xml:space="preserve">E2</w:t>
            </w:r>
          </w:p>
        </w:tc>
        <w:tc>
          <w:tcPr>
            <w:tcW w:w="2183" w:type="dxa"/>
          </w:tcPr>
          <w:p>
            <w:pPr>
              <w:pStyle w:val="Compact"/>
              <w:keepNext/>
              <w:spacing w:before="0" w:after="0" w:lineRule="exact" w:line="220"/>
              <w:jc w:val="left"/>
            </w:pPr>
            <w:r>
              <w:rPr>
                <w:sz w:val="18"/>
              </w:rPr>
              <w:t xml:space="preserve">The marketplace share of online value in 2022 is above the published 2023 figure</w:t>
            </w:r>
          </w:p>
        </w:tc>
        <w:tc>
          <w:tcPr>
            <w:tcW w:w="2548" w:type="dxa"/>
          </w:tcPr>
          <w:p>
            <w:pPr>
              <w:pStyle w:val="Compact"/>
              <w:keepNext/>
              <w:spacing w:before="0" w:after="0" w:lineRule="exact" w:line="220"/>
              <w:jc w:val="left"/>
            </w:pPr>
            <w:r>
              <w:rPr>
                <w:sz w:val="18"/>
              </w:rPr>
              <w:t xml:space="preserve">2 Oct 2026</w:t>
            </w:r>
          </w:p>
        </w:tc>
        <w:tc>
          <w:tcPr>
            <w:tcW w:w="2548" w:type="dxa"/>
          </w:tcPr>
          <w:p>
            <w:pPr>
              <w:pStyle w:val="Compact"/>
              <w:keepNext/>
              <w:spacing w:before="0" w:after="0" w:lineRule="exact" w:line="220"/>
              <w:jc w:val="left"/>
            </w:pPr>
            <w:r>
              <w:rPr>
                <w:sz w:val="18"/>
              </w:rPr>
              <w:t xml:space="preserve">Holds, as a range (22.6 to 25.6 percent)</w:t>
            </w:r>
          </w:p>
        </w:tc>
      </w:tr>
      <w:tr>
        <w:trPr>
          <w:cantSplit/>
        </w:trPr>
        <w:tc>
          <w:tcPr>
            <w:tcW w:w="1225" w:type="dxa"/>
          </w:tcPr>
          <w:p>
            <w:pPr>
              <w:pStyle w:val="Compact"/>
              <w:spacing w:before="0" w:after="0" w:lineRule="exact" w:line="220"/>
              <w:jc w:val="left"/>
            </w:pPr>
            <w:r>
              <w:rPr>
                <w:sz w:val="18"/>
              </w:rPr>
              <w:t xml:space="preserve">E2b, E2c</w:t>
            </w:r>
          </w:p>
        </w:tc>
        <w:tc>
          <w:tcPr>
            <w:tcW w:w="2183" w:type="dxa"/>
          </w:tcPr>
          <w:p>
            <w:pPr>
              <w:pStyle w:val="Compact"/>
              <w:spacing w:before="0" w:after="0" w:lineRule="exact" w:line="220"/>
              <w:jc w:val="left"/>
            </w:pPr>
            <w:r>
              <w:rPr>
                <w:sz w:val="18"/>
              </w:rPr>
              <w:t xml:space="preserve">Marketplace use did not rise between 2020 and 2024</w:t>
            </w:r>
          </w:p>
        </w:tc>
        <w:tc>
          <w:tcPr>
            <w:tcW w:w="2548" w:type="dxa"/>
          </w:tcPr>
          <w:p>
            <w:pPr>
              <w:pStyle w:val="Compact"/>
              <w:spacing w:before="0" w:after="0" w:lineRule="exact" w:line="220"/>
              <w:jc w:val="left"/>
            </w:pPr>
            <w:r>
              <w:rPr>
                <w:sz w:val="18"/>
              </w:rPr>
              <w:t xml:space="preserve">2 Oct and 3 Oct 2026</w:t>
            </w:r>
          </w:p>
        </w:tc>
        <w:tc>
          <w:tcPr>
            <w:tcW w:w="2548" w:type="dxa"/>
          </w:tcPr>
          <w:p>
            <w:pPr>
              <w:pStyle w:val="Compact"/>
              <w:spacing w:before="0" w:after="0" w:lineRule="exact" w:line="220"/>
              <w:jc w:val="left"/>
            </w:pPr>
            <w:r>
              <w:rPr>
                <w:sz w:val="18"/>
              </w:rPr>
              <w:t xml:space="preserve">Hold (21.6, 19.8, 17.8 and 17.2 percent)</w:t>
            </w:r>
          </w:p>
        </w:tc>
      </w:tr>
      <w:tr>
        <w:trPr>
          <w:cantSplit/>
        </w:trPr>
        <w:tc>
          <w:tcPr>
            <w:tcW w:w="1225" w:type="dxa"/>
          </w:tcPr>
          <w:p>
            <w:pPr>
              <w:pStyle w:val="Compact"/>
              <w:spacing w:before="0" w:after="0" w:lineRule="exact" w:line="220"/>
              <w:jc w:val="left"/>
            </w:pPr>
            <w:r>
              <w:rPr>
                <w:sz w:val="18"/>
              </w:rPr>
              <w:t xml:space="preserve">E3</w:t>
            </w:r>
          </w:p>
        </w:tc>
        <w:tc>
          <w:tcPr>
            <w:tcW w:w="2183" w:type="dxa"/>
          </w:tcPr>
          <w:p>
            <w:pPr>
              <w:pStyle w:val="Compact"/>
              <w:spacing w:before="0" w:after="0" w:lineRule="exact" w:line="220"/>
              <w:jc w:val="left"/>
            </w:pPr>
            <w:r>
              <w:rPr>
                <w:sz w:val="18"/>
              </w:rPr>
              <w:t xml:space="preserve">Shopee reaches at least as many sellers as Tokopedia</w:t>
            </w:r>
          </w:p>
        </w:tc>
        <w:tc>
          <w:tcPr>
            <w:tcW w:w="2548" w:type="dxa"/>
          </w:tcPr>
          <w:p>
            <w:pPr>
              <w:pStyle w:val="Compact"/>
              <w:spacing w:before="0" w:after="0" w:lineRule="exact" w:line="220"/>
              <w:jc w:val="left"/>
            </w:pPr>
            <w:r>
              <w:rPr>
                <w:sz w:val="18"/>
              </w:rPr>
              <w:t xml:space="preserve">2 Oct 2026</w:t>
            </w:r>
          </w:p>
        </w:tc>
        <w:tc>
          <w:tcPr>
            <w:tcW w:w="2548" w:type="dxa"/>
          </w:tcPr>
          <w:p>
            <w:pPr>
              <w:pStyle w:val="Compact"/>
              <w:spacing w:before="0" w:after="0" w:lineRule="exact" w:line="220"/>
              <w:jc w:val="left"/>
            </w:pPr>
            <w:r>
              <w:rPr>
                <w:sz w:val="18"/>
              </w:rPr>
              <w:t xml:space="preserve">Holds (7.5 against 2.2 percent of all sellers)</w:t>
            </w:r>
          </w:p>
        </w:tc>
      </w:tr>
      <w:tr>
        <w:trPr>
          <w:cantSplit/>
        </w:trPr>
        <w:tc>
          <w:tcPr>
            <w:tcW w:w="1225" w:type="dxa"/>
          </w:tcPr>
          <w:p>
            <w:pPr>
              <w:pStyle w:val="Compact"/>
              <w:spacing w:before="0" w:after="0" w:lineRule="exact" w:line="220"/>
              <w:jc w:val="left"/>
            </w:pPr>
            <w:r>
              <w:rPr>
                <w:sz w:val="18"/>
              </w:rPr>
              <w:t xml:space="preserve">E4</w:t>
            </w:r>
          </w:p>
        </w:tc>
        <w:tc>
          <w:tcPr>
            <w:tcW w:w="2183" w:type="dxa"/>
          </w:tcPr>
          <w:p>
            <w:pPr>
              <w:pStyle w:val="Compact"/>
              <w:spacing w:before="0" w:after="0" w:lineRule="exact" w:line="220"/>
              <w:jc w:val="left"/>
            </w:pPr>
            <w:r>
              <w:rPr>
                <w:sz w:val="18"/>
              </w:rPr>
              <w:t xml:space="preserve">Entrants use chat or social media at least as often as earlier sellers</w:t>
            </w:r>
          </w:p>
        </w:tc>
        <w:tc>
          <w:tcPr>
            <w:tcW w:w="2548" w:type="dxa"/>
          </w:tcPr>
          <w:p>
            <w:pPr>
              <w:pStyle w:val="Compact"/>
              <w:spacing w:before="0" w:after="0" w:lineRule="exact" w:line="220"/>
              <w:jc w:val="left"/>
            </w:pPr>
            <w:r>
              <w:rPr>
                <w:sz w:val="18"/>
              </w:rPr>
              <w:t xml:space="preserve">2 Oct 2026</w:t>
            </w:r>
          </w:p>
        </w:tc>
        <w:tc>
          <w:tcPr>
            <w:tcW w:w="2548" w:type="dxa"/>
          </w:tcPr>
          <w:p>
            <w:pPr>
              <w:pStyle w:val="Compact"/>
              <w:spacing w:before="0" w:after="0" w:lineRule="exact" w:line="220"/>
              <w:jc w:val="left"/>
            </w:pPr>
            <w:r>
              <w:rPr>
                <w:sz w:val="18"/>
              </w:rPr>
              <w:t xml:space="preserve">Holds, with no power (nearly everyone uses them)</w:t>
            </w:r>
          </w:p>
        </w:tc>
      </w:tr>
      <w:tr>
        <w:trPr>
          <w:cantSplit/>
        </w:trPr>
        <w:tc>
          <w:tcPr>
            <w:tcW w:w="1225" w:type="dxa"/>
          </w:tcPr>
          <w:p>
            <w:pPr>
              <w:pStyle w:val="Compact"/>
              <w:spacing w:before="0" w:after="0" w:lineRule="exact" w:line="220"/>
              <w:jc w:val="left"/>
            </w:pPr>
            <w:r>
              <w:rPr>
                <w:sz w:val="18"/>
              </w:rPr>
              <w:t xml:space="preserve">E5</w:t>
            </w:r>
          </w:p>
        </w:tc>
        <w:tc>
          <w:tcPr>
            <w:tcW w:w="2183" w:type="dxa"/>
          </w:tcPr>
          <w:p>
            <w:pPr>
              <w:pStyle w:val="Compact"/>
              <w:spacing w:before="0" w:after="0" w:lineRule="exact" w:line="220"/>
              <w:jc w:val="left"/>
            </w:pPr>
            <w:r>
              <w:rPr>
                <w:sz w:val="18"/>
              </w:rPr>
              <w:t xml:space="preserve">At least 21.5 percent of 2023 sellers began in 2023 (the entry test)</w:t>
            </w:r>
          </w:p>
        </w:tc>
        <w:tc>
          <w:tcPr>
            <w:tcW w:w="2548" w:type="dxa"/>
          </w:tcPr>
          <w:p>
            <w:pPr>
              <w:pStyle w:val="Compact"/>
              <w:spacing w:before="0" w:after="0" w:lineRule="exact" w:line="220"/>
              <w:jc w:val="left"/>
            </w:pPr>
            <w:r>
              <w:rPr>
                <w:sz w:val="18"/>
              </w:rPr>
              <w:t xml:space="preserve">2 Oct 2026</w:t>
            </w:r>
          </w:p>
        </w:tc>
        <w:tc>
          <w:tcPr>
            <w:tcW w:w="2548" w:type="dxa"/>
          </w:tcPr>
          <w:p>
            <w:pPr>
              <w:pStyle w:val="Compact"/>
              <w:spacing w:before="0" w:after="0" w:lineRule="exact" w:line="220"/>
              <w:jc w:val="left"/>
            </w:pPr>
            <w:r>
              <w:rPr>
                <w:sz w:val="18"/>
              </w:rPr>
              <w:t xml:space="preserve">Falsified (13.45 percent). Disclosure: BPS’s 2024 publication, held at registration, has a table of 2024 sellers by start year; if the seller population were stable from 2023 to 2024, it would cap the 2023 share near 18 percent. The table was first used on 8 Oct, after the test ran on 7 Oct</w:t>
            </w:r>
          </w:p>
        </w:tc>
      </w:tr>
      <w:tr>
        <w:trPr>
          <w:cantSplit/>
        </w:trPr>
        <w:tc>
          <w:tcPr>
            <w:tcW w:w="1225" w:type="dxa"/>
          </w:tcPr>
          <w:p>
            <w:pPr>
              <w:pStyle w:val="Compact"/>
              <w:spacing w:before="0" w:after="0" w:lineRule="exact" w:line="220"/>
              <w:jc w:val="left"/>
            </w:pPr>
            <w:r>
              <w:rPr>
                <w:sz w:val="18"/>
              </w:rPr>
              <w:t xml:space="preserve">E6</w:t>
            </w:r>
          </w:p>
        </w:tc>
        <w:tc>
          <w:tcPr>
            <w:tcW w:w="2183" w:type="dxa"/>
          </w:tcPr>
          <w:p>
            <w:pPr>
              <w:pStyle w:val="Compact"/>
              <w:spacing w:before="0" w:after="0" w:lineRule="exact" w:line="220"/>
              <w:jc w:val="left"/>
            </w:pPr>
            <w:r>
              <w:rPr>
                <w:sz w:val="18"/>
              </w:rPr>
              <w:t xml:space="preserve">The median change in sales of sellers already online is at most 10.36 percent</w:t>
            </w:r>
          </w:p>
        </w:tc>
        <w:tc>
          <w:tcPr>
            <w:tcW w:w="2548" w:type="dxa"/>
          </w:tcPr>
          <w:p>
            <w:pPr>
              <w:pStyle w:val="Compact"/>
              <w:spacing w:before="0" w:after="0" w:lineRule="exact" w:line="220"/>
              <w:jc w:val="left"/>
            </w:pPr>
            <w:r>
              <w:rPr>
                <w:sz w:val="18"/>
              </w:rPr>
              <w:t xml:space="preserve">2 Oct 2026</w:t>
            </w:r>
          </w:p>
        </w:tc>
        <w:tc>
          <w:tcPr>
            <w:tcW w:w="2548" w:type="dxa"/>
          </w:tcPr>
          <w:p>
            <w:pPr>
              <w:pStyle w:val="Compact"/>
              <w:spacing w:before="0" w:after="0" w:lineRule="exact" w:line="220"/>
              <w:jc w:val="left"/>
            </w:pPr>
            <w:r>
              <w:rPr>
                <w:sz w:val="18"/>
              </w:rPr>
              <w:t xml:space="preserve">Holds (median 0 percent)</w:t>
            </w:r>
          </w:p>
        </w:tc>
      </w:tr>
      <w:tr>
        <w:trPr>
          <w:cantSplit/>
        </w:trPr>
        <w:tc>
          <w:tcPr>
            <w:tcW w:w="1225" w:type="dxa"/>
          </w:tcPr>
          <w:p>
            <w:pPr>
              <w:pStyle w:val="Compact"/>
              <w:spacing w:before="0" w:after="0" w:lineRule="exact" w:line="220"/>
              <w:jc w:val="left"/>
            </w:pPr>
            <w:r>
              <w:rPr>
                <w:sz w:val="18"/>
              </w:rPr>
              <w:t xml:space="preserve">E7</w:t>
            </w:r>
          </w:p>
        </w:tc>
        <w:tc>
          <w:tcPr>
            <w:tcW w:w="2183" w:type="dxa"/>
          </w:tcPr>
          <w:p>
            <w:pPr>
              <w:pStyle w:val="Compact"/>
              <w:spacing w:before="0" w:after="0" w:lineRule="exact" w:line="220"/>
              <w:jc w:val="left"/>
            </w:pPr>
            <w:r>
              <w:rPr>
                <w:sz w:val="18"/>
              </w:rPr>
              <w:t xml:space="preserve">The share of value held by sellers without statements fell by at most 5 points from 2020 to 2022</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Falsified, narrowly (5.8 points; 3.3 on the second version)</w:t>
            </w:r>
          </w:p>
        </w:tc>
      </w:tr>
      <w:tr>
        <w:trPr>
          <w:cantSplit/>
        </w:trPr>
        <w:tc>
          <w:tcPr>
            <w:tcW w:w="1225" w:type="dxa"/>
          </w:tcPr>
          <w:p>
            <w:pPr>
              <w:pStyle w:val="Compact"/>
              <w:spacing w:before="0" w:after="0" w:lineRule="exact" w:line="220"/>
              <w:jc w:val="left"/>
            </w:pPr>
            <w:r>
              <w:rPr>
                <w:sz w:val="18"/>
              </w:rPr>
              <w:t xml:space="preserve">E8</w:t>
            </w:r>
          </w:p>
        </w:tc>
        <w:tc>
          <w:tcPr>
            <w:tcW w:w="2183" w:type="dxa"/>
          </w:tcPr>
          <w:p>
            <w:pPr>
              <w:pStyle w:val="Compact"/>
              <w:spacing w:before="0" w:after="0" w:lineRule="exact" w:line="220"/>
              <w:jc w:val="left"/>
            </w:pPr>
            <w:r>
              <w:rPr>
                <w:sz w:val="18"/>
              </w:rPr>
              <w:t xml:space="preserve">Sellers with revenue of Rp300 million a year or more hold over half of marketplace value</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Holds (92.2 percent, middle scenario, an upper bound)</w:t>
            </w:r>
          </w:p>
        </w:tc>
      </w:tr>
      <w:tr>
        <w:trPr>
          <w:cantSplit/>
        </w:trPr>
        <w:tc>
          <w:tcPr>
            <w:tcW w:w="1225" w:type="dxa"/>
          </w:tcPr>
          <w:p>
            <w:pPr>
              <w:pStyle w:val="Compact"/>
              <w:spacing w:before="0" w:after="0" w:lineRule="exact" w:line="220"/>
              <w:jc w:val="left"/>
            </w:pPr>
            <w:r>
              <w:rPr>
                <w:sz w:val="18"/>
              </w:rPr>
              <w:t xml:space="preserve">RBI</w:t>
            </w:r>
          </w:p>
        </w:tc>
        <w:tc>
          <w:tcPr>
            <w:tcW w:w="2183" w:type="dxa"/>
          </w:tcPr>
          <w:p>
            <w:pPr>
              <w:pStyle w:val="Compact"/>
              <w:spacing w:before="0" w:after="0" w:lineRule="exact" w:line="220"/>
              <w:jc w:val="left"/>
            </w:pPr>
            <w:r>
              <w:rPr>
                <w:sz w:val="18"/>
              </w:rPr>
              <w:t xml:space="preserve">The marketplace part sold to final consumers is below Bank Indonesia’s 2022 figure</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Holds in the low (0.16) and middle (0.68) scenarios; fails in the high one (1.62)</w:t>
            </w:r>
          </w:p>
        </w:tc>
      </w:tr>
      <w:tr>
        <w:trPr>
          <w:cantSplit/>
        </w:trPr>
        <w:tc>
          <w:tcPr>
            <w:tcW w:w="1225" w:type="dxa"/>
          </w:tcPr>
          <w:p>
            <w:pPr>
              <w:pStyle w:val="Compact"/>
              <w:spacing w:before="0" w:after="0" w:lineRule="exact" w:line="220"/>
              <w:jc w:val="left"/>
            </w:pPr>
            <w:r>
              <w:rPr>
                <w:sz w:val="18"/>
              </w:rPr>
              <w:t xml:space="preserve">W1, W2</w:t>
            </w:r>
          </w:p>
        </w:tc>
        <w:tc>
          <w:tcPr>
            <w:tcW w:w="2183" w:type="dxa"/>
          </w:tcPr>
          <w:p>
            <w:pPr>
              <w:pStyle w:val="Compact"/>
              <w:spacing w:before="0" w:after="0" w:lineRule="exact" w:line="220"/>
              <w:jc w:val="left"/>
            </w:pPr>
            <w:r>
              <w:rPr>
                <w:sz w:val="18"/>
              </w:rPr>
              <w:t xml:space="preserve">Unregistered firms using social media keep written records and take digital payments more often</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Hold (29.9 against 12.3 percent; 11.5 against 2.7 percent)</w:t>
            </w:r>
          </w:p>
        </w:tc>
      </w:tr>
      <w:tr>
        <w:trPr>
          <w:cantSplit/>
        </w:trPr>
        <w:tc>
          <w:tcPr>
            <w:tcW w:w="1225" w:type="dxa"/>
          </w:tcPr>
          <w:p>
            <w:pPr>
              <w:pStyle w:val="Compact"/>
              <w:spacing w:before="0" w:after="0" w:lineRule="exact" w:line="220"/>
              <w:jc w:val="left"/>
            </w:pPr>
            <w:r>
              <w:rPr>
                <w:sz w:val="18"/>
              </w:rPr>
              <w:t xml:space="preserve">W3</w:t>
            </w:r>
          </w:p>
        </w:tc>
        <w:tc>
          <w:tcPr>
            <w:tcW w:w="2183" w:type="dxa"/>
          </w:tcPr>
          <w:p>
            <w:pPr>
              <w:pStyle w:val="Compact"/>
              <w:spacing w:before="0" w:after="0" w:lineRule="exact" w:line="220"/>
              <w:jc w:val="left"/>
            </w:pPr>
            <w:r>
              <w:rPr>
                <w:sz w:val="18"/>
              </w:rPr>
              <w:t xml:space="preserve">Their mean annual sales are below Rp100 million (about US$6,600)</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Falsified (mean Rp111 million; median Rp60 million)</w:t>
            </w:r>
          </w:p>
        </w:tc>
      </w:tr>
      <w:tr>
        <w:trPr>
          <w:cantSplit/>
        </w:trPr>
        <w:tc>
          <w:tcPr>
            <w:tcW w:w="1225" w:type="dxa"/>
          </w:tcPr>
          <w:p>
            <w:pPr>
              <w:pStyle w:val="Compact"/>
              <w:spacing w:before="0" w:after="0" w:lineRule="exact" w:line="220"/>
              <w:jc w:val="left"/>
            </w:pPr>
            <w:r>
              <w:rPr>
                <w:sz w:val="18"/>
              </w:rPr>
              <w:t xml:space="preserve">F1, F2</w:t>
            </w:r>
          </w:p>
        </w:tc>
        <w:tc>
          <w:tcPr>
            <w:tcW w:w="2183" w:type="dxa"/>
          </w:tcPr>
          <w:p>
            <w:pPr>
              <w:pStyle w:val="Compact"/>
              <w:spacing w:before="0" w:after="0" w:lineRule="exact" w:line="220"/>
              <w:jc w:val="left"/>
            </w:pPr>
            <w:r>
              <w:rPr>
                <w:sz w:val="18"/>
              </w:rPr>
              <w:t xml:space="preserve">Formal firms with a website take more e-payments and file taxes online more often</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Hold</w:t>
            </w:r>
          </w:p>
        </w:tc>
      </w:tr>
      <w:tr>
        <w:trPr>
          <w:cantSplit/>
        </w:trPr>
        <w:tc>
          <w:tcPr>
            <w:tcW w:w="1225" w:type="dxa"/>
          </w:tcPr>
          <w:p>
            <w:pPr>
              <w:pStyle w:val="Compact"/>
              <w:spacing w:before="0" w:after="0" w:lineRule="exact" w:line="220"/>
              <w:jc w:val="left"/>
            </w:pPr>
            <w:r>
              <w:rPr>
                <w:sz w:val="18"/>
              </w:rPr>
              <w:t xml:space="preserve">F3</w:t>
            </w:r>
          </w:p>
        </w:tc>
        <w:tc>
          <w:tcPr>
            <w:tcW w:w="2183" w:type="dxa"/>
          </w:tcPr>
          <w:p>
            <w:pPr>
              <w:pStyle w:val="Compact"/>
              <w:spacing w:before="0" w:after="0" w:lineRule="exact" w:line="220"/>
              <w:jc w:val="left"/>
            </w:pPr>
            <w:r>
              <w:rPr>
                <w:sz w:val="18"/>
              </w:rPr>
              <w:t xml:space="preserve">More than one third of formal firms have neither a website nor online tax filing</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Holds (39.9 percent), after a disclosed coding fix: the first run read</w:t>
            </w:r>
            <w:r>
              <w:rPr>
                <w:sz w:val="18"/>
              </w:rPr>
              <w:t xml:space="preserve"> </w:t>
            </w:r>
            <w:r>
              <w:rPr>
                <w:sz w:val="18"/>
              </w:rPr>
              <w:t xml:space="preserve">“</w:t>
            </w:r>
            <w:r>
              <w:rPr>
                <w:sz w:val="18"/>
              </w:rPr>
              <w:t xml:space="preserve">yes, partially</w:t>
            </w:r>
            <w:r>
              <w:rPr>
                <w:sz w:val="18"/>
              </w:rPr>
              <w:t xml:space="preserve">”</w:t>
            </w:r>
            <w:r>
              <w:rPr>
                <w:sz w:val="18"/>
              </w:rPr>
              <w:t xml:space="preserve"> </w:t>
            </w:r>
            <w:r>
              <w:rPr>
                <w:sz w:val="18"/>
              </w:rPr>
              <w:t xml:space="preserve">as no for online filing and gave 13.0 percent; the questionnaire counts it as yes</w:t>
            </w:r>
          </w:p>
        </w:tc>
      </w:tr>
      <w:tr>
        <w:trPr>
          <w:cantSplit/>
        </w:trPr>
        <w:tc>
          <w:tcPr>
            <w:tcW w:w="1225" w:type="dxa"/>
          </w:tcPr>
          <w:p>
            <w:pPr>
              <w:pStyle w:val="Compact"/>
              <w:spacing w:before="0" w:after="0" w:lineRule="exact" w:line="220"/>
              <w:jc w:val="left"/>
            </w:pPr>
            <w:r>
              <w:rPr>
                <w:sz w:val="18"/>
              </w:rPr>
              <w:t xml:space="preserve">X3</w:t>
            </w:r>
          </w:p>
        </w:tc>
        <w:tc>
          <w:tcPr>
            <w:tcW w:w="2183" w:type="dxa"/>
          </w:tcPr>
          <w:p>
            <w:pPr>
              <w:pStyle w:val="Compact"/>
              <w:spacing w:before="0" w:after="0" w:lineRule="exact" w:line="220"/>
              <w:jc w:val="left"/>
            </w:pPr>
            <w:r>
              <w:rPr>
                <w:sz w:val="18"/>
              </w:rPr>
              <w:t xml:space="preserve">Indonesia’s share of firms with neither is the highest of the countries compared</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Withdrawn as a test (addendum of 16 Oct 2026): published e-filing shares seen at registration already capped every other country below Indonesia. Reported as descriptive (Malaysia 9.1, Thailand 8.7)</w:t>
            </w:r>
          </w:p>
        </w:tc>
      </w:tr>
      <w:tr>
        <w:trPr>
          <w:cantSplit/>
        </w:trPr>
        <w:tc>
          <w:tcPr>
            <w:tcW w:w="1225" w:type="dxa"/>
          </w:tcPr>
          <w:p>
            <w:pPr>
              <w:pStyle w:val="Compact"/>
              <w:spacing w:before="0" w:after="0" w:lineRule="exact" w:line="220"/>
              <w:jc w:val="left"/>
            </w:pPr>
            <w:r>
              <w:rPr>
                <w:sz w:val="18"/>
              </w:rPr>
              <w:t xml:space="preserve">X2</w:t>
            </w:r>
          </w:p>
        </w:tc>
        <w:tc>
          <w:tcPr>
            <w:tcW w:w="2183" w:type="dxa"/>
          </w:tcPr>
          <w:p>
            <w:pPr>
              <w:pStyle w:val="Compact"/>
              <w:spacing w:before="0" w:after="0" w:lineRule="exact" w:line="220"/>
              <w:jc w:val="left"/>
            </w:pPr>
            <w:r>
              <w:rPr>
                <w:sz w:val="18"/>
              </w:rPr>
              <w:t xml:space="preserve">Firms with a website file taxes online more often, in at least 3 of 4 countries</w:t>
            </w:r>
          </w:p>
        </w:tc>
        <w:tc>
          <w:tcPr>
            <w:tcW w:w="2548" w:type="dxa"/>
          </w:tcPr>
          <w:p>
            <w:pPr>
              <w:pStyle w:val="Compact"/>
              <w:spacing w:before="0" w:after="0" w:lineRule="exact" w:line="220"/>
              <w:jc w:val="left"/>
            </w:pPr>
            <w:r>
              <w:rPr>
                <w:sz w:val="18"/>
              </w:rPr>
              <w:t xml:space="preserve">3 Oct 2026</w:t>
            </w:r>
          </w:p>
        </w:tc>
        <w:tc>
          <w:tcPr>
            <w:tcW w:w="2548" w:type="dxa"/>
          </w:tcPr>
          <w:p>
            <w:pPr>
              <w:pStyle w:val="Compact"/>
              <w:spacing w:before="0" w:after="0" w:lineRule="exact" w:line="220"/>
              <w:jc w:val="left"/>
            </w:pPr>
            <w:r>
              <w:rPr>
                <w:sz w:val="18"/>
              </w:rPr>
              <w:t xml:space="preserve">Holds in 4 of 4</w:t>
            </w:r>
          </w:p>
        </w:tc>
      </w:tr>
      <w:tr>
        <w:trPr>
          <w:cantSplit/>
        </w:trPr>
        <w:tc>
          <w:tcPr>
            <w:tcW w:w="1225" w:type="dxa"/>
          </w:tcPr>
          <w:p>
            <w:pPr>
              <w:pStyle w:val="Compact"/>
              <w:spacing w:before="0" w:after="0" w:lineRule="exact" w:line="220"/>
              <w:jc w:val="left"/>
            </w:pPr>
            <w:r>
              <w:rPr>
                <w:sz w:val="18"/>
              </w:rPr>
              <w:t xml:space="preserve">Q1</w:t>
            </w:r>
          </w:p>
        </w:tc>
        <w:tc>
          <w:tcPr>
            <w:tcW w:w="2183" w:type="dxa"/>
          </w:tcPr>
          <w:p>
            <w:pPr>
              <w:pStyle w:val="Compact"/>
              <w:spacing w:before="0" w:after="0" w:lineRule="exact" w:line="220"/>
              <w:jc w:val="left"/>
            </w:pPr>
            <w:r>
              <w:rPr>
                <w:sz w:val="18"/>
              </w:rPr>
              <w:t xml:space="preserve">The test of H1 with quarterly pairs rejects H1</w:t>
            </w:r>
          </w:p>
        </w:tc>
        <w:tc>
          <w:tcPr>
            <w:tcW w:w="2548" w:type="dxa"/>
          </w:tcPr>
          <w:p>
            <w:pPr>
              <w:pStyle w:val="Compact"/>
              <w:spacing w:before="0" w:after="0" w:lineRule="exact" w:line="220"/>
              <w:jc w:val="left"/>
            </w:pPr>
            <w:r>
              <w:rPr>
                <w:sz w:val="18"/>
              </w:rPr>
              <w:t xml:space="preserve">7 Oct 2026, before it was run, but after the quarterly series had been built and the annual result was known, so it is a robustness check</w:t>
            </w:r>
          </w:p>
        </w:tc>
        <w:tc>
          <w:tcPr>
            <w:tcW w:w="2548" w:type="dxa"/>
          </w:tcPr>
          <w:p>
            <w:pPr>
              <w:pStyle w:val="Compact"/>
              <w:spacing w:before="0" w:after="0" w:lineRule="exact" w:line="220"/>
              <w:jc w:val="left"/>
            </w:pPr>
            <w:r>
              <w:rPr>
                <w:sz w:val="18"/>
              </w:rPr>
              <w:t xml:space="preserve">Falsified (p = 0.19)</w:t>
            </w:r>
          </w:p>
        </w:tc>
      </w:tr>
      <w:tr>
        <w:trPr>
          <w:cantSplit/>
        </w:trPr>
        <w:tc>
          <w:tcPr>
            <w:tcW w:w="1225" w:type="dxa"/>
          </w:tcPr>
          <w:p>
            <w:pPr>
              <w:pStyle w:val="Compact"/>
              <w:spacing w:before="0" w:after="0" w:lineRule="exact" w:line="220"/>
              <w:jc w:val="left"/>
            </w:pPr>
            <w:r>
              <w:rPr>
                <w:sz w:val="18"/>
              </w:rPr>
              <w:t xml:space="preserve">M1</w:t>
            </w:r>
          </w:p>
        </w:tc>
        <w:tc>
          <w:tcPr>
            <w:tcW w:w="2183" w:type="dxa"/>
          </w:tcPr>
          <w:p>
            <w:pPr>
              <w:pStyle w:val="Compact"/>
              <w:spacing w:before="0" w:after="0" w:lineRule="exact" w:line="220"/>
              <w:jc w:val="left"/>
            </w:pPr>
            <w:r>
              <w:rPr>
                <w:sz w:val="18"/>
              </w:rPr>
              <w:t xml:space="preserve">Markets value growth from more transactions more than growth from a higher take rate</w:t>
            </w:r>
          </w:p>
        </w:tc>
        <w:tc>
          <w:tcPr>
            <w:tcW w:w="2548" w:type="dxa"/>
          </w:tcPr>
          <w:p>
            <w:pPr>
              <w:pStyle w:val="Compact"/>
              <w:spacing w:before="0" w:after="0" w:lineRule="exact" w:line="220"/>
              <w:jc w:val="left"/>
            </w:pPr>
            <w:r>
              <w:rPr>
                <w:sz w:val="18"/>
              </w:rPr>
              <w:t xml:space="preserve">8 Oct 2026, before the market values were pulled</w:t>
            </w:r>
          </w:p>
        </w:tc>
        <w:tc>
          <w:tcPr>
            <w:tcW w:w="2548" w:type="dxa"/>
          </w:tcPr>
          <w:p>
            <w:pPr>
              <w:pStyle w:val="Compact"/>
              <w:spacing w:before="0" w:after="0" w:lineRule="exact" w:line="220"/>
              <w:jc w:val="left"/>
            </w:pPr>
            <w:r>
              <w:rPr>
                <w:sz w:val="18"/>
              </w:rPr>
              <w:t xml:space="preserve">Falsified in the main sample (p = 0.20) and with extreme values capped (p = 0.16); holds in the second run of 34 platforms (p = 0.004), which mixes segment figures with whole-company values</w:t>
            </w:r>
          </w:p>
        </w:tc>
      </w:tr>
      <w:tr>
        <w:trPr>
          <w:cantSplit/>
        </w:trPr>
        <w:tc>
          <w:tcPr>
            <w:tcW w:w="1225" w:type="dxa"/>
          </w:tcPr>
          <w:p>
            <w:pPr>
              <w:pStyle w:val="Compact"/>
              <w:spacing w:before="0" w:after="0" w:lineRule="exact" w:line="220"/>
              <w:jc w:val="left"/>
            </w:pPr>
            <w:r>
              <w:rPr>
                <w:sz w:val="18"/>
              </w:rPr>
              <w:t xml:space="preserve">M2</w:t>
            </w:r>
          </w:p>
        </w:tc>
        <w:tc>
          <w:tcPr>
            <w:tcW w:w="2183" w:type="dxa"/>
          </w:tcPr>
          <w:p>
            <w:pPr>
              <w:pStyle w:val="Compact"/>
              <w:spacing w:before="0" w:after="0" w:lineRule="exact" w:line="220"/>
              <w:jc w:val="left"/>
            </w:pPr>
            <w:r>
              <w:rPr>
                <w:sz w:val="18"/>
              </w:rPr>
              <w:t xml:space="preserve">Market value moves with transaction value</w:t>
            </w:r>
          </w:p>
        </w:tc>
        <w:tc>
          <w:tcPr>
            <w:tcW w:w="2548" w:type="dxa"/>
          </w:tcPr>
          <w:p>
            <w:pPr>
              <w:pStyle w:val="Compact"/>
              <w:spacing w:before="0" w:after="0" w:lineRule="exact" w:line="220"/>
              <w:jc w:val="left"/>
            </w:pPr>
            <w:r>
              <w:rPr>
                <w:sz w:val="18"/>
              </w:rPr>
              <w:t xml:space="preserve">8 Oct 2026</w:t>
            </w:r>
          </w:p>
        </w:tc>
        <w:tc>
          <w:tcPr>
            <w:tcW w:w="2548" w:type="dxa"/>
          </w:tcPr>
          <w:p>
            <w:pPr>
              <w:pStyle w:val="Compact"/>
              <w:spacing w:before="0" w:after="0" w:lineRule="exact" w:line="220"/>
              <w:jc w:val="left"/>
            </w:pPr>
            <w:r>
              <w:rPr>
                <w:sz w:val="18"/>
              </w:rPr>
              <w:t xml:space="preserve">Holds (p = 0.002)</w:t>
            </w:r>
          </w:p>
        </w:tc>
      </w:tr>
      <w:tr>
        <w:trPr>
          <w:cantSplit/>
        </w:trPr>
        <w:tc>
          <w:tcPr>
            <w:tcW w:w="1225" w:type="dxa"/>
          </w:tcPr>
          <w:p>
            <w:pPr>
              <w:pStyle w:val="Compact"/>
              <w:spacing w:before="0" w:after="0" w:lineRule="exact" w:line="220"/>
              <w:jc w:val="left"/>
            </w:pPr>
            <w:r>
              <w:rPr>
                <w:sz w:val="18"/>
              </w:rPr>
              <w:t xml:space="preserve">L (P1 to P3)</w:t>
            </w:r>
          </w:p>
        </w:tc>
        <w:tc>
          <w:tcPr>
            <w:tcW w:w="2183" w:type="dxa"/>
          </w:tcPr>
          <w:p>
            <w:pPr>
              <w:pStyle w:val="Compact"/>
              <w:spacing w:before="0" w:after="0" w:lineRule="exact" w:line="220"/>
              <w:jc w:val="left"/>
            </w:pPr>
            <w:r>
              <w:rPr>
                <w:sz w:val="18"/>
              </w:rPr>
              <w:t xml:space="preserve">Large take-rate moves driven by discounts occur only where incentives are at least as large as revenue (L of 1 or more)</w:t>
            </w:r>
          </w:p>
        </w:tc>
        <w:tc>
          <w:tcPr>
            <w:tcW w:w="2548" w:type="dxa"/>
          </w:tcPr>
          <w:p>
            <w:pPr>
              <w:pStyle w:val="Compact"/>
              <w:spacing w:before="0" w:after="0" w:lineRule="exact" w:line="220"/>
              <w:jc w:val="left"/>
            </w:pPr>
            <w:r>
              <w:rPr>
                <w:sz w:val="18"/>
              </w:rPr>
              <w:t xml:space="preserve">2 Oct 2026</w:t>
            </w:r>
          </w:p>
        </w:tc>
        <w:tc>
          <w:tcPr>
            <w:tcW w:w="2548" w:type="dxa"/>
          </w:tcPr>
          <w:p>
            <w:pPr>
              <w:pStyle w:val="Compact"/>
              <w:spacing w:before="0" w:after="0" w:lineRule="exact" w:line="220"/>
              <w:jc w:val="left"/>
            </w:pPr>
            <w:r>
              <w:rPr>
                <w:sz w:val="18"/>
              </w:rPr>
              <w:t xml:space="preserve">Thin support out of sample: P1 holds on 2 of 2 cases; P3 fails at the main threshold (median move 0.117 against 0.10); rank correlation 0.20 (p = 0.43)</w:t>
            </w:r>
          </w:p>
        </w:tc>
      </w:tr>
      <w:tr>
        <w:trPr>
          <w:cantSplit/>
        </w:trPr>
        <w:tc>
          <w:tcPr>
            <w:tcW w:w="1225" w:type="dxa"/>
          </w:tcPr>
          <w:p>
            <w:pPr>
              <w:pStyle w:val="Compact"/>
              <w:spacing w:before="0" w:after="0" w:lineRule="exact" w:line="220"/>
              <w:jc w:val="left"/>
            </w:pPr>
            <w:r>
              <w:rPr>
                <w:sz w:val="18"/>
              </w:rPr>
              <w:t xml:space="preserve">P1 to P5, R1 to R3</w:t>
            </w:r>
          </w:p>
        </w:tc>
        <w:tc>
          <w:tcPr>
            <w:tcW w:w="2183" w:type="dxa"/>
          </w:tcPr>
          <w:p>
            <w:pPr>
              <w:pStyle w:val="Compact"/>
              <w:spacing w:before="0" w:after="0" w:lineRule="exact" w:line="220"/>
              <w:jc w:val="left"/>
            </w:pPr>
            <w:r>
              <w:rPr>
                <w:sz w:val="18"/>
              </w:rPr>
              <w:t xml:space="preserve">Predictions on the third-quarter 2026 results of GoTo, Grab and Sea</w:t>
            </w:r>
          </w:p>
        </w:tc>
        <w:tc>
          <w:tcPr>
            <w:tcW w:w="2548" w:type="dxa"/>
          </w:tcPr>
          <w:p>
            <w:pPr>
              <w:pStyle w:val="Compact"/>
              <w:spacing w:before="0" w:after="0" w:lineRule="exact" w:line="220"/>
              <w:jc w:val="left"/>
            </w:pPr>
            <w:r>
              <w:rPr>
                <w:sz w:val="18"/>
              </w:rPr>
              <w:t xml:space="preserve">2 and 3 Oct 2026</w:t>
            </w:r>
          </w:p>
        </w:tc>
        <w:tc>
          <w:tcPr>
            <w:tcW w:w="2548" w:type="dxa"/>
          </w:tcPr>
          <w:p>
            <w:pPr>
              <w:pStyle w:val="Compact"/>
              <w:spacing w:before="0" w:after="0" w:lineRule="exact" w:line="220"/>
              <w:jc w:val="left"/>
            </w:pPr>
            <w:r>
              <w:rPr>
                <w:sz w:val="18"/>
              </w:rPr>
              <w:t xml:space="preserve">Not yet scored; first results are due on 27 Oct 2026</w:t>
            </w:r>
          </w:p>
        </w:tc>
      </w:tr>
      <w:tr>
        <w:trPr>
          <w:cantSplit/>
        </w:trPr>
        <w:tc>
          <w:tcPr>
            <w:tcW w:w="1225" w:type="dxa"/>
          </w:tcPr>
          <w:p>
            <w:pPr>
              <w:pStyle w:val="Compact"/>
              <w:keepNext/>
              <w:spacing w:before="0" w:after="0" w:lineRule="exact" w:line="220"/>
              <w:jc w:val="left"/>
            </w:pPr>
            <w:r>
              <w:rPr>
                <w:sz w:val="18"/>
              </w:rPr>
              <w:t xml:space="preserve">Marketplace tax start</w:t>
            </w:r>
          </w:p>
        </w:tc>
        <w:tc>
          <w:tcPr>
            <w:tcW w:w="2183" w:type="dxa"/>
          </w:tcPr>
          <w:p>
            <w:pPr>
              <w:pStyle w:val="Compact"/>
              <w:keepNext/>
              <w:spacing w:before="0" w:after="0" w:lineRule="exact" w:line="220"/>
              <w:jc w:val="left"/>
            </w:pPr>
            <w:r>
              <w:rPr>
                <w:sz w:val="18"/>
              </w:rPr>
              <w:t xml:space="preserve">The tax start slips again</w:t>
            </w:r>
          </w:p>
        </w:tc>
        <w:tc>
          <w:tcPr>
            <w:tcW w:w="2548" w:type="dxa"/>
          </w:tcPr>
          <w:p>
            <w:pPr>
              <w:pStyle w:val="Compact"/>
              <w:keepNext/>
              <w:spacing w:before="0" w:after="0" w:lineRule="exact" w:line="220"/>
              <w:jc w:val="left"/>
            </w:pPr>
            <w:r>
              <w:rPr>
                <w:sz w:val="18"/>
              </w:rPr>
              <w:t xml:space="preserve">2 Oct 2026</w:t>
            </w:r>
          </w:p>
        </w:tc>
        <w:tc>
          <w:tcPr>
            <w:tcW w:w="2548" w:type="dxa"/>
          </w:tcPr>
          <w:p>
            <w:pPr>
              <w:pStyle w:val="Compact"/>
              <w:keepNext/>
              <w:spacing w:before="0" w:after="0" w:lineRule="exact" w:line="220"/>
              <w:jc w:val="left"/>
            </w:pPr>
            <w:r>
              <w:rPr>
                <w:sz w:val="18"/>
              </w:rPr>
              <w:t xml:space="preserve">Withdrawn: collection began on 1 Oct 2026, before the prediction was registered (addendum of 15 Oct 2026)</w:t>
            </w:r>
          </w:p>
        </w:tc>
      </w:tr>
      <w:tr>
        <w:trPr>
          <w:cantSplit/>
        </w:trPr>
        <w:tc>
          <w:tcPr>
            <w:tcW w:w="1225" w:type="dxa"/>
          </w:tcPr>
          <w:p>
            <w:pPr>
              <w:pStyle w:val="Compact"/>
              <w:spacing w:before="0" w:after="0" w:lineRule="exact" w:line="220"/>
              <w:jc w:val="left"/>
            </w:pPr>
            <w:r>
              <w:rPr>
                <w:sz w:val="18"/>
              </w:rPr>
              <w:t xml:space="preserve">BPS marketplace share</w:t>
            </w:r>
          </w:p>
        </w:tc>
        <w:tc>
          <w:tcPr>
            <w:tcW w:w="2183" w:type="dxa"/>
          </w:tcPr>
          <w:p>
            <w:pPr>
              <w:pStyle w:val="Compact"/>
              <w:spacing w:before="0" w:after="0" w:lineRule="exact" w:line="220"/>
              <w:jc w:val="left"/>
            </w:pPr>
            <w:r>
              <w:rPr>
                <w:sz w:val="18"/>
              </w:rPr>
              <w:t xml:space="preserve">The next published marketplace share is at most 15.79 percent</w:t>
            </w:r>
          </w:p>
        </w:tc>
        <w:tc>
          <w:tcPr>
            <w:tcW w:w="2548" w:type="dxa"/>
          </w:tcPr>
          <w:p>
            <w:pPr>
              <w:pStyle w:val="Compact"/>
              <w:spacing w:before="0" w:after="0" w:lineRule="exact" w:line="220"/>
              <w:jc w:val="left"/>
            </w:pPr>
            <w:r>
              <w:rPr>
                <w:sz w:val="18"/>
              </w:rPr>
              <w:t xml:space="preserve">2 Oct 2026</w:t>
            </w:r>
          </w:p>
        </w:tc>
        <w:tc>
          <w:tcPr>
            <w:tcW w:w="2548" w:type="dxa"/>
          </w:tcPr>
          <w:p>
            <w:pPr>
              <w:pStyle w:val="Compact"/>
              <w:spacing w:before="0" w:after="0" w:lineRule="exact" w:line="220"/>
              <w:jc w:val="left"/>
            </w:pPr>
            <w:r>
              <w:rPr>
                <w:sz w:val="18"/>
              </w:rPr>
              <w:t xml:space="preserve">Not yet scored</w:t>
            </w:r>
          </w:p>
        </w:tc>
      </w:tr>
    </w:tbl>
    <w:bookmarkEnd w:id="97"/>
    <w:bookmarkStart w:id="98" w:name="X1475841d701e4c4164d9bef03c7682e2ab857a8"/>
    <w:p>
      <w:pPr>
        <w:pStyle w:val="Heading2"/>
      </w:pPr>
      <w:r>
        <w:t xml:space="preserve">Appendix D. The values behind Figures 4 to 6</w:t>
      </w:r>
    </w:p>
    <w:p>
      <w:pPr>
        <w:pStyle w:val="FirstParagraph"/>
        <w:jc w:val="left"/>
      </w:pPr>
      <w:r>
        <w:rPr>
          <w:bCs/>
          <w:b/>
        </w:rPr>
        <w:t xml:space="preserve">Growth in 2023, percent (Figure 4).</w:t>
      </w:r>
      <w:r>
        <w:t xml:space="preserve"> </w:t>
      </w:r>
      <w:r>
        <w:t xml:space="preserve">Household spending +9.4; Tokopedia transaction value −8.9; GoTo on-demand transaction value −10.5 (rests on an estimated 2022 value); Bank Indonesia e-commerce −4.7; Momentum Works marketplace estimate +3.5 (calculated from its published levels; its 2024 release states 3.7); Bukalapak transaction value +6.9; Blibli third-party retail transaction value +34.7; Tokopedia revenue +53.2; BPS e-commerce value +40.6; BPS online sellers +27.4. Sources:</w:t>
      </w:r>
      <w:r>
        <w:t xml:space="preserve"> </w:t>
      </w:r>
      <w:r>
        <w:rPr>
          <w:rStyle w:val="VerbatimChar"/>
        </w:rPr>
        <w:t xml:space="preserve">tables/consistency_grid_growth.csv</w:t>
      </w:r>
      <w:r>
        <w:t xml:space="preserve">,</w:t>
      </w:r>
      <w:r>
        <w:t xml:space="preserve"> </w:t>
      </w:r>
      <w:r>
        <w:rPr>
          <w:rStyle w:val="VerbatimChar"/>
        </w:rPr>
        <w:t xml:space="preserve">tables/yardsticks_bi_bps.csv</w:t>
      </w:r>
      <w:r>
        <w:t xml:space="preserve">,</w:t>
      </w:r>
      <w:r>
        <w:t xml:space="preserve"> </w:t>
      </w:r>
      <w:r>
        <w:rPr>
          <w:rStyle w:val="VerbatimChar"/>
        </w:rPr>
        <w:t xml:space="preserve">tables/wedge_over_time.csv</w:t>
      </w:r>
      <w:r>
        <w:t xml:space="preserve">,</w:t>
      </w:r>
      <w:r>
        <w:t xml:space="preserve"> </w:t>
      </w:r>
      <w:r>
        <w:rPr>
          <w:rStyle w:val="VerbatimChar"/>
        </w:rPr>
        <w:t xml:space="preserve">tables/h1_groundwork.json</w:t>
      </w:r>
      <w:r>
        <w:t xml:space="preserve">, company filings.</w:t>
      </w:r>
    </w:p>
    <w:p>
      <w:pPr>
        <w:pStyle w:val="BodyText"/>
        <w:jc w:val="left"/>
      </w:pPr>
      <w:r>
        <w:rPr>
          <w:bCs/>
          <w:b/>
        </w:rPr>
        <w:t xml:space="preserve">Who the extra sellers were, percent (Figure 5).</w:t>
      </w:r>
      <w:r>
        <w:t xml:space="preserve"> </w:t>
      </w:r>
      <w:r>
        <w:t xml:space="preserve">Share of the 2022 count and share of the extra count: business opened before 2010, 18.3 and 40.5; owner aged 50 or over, 28.9 and 41.2; outside Java, 23.6 and 36.3; food and lodging or making goods, 38.5 and 53.0. Source:</w:t>
      </w:r>
      <w:r>
        <w:t xml:space="preserve"> </w:t>
      </w:r>
      <w:r>
        <w:rPr>
          <w:rStyle w:val="VerbatimChar"/>
        </w:rPr>
        <w:t xml:space="preserve">tables/bps_newly_counted_profile.json</w:t>
      </w:r>
      <w:r>
        <w:t xml:space="preserve">.</w:t>
      </w:r>
    </w:p>
    <w:p>
      <w:pPr>
        <w:pStyle w:val="BodyText"/>
        <w:jc w:val="left"/>
      </w:pPr>
      <w:r>
        <w:rPr>
          <w:bCs/>
          <w:b/>
        </w:rPr>
        <w:t xml:space="preserve">Marketplace use and financial statements, percent of sellers (Figure 6).</w:t>
      </w:r>
      <w:r>
        <w:t xml:space="preserve"> </w:t>
      </w:r>
      <w:r>
        <w:t xml:space="preserve">Marketplace use: 21.6 (2020), 19.8 (2022), 17.8 (2023), 17.2 (2024, published). Complete financial statements: 23.5 (2020), 20.7 (2022), 15.2 (2023). Source:</w:t>
      </w:r>
      <w:r>
        <w:t xml:space="preserve"> </w:t>
      </w:r>
      <w:r>
        <w:rPr>
          <w:rStyle w:val="VerbatimChar"/>
        </w:rPr>
        <w:t xml:space="preserve">tables/bps_descriptives.json</w:t>
      </w:r>
      <w:r>
        <w:t xml:space="preserve">.</w:t>
      </w:r>
    </w:p>
    <w:p>
      <w:pPr>
        <w:pStyle w:val="BodyText"/>
        <w:jc w:val="left"/>
      </w:pPr>
      <w:r>
        <w:t xml:space="preserve">The figures are drawn from the tables named above (</w:t>
      </w:r>
      <w:r>
        <w:rPr>
          <w:rStyle w:val="VerbatimChar"/>
        </w:rPr>
        <w:t xml:space="preserve">papers/thesis_2026-10/figures/make_figures.py</w:t>
      </w:r>
      <w:r>
        <w:t xml:space="preserve">). In each figure, a legend or label names every colour.</w:t>
      </w:r>
    </w:p>
    <w:bookmarkEnd w:id="98"/>
    <w:bookmarkEnd w:id="99"/>
    <w:bookmarkStart w:id="100" w:name="references"/>
    <w:p>
      <w:pPr>
        <w:pStyle w:val="Heading1"/>
      </w:pPr>
      <w:r>
        <w:t xml:space="preserve">References</w:t>
      </w:r>
    </w:p>
    <w:p>
      <w:pPr>
        <w:pStyle w:val="FirstParagraph"/>
        <w:spacing w:after="120"/>
        <w:ind w:left="709" w:hanging="709"/>
        <w:jc w:val="left"/>
      </w:pPr>
      <w:r>
        <w:t xml:space="preserve">Agence France-Presse. (2023, September 25).</w:t>
      </w:r>
      <w:r>
        <w:t xml:space="preserve"> </w:t>
      </w:r>
      <w:r>
        <w:t xml:space="preserve">‘</w:t>
      </w:r>
      <w:r>
        <w:t xml:space="preserve">Regulate them</w:t>
      </w:r>
      <w:r>
        <w:t xml:space="preserve">’</w:t>
      </w:r>
      <w:r>
        <w:t xml:space="preserve">: Hard-up Indonesia traders urge TikTok sales ban.</w:t>
      </w:r>
      <w:r>
        <w:t xml:space="preserve"> </w:t>
      </w:r>
      <w:r>
        <w:rPr>
          <w:iCs/>
          <w:i/>
        </w:rPr>
        <w:t xml:space="preserve">Daily Tribune</w:t>
      </w:r>
      <w:r>
        <w:t xml:space="preserve">. https://tribune.net.ph/2023/09/25/regulate-them-hard-up-indonesia-traders-urge-tiktok-sales-ban</w:t>
      </w:r>
    </w:p>
    <w:p>
      <w:pPr>
        <w:pStyle w:val="BodyText"/>
        <w:spacing w:after="120"/>
        <w:ind w:left="709" w:hanging="709"/>
        <w:jc w:val="left"/>
      </w:pPr>
      <w:r>
        <w:t xml:space="preserve">Ahmad, N., &amp; Schreyer, P. (2016).</w:t>
      </w:r>
      <w:r>
        <w:t xml:space="preserve"> </w:t>
      </w:r>
      <w:r>
        <w:rPr>
          <w:iCs/>
          <w:i/>
        </w:rPr>
        <w:t xml:space="preserve">Measuring GDP in a digitalised economy</w:t>
      </w:r>
      <w:r>
        <w:t xml:space="preserve"> </w:t>
      </w:r>
      <w:r>
        <w:t xml:space="preserve">(OECD Statistics Working Papers No. 2016/07). OECD Publishing. https://doi.org/10.1787/5jlwqd81d09r-en</w:t>
      </w:r>
    </w:p>
    <w:p>
      <w:pPr>
        <w:pStyle w:val="BodyText"/>
        <w:spacing w:after="120"/>
        <w:ind w:left="709" w:hanging="709"/>
        <w:jc w:val="left"/>
      </w:pPr>
      <w:r>
        <w:t xml:space="preserve">Armstrong, M. (2006). Competition in two-sided markets.</w:t>
      </w:r>
      <w:r>
        <w:t xml:space="preserve"> </w:t>
      </w:r>
      <w:r>
        <w:rPr>
          <w:iCs/>
          <w:i/>
        </w:rPr>
        <w:t xml:space="preserve">The RAND Journal of Economics, 37</w:t>
      </w:r>
      <w:r>
        <w:t xml:space="preserve">(3), 668–691. https://doi.org/10.1111/j.1756-2171.2006.tb00037.x</w:t>
      </w:r>
    </w:p>
    <w:p>
      <w:pPr>
        <w:pStyle w:val="BodyText"/>
        <w:spacing w:after="120"/>
        <w:ind w:left="709" w:hanging="709"/>
        <w:jc w:val="left"/>
      </w:pPr>
      <w:r>
        <w:t xml:space="preserve">Ayudiana, S. (2026, July 8). Diskon biaya layanan marketplace ditargetkan berlaku Agustus 2026 [Marketplace service-fee discount targeted for August 2026].</w:t>
      </w:r>
      <w:r>
        <w:t xml:space="preserve"> </w:t>
      </w:r>
      <w:r>
        <w:rPr>
          <w:iCs/>
          <w:i/>
        </w:rPr>
        <w:t xml:space="preserve">ANTARA</w:t>
      </w:r>
      <w:r>
        <w:t xml:space="preserve">. https://www.antaranews.com/berita/5641444/diskon-biaya-layanan-marketplace-ditargetkan-berlaku-agustus-2026</w:t>
      </w:r>
    </w:p>
    <w:p>
      <w:pPr>
        <w:pStyle w:val="BodyText"/>
        <w:spacing w:after="120"/>
        <w:ind w:left="709" w:hanging="709"/>
        <w:jc w:val="left"/>
      </w:pPr>
      <w:r>
        <w:t xml:space="preserve">Bank Indonesia. (2023).</w:t>
      </w:r>
      <w:r>
        <w:t xml:space="preserve"> </w:t>
      </w:r>
      <w:r>
        <w:rPr>
          <w:iCs/>
          <w:i/>
        </w:rPr>
        <w:t xml:space="preserve">Laporan perekonomian Indonesia 2022</w:t>
      </w:r>
      <w:r>
        <w:t xml:space="preserve"> </w:t>
      </w:r>
      <w:r>
        <w:t xml:space="preserve">[Economic report on Indonesia 2022]. https://www.bi.go.id/id/publikasi/laporan/Documents/LPI_2022.pdf</w:t>
      </w:r>
    </w:p>
    <w:p>
      <w:pPr>
        <w:pStyle w:val="BodyText"/>
        <w:spacing w:after="120"/>
        <w:ind w:left="709" w:hanging="709"/>
        <w:jc w:val="left"/>
      </w:pPr>
      <w:r>
        <w:t xml:space="preserve">Bank Indonesia. (2025, October 30).</w:t>
      </w:r>
      <w:r>
        <w:t xml:space="preserve"> </w:t>
      </w:r>
      <w:r>
        <w:rPr>
          <w:iCs/>
          <w:i/>
        </w:rPr>
        <w:t xml:space="preserve">Sinergi jadi energi: Saat UMKM naik kelas lewat digitalisasi</w:t>
      </w:r>
      <w:r>
        <w:t xml:space="preserve"> </w:t>
      </w:r>
      <w:r>
        <w:t xml:space="preserve">[Synergy becomes energy: When small businesses move up through digitalisation] [Cerita BI]. https://www.bi.go.id/id/publikasi/ruang-media/cerita-bi/Pages/Sinergi-Jadi-Energi-Saat-UMKM-Naik-Kelas-Lewat-Digitalisasi.aspx</w:t>
      </w:r>
    </w:p>
    <w:p>
      <w:pPr>
        <w:pStyle w:val="BodyText"/>
        <w:spacing w:after="120"/>
        <w:ind w:left="709" w:hanging="709"/>
        <w:jc w:val="left"/>
      </w:pPr>
      <w:r>
        <w:t xml:space="preserve">Berg, T., Burg, V., Gombović, A., &amp; Puri, M. (2020). On the rise of FinTechs: Credit scoring using digital footprints.</w:t>
      </w:r>
      <w:r>
        <w:t xml:space="preserve"> </w:t>
      </w:r>
      <w:r>
        <w:rPr>
          <w:iCs/>
          <w:i/>
        </w:rPr>
        <w:t xml:space="preserve">The Review of Financial Studies, 33</w:t>
      </w:r>
      <w:r>
        <w:t xml:space="preserve">(7), 2845–2897. https://doi.org/10.1093/rfs/hhz099</w:t>
      </w:r>
    </w:p>
    <w:p>
      <w:pPr>
        <w:pStyle w:val="BodyText"/>
        <w:spacing w:after="120"/>
        <w:ind w:left="709" w:hanging="709"/>
        <w:jc w:val="left"/>
      </w:pPr>
      <w:r>
        <w:t xml:space="preserve">Bowen, R. M., Davis, A. K., &amp; Rajgopal, S. (2002). Determinants of revenue-reporting practices for Internet firms.</w:t>
      </w:r>
      <w:r>
        <w:t xml:space="preserve"> </w:t>
      </w:r>
      <w:r>
        <w:rPr>
          <w:iCs/>
          <w:i/>
        </w:rPr>
        <w:t xml:space="preserve">Contemporary Accounting Research, 19</w:t>
      </w:r>
      <w:r>
        <w:t xml:space="preserve">(4), 523–562. https://doi.org/10.1506/9728-4YG8-GC3L-FPFA</w:t>
      </w:r>
    </w:p>
    <w:p>
      <w:pPr>
        <w:pStyle w:val="BodyText"/>
        <w:spacing w:after="120"/>
        <w:ind w:left="709" w:hanging="709"/>
        <w:jc w:val="left"/>
      </w:pPr>
      <w:r>
        <w:t xml:space="preserve">BPS-Statistics Indonesia. (2023).</w:t>
      </w:r>
      <w:r>
        <w:t xml:space="preserve"> </w:t>
      </w:r>
      <w:r>
        <w:rPr>
          <w:iCs/>
          <w:i/>
        </w:rPr>
        <w:t xml:space="preserve">Peraturan Badan Pusat Statistik Nomor 4 Tahun 2023 tentang penyampaian dan pengelolaan data dan/atau informasi perdagangan melalui sistem elektronik</w:t>
      </w:r>
      <w:r>
        <w:t xml:space="preserve"> </w:t>
      </w:r>
      <w:r>
        <w:t xml:space="preserve">[BPS Regulation No. 4 of 2023 on the submission and management of e-commerce data and/or information]. Berita Negara Republik Indonesia Tahun 2023 Nomor 257. https://jdih.bps.go.id</w:t>
      </w:r>
    </w:p>
    <w:p>
      <w:pPr>
        <w:pStyle w:val="BodyText"/>
        <w:spacing w:after="120"/>
        <w:ind w:left="709" w:hanging="709"/>
        <w:jc w:val="left"/>
      </w:pPr>
      <w:r>
        <w:t xml:space="preserve">BPS-Statistics Indonesia. (2025a).</w:t>
      </w:r>
      <w:r>
        <w:t xml:space="preserve"> </w:t>
      </w:r>
      <w:r>
        <w:rPr>
          <w:iCs/>
          <w:i/>
        </w:rPr>
        <w:t xml:space="preserve">Statistik e-commerce 2023</w:t>
      </w:r>
      <w:r>
        <w:t xml:space="preserve"> </w:t>
      </w:r>
      <w:r>
        <w:t xml:space="preserve">[E-commerce statistics 2023]. https://www.bps.go.id/id/publication/2025/01/30/d52af11843aee401403ecfa6/statistik-e-commerce-2023.html</w:t>
      </w:r>
    </w:p>
    <w:p>
      <w:pPr>
        <w:pStyle w:val="BodyText"/>
        <w:spacing w:after="120"/>
        <w:ind w:left="709" w:hanging="709"/>
        <w:jc w:val="left"/>
      </w:pPr>
      <w:r>
        <w:t xml:space="preserve">BPS-Statistics Indonesia. (2025b).</w:t>
      </w:r>
      <w:r>
        <w:t xml:space="preserve"> </w:t>
      </w:r>
      <w:r>
        <w:rPr>
          <w:iCs/>
          <w:i/>
        </w:rPr>
        <w:t xml:space="preserve">Statistik e-commerce 2024</w:t>
      </w:r>
      <w:r>
        <w:t xml:space="preserve"> </w:t>
      </w:r>
      <w:r>
        <w:t xml:space="preserve">[E-commerce statistics 2024]. https://www.bps.go.id/id/publication/2025/11/28/647323224ecc656c2933571b/statistik-e-commerce-2024.html</w:t>
      </w:r>
    </w:p>
    <w:p>
      <w:pPr>
        <w:pStyle w:val="BodyText"/>
        <w:spacing w:after="120"/>
        <w:ind w:left="709" w:hanging="709"/>
        <w:jc w:val="left"/>
      </w:pPr>
      <w:r>
        <w:t xml:space="preserve">van den Brakel, J., Smith, P. A., &amp; Compton, S. (2008). Quality procedures for survey transitions: Experiments, time series and discontinuities.</w:t>
      </w:r>
      <w:r>
        <w:t xml:space="preserve"> </w:t>
      </w:r>
      <w:r>
        <w:rPr>
          <w:iCs/>
          <w:i/>
        </w:rPr>
        <w:t xml:space="preserve">Survey Research Methods, 2</w:t>
      </w:r>
      <w:r>
        <w:t xml:space="preserve">(3), 123–141. https://doi.org/10.18148/srm/2008.v2i3.68</w:t>
      </w:r>
    </w:p>
    <w:p>
      <w:pPr>
        <w:pStyle w:val="BodyText"/>
        <w:spacing w:after="120"/>
        <w:ind w:left="709" w:hanging="709"/>
        <w:jc w:val="left"/>
      </w:pPr>
      <w:r>
        <w:t xml:space="preserve">van den Brakel, J., Zhang, X., &amp; Tam, S.-M. (2020). Measuring discontinuities in time series obtained with repeated sample surveys.</w:t>
      </w:r>
      <w:r>
        <w:t xml:space="preserve"> </w:t>
      </w:r>
      <w:r>
        <w:rPr>
          <w:iCs/>
          <w:i/>
        </w:rPr>
        <w:t xml:space="preserve">International Statistical Review, 88</w:t>
      </w:r>
      <w:r>
        <w:t xml:space="preserve">(1), 155–175. https://doi.org/10.1111/insr.12347</w:t>
      </w:r>
    </w:p>
    <w:p>
      <w:pPr>
        <w:pStyle w:val="BodyText"/>
        <w:spacing w:after="120"/>
        <w:ind w:left="709" w:hanging="709"/>
        <w:jc w:val="left"/>
      </w:pPr>
      <w:r>
        <w:t xml:space="preserve">Bureau of Internal Revenue. (2023).</w:t>
      </w:r>
      <w:r>
        <w:t xml:space="preserve"> </w:t>
      </w:r>
      <w:r>
        <w:rPr>
          <w:iCs/>
          <w:i/>
        </w:rPr>
        <w:t xml:space="preserve">Revenue Regulations No. 16-2023</w:t>
      </w:r>
      <w:r>
        <w:t xml:space="preserve"> </w:t>
      </w:r>
      <w:r>
        <w:t xml:space="preserve">[Issued December 21, 2023]. Republic of the Philippines. [Primary text not retrieved; details from Cordero, T. (2023, December 29), BIR subjects online sellers to 1% withholding tax,</w:t>
      </w:r>
      <w:r>
        <w:t xml:space="preserve"> </w:t>
      </w:r>
      <w:r>
        <w:rPr>
          <w:iCs/>
          <w:i/>
        </w:rPr>
        <w:t xml:space="preserve">GMA News</w:t>
      </w:r>
      <w:r>
        <w:t xml:space="preserve">, https://www.gmanetwork.com/news/money/economy/892606/bir-subjects-online-sellers-to-1-withholding-tax/story/]</w:t>
      </w:r>
    </w:p>
    <w:p>
      <w:pPr>
        <w:pStyle w:val="BodyText"/>
        <w:spacing w:after="120"/>
        <w:ind w:left="709" w:hanging="709"/>
        <w:jc w:val="left"/>
      </w:pPr>
      <w:r>
        <w:t xml:space="preserve">Caillaud, B., &amp; Jullien, B. (2003). Chicken &amp; egg: Competition among intermediation service providers.</w:t>
      </w:r>
      <w:r>
        <w:t xml:space="preserve"> </w:t>
      </w:r>
      <w:r>
        <w:rPr>
          <w:iCs/>
          <w:i/>
        </w:rPr>
        <w:t xml:space="preserve">The RAND Journal of Economics, 34</w:t>
      </w:r>
      <w:r>
        <w:t xml:space="preserve">(2), 309–328. https://doi.org/10.2307/1593720</w:t>
      </w:r>
    </w:p>
    <w:p>
      <w:pPr>
        <w:pStyle w:val="BodyText"/>
        <w:spacing w:after="120"/>
        <w:ind w:left="709" w:hanging="709"/>
        <w:jc w:val="left"/>
      </w:pPr>
      <w:r>
        <w:t xml:space="preserve">CNN Indonesia. (2026a, May 8).</w:t>
      </w:r>
      <w:r>
        <w:t xml:space="preserve"> </w:t>
      </w:r>
      <w:r>
        <w:rPr>
          <w:iCs/>
          <w:i/>
        </w:rPr>
        <w:t xml:space="preserve">Pemerintah ogah atur tarif admin Shopee-TikTok Shop usai seller ngeluh</w:t>
      </w:r>
      <w:r>
        <w:t xml:space="preserve"> </w:t>
      </w:r>
      <w:r>
        <w:t xml:space="preserve">[Government declines to regulate Shopee and TikTok Shop admin fees after sellers complain]. https://www.cnnindonesia.com/ekonomi/20260507165414-92-1356232/pemerintah-ogah-atur-tarif-admin-shopee-cs-meski-dikeluhkan-seller</w:t>
      </w:r>
    </w:p>
    <w:p>
      <w:pPr>
        <w:pStyle w:val="BodyText"/>
        <w:spacing w:after="120"/>
        <w:ind w:left="709" w:hanging="709"/>
        <w:jc w:val="left"/>
      </w:pPr>
      <w:r>
        <w:t xml:space="preserve">CNN Indonesia. (2026b, October 9).</w:t>
      </w:r>
      <w:r>
        <w:t xml:space="preserve"> </w:t>
      </w:r>
      <w:r>
        <w:rPr>
          <w:iCs/>
          <w:i/>
        </w:rPr>
        <w:t xml:space="preserve">Perpres ojol terbit, tegaskan potongan 8% dan tarif diatur Kemenhub</w:t>
      </w:r>
      <w:r>
        <w:t xml:space="preserve"> </w:t>
      </w:r>
      <w:r>
        <w:t xml:space="preserve">[Ojol regulation issued, confirms the 8% cut and fares set by the transport ministry]. https://www.cnnindonesia.com/otomotif/20261009100050-579-1413414/perpres-ojol-terbit-tegaskan-potongan-8-dan-tarif-diatur-kemenhub</w:t>
      </w:r>
    </w:p>
    <w:p>
      <w:pPr>
        <w:pStyle w:val="BodyText"/>
        <w:spacing w:after="120"/>
        <w:ind w:left="709" w:hanging="709"/>
        <w:jc w:val="left"/>
      </w:pPr>
      <w:r>
        <w:t xml:space="preserve">Davis, A. K. (2002). The value relevance of revenue for Internet firms: Does reporting grossed-up or barter revenue make a difference?</w:t>
      </w:r>
      <w:r>
        <w:t xml:space="preserve"> </w:t>
      </w:r>
      <w:r>
        <w:rPr>
          <w:iCs/>
          <w:i/>
        </w:rPr>
        <w:t xml:space="preserve">Journal of Accounting Research, 40</w:t>
      </w:r>
      <w:r>
        <w:t xml:space="preserve">(2), 445–477. https://doi.org/10.1111/1475-679X.00056</w:t>
      </w:r>
    </w:p>
    <w:p>
      <w:pPr>
        <w:pStyle w:val="BodyText"/>
        <w:spacing w:after="120"/>
        <w:ind w:left="709" w:hanging="709"/>
        <w:jc w:val="left"/>
      </w:pPr>
      <w:r>
        <w:t xml:space="preserve">Directorate General of Taxes. (2025, January 20).</w:t>
      </w:r>
      <w:r>
        <w:t xml:space="preserve"> </w:t>
      </w:r>
      <w:r>
        <w:rPr>
          <w:iCs/>
          <w:i/>
        </w:rPr>
        <w:t xml:space="preserve">Pajak atas usaha ekonomi digital terkini: 32,32 triliun</w:t>
      </w:r>
      <w:r>
        <w:t xml:space="preserve"> </w:t>
      </w:r>
      <w:r>
        <w:t xml:space="preserve">[Latest tax from the digital economy: Rp32.32 trillion] (Press Release No. SP-1/2025). Ministry of Finance of the Republic of Indonesia. https://pajak.go.id/id/siaran-pers/pajak-atas-usaha-ekonomi-digital-terkini-3232-triliun</w:t>
      </w:r>
    </w:p>
    <w:p>
      <w:pPr>
        <w:pStyle w:val="BodyText"/>
        <w:spacing w:after="120"/>
        <w:ind w:left="709" w:hanging="709"/>
        <w:jc w:val="left"/>
      </w:pPr>
      <w:r>
        <w:t xml:space="preserve">Directorate General of Taxes. (2026a, July 1).</w:t>
      </w:r>
      <w:r>
        <w:t xml:space="preserve"> </w:t>
      </w:r>
      <w:r>
        <w:rPr>
          <w:iCs/>
          <w:i/>
        </w:rPr>
        <w:t xml:space="preserve">Pemerintah implementasikan PMK 37/2025 melalui penunjukan empat marketplace sebagai pemungut PPh</w:t>
      </w:r>
      <w:r>
        <w:t xml:space="preserve"> </w:t>
      </w:r>
      <w:r>
        <w:t xml:space="preserve">[Government implements Finance Minister Regulation 37/2025 by designating four marketplaces as income tax collectors] (Press Release No. SP-14/2026). Ministry of Finance of the Republic of Indonesia. https://www.pajak.go.id/en/node/120146</w:t>
      </w:r>
    </w:p>
    <w:p>
      <w:pPr>
        <w:pStyle w:val="BodyText"/>
        <w:spacing w:after="120"/>
        <w:ind w:left="709" w:hanging="709"/>
        <w:jc w:val="left"/>
      </w:pPr>
      <w:r>
        <w:t xml:space="preserve">Directorate General of Taxes. (2026b, August 5).</w:t>
      </w:r>
      <w:r>
        <w:t xml:space="preserve"> </w:t>
      </w:r>
      <w:r>
        <w:rPr>
          <w:iCs/>
          <w:i/>
        </w:rPr>
        <w:t xml:space="preserve">Pengumuman Nomor PENG-46/PJ.09/2026 tentang penundaan waktu pemberlakuan ketentuan pemungutan PPh Pasal 22 oleh marketplace</w:t>
      </w:r>
      <w:r>
        <w:t xml:space="preserve"> </w:t>
      </w:r>
      <w:r>
        <w:t xml:space="preserve">[Announcement No. PENG-46/PJ.09/2026 on postponing marketplace collection of income tax Article 22 to 1 November 2026]. Ministry of Finance of the Republic of Indonesia. https://pajak.go.id/en/node/120353</w:t>
      </w:r>
    </w:p>
    <w:p>
      <w:pPr>
        <w:pStyle w:val="BodyText"/>
        <w:spacing w:after="120"/>
        <w:ind w:left="709" w:hanging="709"/>
        <w:jc w:val="left"/>
      </w:pPr>
      <w:r>
        <w:t xml:space="preserve">Directorate General of Taxes. (2026c, October 1).</w:t>
      </w:r>
      <w:r>
        <w:t xml:space="preserve"> </w:t>
      </w:r>
      <w:r>
        <w:rPr>
          <w:iCs/>
          <w:i/>
        </w:rPr>
        <w:t xml:space="preserve">Pemungutan PPh Pasal 22 melalui marketplace mulai dilaksanakan 1 Oktober 2026</w:t>
      </w:r>
      <w:r>
        <w:t xml:space="preserve"> </w:t>
      </w:r>
      <w:r>
        <w:t xml:space="preserve">[Marketplace collection of income tax begins 1 October 2026] [Press release]. Ministry of Finance of the Republic of Indonesia. https://pajak.go.id/en/node/120661</w:t>
      </w:r>
    </w:p>
    <w:p>
      <w:pPr>
        <w:pStyle w:val="BodyText"/>
        <w:spacing w:after="120"/>
        <w:ind w:left="709" w:hanging="709"/>
        <w:jc w:val="left"/>
      </w:pPr>
      <w:r>
        <w:t xml:space="preserve">European Commission, International Monetary Fund, Organisation for Economic Co-operation and Development, United Nations, &amp; World Bank. (2025).</w:t>
      </w:r>
      <w:r>
        <w:t xml:space="preserve"> </w:t>
      </w:r>
      <w:r>
        <w:rPr>
          <w:iCs/>
          <w:i/>
        </w:rPr>
        <w:t xml:space="preserve">System of national accounts 2025</w:t>
      </w:r>
      <w:r>
        <w:t xml:space="preserve"> </w:t>
      </w:r>
      <w:r>
        <w:t xml:space="preserve">(Pre-edit version; Studies in Methods, Series F, No. 2/Rev.6). United Nations. https://doi.org/10.18356/9789211073225</w:t>
      </w:r>
    </w:p>
    <w:p>
      <w:pPr>
        <w:pStyle w:val="BodyText"/>
        <w:spacing w:after="120"/>
        <w:ind w:left="709" w:hanging="709"/>
        <w:jc w:val="left"/>
      </w:pPr>
      <w:r>
        <w:t xml:space="preserve">European Union. (2021). Council Directive (EU) 2021/514 of 22 March 2021 amending Directive 2011/16/EU on administrative cooperation in the field of taxation.</w:t>
      </w:r>
      <w:r>
        <w:t xml:space="preserve"> </w:t>
      </w:r>
      <w:r>
        <w:rPr>
          <w:iCs/>
          <w:i/>
        </w:rPr>
        <w:t xml:space="preserve">Official Journal of the European Union, L 104</w:t>
      </w:r>
      <w:r>
        <w:t xml:space="preserve">, 25 March 2021. https://eur-lex.europa.eu/eli/dir/2021/514/oj</w:t>
      </w:r>
    </w:p>
    <w:p>
      <w:pPr>
        <w:pStyle w:val="BodyText"/>
        <w:spacing w:after="120"/>
        <w:ind w:left="709" w:hanging="709"/>
        <w:jc w:val="left"/>
      </w:pPr>
      <w:r>
        <w:t xml:space="preserve">Evans, D. S., &amp; Schmalensee, R. (2016).</w:t>
      </w:r>
      <w:r>
        <w:t xml:space="preserve"> </w:t>
      </w:r>
      <w:r>
        <w:rPr>
          <w:iCs/>
          <w:i/>
        </w:rPr>
        <w:t xml:space="preserve">Matchmakers: The new economics of multisided platforms</w:t>
      </w:r>
      <w:r>
        <w:t xml:space="preserve">. Harvard Business Review Press.</w:t>
      </w:r>
    </w:p>
    <w:p>
      <w:pPr>
        <w:pStyle w:val="BodyText"/>
        <w:spacing w:after="120"/>
        <w:ind w:left="709" w:hanging="709"/>
        <w:jc w:val="left"/>
      </w:pPr>
      <w:r>
        <w:t xml:space="preserve">Givoly, D., Li, Y., Lourie, B., &amp; Nekrasov, A. (2019). Key performance indicators as supplements to earnings: Incremental informativeness, demand factors, measurement issues, and properties of their forecasts.</w:t>
      </w:r>
      <w:r>
        <w:t xml:space="preserve"> </w:t>
      </w:r>
      <w:r>
        <w:rPr>
          <w:iCs/>
          <w:i/>
        </w:rPr>
        <w:t xml:space="preserve">Review of Accounting Studies, 24</w:t>
      </w:r>
      <w:r>
        <w:t xml:space="preserve">(4), 1147–1183. https://doi.org/10.1007/s11142-019-09514-y</w:t>
      </w:r>
    </w:p>
    <w:p>
      <w:pPr>
        <w:pStyle w:val="BodyText"/>
        <w:spacing w:after="120"/>
        <w:ind w:left="709" w:hanging="709"/>
        <w:jc w:val="left"/>
      </w:pPr>
      <w:r>
        <w:t xml:space="preserve">Google, Temasek, &amp; Bain &amp; Company. (2024).</w:t>
      </w:r>
      <w:r>
        <w:t xml:space="preserve"> </w:t>
      </w:r>
      <w:r>
        <w:rPr>
          <w:iCs/>
          <w:i/>
        </w:rPr>
        <w:t xml:space="preserve">e-Conomy SEA 2024: Profits on the rise, harnessing SEA’s advantage</w:t>
      </w:r>
      <w:r>
        <w:t xml:space="preserve">. https://services.google.com/fh/files/misc/e_conomy_sea_2024_report.pdf</w:t>
      </w:r>
    </w:p>
    <w:p>
      <w:pPr>
        <w:pStyle w:val="BodyText"/>
        <w:spacing w:after="120"/>
        <w:ind w:left="709" w:hanging="709"/>
        <w:jc w:val="left"/>
      </w:pPr>
      <w:r>
        <w:t xml:space="preserve">GoTo Gojek Tokopedia. (2024a, March 19).</w:t>
      </w:r>
      <w:r>
        <w:t xml:space="preserve"> </w:t>
      </w:r>
      <w:r>
        <w:rPr>
          <w:iCs/>
          <w:i/>
        </w:rPr>
        <w:t xml:space="preserve">GoTo Group turns adjusted EBITDA positive, surpassing full year guidance as company reports 2023 fourth quarter and full year results</w:t>
      </w:r>
      <w:r>
        <w:t xml:space="preserve"> </w:t>
      </w:r>
      <w:r>
        <w:t xml:space="preserve">[Press release]. https://content.goinfra.co.id/asts/GoTo%20FY2023%204Q2023%20Press%20Release.pdf</w:t>
      </w:r>
    </w:p>
    <w:p>
      <w:pPr>
        <w:pStyle w:val="BodyText"/>
        <w:spacing w:after="120"/>
        <w:ind w:left="709" w:hanging="709"/>
        <w:jc w:val="left"/>
      </w:pPr>
      <w:r>
        <w:t xml:space="preserve">GoTo Gojek Tokopedia. (2024b).</w:t>
      </w:r>
      <w:r>
        <w:t xml:space="preserve"> </w:t>
      </w:r>
      <w:r>
        <w:rPr>
          <w:iCs/>
          <w:i/>
        </w:rPr>
        <w:t xml:space="preserve">2023 annual report: Transformation for progress</w:t>
      </w:r>
      <w:r>
        <w:t xml:space="preserve">. PT GoTo Gojek Tokopedia Tbk. https://content.goinfra.co.id/asts/InvestorRelation/AnnualReport/GOTO_Laporan%20Tahunan_2023.pdf</w:t>
      </w:r>
    </w:p>
    <w:p>
      <w:pPr>
        <w:pStyle w:val="BodyText"/>
        <w:spacing w:after="120"/>
        <w:ind w:left="709" w:hanging="709"/>
        <w:jc w:val="left"/>
      </w:pPr>
      <w:r>
        <w:t xml:space="preserve">GoTo Gojek Tokopedia. (2026, July 29).</w:t>
      </w:r>
      <w:r>
        <w:t xml:space="preserve"> </w:t>
      </w:r>
      <w:r>
        <w:rPr>
          <w:iCs/>
          <w:i/>
        </w:rPr>
        <w:t xml:space="preserve">PT GoTo Gojek Tokopedia 2Q26 earnings call transcript</w:t>
      </w:r>
      <w:r>
        <w:t xml:space="preserve"> </w:t>
      </w:r>
      <w:r>
        <w:t xml:space="preserve">[Transcript]. https://content.goinfra.co.id/asts/InvestorRelation/FinancialInformation/2026-07-31/PT%20GoTo%20Gojek%20Tokopedia%202Q26%20Earnings%20Call%20Transcript.pdf</w:t>
      </w:r>
    </w:p>
    <w:p>
      <w:pPr>
        <w:pStyle w:val="BodyText"/>
        <w:spacing w:after="120"/>
        <w:ind w:left="709" w:hanging="709"/>
        <w:jc w:val="left"/>
      </w:pPr>
      <w:r>
        <w:t xml:space="preserve">Government of the Republic of Indonesia. (2026).</w:t>
      </w:r>
      <w:r>
        <w:t xml:space="preserve"> </w:t>
      </w:r>
      <w:r>
        <w:rPr>
          <w:iCs/>
          <w:i/>
        </w:rPr>
        <w:t xml:space="preserve">Peraturan Pemerintah Nomor 20 Tahun 2026 tentang perubahan atas Peraturan Pemerintah Nomor 55 Tahun 2022 tentang penyesuaian pengaturan di bidang pajak penghasilan</w:t>
      </w:r>
      <w:r>
        <w:t xml:space="preserve"> </w:t>
      </w:r>
      <w:r>
        <w:t xml:space="preserve">[Government Regulation No. 20 of 2026 amending Government Regulation No. 55 of 2022 on adjustments to income tax rules]. Lembaran Negara Republik Indonesia Tahun 2026 Nomor 43. https://jdih.kemenkeu.go.id/dok/pp-20-tahun-2026</w:t>
      </w:r>
    </w:p>
    <w:p>
      <w:pPr>
        <w:pStyle w:val="BodyText"/>
        <w:spacing w:after="120"/>
        <w:ind w:left="709" w:hanging="709"/>
        <w:jc w:val="left"/>
      </w:pPr>
      <w:r>
        <w:t xml:space="preserve">Government of Viet Nam. (2025).</w:t>
      </w:r>
      <w:r>
        <w:t xml:space="preserve"> </w:t>
      </w:r>
      <w:r>
        <w:rPr>
          <w:iCs/>
          <w:i/>
        </w:rPr>
        <w:t xml:space="preserve">Nghị định số 117/2025/NĐ-CP quy định quản lý thuế đối với hoạt động kinh doanh trên nền tảng thương mại điện tử, nền tảng số của hộ, cá nhân</w:t>
      </w:r>
      <w:r>
        <w:t xml:space="preserve"> </w:t>
      </w:r>
      <w:r>
        <w:t xml:space="preserve">[Decree No. 117/2025/ND-CP on tax administration for business activities on e-commerce and digital platforms of households and individuals; issued June 9, 2025; effective July 1, 2025]. https://datafiles.chinhphu.vn/cpp/files/vbpq/2025/6/117-ndcp.signed.pdf</w:t>
      </w:r>
    </w:p>
    <w:p>
      <w:pPr>
        <w:pStyle w:val="BodyText"/>
        <w:spacing w:after="120"/>
        <w:ind w:left="709" w:hanging="709"/>
        <w:jc w:val="left"/>
      </w:pPr>
      <w:r>
        <w:t xml:space="preserve">Grab Holdings Limited. (2026, August 3).</w:t>
      </w:r>
      <w:r>
        <w:t xml:space="preserve"> </w:t>
      </w:r>
      <w:r>
        <w:rPr>
          <w:iCs/>
          <w:i/>
        </w:rPr>
        <w:t xml:space="preserve">Grab (GRAB) Q2 2026 earnings call transcript</w:t>
      </w:r>
      <w:r>
        <w:t xml:space="preserve"> </w:t>
      </w:r>
      <w:r>
        <w:t xml:space="preserve">[Transcript]. The Motley Fool via AOL. https://www.aol.com/articles/grab-grab-q2-2026-earnings-141515000.html [Third-party transcript by The Motley Fool, published August 11, 2026]</w:t>
      </w:r>
    </w:p>
    <w:p>
      <w:pPr>
        <w:pStyle w:val="BodyText"/>
        <w:spacing w:after="120"/>
        <w:ind w:left="709" w:hanging="709"/>
        <w:jc w:val="left"/>
      </w:pPr>
      <w:r>
        <w:t xml:space="preserve">Hagiu, A., &amp; Wright, J. (2015). Multi-sided platforms.</w:t>
      </w:r>
      <w:r>
        <w:t xml:space="preserve"> </w:t>
      </w:r>
      <w:r>
        <w:rPr>
          <w:iCs/>
          <w:i/>
        </w:rPr>
        <w:t xml:space="preserve">International Journal of Industrial Organization, 43</w:t>
      </w:r>
      <w:r>
        <w:t xml:space="preserve">, 162–174. https://doi.org/10.1016/j.ijindorg.2015.03.003</w:t>
      </w:r>
    </w:p>
    <w:p>
      <w:pPr>
        <w:pStyle w:val="BodyText"/>
        <w:spacing w:after="120"/>
        <w:ind w:left="709" w:hanging="709"/>
        <w:jc w:val="left"/>
      </w:pPr>
      <w:r>
        <w:t xml:space="preserve">Henderson, J. V., Storeygard, A., &amp; Weil, D. N. (2012). Measuring economic growth from outer space.</w:t>
      </w:r>
      <w:r>
        <w:t xml:space="preserve"> </w:t>
      </w:r>
      <w:r>
        <w:rPr>
          <w:iCs/>
          <w:i/>
        </w:rPr>
        <w:t xml:space="preserve">American Economic Review, 102</w:t>
      </w:r>
      <w:r>
        <w:t xml:space="preserve">(2), 994–1028. https://doi.org/10.1257/aer.102.2.994</w:t>
      </w:r>
    </w:p>
    <w:p>
      <w:pPr>
        <w:pStyle w:val="BodyText"/>
        <w:spacing w:after="120"/>
        <w:ind w:left="709" w:hanging="709"/>
        <w:jc w:val="left"/>
      </w:pPr>
      <w:r>
        <w:t xml:space="preserve">Hummels, D., &amp; Klenow, P. J. (2005). The variety and quality of a nation’s exports.</w:t>
      </w:r>
      <w:r>
        <w:t xml:space="preserve"> </w:t>
      </w:r>
      <w:r>
        <w:rPr>
          <w:iCs/>
          <w:i/>
        </w:rPr>
        <w:t xml:space="preserve">American Economic Review, 95</w:t>
      </w:r>
      <w:r>
        <w:t xml:space="preserve">(3), 704–723. https://doi.org/10.1257/0002828054201396</w:t>
      </w:r>
    </w:p>
    <w:p>
      <w:pPr>
        <w:pStyle w:val="BodyText"/>
        <w:spacing w:after="120"/>
        <w:ind w:left="709" w:hanging="709"/>
        <w:jc w:val="left"/>
      </w:pPr>
      <w:r>
        <w:t xml:space="preserve">International Accounting Standards Board. (2014).</w:t>
      </w:r>
      <w:r>
        <w:t xml:space="preserve"> </w:t>
      </w:r>
      <w:r>
        <w:rPr>
          <w:iCs/>
          <w:i/>
        </w:rPr>
        <w:t xml:space="preserve">IFRS 15 Revenue from contracts with customers</w:t>
      </w:r>
      <w:r>
        <w:t xml:space="preserve">. IFRS Foundation. https://www.ifrs.org/issued-standards/list-of-standards/ifrs-15-revenue-from-contracts-with-customers/</w:t>
      </w:r>
    </w:p>
    <w:p>
      <w:pPr>
        <w:pStyle w:val="BodyText"/>
        <w:spacing w:after="120"/>
        <w:ind w:left="709" w:hanging="709"/>
        <w:jc w:val="left"/>
      </w:pPr>
      <w:r>
        <w:t xml:space="preserve">International Monetary Fund. (2018).</w:t>
      </w:r>
      <w:r>
        <w:t xml:space="preserve"> </w:t>
      </w:r>
      <w:r>
        <w:rPr>
          <w:iCs/>
          <w:i/>
        </w:rPr>
        <w:t xml:space="preserve">Measuring the digital economy</w:t>
      </w:r>
      <w:r>
        <w:t xml:space="preserve"> </w:t>
      </w:r>
      <w:r>
        <w:t xml:space="preserve">(IMF Policy Paper). https://doi.org/10.5089/9781498307369.007</w:t>
      </w:r>
    </w:p>
    <w:p>
      <w:pPr>
        <w:pStyle w:val="BodyText"/>
        <w:spacing w:after="120"/>
        <w:ind w:left="709" w:hanging="709"/>
        <w:jc w:val="left"/>
      </w:pPr>
      <w:r>
        <w:t xml:space="preserve">Islamiati, S. R. (2025, August 6). Celios ungkap dampak biaya pemrosesan e-commerce bagi seller dan konsumen [Celios on the effect of e-commerce processing fees on sellers and consumers].</w:t>
      </w:r>
      <w:r>
        <w:t xml:space="preserve"> </w:t>
      </w:r>
      <w:r>
        <w:rPr>
          <w:iCs/>
          <w:i/>
        </w:rPr>
        <w:t xml:space="preserve">Kontan</w:t>
      </w:r>
      <w:r>
        <w:t xml:space="preserve">. https://industri.kontan.co.id/news/celios-ungkap-dampak-biaya-pemrosesan-e-commerce-bagi-seller-dan-konsumen</w:t>
      </w:r>
    </w:p>
    <w:p>
      <w:pPr>
        <w:pStyle w:val="BodyText"/>
        <w:spacing w:after="120"/>
        <w:ind w:left="709" w:hanging="709"/>
        <w:jc w:val="left"/>
      </w:pPr>
      <w:r>
        <w:t xml:space="preserve">KabarBursa. (2024, January 18).</w:t>
      </w:r>
      <w:r>
        <w:t xml:space="preserve"> </w:t>
      </w:r>
      <w:r>
        <w:rPr>
          <w:iCs/>
          <w:i/>
        </w:rPr>
        <w:t xml:space="preserve">Sepanjang 2023 transaksi eCommerce tembus Rp453,75 triliun</w:t>
      </w:r>
      <w:r>
        <w:t xml:space="preserve"> </w:t>
      </w:r>
      <w:r>
        <w:t xml:space="preserve">[E-commerce transactions reached Rp453.75 trillion in 2023]. https://www.kabarbursa.com/market-hari-ini/sepanjang-2023-transaksi-ecommerce-tembus-rp45375-triliun</w:t>
      </w:r>
    </w:p>
    <w:p>
      <w:pPr>
        <w:pStyle w:val="BodyText"/>
        <w:spacing w:after="120"/>
        <w:ind w:left="709" w:hanging="709"/>
        <w:jc w:val="left"/>
      </w:pPr>
      <w:r>
        <w:t xml:space="preserve">Kleven, H. J., Knudsen, M. B., Kreiner, C. T., Pedersen, S., &amp; Saez, E. (2011). Unwilling or unable to cheat? Evidence from a tax audit experiment in Denmark.</w:t>
      </w:r>
      <w:r>
        <w:t xml:space="preserve"> </w:t>
      </w:r>
      <w:r>
        <w:rPr>
          <w:iCs/>
          <w:i/>
        </w:rPr>
        <w:t xml:space="preserve">Econometrica, 79</w:t>
      </w:r>
      <w:r>
        <w:t xml:space="preserve">(3), 651–692. https://doi.org/10.3982/ECTA9113</w:t>
      </w:r>
    </w:p>
    <w:p>
      <w:pPr>
        <w:pStyle w:val="BodyText"/>
        <w:spacing w:after="120"/>
        <w:ind w:left="709" w:hanging="709"/>
        <w:jc w:val="left"/>
      </w:pPr>
      <w:r>
        <w:t xml:space="preserve">Li, Z., &amp; Wang, G. (2025). Regulating powerful platforms: Evidence from commission fee caps.</w:t>
      </w:r>
      <w:r>
        <w:t xml:space="preserve"> </w:t>
      </w:r>
      <w:r>
        <w:rPr>
          <w:iCs/>
          <w:i/>
        </w:rPr>
        <w:t xml:space="preserve">Information Systems Research, 36</w:t>
      </w:r>
      <w:r>
        <w:t xml:space="preserve">(1), 126–140. https://doi.org/10.1287/isre.2022.0191</w:t>
      </w:r>
    </w:p>
    <w:p>
      <w:pPr>
        <w:pStyle w:val="BodyText"/>
        <w:spacing w:after="120"/>
        <w:ind w:left="709" w:hanging="709"/>
        <w:jc w:val="left"/>
      </w:pPr>
      <w:r>
        <w:t xml:space="preserve">Mandagie, S. (2023, October 6). Reg 31/2023: The regulation behind TikTok Shop’s closure in Indonesia.</w:t>
      </w:r>
      <w:r>
        <w:t xml:space="preserve"> </w:t>
      </w:r>
      <w:r>
        <w:rPr>
          <w:iCs/>
          <w:i/>
        </w:rPr>
        <w:t xml:space="preserve">KrASIA</w:t>
      </w:r>
      <w:r>
        <w:t xml:space="preserve">. https://kr-asia.com/reg-31-2023-the-regulation-behind-tiktok-shops-closure-in-indonesia</w:t>
      </w:r>
    </w:p>
    <w:p>
      <w:pPr>
        <w:pStyle w:val="BodyText"/>
        <w:spacing w:after="120"/>
        <w:ind w:left="709" w:hanging="709"/>
        <w:jc w:val="left"/>
      </w:pPr>
      <w:r>
        <w:t xml:space="preserve">Mann, H. B., &amp; Whitney, D. R. (1947). On a test of whether one of two random variables is stochastically larger than the other.</w:t>
      </w:r>
      <w:r>
        <w:t xml:space="preserve"> </w:t>
      </w:r>
      <w:r>
        <w:rPr>
          <w:iCs/>
          <w:i/>
        </w:rPr>
        <w:t xml:space="preserve">The Annals of Mathematical Statistics, 18</w:t>
      </w:r>
      <w:r>
        <w:t xml:space="preserve">(1), 50–60. https://doi.org/10.1214/aoms/1177730491</w:t>
      </w:r>
    </w:p>
    <w:p>
      <w:pPr>
        <w:pStyle w:val="BodyText"/>
        <w:spacing w:after="120"/>
        <w:ind w:left="709" w:hanging="709"/>
        <w:jc w:val="left"/>
      </w:pPr>
      <w:r>
        <w:t xml:space="preserve">McKenzie, D., &amp; Paffhausen, A. L. (2019). Small firm death in developing countries.</w:t>
      </w:r>
      <w:r>
        <w:t xml:space="preserve"> </w:t>
      </w:r>
      <w:r>
        <w:rPr>
          <w:iCs/>
          <w:i/>
        </w:rPr>
        <w:t xml:space="preserve">The Review of Economics and Statistics, 101</w:t>
      </w:r>
      <w:r>
        <w:t xml:space="preserve">(4), 645–657. https://doi.org/10.1162/rest_a_00798</w:t>
      </w:r>
    </w:p>
    <w:p>
      <w:pPr>
        <w:pStyle w:val="BodyText"/>
        <w:spacing w:after="120"/>
        <w:ind w:left="709" w:hanging="709"/>
        <w:jc w:val="left"/>
      </w:pPr>
      <w:r>
        <w:t xml:space="preserve">Ministry of Finance of the Republic of Indonesia. (2025).</w:t>
      </w:r>
      <w:r>
        <w:t xml:space="preserve"> </w:t>
      </w:r>
      <w:r>
        <w:rPr>
          <w:iCs/>
          <w:i/>
        </w:rPr>
        <w:t xml:space="preserve">Peraturan Menteri Keuangan Nomor 37 Tahun 2025 tentang penunjukan pihak lain sebagai pemungut pajak penghasilan serta tata cara pemungutan, penyetoran, dan pelaporan pajak penghasilan yang dipungut oleh pihak lain atas penghasilan yang diterima atau diperoleh pedagang dalam negeri dengan mekanisme perdagangan melalui sistem elektronik</w:t>
      </w:r>
      <w:r>
        <w:t xml:space="preserve"> </w:t>
      </w:r>
      <w:r>
        <w:t xml:space="preserve">[Finance Minister Regulation No. 37 of 2025]. https://jdih.kemenkeu.go.id/dok/pmk-37-tahun-2025</w:t>
      </w:r>
    </w:p>
    <w:p>
      <w:pPr>
        <w:pStyle w:val="BodyText"/>
        <w:spacing w:after="120"/>
        <w:ind w:left="709" w:hanging="709"/>
        <w:jc w:val="left"/>
      </w:pPr>
      <w:r>
        <w:t xml:space="preserve">Ministry of Trade of the Republic of Indonesia. (2023).</w:t>
      </w:r>
      <w:r>
        <w:t xml:space="preserve"> </w:t>
      </w:r>
      <w:r>
        <w:rPr>
          <w:iCs/>
          <w:i/>
        </w:rPr>
        <w:t xml:space="preserve">Peraturan Menteri Perdagangan Nomor 31 Tahun 2023 tentang perizinan berusaha, periklanan, pembinaan, dan pengawasan pelaku usaha dalam perdagangan melalui sistem elektronik</w:t>
      </w:r>
      <w:r>
        <w:t xml:space="preserve"> </w:t>
      </w:r>
      <w:r>
        <w:t xml:space="preserve">[Trade Minister Regulation No. 31 of 2023 on licensing, advertising, guidance and supervision of businesses in e-commerce]. Berita Negara Republik Indonesia Tahun 2023 Nomor 763. https://jdih.kemendag.go.id/peraturan/peraturan-menteri-perdagangan-nomor-31-tahun-2023-tentang-perizinan-berusaha-periklanan-pembinaan-dan-pengawasan-pelaku-usaha-dalam-perdagangan-melalui-sistem-elektronik-1</w:t>
      </w:r>
    </w:p>
    <w:p>
      <w:pPr>
        <w:pStyle w:val="BodyText"/>
        <w:spacing w:after="120"/>
        <w:ind w:left="709" w:hanging="709"/>
        <w:jc w:val="left"/>
      </w:pPr>
      <w:r>
        <w:t xml:space="preserve">Ministry of Trade of the Republic of Indonesia. (2026).</w:t>
      </w:r>
      <w:r>
        <w:t xml:space="preserve"> </w:t>
      </w:r>
      <w:r>
        <w:rPr>
          <w:iCs/>
          <w:i/>
        </w:rPr>
        <w:t xml:space="preserve">Peraturan Menteri Perdagangan Nomor 19 Tahun 2026 tentang penyelenggaraan usaha perdagangan melalui sistem elektronik</w:t>
      </w:r>
      <w:r>
        <w:t xml:space="preserve"> </w:t>
      </w:r>
      <w:r>
        <w:t xml:space="preserve">[Trade Minister Regulation No. 19 of 2026 on conducting e-commerce business]. Berita Negara Republik Indonesia Tahun 2026 Nomor 367. https://jdih.kemendag.go.id/peraturan/peraturan-menteri-perdagangan-republik-indonesia-nomor-19-tahun-2026-tentang-penyelenggaraan-usaha-perdagangan-melalui-sistem-elektronik-1</w:t>
      </w:r>
    </w:p>
    <w:p>
      <w:pPr>
        <w:pStyle w:val="BodyText"/>
        <w:spacing w:after="120"/>
        <w:ind w:left="709" w:hanging="709"/>
        <w:jc w:val="left"/>
      </w:pPr>
      <w:r>
        <w:t xml:space="preserve">Momentum Works. (2024).</w:t>
      </w:r>
      <w:r>
        <w:t xml:space="preserve"> </w:t>
      </w:r>
      <w:r>
        <w:rPr>
          <w:iCs/>
          <w:i/>
        </w:rPr>
        <w:t xml:space="preserve">Ecommerce in Southeast Asia 2024</w:t>
      </w:r>
      <w:r>
        <w:t xml:space="preserve"> </w:t>
      </w:r>
      <w:r>
        <w:t xml:space="preserve">[Report]. https://momentum.asia/insights/detail/ecommerce-in-southeast-asia-2024 [Primary report not seen; figures as quoted in Setyowati (2024)]</w:t>
      </w:r>
    </w:p>
    <w:p>
      <w:pPr>
        <w:pStyle w:val="BodyText"/>
        <w:spacing w:after="120"/>
        <w:ind w:left="709" w:hanging="709"/>
        <w:jc w:val="left"/>
      </w:pPr>
      <w:r>
        <w:t xml:space="preserve">Naritomi, J. (2019). Consumers as tax auditors.</w:t>
      </w:r>
      <w:r>
        <w:t xml:space="preserve"> </w:t>
      </w:r>
      <w:r>
        <w:rPr>
          <w:iCs/>
          <w:i/>
        </w:rPr>
        <w:t xml:space="preserve">American Economic Review, 109</w:t>
      </w:r>
      <w:r>
        <w:t xml:space="preserve">(9), 3031–3072. https://doi.org/10.1257/aer.20160658</w:t>
      </w:r>
    </w:p>
    <w:p>
      <w:pPr>
        <w:pStyle w:val="BodyText"/>
        <w:spacing w:after="120"/>
        <w:ind w:left="709" w:hanging="709"/>
        <w:jc w:val="left"/>
      </w:pPr>
      <w:r>
        <w:t xml:space="preserve">Neter, J., &amp; Waksberg, J. (1964). A study of response errors in expenditures data from household interviews.</w:t>
      </w:r>
      <w:r>
        <w:t xml:space="preserve"> </w:t>
      </w:r>
      <w:r>
        <w:rPr>
          <w:iCs/>
          <w:i/>
        </w:rPr>
        <w:t xml:space="preserve">Journal of the American Statistical Association, 59</w:t>
      </w:r>
      <w:r>
        <w:t xml:space="preserve">(305), 18–55. https://doi.org/10.1080/01621459.1964.10480699</w:t>
      </w:r>
    </w:p>
    <w:p>
      <w:pPr>
        <w:pStyle w:val="BodyText"/>
        <w:spacing w:after="120"/>
        <w:ind w:left="709" w:hanging="709"/>
        <w:jc w:val="left"/>
      </w:pPr>
      <w:r>
        <w:t xml:space="preserve">Organisation for Economic Co-operation and Development. (2020).</w:t>
      </w:r>
      <w:r>
        <w:t xml:space="preserve"> </w:t>
      </w:r>
      <w:r>
        <w:rPr>
          <w:iCs/>
          <w:i/>
        </w:rPr>
        <w:t xml:space="preserve">Model rules for reporting by platform operators with respect to sellers in the sharing and gig economy</w:t>
      </w:r>
      <w:r>
        <w:t xml:space="preserve">. OECD. https://doi.org/10.1787/d7973047-en</w:t>
      </w:r>
    </w:p>
    <w:p>
      <w:pPr>
        <w:pStyle w:val="BodyText"/>
        <w:spacing w:after="120"/>
        <w:ind w:left="709" w:hanging="709"/>
        <w:jc w:val="left"/>
      </w:pPr>
      <w:r>
        <w:t xml:space="preserve">Organisation for Economic Co-operation and Development. (2021).</w:t>
      </w:r>
      <w:r>
        <w:t xml:space="preserve"> </w:t>
      </w:r>
      <w:r>
        <w:rPr>
          <w:iCs/>
          <w:i/>
        </w:rPr>
        <w:t xml:space="preserve">Model reporting rules for digital platforms: International exchange framework and optional module for sale of goods</w:t>
      </w:r>
      <w:r>
        <w:t xml:space="preserve">. OECD. https://doi.org/10.1787/8ffb8d09-en</w:t>
      </w:r>
    </w:p>
    <w:p>
      <w:pPr>
        <w:pStyle w:val="BodyText"/>
        <w:spacing w:after="120"/>
        <w:ind w:left="709" w:hanging="709"/>
        <w:jc w:val="left"/>
      </w:pPr>
      <w:r>
        <w:t xml:space="preserve">Organisation for Economic Co-operation and Development. (2023).</w:t>
      </w:r>
      <w:r>
        <w:t xml:space="preserve"> </w:t>
      </w:r>
      <w:r>
        <w:rPr>
          <w:iCs/>
          <w:i/>
        </w:rPr>
        <w:t xml:space="preserve">OECD handbook on compiling digital supply and use tables</w:t>
      </w:r>
      <w:r>
        <w:t xml:space="preserve">. OECD Publishing. https://doi.org/10.1787/11a0db02-en</w:t>
      </w:r>
    </w:p>
    <w:p>
      <w:pPr>
        <w:pStyle w:val="BodyText"/>
        <w:spacing w:after="120"/>
        <w:ind w:left="709" w:hanging="709"/>
        <w:jc w:val="left"/>
      </w:pPr>
      <w:r>
        <w:t xml:space="preserve">Pomeranz, D. (2015). No taxation without information: Deterrence and self-enforcement in the value added tax.</w:t>
      </w:r>
      <w:r>
        <w:t xml:space="preserve"> </w:t>
      </w:r>
      <w:r>
        <w:rPr>
          <w:iCs/>
          <w:i/>
        </w:rPr>
        <w:t xml:space="preserve">American Economic Review, 105</w:t>
      </w:r>
      <w:r>
        <w:t xml:space="preserve">(8), 2539–2569. https://doi.org/10.1257/aer.20130393</w:t>
      </w:r>
    </w:p>
    <w:p>
      <w:pPr>
        <w:pStyle w:val="BodyText"/>
        <w:spacing w:after="120"/>
        <w:ind w:left="709" w:hanging="709"/>
        <w:jc w:val="left"/>
      </w:pPr>
      <w:r>
        <w:t xml:space="preserve">Rajgopal, S., Venkatachalam, M., &amp; Kotha, S. (2003). The value relevance of network advantages: The case of e-commerce firms.</w:t>
      </w:r>
      <w:r>
        <w:t xml:space="preserve"> </w:t>
      </w:r>
      <w:r>
        <w:rPr>
          <w:iCs/>
          <w:i/>
        </w:rPr>
        <w:t xml:space="preserve">Journal of Accounting Research, 41</w:t>
      </w:r>
      <w:r>
        <w:t xml:space="preserve">(1), 135–162. https://doi.org/10.1111/1475-679X.00099</w:t>
      </w:r>
    </w:p>
    <w:p>
      <w:pPr>
        <w:pStyle w:val="BodyText"/>
        <w:spacing w:after="120"/>
        <w:ind w:left="709" w:hanging="709"/>
        <w:jc w:val="left"/>
      </w:pPr>
      <w:r>
        <w:t xml:space="preserve">Risalah, D. F. (2024, December 10).</w:t>
      </w:r>
      <w:r>
        <w:t xml:space="preserve"> </w:t>
      </w:r>
      <w:r>
        <w:rPr>
          <w:iCs/>
          <w:i/>
        </w:rPr>
        <w:t xml:space="preserve">BPS ungkap pengumpulan data dari pelaku e-commerce masih bermasalah, ini penyebabnya</w:t>
      </w:r>
      <w:r>
        <w:t xml:space="preserve"> </w:t>
      </w:r>
      <w:r>
        <w:t xml:space="preserve">[BPS says data collection from e-commerce operators is still problematic]. Republika. https://ekonomi.republika.co.id/berita/so9pr3490/bps-ungkap-pengumpulan-data-dari-pelaku-ecommerce-masih-bermasalah-ini-penyebabnya</w:t>
      </w:r>
    </w:p>
    <w:p>
      <w:pPr>
        <w:pStyle w:val="BodyText"/>
        <w:spacing w:after="120"/>
        <w:ind w:left="709" w:hanging="709"/>
        <w:jc w:val="left"/>
      </w:pPr>
      <w:r>
        <w:t xml:space="preserve">Rochet, J.-C., &amp; Tirole, J. (2003). Platform competition in two-sided markets.</w:t>
      </w:r>
      <w:r>
        <w:t xml:space="preserve"> </w:t>
      </w:r>
      <w:r>
        <w:rPr>
          <w:iCs/>
          <w:i/>
        </w:rPr>
        <w:t xml:space="preserve">Journal of the European Economic Association, 1</w:t>
      </w:r>
      <w:r>
        <w:t xml:space="preserve">(4), 990–1029. https://doi.org/10.1162/154247603322493212</w:t>
      </w:r>
    </w:p>
    <w:p>
      <w:pPr>
        <w:pStyle w:val="BodyText"/>
        <w:spacing w:after="120"/>
        <w:ind w:left="709" w:hanging="709"/>
        <w:jc w:val="left"/>
      </w:pPr>
      <w:r>
        <w:t xml:space="preserve">Ronal. (2025, May 21). Kemenhub siap bahas tuntutan driver ojol soal potongan tarif aplikasi [Transport ministry ready to discuss ojol drivers’ demands on the app commission].</w:t>
      </w:r>
      <w:r>
        <w:t xml:space="preserve"> </w:t>
      </w:r>
      <w:r>
        <w:rPr>
          <w:iCs/>
          <w:i/>
        </w:rPr>
        <w:t xml:space="preserve">Pasardana</w:t>
      </w:r>
      <w:r>
        <w:t xml:space="preserve">. https://pasardana.id/news/2025/5/21/kemenhub-siap-bahas-tuntutan-driver-ojol-soal-potongan-tarif-aplikasi/</w:t>
      </w:r>
    </w:p>
    <w:p>
      <w:pPr>
        <w:pStyle w:val="BodyText"/>
        <w:spacing w:after="120"/>
        <w:ind w:left="709" w:hanging="709"/>
        <w:jc w:val="left"/>
      </w:pPr>
      <w:r>
        <w:t xml:space="preserve">Setyowati, D. (2024, July 15). Transaksi Shopee hingga TikTok Shop Tokopedia di RI Rp 867 triliun [Transactions from Shopee to TikTok Shop Tokopedia in Indonesia reach Rp867 trillion].</w:t>
      </w:r>
      <w:r>
        <w:t xml:space="preserve"> </w:t>
      </w:r>
      <w:r>
        <w:rPr>
          <w:iCs/>
          <w:i/>
        </w:rPr>
        <w:t xml:space="preserve">Katadata</w:t>
      </w:r>
      <w:r>
        <w:t xml:space="preserve">. https://katadata.co.id/digital/e-commerce/6694e1bf09ec8/transaksi-shopee-hingga-tiktok-shop-tokopedia-di-ri-rp-867-triliun</w:t>
      </w:r>
    </w:p>
    <w:p>
      <w:pPr>
        <w:pStyle w:val="BodyText"/>
        <w:spacing w:after="120"/>
        <w:ind w:left="709" w:hanging="709"/>
        <w:jc w:val="left"/>
      </w:pPr>
      <w:r>
        <w:t xml:space="preserve">Setyowati, D. (2025, June 26). Transaksi belanja online di Indonesia melambat, Thailand dan Malaysia melesat [Online shopping in Indonesia slows while Thailand and Malaysia surge].</w:t>
      </w:r>
      <w:r>
        <w:t xml:space="preserve"> </w:t>
      </w:r>
      <w:r>
        <w:rPr>
          <w:iCs/>
          <w:i/>
        </w:rPr>
        <w:t xml:space="preserve">Katadata</w:t>
      </w:r>
      <w:r>
        <w:t xml:space="preserve">. https://katadata.co.id/digital/e-commerce/685ba4184c37a/transaksi-belanja-online-di-indonesia-melambat-thailand-dan-malaysia-melesat</w:t>
      </w:r>
    </w:p>
    <w:p>
      <w:pPr>
        <w:pStyle w:val="BodyText"/>
        <w:spacing w:after="120"/>
        <w:ind w:left="709" w:hanging="709"/>
        <w:jc w:val="left"/>
      </w:pPr>
      <w:r>
        <w:t xml:space="preserve">Setyowati, D. (2026, May 18). TikTok Shop Tokopedia sesuaikan biaya admin seller per 18 Mei: Ada yang naik [TikTok Shop Tokopedia adjusts seller admin fees from 18 May: some rise].</w:t>
      </w:r>
      <w:r>
        <w:t xml:space="preserve"> </w:t>
      </w:r>
      <w:r>
        <w:rPr>
          <w:iCs/>
          <w:i/>
        </w:rPr>
        <w:t xml:space="preserve">Katadata</w:t>
      </w:r>
      <w:r>
        <w:t xml:space="preserve">. https://katadata.co.id/digital/e-commerce/6a0a8ae3741b3/tiktok-shop-tokopedia-sesuaikan-biaya-admin-seller-per-18-mei-ada-yang-naik</w:t>
      </w:r>
    </w:p>
    <w:p>
      <w:pPr>
        <w:pStyle w:val="BodyText"/>
        <w:spacing w:after="120"/>
        <w:ind w:left="709" w:hanging="709"/>
        <w:jc w:val="left"/>
      </w:pPr>
      <w:r>
        <w:t xml:space="preserve">Trueman, B., Wong, M. H. F., &amp; Zhang, X.-J. (2000). The eyeballs have it: Searching for the value in Internet stocks.</w:t>
      </w:r>
      <w:r>
        <w:t xml:space="preserve"> </w:t>
      </w:r>
      <w:r>
        <w:rPr>
          <w:iCs/>
          <w:i/>
        </w:rPr>
        <w:t xml:space="preserve">Journal of Accounting Research, 38</w:t>
      </w:r>
      <w:r>
        <w:t xml:space="preserve">(Supplement), 137–162. https://doi.org/10.2307/2672912</w:t>
      </w:r>
    </w:p>
    <w:p>
      <w:pPr>
        <w:pStyle w:val="BodyText"/>
        <w:spacing w:after="120"/>
        <w:ind w:left="709" w:hanging="709"/>
        <w:jc w:val="left"/>
      </w:pPr>
      <w:r>
        <w:t xml:space="preserve">Trueman, B., Wong, M. H. F., &amp; Zhang, X.-J. (2001). Back to basics: Forecasting the revenues of Internet firms.</w:t>
      </w:r>
      <w:r>
        <w:t xml:space="preserve"> </w:t>
      </w:r>
      <w:r>
        <w:rPr>
          <w:iCs/>
          <w:i/>
        </w:rPr>
        <w:t xml:space="preserve">Review of Accounting Studies, 6</w:t>
      </w:r>
      <w:r>
        <w:t xml:space="preserve">(2–3), 305–329. https://doi.org/10.1023/A:1011623111051</w:t>
      </w:r>
    </w:p>
    <w:p>
      <w:pPr>
        <w:pStyle w:val="BodyText"/>
        <w:spacing w:after="120"/>
        <w:ind w:left="709" w:hanging="709"/>
        <w:jc w:val="left"/>
      </w:pPr>
      <w:r>
        <w:t xml:space="preserve">UNCTAD. (2023).</w:t>
      </w:r>
      <w:r>
        <w:t xml:space="preserve"> </w:t>
      </w:r>
      <w:r>
        <w:rPr>
          <w:iCs/>
          <w:i/>
        </w:rPr>
        <w:t xml:space="preserve">Measuring the value of e-commerce</w:t>
      </w:r>
      <w:r>
        <w:t xml:space="preserve">. United Nations. https://doi.org/10.18356/9789210025539</w:t>
      </w:r>
    </w:p>
    <w:p>
      <w:pPr>
        <w:pStyle w:val="BodyText"/>
        <w:spacing w:after="120"/>
        <w:ind w:left="709" w:hanging="709"/>
        <w:jc w:val="left"/>
      </w:pPr>
      <w:r>
        <w:t xml:space="preserve">UNCTAD. (2024).</w:t>
      </w:r>
      <w:r>
        <w:t xml:space="preserve"> </w:t>
      </w:r>
      <w:r>
        <w:rPr>
          <w:iCs/>
          <w:i/>
        </w:rPr>
        <w:t xml:space="preserve">Business e-commerce sales and the role of online platforms</w:t>
      </w:r>
      <w:r>
        <w:t xml:space="preserve">. United Nations. https://doi.org/10.18356/9789211064490</w:t>
      </w:r>
    </w:p>
    <w:p>
      <w:pPr>
        <w:pStyle w:val="BodyText"/>
        <w:spacing w:after="120"/>
        <w:ind w:left="709" w:hanging="709"/>
        <w:jc w:val="left"/>
      </w:pPr>
      <w:r>
        <w:t xml:space="preserve">World Bank. (2026).</w:t>
      </w:r>
      <w:r>
        <w:t xml:space="preserve"> </w:t>
      </w:r>
      <w:r>
        <w:rPr>
          <w:iCs/>
          <w:i/>
        </w:rPr>
        <w:t xml:space="preserve">World development indicators: Official exchange rate (LCU per US$, period average)</w:t>
      </w:r>
      <w:r>
        <w:t xml:space="preserve"> </w:t>
      </w:r>
      <w:r>
        <w:t xml:space="preserve">[PA.NUS.FCRF], Indonesia, 2022–2024. https://data.worldbank.org</w:t>
      </w:r>
    </w:p>
    <w:bookmarkEnd w:id="100"/>
    <w:sectPr>
      <w:footerReference r:id="rId9" w:type="default"/>
      <w:pgSz w:h="16838" w:w="11906"/>
      <w:pgMar w:bottom="1134" w:footer="567" w:header="850" w:left="2268" w:right="1134" w:top="1984"/>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360" w:lineRule="auto"/>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60" w:before="0" w:line="276" w:lineRule="auto"/>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360" w:before="1800" w:line="312" w:lineRule="auto"/>
      <w:jc w:val="center"/>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keepLines/>
      <w:spacing w:after="800" w:before="0" w:line="312" w:lineRule="auto"/>
      <w:jc w:val="center"/>
    </w:pPr>
    <w:rPr>
      <w:rFonts w:ascii="Times New Roman" w:cs="Times New Roman" w:eastAsia="Times New Roman" w:hAnsi="Times New Roman"/>
      <w:b w:val="0"/>
      <w:i/>
      <w:color w:val="000000"/>
      <w:sz w:val="24"/>
      <w:szCs w:val="30"/>
    </w:rPr>
  </w:style>
  <w:style w:customStyle="1" w:styleId="Author" w:type="paragraph">
    <w:name w:val="Author"/>
    <w:next w:val="BodyText"/>
    <w:qFormat/>
    <w:pPr>
      <w:keepNext/>
      <w:keepLines/>
      <w:spacing w:after="80" w:before="0" w:line="312" w:lineRule="auto"/>
      <w:jc w:val="center"/>
    </w:pPr>
    <w:rPr>
      <w:rFonts w:ascii="Times New Roman" w:cs="Times New Roman" w:eastAsia="Times New Roman" w:hAnsi="Times New Roman"/>
      <w:color w:val="000000"/>
      <w:sz w:val="24"/>
    </w:rPr>
  </w:style>
  <w:style w:styleId="Date" w:type="paragraph">
    <w:name w:val="Date"/>
    <w:next w:val="BodyText"/>
    <w:qFormat/>
    <w:pPr>
      <w:keepNext/>
      <w:keepLines/>
      <w:spacing w:after="80" w:before="0" w:line="312" w:lineRule="auto"/>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480" w:before="0" w:line="312" w:lineRule="auto"/>
      <w:jc w:val="center"/>
      <w:outlineLvl w:val="0"/>
    </w:pPr>
    <w:rPr>
      <w:rFonts w:ascii="Times New Roman" w:cs="Times New Roman" w:eastAsia="Times New Roman" w:hAnsi="Times New Roman"/>
      <w:b/>
      <w:bCs/>
      <w:i w:val="0"/>
      <w:color w:val="000000"/>
      <w:sz w:val="32"/>
      <w:szCs w:val="32"/>
    </w:rPr>
  </w:style>
  <w:style w:styleId="Heading2" w:type="paragraph">
    <w:name w:val="Heading 2"/>
    <w:basedOn w:val="Normal"/>
    <w:next w:val="BodyText"/>
    <w:uiPriority w:val="9"/>
    <w:unhideWhenUsed/>
    <w:qFormat/>
    <w:pPr>
      <w:keepNext/>
      <w:keepLines/>
      <w:spacing w:after="120" w:before="280" w:line="312" w:lineRule="auto"/>
      <w:jc w:val="left"/>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80" w:before="200" w:line="312" w:lineRule="auto"/>
      <w:jc w:val="left"/>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60" w:before="160" w:line="312" w:lineRule="auto"/>
      <w:jc w:val="left"/>
      <w:outlineLvl w:val="3"/>
    </w:pPr>
    <w:rPr>
      <w:rFonts w:ascii="Times New Roman" w:cs="Times New Roman" w:eastAsia="Times New Roman" w:hAnsi="Times New Roman"/>
      <w:i w:val="0"/>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60" w:line="360" w:lineRule="auto"/>
      <w:ind w:firstLine="0" w:left="567" w:right="567"/>
      <w:jc w:val="left"/>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pPr>
      <w:spacing w:after="40" w:before="0" w:line="240" w:lineRule="auto"/>
      <w:jc w:val="left"/>
    </w:pPr>
    <w:rPr>
      <w:rFonts w:ascii="Times New Roman" w:cs="Times New Roman" w:eastAsia="Times New Roman" w:hAnsi="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80" w:before="240" w:line="276" w:lineRule="auto"/>
      <w:jc w:val="left"/>
    </w:pPr>
    <w:rPr>
      <w:rFonts w:ascii="Times New Roman" w:cs="Times New Roman" w:eastAsia="Times New Roman" w:hAnsi="Times New Roman"/>
      <w:b w:val="0"/>
      <w:i w:val="0"/>
      <w:color w:val="000000"/>
      <w:sz w:val="22"/>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eastAsia="Courier New"/>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FrontHeading" w:type="paragraph">
    <w:name w:val="Front Heading"/>
    <w:basedOn w:val="Normal"/>
    <w:pPr>
      <w:keepNext/>
      <w:pageBreakBefore/>
      <w:spacing w:after="480" w:before="0" w:line="312" w:lineRule="auto"/>
      <w:jc w:val="center"/>
    </w:pPr>
    <w:rPr>
      <w:rFonts w:ascii="Times New Roman" w:cs="Times New Roman" w:eastAsia="Times New Roman" w:hAnsi="Times New Roman"/>
      <w:b/>
      <w:i w:val="0"/>
      <w:color w:val="000000"/>
      <w:sz w:val="32"/>
    </w:rPr>
  </w:style>
  <w:style w:customStyle="1" w:styleId="FieldSlot" w:type="paragraph">
    <w:name w:val="Field Slot"/>
    <w:basedOn w:val="Normal"/>
    <w:pPr>
      <w:spacing w:after="0" w:before="0" w:line="240" w:lineRule="auto"/>
      <w:jc w:val="left"/>
    </w:pPr>
    <w:rPr>
      <w:rFonts w:ascii="Times New Roman" w:cs="Times New Roman" w:eastAsia="Times New Roman" w:hAnsi="Times New Roman"/>
      <w:color w:val="000000"/>
      <w:sz w:val="24"/>
    </w:rPr>
  </w:style>
  <w:style w:customStyle="1" w:styleId="FigureCaption" w:type="paragraph">
    <w:name w:val="Figure Caption"/>
    <w:basedOn w:val="Normal"/>
    <w:pPr>
      <w:spacing w:after="60" w:before="80" w:line="276" w:lineRule="auto"/>
      <w:jc w:val="left"/>
    </w:pPr>
    <w:rPr>
      <w:rFonts w:ascii="Times New Roman" w:cs="Times New Roman" w:eastAsia="Times New Roman" w:hAnsi="Times New Roman"/>
      <w:b w:val="0"/>
      <w:i w:val="0"/>
      <w:color w:val="000000"/>
      <w:sz w:val="22"/>
    </w:rPr>
  </w:style>
  <w:style w:customStyle="1" w:styleId="TableNote" w:type="paragraph">
    <w:name w:val="Table Note"/>
    <w:basedOn w:val="Normal"/>
    <w:pPr>
      <w:spacing w:after="240" w:before="40" w:line="264" w:lineRule="auto"/>
      <w:jc w:val="left"/>
    </w:pPr>
    <w:rPr>
      <w:rFonts w:ascii="Times New Roman" w:cs="Times New Roman" w:eastAsia="Times New Roman" w:hAnsi="Times New Roman"/>
      <w:b w:val="0"/>
      <w:i w:val="0"/>
      <w:color w:val="000000"/>
      <w:sz w:val="19"/>
    </w:rPr>
  </w:style>
  <w:style w:customStyle="1" w:styleId="Equation" w:type="paragraph">
    <w:name w:val="Equation"/>
    <w:basedOn w:val="Normal"/>
    <w:pPr>
      <w:keepLines/>
      <w:tabs>
        <w:tab w:pos="4252" w:val="center"/>
        <w:tab w:pos="8504" w:val="right"/>
      </w:tabs>
      <w:spacing w:after="160" w:before="120" w:line="312" w:lineRule="auto"/>
      <w:jc w:val="left"/>
    </w:pPr>
    <w:rPr>
      <w:rFonts w:ascii="Times New Roman" w:cs="Times New Roman" w:eastAsia="Times New Roman" w:hAnsi="Times New Roman"/>
      <w:color w:val="000000"/>
      <w:sz w:val="24"/>
    </w:rPr>
  </w:style>
  <w:style w:customStyle="1" w:styleId="toc1" w:type="paragraph">
    <w:name w:val="toc 1"/>
    <w:basedOn w:val="Normal"/>
    <w:pPr>
      <w:tabs>
        <w:tab w:leader="dot" w:pos="8504" w:val="right"/>
      </w:tabs>
      <w:spacing w:after="40" w:before="80" w:line="276" w:lineRule="auto"/>
      <w:ind w:left="0"/>
      <w:jc w:val="left"/>
    </w:pPr>
    <w:rPr>
      <w:rFonts w:ascii="Times New Roman" w:cs="Times New Roman" w:eastAsia="Times New Roman" w:hAnsi="Times New Roman"/>
      <w:b/>
      <w:color w:val="000000"/>
      <w:sz w:val="24"/>
    </w:rPr>
  </w:style>
  <w:style w:customStyle="1" w:styleId="toc2" w:type="paragraph">
    <w:name w:val="toc 2"/>
    <w:basedOn w:val="Normal"/>
    <w:pPr>
      <w:tabs>
        <w:tab w:leader="dot" w:pos="8504" w:val="right"/>
      </w:tabs>
      <w:spacing w:after="40" w:before="0" w:line="276" w:lineRule="auto"/>
      <w:ind w:left="397"/>
      <w:jc w:val="left"/>
    </w:pPr>
    <w:rPr>
      <w:rFonts w:ascii="Times New Roman" w:cs="Times New Roman" w:eastAsia="Times New Roman" w:hAnsi="Times New Roman"/>
      <w:b w:val="0"/>
      <w:color w:val="000000"/>
      <w:sz w:val="24"/>
    </w:rPr>
  </w:style>
  <w:style w:customStyle="1" w:styleId="tableoffigures" w:type="paragraph">
    <w:name w:val="table of figures"/>
    <w:basedOn w:val="Normal"/>
    <w:pPr>
      <w:tabs>
        <w:tab w:leader="dot" w:pos="8504" w:val="right"/>
      </w:tabs>
      <w:spacing w:after="40" w:before="0" w:line="276" w:lineRule="auto"/>
      <w:ind w:left="0"/>
      <w:jc w:val="left"/>
    </w:pPr>
    <w:rPr>
      <w:rFonts w:ascii="Times New Roman" w:cs="Times New Roman" w:eastAsia="Times New Roman" w:hAnsi="Times New Roman"/>
      <w:b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9" Type="http://schemas.openxmlformats.org/officeDocument/2006/relationships/image" Target="media/rId29.png"/><Relationship Id="rId51" Type="http://schemas.openxmlformats.org/officeDocument/2006/relationships/image" Target="media/rId51.png"/><Relationship Id="rId55" Type="http://schemas.openxmlformats.org/officeDocument/2006/relationships/image" Target="media/rId55.png"/><Relationship Id="rId60" Type="http://schemas.openxmlformats.org/officeDocument/2006/relationships/image" Target="media/rId60.png"/><Relationship Id="rId66" Type="http://schemas.openxmlformats.org/officeDocument/2006/relationships/image" Target="media/rId66.png"/><Relationship Id="rId70" Type="http://schemas.openxmlformats.org/officeDocument/2006/relationships/image" Target="media/rId70.png"/><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Quantifying the Invisible Wedge in Indonesia’s Platform Economy</dc:title>
  <dc:creator>Christopher Ongko (王新福); Advisor: Prof. De-Rong Kong (孔德蓉); College of Management, Yuan Ze University</dc:creator>
  <dc:language>en</dc:language>
  <cp:keywords/>
  <dcterms:created xsi:type="dcterms:W3CDTF">2026-10-24T08:43:46Z</dcterms:created>
  <dcterms:modified xsi:type="dcterms:W3CDTF">2026-10-24T08:43:46Z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Master’s thesis</vt:lpwstr>
  </property>
</Properties>
</file>