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b/>
          <w:sz w:val="24"/>
        </w:rPr>
        <w:t>元智大學</w:t>
        <w:br/>
        <w:t>YUAN ZE UNIVERSITY</w:t>
      </w:r>
    </w:p>
    <w:p>
      <w:pPr>
        <w:jc w:val="center"/>
      </w:pPr>
      <w:r>
        <w:rPr>
          <w:rFonts w:ascii="Times New Roman" w:hAnsi="Times New Roman" w:cs="Times New Roman"/>
          <w:sz w:val="24"/>
        </w:rPr>
        <w:t>管理學院財務金融暨會計碩士班</w:t>
        <w:br/>
        <w:t>財務金融碩士學程</w:t>
      </w:r>
    </w:p>
    <w:p/>
    <w:p>
      <w:pPr>
        <w:jc w:val="center"/>
      </w:pPr>
      <w:r>
        <w:rPr>
          <w:rFonts w:ascii="Times New Roman" w:hAnsi="Times New Roman" w:cs="Times New Roman"/>
          <w:b/>
          <w:sz w:val="24"/>
        </w:rPr>
        <w:t>碩士論文計畫書</w:t>
        <w:br/>
        <w:t>MASTER'S THESIS PROPOSAL</w:t>
      </w:r>
    </w:p>
    <w:p/>
    <w:p>
      <w:pPr>
        <w:jc w:val="center"/>
      </w:pPr>
      <w:r>
        <w:rPr>
          <w:rFonts w:ascii="Times New Roman" w:hAnsi="Times New Roman" w:cs="Times New Roman"/>
          <w:b/>
          <w:sz w:val="24"/>
        </w:rPr>
        <w:t>隱形帳簿：量化印尼平台經濟中的隱形楔子</w:t>
      </w:r>
    </w:p>
    <w:p>
      <w:pPr>
        <w:jc w:val="center"/>
      </w:pPr>
      <w:r>
        <w:rPr>
          <w:rFonts w:ascii="Times New Roman" w:hAnsi="Times New Roman" w:cs="Times New Roman"/>
          <w:b/>
          <w:sz w:val="24"/>
        </w:rPr>
        <w:t>The Invisible Ledger: Quantifying the Invisible Wedge in Indonesia's Platform Economy</w:t>
      </w:r>
    </w:p>
    <w:p/>
    <w:p/>
    <w:p>
      <w:pPr>
        <w:jc w:val="center"/>
      </w:pPr>
      <w:r>
        <w:rPr>
          <w:rFonts w:ascii="Times New Roman" w:hAnsi="Times New Roman" w:cs="Times New Roman"/>
          <w:sz w:val="24"/>
        </w:rPr>
        <w:t>研究生 / Student: 王新福 Christopher Ongko</w:t>
      </w:r>
    </w:p>
    <w:p>
      <w:pPr>
        <w:jc w:val="center"/>
      </w:pPr>
      <w:r>
        <w:rPr>
          <w:rFonts w:ascii="Times New Roman" w:hAnsi="Times New Roman" w:cs="Times New Roman"/>
          <w:sz w:val="24"/>
        </w:rPr>
        <w:t>指導教授 / Advisor: 孔德蓉 De-Rong Kong</w:t>
      </w:r>
    </w:p>
    <w:p/>
    <w:p>
      <w:pPr>
        <w:jc w:val="center"/>
      </w:pPr>
      <w:r>
        <w:rPr>
          <w:rFonts w:ascii="Times New Roman" w:hAnsi="Times New Roman" w:cs="Times New Roman"/>
          <w:sz w:val="24"/>
        </w:rPr>
        <w:t>中華民國 115 年 9 月</w:t>
        <w:br/>
        <w:t>September 2026</w:t>
      </w:r>
    </w:p>
    <w:p>
      <w:r>
        <w:rPr>
          <w:rFonts w:ascii="Times New Roman" w:hAnsi="Times New Roman" w:cs="Times New Roman"/>
          <w:sz w:val="24"/>
        </w:rPr>
        <w:br w:type="page"/>
      </w:r>
    </w:p>
    <w:p>
      <w:pPr>
        <w:pStyle w:val="Heading1"/>
        <w:keepNext/>
        <w:spacing w:before="200" w:after="100"/>
        <w:jc w:val="left"/>
      </w:pPr>
      <w:r>
        <w:rPr>
          <w:rFonts w:ascii="Times New Roman" w:hAnsi="Times New Roman" w:cs="Times New Roman" w:eastAsia="Times New Roman"/>
          <w:b/>
          <w:sz w:val="24"/>
        </w:rPr>
        <w:t>Abstract</w:t>
      </w:r>
    </w:p>
    <w:p>
      <w:pPr>
        <w:spacing w:line="254" w:lineRule="auto" w:after="80" w:before="0"/>
        <w:jc w:val="both"/>
      </w:pPr>
      <w:r>
        <w:rPr>
          <w:rFonts w:ascii="Times New Roman" w:hAnsi="Times New Roman" w:cs="Times New Roman" w:eastAsia="Times New Roman"/>
          <w:i w:val="0"/>
          <w:sz w:val="24"/>
        </w:rPr>
        <w:t>This study measures the difference between the transaction value digital platforms process in Indonesia and the revenue those platforms recognize for themselves. I call that difference the invisible wedge. The absolute wedge is W = V - R, where V is transaction value and R is platform revenue; the Ecosystem Ratio, E = (V - R)/R, expresses the same boundary relative to revenue and is constructed for this study rather than adopted from prior work. Because no Indonesian platform discloses a strictly country-labelled matched pair across the study period, observations are retained under named evidence tiers rather than pooled as if equal in scope. The inventory spans seventeen candidate platform-year levels from FY2019 to FY2025. The proposal asks how large the wedge is, how it changes, and what explains those changes, then uses official statistics and Indonesia's marketplace-reporting rules to locate related activity and records beyond platform revenue.</w:t>
      </w:r>
    </w:p>
    <w:p>
      <w:pPr>
        <w:pStyle w:val="Heading1"/>
        <w:keepNext/>
        <w:spacing w:before="200" w:after="100"/>
        <w:jc w:val="left"/>
      </w:pPr>
      <w:r>
        <w:rPr>
          <w:rFonts w:ascii="Times New Roman" w:hAnsi="Times New Roman" w:cs="Times New Roman" w:eastAsia="Times New Roman"/>
          <w:b/>
          <w:sz w:val="24"/>
        </w:rPr>
        <w:t>1. Introduction</w:t>
      </w:r>
    </w:p>
    <w:p>
      <w:pPr>
        <w:spacing w:line="254" w:lineRule="auto" w:after="80" w:before="0"/>
        <w:jc w:val="both"/>
      </w:pPr>
      <w:r>
        <w:rPr>
          <w:rFonts w:ascii="Times New Roman" w:hAnsi="Times New Roman" w:cs="Times New Roman" w:eastAsia="Times New Roman"/>
          <w:i w:val="0"/>
          <w:sz w:val="24"/>
        </w:rPr>
        <w:t>Southeast Asia's digital economy grew from US$100 billion in gross transaction value in 2020 to US$263 billion in 2024 (Google, Temasek and Bain 2020, 2024; reported there as gross merchandise value). Much of that activity is coordinated through digital platforms, but transaction value can be far larger than the revenue a platform recognizes for itself. Platforms record transactions, determine participant payouts, and book their own revenue. I call the difference between transaction value processed through a platform and platform-booked revenue the invisible wedge.</w:t>
      </w:r>
    </w:p>
    <w:p>
      <w:pPr>
        <w:spacing w:line="254" w:lineRule="auto" w:after="80" w:before="0"/>
        <w:jc w:val="both"/>
      </w:pPr>
      <w:r>
        <w:rPr>
          <w:rFonts w:ascii="Times New Roman" w:hAnsi="Times New Roman" w:cs="Times New Roman" w:eastAsia="Times New Roman"/>
          <w:i w:val="0"/>
          <w:sz w:val="24"/>
        </w:rPr>
        <w:t>Suppose a platform processes 100 units of transaction value but recognizes only 10 units as revenue. The remaining 90 units are still recorded within the platform's system but do not constitute platform revenue; they may include merchant receipts, driver payouts, inventory costs, taxes paid elsewhere, and other pass-through payments. The paper measures this accounting gap without assuming that the residual is profit, taxable income, or unpaid tax. That 90-unit difference is W = V - R, the absolute wedge.</w:t>
      </w:r>
    </w:p>
    <w:p>
      <w:pPr>
        <w:spacing w:line="254" w:lineRule="auto" w:after="80" w:before="0"/>
        <w:jc w:val="both"/>
      </w:pPr>
      <w:r>
        <w:rPr>
          <w:rFonts w:ascii="Times New Roman" w:hAnsi="Times New Roman" w:cs="Times New Roman" w:eastAsia="Times New Roman"/>
          <w:i w:val="0"/>
          <w:sz w:val="24"/>
        </w:rPr>
        <w:t>I measure the wedge relative to revenue with the Ecosystem Ratio, E = (V - R)/R. For FY2023, three selected platform cases imply a combined wedge of approximately US$40.07 billion, equivalent in magnitude to about 2.9 percent of Indonesia's 2023 nominal GDP. This is a scale comparison only: the wedge is transaction value outside platform revenue, not GDP value added, participant profit, or a tax gap.</w:t>
      </w:r>
    </w:p>
    <w:p>
      <w:pPr>
        <w:spacing w:line="254" w:lineRule="auto" w:after="80" w:before="0"/>
        <w:jc w:val="both"/>
      </w:pPr>
      <w:r>
        <w:rPr>
          <w:rFonts w:ascii="Times New Roman" w:hAnsi="Times New Roman" w:cs="Times New Roman" w:eastAsia="Times New Roman"/>
          <w:i w:val="0"/>
          <w:sz w:val="24"/>
        </w:rPr>
        <w:t>The term invisible therefore does not imply concealment. A platform may hold seller- or worker-linked transaction records even when those records do not enter routine third-party income reporting. The wedge does not measure that reporting gap. It measures the transaction-revenue boundary; the reporting question is whether records behind that activity are separately transmitted and usable outside the platform.</w:t>
      </w:r>
    </w:p>
    <w:p>
      <w:pPr>
        <w:pStyle w:val="Heading2"/>
        <w:keepNext/>
        <w:spacing w:before="140" w:after="60"/>
        <w:jc w:val="left"/>
      </w:pPr>
      <w:r>
        <w:rPr>
          <w:rFonts w:ascii="Times New Roman" w:hAnsi="Times New Roman" w:cs="Times New Roman" w:eastAsia="Times New Roman"/>
          <w:b/>
          <w:sz w:val="24"/>
        </w:rPr>
        <w:t>1.1 Research question and objectives</w:t>
      </w:r>
    </w:p>
    <w:p>
      <w:pPr>
        <w:spacing w:line="254" w:lineRule="auto" w:after="80" w:before="0"/>
        <w:jc w:val="both"/>
      </w:pPr>
      <w:r>
        <w:rPr>
          <w:rFonts w:ascii="Times New Roman" w:hAnsi="Times New Roman" w:cs="Times New Roman" w:eastAsia="Times New Roman"/>
          <w:i w:val="0"/>
          <w:sz w:val="24"/>
        </w:rPr>
        <w:t>One question drives the proposal:</w:t>
      </w:r>
    </w:p>
    <w:p>
      <w:pPr>
        <w:spacing w:before="60" w:after="120" w:line="240" w:lineRule="auto"/>
        <w:jc w:val="center"/>
      </w:pPr>
      <w:r>
        <w:rPr>
          <w:rFonts w:ascii="Times New Roman" w:hAnsi="Times New Roman" w:cs="Times New Roman" w:eastAsia="Times New Roman"/>
          <w:b/>
          <w:i/>
          <w:sz w:val="24"/>
        </w:rPr>
        <w:t>How large is the invisible wedge in Indonesia, how does it change over time, and what explains those changes?</w:t>
      </w:r>
    </w:p>
    <w:p>
      <w:pPr>
        <w:spacing w:line="254" w:lineRule="auto" w:after="80" w:before="0"/>
        <w:jc w:val="both"/>
      </w:pPr>
      <w:r>
        <w:rPr>
          <w:rFonts w:ascii="Times New Roman" w:hAnsi="Times New Roman" w:cs="Times New Roman" w:eastAsia="Times New Roman"/>
          <w:i w:val="0"/>
          <w:sz w:val="24"/>
        </w:rPr>
        <w:t>The empirical design follows three objectives: measure the wedge longitudinally under explicit evidence tiers; explain material movements using issuer-disclosed revenue components; and connect the measured boundary to wider Indonesian activity and to seller-linked reporting institutions. A separate 48-issuer-year module outside Indonesia is retained only as external corroboration, not as a second main sample or research question.</w:t>
      </w:r>
    </w:p>
    <w:p>
      <w:pPr>
        <w:pStyle w:val="Heading2"/>
        <w:keepNext/>
        <w:spacing w:before="140" w:after="60"/>
        <w:jc w:val="left"/>
      </w:pPr>
      <w:r>
        <w:rPr>
          <w:rFonts w:ascii="Times New Roman" w:hAnsi="Times New Roman" w:cs="Times New Roman" w:eastAsia="Times New Roman"/>
          <w:b/>
          <w:sz w:val="24"/>
        </w:rPr>
        <w:t>1.2 Contributions</w:t>
      </w:r>
    </w:p>
    <w:p>
      <w:pPr>
        <w:spacing w:line="254" w:lineRule="auto" w:after="80" w:before="0"/>
        <w:jc w:val="both"/>
      </w:pPr>
      <w:r>
        <w:rPr>
          <w:rFonts w:ascii="Times New Roman" w:hAnsi="Times New Roman" w:cs="Times New Roman" w:eastAsia="Times New Roman"/>
          <w:i w:val="0"/>
          <w:sz w:val="24"/>
        </w:rPr>
        <w:t>First, longitudinal measurement. The evidence base expands from a one-year comparison to candidate observations spanning FY2019-FY2025, while keeping direct Indonesia-aligned, direct scope-pending, and conditional observations separate.</w:t>
      </w:r>
    </w:p>
    <w:p>
      <w:pPr>
        <w:spacing w:line="254" w:lineRule="auto" w:after="80" w:before="0"/>
        <w:jc w:val="both"/>
      </w:pPr>
      <w:r>
        <w:rPr>
          <w:rFonts w:ascii="Times New Roman" w:hAnsi="Times New Roman" w:cs="Times New Roman" w:eastAsia="Times New Roman"/>
          <w:i w:val="0"/>
          <w:sz w:val="24"/>
        </w:rPr>
        <w:t>Second, mechanism. The thesis reconciles material transaction-revenue divergences against disclosed monetization, customer incentives, gross-versus-net recognition, and business perimeter. These are arithmetic reconciliations, not causal decompositions.</w:t>
      </w:r>
    </w:p>
    <w:p>
      <w:pPr>
        <w:spacing w:line="254" w:lineRule="auto" w:after="80" w:before="0"/>
        <w:jc w:val="both"/>
      </w:pPr>
      <w:r>
        <w:rPr>
          <w:rFonts w:ascii="Times New Roman" w:hAnsi="Times New Roman" w:cs="Times New Roman" w:eastAsia="Times New Roman"/>
          <w:i w:val="0"/>
          <w:sz w:val="24"/>
        </w:rPr>
        <w:t>Third, economic and institutional interpretation. Evidence from BPS-Statistics Indonesia (Badan Pusat Statistik) locates wider e-commerce activity and recordkeeping beyond issuer accounts, while Indonesia's Regulation PMK 37/2025 (Peraturan Menteri Keuangan) and Directorate General of Taxes (DJP) materials show how platform-held seller and transaction records can enter reporting and withholding. The proposal does not claim a completed compliance or tax-revenue effect.</w:t>
      </w:r>
    </w:p>
    <w:p>
      <w:pPr>
        <w:pStyle w:val="Heading2"/>
        <w:keepNext/>
        <w:spacing w:before="140" w:after="60" w:line="276" w:lineRule="auto"/>
        <w:jc w:val="left"/>
      </w:pPr>
      <w:r>
        <w:rPr>
          <w:rFonts w:ascii="Times New Roman" w:hAnsi="Times New Roman" w:cs="Times New Roman" w:eastAsia="Times New Roman"/>
          <w:b/>
          <w:sz w:val="24"/>
        </w:rPr>
        <w:t>1.3 Positioning the contribution</w:t>
      </w:r>
    </w:p>
    <w:p>
      <w:pPr>
        <w:spacing w:before="0" w:after="80" w:line="254" w:lineRule="auto"/>
        <w:jc w:val="both"/>
      </w:pPr>
      <w:r>
        <w:rPr>
          <w:rFonts w:ascii="Times New Roman" w:hAnsi="Times New Roman" w:cs="Times New Roman" w:eastAsia="Times New Roman"/>
          <w:sz w:val="24"/>
        </w:rPr>
        <w:t>The contribution is a finance measurement problem before it is a tax-policy problem. Platform accounts make the intermediation boundary observable, but that boundary can change the conclusions investors and researchers draw about scale, growth and monetization. De Franco, Kothari and Verdi (2011) motivate the need to keep accounting bases comparable, while Berg et al. (2020) show that intermediary-held digital traces can contain economically useful information even when conventional records are thin. The proposal combines these ideas by treating transaction value and recognized revenue as related but non-equivalent measures of the same platform ecosystem.</w:t>
      </w:r>
    </w:p>
    <w:p>
      <w:pPr>
        <w:spacing w:before="0" w:after="80" w:line="254" w:lineRule="auto"/>
        <w:jc w:val="both"/>
      </w:pPr>
      <w:r>
        <w:rPr>
          <w:rFonts w:ascii="Times New Roman" w:hAnsi="Times New Roman" w:cs="Times New Roman" w:eastAsia="Times New Roman"/>
          <w:sz w:val="24"/>
        </w:rPr>
        <w:t>That positioning also disciplines the institutional extension. The wedge itself remains an accounting quantity; BPS and PMK evidence are used only to ask what related activity and records exist outside the issuer revenue line and how those records can become administratively usable. This keeps the thesis anchored in measurable finance and accounting objects while preserving the policy relevance that motivated the earlier drafts.</w:t>
      </w:r>
    </w:p>
    <w:p>
      <w:pPr>
        <w:pStyle w:val="Heading1"/>
        <w:keepNext/>
        <w:spacing w:before="200" w:after="100"/>
        <w:jc w:val="left"/>
      </w:pPr>
      <w:r>
        <w:rPr>
          <w:rFonts w:ascii="Times New Roman" w:hAnsi="Times New Roman" w:cs="Times New Roman" w:eastAsia="Times New Roman"/>
          <w:b/>
          <w:sz w:val="24"/>
        </w:rPr>
        <w:t>2. Literature Review and Research Gap</w:t>
      </w:r>
    </w:p>
    <w:p>
      <w:pPr>
        <w:pStyle w:val="Heading2"/>
        <w:keepNext/>
        <w:spacing w:before="140" w:after="60"/>
        <w:jc w:val="left"/>
      </w:pPr>
      <w:r>
        <w:rPr>
          <w:rFonts w:ascii="Times New Roman" w:hAnsi="Times New Roman" w:cs="Times New Roman" w:eastAsia="Times New Roman"/>
          <w:b/>
          <w:sz w:val="24"/>
        </w:rPr>
        <w:t>2.1 Platform economics and revenue recognition</w:t>
      </w:r>
    </w:p>
    <w:p>
      <w:pPr>
        <w:spacing w:line="254" w:lineRule="auto" w:after="80" w:before="0"/>
        <w:jc w:val="both"/>
      </w:pPr>
      <w:r>
        <w:rPr>
          <w:rFonts w:ascii="Times New Roman" w:hAnsi="Times New Roman" w:cs="Times New Roman" w:eastAsia="Times New Roman"/>
          <w:i w:val="0"/>
          <w:sz w:val="24"/>
        </w:rPr>
        <w:t>Multisided-platform theory explains why a platform's revenue need not move proportionally with the transaction value it coordinates (Rochet and Tirole 2003; Caillaud and Jullien 2003; Parker and Van Alstyne 2005; Armstrong 2006; Hagiu and Wright 2015; Evans and Schmalensee 2016). Accounting further determines how much facilitated commerce becomes recognized revenue: principal-agent treatment, customer incentives, service mix, acquisitions, and reporting perimeter can move revenue without an equivalent change in underlying commerce. De Franco, Kothari and Verdi (2011) show why financial-statement comparability matters when users interpret such differences.</w:t>
      </w:r>
    </w:p>
    <w:p>
      <w:pPr>
        <w:pStyle w:val="Heading2"/>
        <w:keepNext/>
        <w:spacing w:before="140" w:after="60"/>
        <w:jc w:val="left"/>
      </w:pPr>
      <w:r>
        <w:rPr>
          <w:rFonts w:ascii="Times New Roman" w:hAnsi="Times New Roman" w:cs="Times New Roman" w:eastAsia="Times New Roman"/>
          <w:b/>
          <w:sz w:val="24"/>
        </w:rPr>
        <w:t>2.2 Informality, digital records, and third-party information</w:t>
      </w:r>
    </w:p>
    <w:p>
      <w:pPr>
        <w:spacing w:line="254" w:lineRule="auto" w:after="80" w:before="0"/>
        <w:jc w:val="both"/>
      </w:pPr>
      <w:r>
        <w:rPr>
          <w:rFonts w:ascii="Times New Roman" w:hAnsi="Times New Roman" w:cs="Times New Roman" w:eastAsia="Times New Roman"/>
          <w:i w:val="0"/>
          <w:sz w:val="24"/>
        </w:rPr>
        <w:t>Platform participants occupy an unusual position. Their transactions can be priced, recorded, and settled through a formal intermediary while participants remain self-employed, unregistered, below filing thresholds, or outside automatic reporting. The object measured here is therefore not the shadow economy as conventionally defined (La Porta and Shleifer 2014; Ulyssea 2018; Medina and Schneider 2019). Digital records can nevertheless carry economic information even when conventional records are thin (Berg et al. 2020), and platform-mediated work leaves observable financial and administrative traces (Barrios, Hochberg and Yi 2022; Denes, Lagaras and Tsoutsoura 2025).</w:t>
      </w:r>
    </w:p>
    <w:p>
      <w:pPr>
        <w:spacing w:line="254" w:lineRule="auto" w:after="80" w:before="0"/>
        <w:jc w:val="both"/>
      </w:pPr>
      <w:r>
        <w:rPr>
          <w:rFonts w:ascii="Times New Roman" w:hAnsi="Times New Roman" w:cs="Times New Roman" w:eastAsia="Times New Roman"/>
          <w:i w:val="0"/>
          <w:sz w:val="24"/>
        </w:rPr>
        <w:t>A central public-finance result is that third-party information can materially change compliance and enforcement (Kleven et al. 2011; Pomeranz 2015; Naritomi 2019; Kleven, Kreiner and Saez 2016; Slemrod 2019). The OECD Model Rules and the European Union's DAC7 regime provide direct precedents for using platform-held seller information in reporting. Indonesia's PMK 37/2025 applies the same broad logic through seller identification, transaction-linked reporting, and marketplace withholding.</w:t>
      </w:r>
    </w:p>
    <w:p>
      <w:pPr>
        <w:pStyle w:val="Heading2"/>
        <w:keepNext/>
        <w:spacing w:before="140" w:after="60"/>
        <w:jc w:val="left"/>
      </w:pPr>
      <w:r>
        <w:rPr>
          <w:rFonts w:ascii="Times New Roman" w:hAnsi="Times New Roman" w:cs="Times New Roman" w:eastAsia="Times New Roman"/>
          <w:b/>
          <w:sz w:val="24"/>
        </w:rPr>
        <w:t>2.3 Research gap</w:t>
      </w:r>
    </w:p>
    <w:p>
      <w:pPr>
        <w:spacing w:line="254" w:lineRule="auto" w:after="80" w:before="0"/>
        <w:jc w:val="both"/>
      </w:pPr>
      <w:r>
        <w:rPr>
          <w:rFonts w:ascii="Times New Roman" w:hAnsi="Times New Roman" w:cs="Times New Roman" w:eastAsia="Times New Roman"/>
          <w:i w:val="0"/>
          <w:sz w:val="24"/>
        </w:rPr>
        <w:t>The literature explains why transaction value can exceed platform revenue, why accounting can move the two apart, and why third-party records matter. What remains missing is a longitudinal, source-auditable account for one market that measures the wedge, explains why it moves, and then asks where the wider activity and its records appear beyond platform revenue.</w:t>
      </w:r>
    </w:p>
    <w:p>
      <w:pPr>
        <w:pStyle w:val="Heading1"/>
        <w:keepNext/>
        <w:spacing w:before="200" w:after="100"/>
        <w:jc w:val="left"/>
      </w:pPr>
      <w:r>
        <w:rPr>
          <w:rFonts w:ascii="Times New Roman" w:hAnsi="Times New Roman" w:cs="Times New Roman" w:eastAsia="Times New Roman"/>
          <w:b/>
          <w:sz w:val="24"/>
        </w:rPr>
        <w:t>3. Theoretical Framework and Key Variables</w:t>
      </w:r>
    </w:p>
    <w:p>
      <w:pPr>
        <w:spacing w:line="254" w:lineRule="auto" w:after="80" w:before="0"/>
        <w:jc w:val="both"/>
      </w:pPr>
      <w:r>
        <w:rPr>
          <w:rFonts w:ascii="Times New Roman" w:hAnsi="Times New Roman" w:cs="Times New Roman" w:eastAsia="Times New Roman"/>
          <w:i w:val="0"/>
          <w:sz w:val="24"/>
        </w:rPr>
        <w:t>Let V denote transaction value and R platform-recognized revenue for a matched platform scope and period. The core measures are:</w:t>
      </w:r>
    </w:p>
    <w:p>
      <w:pPr>
        <w:spacing w:before="60" w:after="120" w:line="240" w:lineRule="auto"/>
        <w:jc w:val="center"/>
      </w:pPr>
      <w:r>
        <w:rPr>
          <w:rFonts w:ascii="Times New Roman" w:hAnsi="Times New Roman" w:cs="Times New Roman" w:eastAsia="Times New Roman"/>
          <w:i/>
          <w:sz w:val="24"/>
        </w:rPr>
        <w:t>W = V - R      E = (V - R) / R      D = g(V) - g(R)</w:t>
      </w:r>
    </w:p>
    <w:p>
      <w:pPr>
        <w:spacing w:line="254" w:lineRule="auto" w:after="80" w:before="0"/>
        <w:jc w:val="both"/>
      </w:pPr>
      <w:r>
        <w:rPr>
          <w:rFonts w:ascii="Times New Roman" w:hAnsi="Times New Roman" w:cs="Times New Roman" w:eastAsia="Times New Roman"/>
          <w:i w:val="0"/>
          <w:sz w:val="24"/>
        </w:rPr>
        <w:t>W is the absolute invisible wedge; E is the Ecosystem Ratio, which is my own construction for this paper rather than a measure adopted from a prior study; and D is the annual growth divergence between transaction value and revenue. A higher E indicates more transaction value outside platform revenue per unit of platform revenue; it does not by itself imply more participant profit, taxable income, value added, non-compliance, or tax due.</w:t>
      </w:r>
    </w:p>
    <w:p>
      <w:pPr>
        <w:spacing w:line="254" w:lineRule="auto" w:after="80" w:before="0"/>
        <w:jc w:val="both"/>
      </w:pPr>
      <w:r>
        <w:rPr>
          <w:rFonts w:ascii="Times New Roman" w:hAnsi="Times New Roman" w:cs="Times New Roman" w:eastAsia="Times New Roman"/>
          <w:sz w:val="24"/>
        </w:rPr>
        <w:t>Gross transaction value (GTV) is used as the proposal's common label for the value processed through a platform. Issuer terminology differs: Sea Limited and Blibli use GMV, Grab uses GMV for deliveries and TPV for financial services, and GoTo uses GTV. These source labels and business perimeters remain recorded in the empirical files rather than being treated as economically interchangeable. Accordingly, the main longitudinal comparisons are within named series; cross-platform levels are descriptive and scope-labelled.</w:t>
      </w:r>
    </w:p>
    <w:p>
      <w:pPr>
        <w:pStyle w:val="Heading1"/>
        <w:keepNext/>
        <w:spacing w:before="200" w:after="100"/>
        <w:jc w:val="left"/>
      </w:pPr>
      <w:r>
        <w:rPr>
          <w:rFonts w:ascii="Times New Roman" w:hAnsi="Times New Roman" w:cs="Times New Roman" w:eastAsia="Times New Roman"/>
          <w:b/>
          <w:sz w:val="24"/>
        </w:rPr>
        <w:t>4. Data and Methodology</w:t>
      </w:r>
    </w:p>
    <w:p>
      <w:pPr>
        <w:pStyle w:val="Heading2"/>
        <w:keepNext/>
        <w:spacing w:before="140" w:after="60"/>
        <w:jc w:val="left"/>
      </w:pPr>
      <w:r>
        <w:rPr>
          <w:rFonts w:ascii="Times New Roman" w:hAnsi="Times New Roman" w:cs="Times New Roman" w:eastAsia="Times New Roman"/>
          <w:b/>
          <w:sz w:val="24"/>
        </w:rPr>
        <w:t>4.1 Admission rules and evidence tiers</w:t>
      </w:r>
    </w:p>
    <w:p>
      <w:pPr>
        <w:spacing w:line="254" w:lineRule="auto" w:after="80" w:before="0"/>
        <w:jc w:val="both"/>
      </w:pPr>
      <w:r>
        <w:rPr>
          <w:rFonts w:ascii="Times New Roman" w:hAnsi="Times New Roman" w:cs="Times New Roman" w:eastAsia="Times New Roman"/>
          <w:i w:val="0"/>
          <w:sz w:val="24"/>
        </w:rPr>
        <w:t>A platform-period is eligible only when transaction value and revenue cover the same period; geography and business scope can be evaluated; units and definitions are known; derived inputs trace to source; and structural breaks or revised reporting bases are flagged. Repeated publication vintages are not counted as independent observations. Eligibility does not imply final main-sample admission.</w:t>
      </w:r>
    </w:p>
    <w:p>
      <w:pPr>
        <w:keepNext/>
        <w:spacing w:line="240" w:lineRule="auto" w:after="40" w:before="120"/>
        <w:jc w:val="left"/>
      </w:pPr>
      <w:r>
        <w:rPr>
          <w:rFonts w:ascii="Times New Roman" w:hAnsi="Times New Roman" w:cs="Times New Roman" w:eastAsia="Times New Roman"/>
          <w:b/>
          <w:i w:val="0"/>
          <w:sz w:val="18"/>
        </w:rPr>
        <w:t>Table 1. Evidence tiers for Indonesian platform observations. Tiers differ in how directly each series maps to Indonesia; they are never pooled into a single monetary total.</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cantSplit/>
        </w:trPr>
        <w:tc>
          <w:tcPr>
            <w:tcW w:type="dxa" w:w="2835"/>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t>Evidence tier</w:t>
            </w:r>
          </w:p>
        </w:tc>
        <w:tc>
          <w:tcPr>
            <w:tcW w:type="dxa" w:w="323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t>Series</w:t>
            </w:r>
          </w:p>
        </w:tc>
        <w:tc>
          <w:tcPr>
            <w:tcW w:type="dxa" w:w="136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t>Retained levels</w:t>
            </w:r>
          </w:p>
        </w:tc>
        <w:tc>
          <w:tcPr>
            <w:tcW w:type="dxa" w:w="119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t>Transitions</w:t>
            </w:r>
          </w:p>
        </w:tc>
      </w:tr>
      <w:tr>
        <w:trPr>
          <w:cantSplit/>
        </w:trPr>
        <w:tc>
          <w:tcPr>
            <w:tcW w:type="dxa" w:w="2835"/>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Direct Indonesia-aligned segment</w:t>
            </w:r>
          </w:p>
        </w:tc>
        <w:tc>
          <w:tcPr>
            <w:tcW w:type="dxa" w:w="323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Tokopedia e-commerce</w:t>
            </w:r>
          </w:p>
        </w:tc>
        <w:tc>
          <w:tcPr>
            <w:tcW w:type="dxa" w:w="136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2</w:t>
            </w:r>
          </w:p>
        </w:tc>
        <w:tc>
          <w:tcPr>
            <w:tcW w:type="dxa" w:w="119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1</w:t>
            </w:r>
          </w:p>
        </w:tc>
      </w:tr>
      <w:tr>
        <w:trPr>
          <w:cantSplit/>
        </w:trPr>
        <w:tc>
          <w:tcPr>
            <w:tcW w:type="dxa" w:w="2835"/>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Direct issuer, scope-pending</w:t>
            </w:r>
          </w:p>
        </w:tc>
        <w:tc>
          <w:tcPr>
            <w:tcW w:type="dxa" w:w="323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Blibli 3P Retail; Bukalapak Group</w:t>
            </w:r>
          </w:p>
        </w:tc>
        <w:tc>
          <w:tcPr>
            <w:tcW w:type="dxa" w:w="136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9</w:t>
            </w:r>
          </w:p>
        </w:tc>
        <w:tc>
          <w:tcPr>
            <w:tcW w:type="dxa" w:w="119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7</w:t>
            </w:r>
          </w:p>
        </w:tc>
      </w:tr>
      <w:tr>
        <w:trPr>
          <w:cantSplit/>
        </w:trPr>
        <w:tc>
          <w:tcPr>
            <w:tcW w:type="dxa" w:w="2835"/>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Conditional country reconstruction</w:t>
            </w:r>
          </w:p>
        </w:tc>
        <w:tc>
          <w:tcPr>
            <w:tcW w:type="dxa" w:w="323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Grab Indonesia; Shopee Indonesia</w:t>
            </w:r>
          </w:p>
        </w:tc>
        <w:tc>
          <w:tcPr>
            <w:tcW w:type="dxa" w:w="136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6</w:t>
            </w:r>
          </w:p>
        </w:tc>
        <w:tc>
          <w:tcPr>
            <w:tcW w:type="dxa" w:w="119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4</w:t>
            </w:r>
          </w:p>
        </w:tc>
      </w:tr>
      <w:tr>
        <w:trPr>
          <w:cantSplit/>
        </w:trPr>
        <w:tc>
          <w:tcPr>
            <w:tcW w:type="dxa" w:w="2835"/>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All tiers, inventory diagnostic</w:t>
            </w:r>
          </w:p>
        </w:tc>
        <w:tc>
          <w:tcPr>
            <w:tcW w:type="dxa" w:w="323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Five series</w:t>
            </w:r>
          </w:p>
        </w:tc>
        <w:tc>
          <w:tcPr>
            <w:tcW w:type="dxa" w:w="136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17</w:t>
            </w:r>
          </w:p>
        </w:tc>
        <w:tc>
          <w:tcPr>
            <w:tcW w:type="dxa" w:w="119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12</w:t>
            </w:r>
          </w:p>
        </w:tc>
      </w:tr>
    </w:tbl>
    <w:p>
      <w:pPr>
        <w:spacing w:line="254" w:lineRule="auto" w:after="80" w:before="0"/>
        <w:jc w:val="both"/>
      </w:pPr>
      <w:r>
        <w:rPr>
          <w:rFonts w:ascii="Times New Roman" w:hAnsi="Times New Roman" w:cs="Times New Roman" w:eastAsia="Times New Roman"/>
          <w:i w:val="0"/>
          <w:sz w:val="24"/>
        </w:rPr>
        <w:t>Table 1 shows that only two of the seventeen retained levels are directly Indonesia-aligned, so sample size and evidence quality move in opposite directions. Tokopedia is the strongest Indonesia-aligned segment but is not a literal country line. Blibli includes online travel, Bukalapak reports at Group scope with overseas operations, and Grab/Shopee require a derived or external country component. Tokopedia FY2021 and Bukalapak FY2024 are excluded because transaction and revenue periods do not match.</w:t>
      </w:r>
    </w:p>
    <w:p>
      <w:pPr>
        <w:spacing w:line="254" w:lineRule="auto" w:after="80" w:before="0"/>
        <w:jc w:val="both"/>
      </w:pPr>
      <w:r>
        <w:rPr>
          <w:rFonts w:ascii="Times New Roman" w:hAnsi="Times New Roman" w:cs="Times New Roman" w:eastAsia="Times New Roman"/>
          <w:i w:val="0"/>
          <w:sz w:val="24"/>
        </w:rPr>
        <w:t>Three counts are intentionally different. The all-tier inventory contains 17 retained levels; the executed direct tiers contain 11 levels (2 Indonesia-aligned and 9 scope-pending); and the broader direct-candidate sensitivity contains 13 periods, including a Blibli FY2020 prospectus observation, yielding 9 annual transitions. These counts answer different construction questions and are therefore not collapsed into one N.</w:t>
      </w:r>
    </w:p>
    <w:p>
      <w:pPr>
        <w:pStyle w:val="Heading2"/>
        <w:keepNext/>
        <w:spacing w:before="140" w:after="60" w:line="276" w:lineRule="auto"/>
        <w:jc w:val="left"/>
      </w:pPr>
      <w:r>
        <w:rPr>
          <w:rFonts w:ascii="Times New Roman" w:hAnsi="Times New Roman" w:cs="Times New Roman" w:eastAsia="Times New Roman"/>
          <w:b/>
          <w:sz w:val="24"/>
        </w:rPr>
        <w:t>4.2 Comparability strategy</w:t>
      </w:r>
    </w:p>
    <w:p>
      <w:pPr>
        <w:spacing w:before="0" w:after="80" w:line="254" w:lineRule="auto"/>
        <w:jc w:val="both"/>
      </w:pPr>
      <w:r>
        <w:rPr>
          <w:rFonts w:ascii="Times New Roman" w:hAnsi="Times New Roman" w:cs="Times New Roman" w:eastAsia="Times New Roman"/>
          <w:sz w:val="24"/>
        </w:rPr>
        <w:t>The main longitudinal comparisons are therefore made within a named series rather than by treating all platform levels as economically interchangeable. A within-series transition holds the issuer, business perimeter and disclosure convention as constant as the available filings permit; changes in transaction value and revenue can then be interpreted as movements in that series rather than as differences created purely by cross-company accounting definitions.</w:t>
      </w:r>
    </w:p>
    <w:p>
      <w:pPr>
        <w:spacing w:before="0" w:after="80" w:line="254" w:lineRule="auto"/>
        <w:jc w:val="both"/>
      </w:pPr>
      <w:r>
        <w:rPr>
          <w:rFonts w:ascii="Times New Roman" w:hAnsi="Times New Roman" w:cs="Times New Roman" w:eastAsia="Times New Roman"/>
          <w:sz w:val="24"/>
        </w:rPr>
        <w:t>Cross-platform levels still matter, but for a different purpose. The FY2023 cross-section is descriptive evidence of scale under explicitly labelled evidence classes, not a pooled estimator of a national total. Likewise, the external 48 issuer-years are corroboration that the transaction-revenue boundary is not unique to Indonesia. This hierarchy is why the proposal can use heterogeneous disclosures without pretending that they form one homogeneous panel.</w:t>
      </w:r>
    </w:p>
    <w:p>
      <w:pPr>
        <w:pStyle w:val="Heading2"/>
        <w:keepNext/>
        <w:spacing w:before="140" w:after="60"/>
        <w:jc w:val="left"/>
      </w:pPr>
      <w:r>
        <w:rPr>
          <w:rFonts w:ascii="Times New Roman" w:hAnsi="Times New Roman" w:cs="Times New Roman" w:eastAsia="Times New Roman"/>
          <w:b/>
          <w:sz w:val="24"/>
        </w:rPr>
        <w:t>4.3 Conditional country evidence</w:t>
      </w:r>
    </w:p>
    <w:p>
      <w:pPr>
        <w:spacing w:line="254" w:lineRule="auto" w:after="80" w:before="0"/>
        <w:jc w:val="both"/>
      </w:pPr>
      <w:r>
        <w:rPr>
          <w:rFonts w:ascii="Times New Roman" w:hAnsi="Times New Roman" w:cs="Times New Roman" w:eastAsia="Times New Roman"/>
          <w:i w:val="0"/>
          <w:sz w:val="24"/>
        </w:rPr>
        <w:t>Grab discloses Indonesia revenue but not Indonesia transaction value. Its conditional country transaction value is therefore derived as:</w:t>
      </w:r>
    </w:p>
    <w:p>
      <w:pPr>
        <w:spacing w:before="60" w:after="120" w:line="240" w:lineRule="auto"/>
        <w:jc w:val="center"/>
      </w:pPr>
      <w:r>
        <w:rPr>
          <w:rFonts w:ascii="Times New Roman" w:hAnsi="Times New Roman" w:cs="Times New Roman" w:eastAsia="Times New Roman"/>
          <w:i/>
          <w:sz w:val="24"/>
        </w:rPr>
        <w:t>Indonesia GTV = Indonesia revenue x Group GTV / Group revenue</w:t>
      </w:r>
    </w:p>
    <w:p>
      <w:pPr>
        <w:spacing w:line="254" w:lineRule="auto" w:after="80" w:before="0"/>
        <w:jc w:val="both"/>
      </w:pPr>
      <w:r>
        <w:rPr>
          <w:rFonts w:ascii="Times New Roman" w:hAnsi="Times New Roman" w:cs="Times New Roman" w:eastAsia="Times New Roman"/>
          <w:i w:val="0"/>
          <w:sz w:val="24"/>
        </w:rPr>
        <w:t>The construction assumes the Group monetization rate applies to Indonesia and is treated as sensitivity evidence, not direct disclosure. Shopee's Indonesia transaction value uses Momentum Works' recurring Southeast Asian e-commerce estimates because Sea Limited does not disclose an Indonesian country figure; it is labelled third-party wherever used.</w:t>
      </w:r>
    </w:p>
    <w:p>
      <w:pPr>
        <w:pStyle w:val="Heading1"/>
        <w:keepNext/>
        <w:spacing w:before="200" w:after="100"/>
        <w:jc w:val="left"/>
      </w:pPr>
      <w:r>
        <w:rPr>
          <w:rFonts w:ascii="Times New Roman" w:hAnsi="Times New Roman" w:cs="Times New Roman" w:eastAsia="Times New Roman"/>
          <w:b/>
          <w:sz w:val="24"/>
        </w:rPr>
        <w:t>5. Preliminary Evidence and Feasibility</w:t>
      </w:r>
    </w:p>
    <w:p>
      <w:pPr>
        <w:pStyle w:val="Heading2"/>
        <w:keepNext/>
        <w:spacing w:before="140" w:after="60"/>
        <w:jc w:val="left"/>
      </w:pPr>
      <w:r>
        <w:rPr>
          <w:rFonts w:ascii="Times New Roman" w:hAnsi="Times New Roman" w:cs="Times New Roman" w:eastAsia="Times New Roman"/>
          <w:b/>
          <w:sz w:val="24"/>
        </w:rPr>
        <w:t>5.1 FY2023 scale</w:t>
      </w:r>
    </w:p>
    <w:p>
      <w:pPr>
        <w:keepNext/>
        <w:spacing w:line="240" w:lineRule="auto" w:after="40" w:before="120"/>
        <w:jc w:val="left"/>
      </w:pPr>
      <w:r>
        <w:rPr>
          <w:rFonts w:ascii="Times New Roman" w:hAnsi="Times New Roman" w:cs="Times New Roman" w:eastAsia="Times New Roman"/>
          <w:b/>
          <w:i w:val="0"/>
          <w:sz w:val="18"/>
        </w:rPr>
        <w:t>Table 2. Indonesia-focused FY2023 cross-section, US$ billions. V is transaction value, R platform revenue, W the wedge and E the Ecosystem Ratio. The final row sums three documented cases under mixed evidence classes and is not a national total.</w:t>
      </w:r>
    </w:p>
    <w:tbl>
      <w:tblPr>
        <w:tblStyle w:val="TableGrid"/>
        <w:tblW w:type="auto" w:w="0"/>
        <w:jc w:val="center"/>
        <w:tblLayout w:type="autofit"/>
        <w:tblLook w:firstColumn="1" w:firstRow="1" w:lastColumn="0" w:lastRow="0" w:noHBand="0" w:noVBand="1" w:val="04A0"/>
      </w:tblPr>
      <w:tblGrid>
        <w:gridCol w:w="1606"/>
        <w:gridCol w:w="1606"/>
        <w:gridCol w:w="1606"/>
        <w:gridCol w:w="1606"/>
        <w:gridCol w:w="1606"/>
        <w:gridCol w:w="1606"/>
      </w:tblGrid>
      <w:tr>
        <w:trPr>
          <w:tblHeader w:val="true"/>
          <w:cantSplit/>
        </w:trPr>
        <w:tc>
          <w:tcPr>
            <w:tcW w:type="dxa" w:w="2324"/>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t>Case</w:t>
            </w:r>
          </w:p>
        </w:tc>
        <w:tc>
          <w:tcPr>
            <w:tcW w:type="dxa" w:w="850"/>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t>V</w:t>
            </w:r>
          </w:p>
        </w:tc>
        <w:tc>
          <w:tcPr>
            <w:tcW w:type="dxa" w:w="850"/>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t>R</w:t>
            </w:r>
          </w:p>
        </w:tc>
        <w:tc>
          <w:tcPr>
            <w:tcW w:type="dxa" w:w="964"/>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t>W</w:t>
            </w:r>
          </w:p>
        </w:tc>
        <w:tc>
          <w:tcPr>
            <w:tcW w:type="dxa" w:w="907"/>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t>E</w:t>
            </w:r>
          </w:p>
        </w:tc>
        <w:tc>
          <w:tcPr>
            <w:tcW w:type="dxa" w:w="238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t>Evidence class</w:t>
            </w:r>
          </w:p>
        </w:tc>
      </w:tr>
      <w:tr>
        <w:trPr>
          <w:cantSplit/>
        </w:trPr>
        <w:tc>
          <w:tcPr>
            <w:tcW w:type="dxa" w:w="2324"/>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Grab Indonesia</w:t>
            </w:r>
          </w:p>
        </w:tc>
        <w:tc>
          <w:tcPr>
            <w:tcW w:type="dxa" w:w="850"/>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5.381</w:t>
            </w:r>
          </w:p>
        </w:tc>
        <w:tc>
          <w:tcPr>
            <w:tcW w:type="dxa" w:w="850"/>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0.605</w:t>
            </w:r>
          </w:p>
        </w:tc>
        <w:tc>
          <w:tcPr>
            <w:tcW w:type="dxa" w:w="964"/>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4.776</w:t>
            </w:r>
          </w:p>
        </w:tc>
        <w:tc>
          <w:tcPr>
            <w:tcW w:type="dxa" w:w="907"/>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7.895x</w:t>
            </w:r>
          </w:p>
        </w:tc>
        <w:tc>
          <w:tcPr>
            <w:tcW w:type="dxa" w:w="238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Derived V</w:t>
            </w:r>
          </w:p>
        </w:tc>
      </w:tr>
      <w:tr>
        <w:trPr>
          <w:cantSplit/>
        </w:trPr>
        <w:tc>
          <w:tcPr>
            <w:tcW w:type="dxa" w:w="2324"/>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Tokopedia e-commerce</w:t>
            </w:r>
          </w:p>
        </w:tc>
        <w:tc>
          <w:tcPr>
            <w:tcW w:type="dxa" w:w="850"/>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16.331</w:t>
            </w:r>
          </w:p>
        </w:tc>
        <w:tc>
          <w:tcPr>
            <w:tcW w:type="dxa" w:w="850"/>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0.405</w:t>
            </w:r>
          </w:p>
        </w:tc>
        <w:tc>
          <w:tcPr>
            <w:tcW w:type="dxa" w:w="964"/>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15.926</w:t>
            </w:r>
          </w:p>
        </w:tc>
        <w:tc>
          <w:tcPr>
            <w:tcW w:type="dxa" w:w="907"/>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39.296x</w:t>
            </w:r>
          </w:p>
        </w:tc>
        <w:tc>
          <w:tcPr>
            <w:tcW w:type="dxa" w:w="238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Direct pair</w:t>
            </w:r>
          </w:p>
        </w:tc>
      </w:tr>
      <w:tr>
        <w:trPr>
          <w:cantSplit/>
        </w:trPr>
        <w:tc>
          <w:tcPr>
            <w:tcW w:type="dxa" w:w="2324"/>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Shopee Indonesia</w:t>
            </w:r>
          </w:p>
        </w:tc>
        <w:tc>
          <w:tcPr>
            <w:tcW w:type="dxa" w:w="850"/>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21.520</w:t>
            </w:r>
          </w:p>
        </w:tc>
        <w:tc>
          <w:tcPr>
            <w:tcW w:type="dxa" w:w="850"/>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2.152</w:t>
            </w:r>
          </w:p>
        </w:tc>
        <w:tc>
          <w:tcPr>
            <w:tcW w:type="dxa" w:w="964"/>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19.368</w:t>
            </w:r>
          </w:p>
        </w:tc>
        <w:tc>
          <w:tcPr>
            <w:tcW w:type="dxa" w:w="907"/>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9.000x</w:t>
            </w:r>
          </w:p>
        </w:tc>
        <w:tc>
          <w:tcPr>
            <w:tcW w:type="dxa" w:w="238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Derived V and R</w:t>
            </w:r>
          </w:p>
        </w:tc>
      </w:tr>
      <w:tr>
        <w:trPr>
          <w:cantSplit/>
        </w:trPr>
        <w:tc>
          <w:tcPr>
            <w:tcW w:type="dxa" w:w="2324"/>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Selected platforms</w:t>
            </w:r>
          </w:p>
        </w:tc>
        <w:tc>
          <w:tcPr>
            <w:tcW w:type="dxa" w:w="850"/>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43.233</w:t>
            </w:r>
          </w:p>
        </w:tc>
        <w:tc>
          <w:tcPr>
            <w:tcW w:type="dxa" w:w="850"/>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3.162</w:t>
            </w:r>
          </w:p>
        </w:tc>
        <w:tc>
          <w:tcPr>
            <w:tcW w:type="dxa" w:w="964"/>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40.070</w:t>
            </w:r>
          </w:p>
        </w:tc>
        <w:tc>
          <w:tcPr>
            <w:tcW w:type="dxa" w:w="907"/>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12.671x</w:t>
            </w:r>
          </w:p>
        </w:tc>
        <w:tc>
          <w:tcPr>
            <w:tcW w:type="dxa" w:w="238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Sum, not national total</w:t>
            </w:r>
          </w:p>
        </w:tc>
      </w:tr>
    </w:tbl>
    <w:p>
      <w:pPr>
        <w:spacing w:line="254" w:lineRule="auto" w:after="80" w:before="0"/>
        <w:jc w:val="both"/>
      </w:pPr>
      <w:r>
        <w:rPr>
          <w:rFonts w:ascii="Times New Roman" w:hAnsi="Times New Roman" w:cs="Times New Roman" w:eastAsia="Times New Roman"/>
          <w:i w:val="0"/>
          <w:sz w:val="24"/>
        </w:rPr>
        <w:t>Table 2 reports the FY2023 cross-section. These cases establish the order of magnitude and feasibility of the measure. Sensitivity and leave-one-platform-out checks do not remove the large transaction-revenue gap, but they are treated as robustness material rather than the thesis's main result.</w:t>
      </w:r>
    </w:p>
    <w:p>
      <w:pPr>
        <w:pStyle w:val="Heading2"/>
        <w:keepNext/>
        <w:spacing w:before="140" w:after="60"/>
        <w:jc w:val="left"/>
      </w:pPr>
      <w:r>
        <w:rPr>
          <w:rFonts w:ascii="Times New Roman" w:hAnsi="Times New Roman" w:cs="Times New Roman" w:eastAsia="Times New Roman"/>
          <w:b/>
          <w:sz w:val="24"/>
        </w:rPr>
        <w:t>5.2 Longitudinal movement and mechanism</w:t>
      </w:r>
    </w:p>
    <w:p>
      <w:pPr>
        <w:keepNext/>
        <w:spacing w:line="240" w:lineRule="auto" w:after="40" w:before="120"/>
        <w:jc w:val="left"/>
      </w:pPr>
      <w:r>
        <w:rPr>
          <w:rFonts w:ascii="Times New Roman" w:hAnsi="Times New Roman" w:cs="Times New Roman" w:eastAsia="Times New Roman"/>
          <w:b/>
          <w:i w:val="0"/>
          <w:sz w:val="18"/>
        </w:rPr>
        <w:t>Table 3. Within-series annual divergence under two admission rules. Counts differ because evidence admission differs; both are reported rather than resolved into one headline.</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cantSplit/>
        </w:trPr>
        <w:tc>
          <w:tcPr>
            <w:tcW w:type="dxa" w:w="3402"/>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r>
          </w:p>
        </w:tc>
        <w:tc>
          <w:tcPr>
            <w:tcW w:type="dxa" w:w="2438"/>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t>All-tier inventory</w:t>
            </w:r>
          </w:p>
        </w:tc>
        <w:tc>
          <w:tcPr>
            <w:tcW w:type="dxa" w:w="2778"/>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t>Direct-candidate sensitivity</w:t>
            </w:r>
          </w:p>
        </w:tc>
      </w:tr>
      <w:tr>
        <w:trPr>
          <w:cantSplit/>
        </w:trPr>
        <w:tc>
          <w:tcPr>
            <w:tcW w:type="dxa" w:w="3402"/>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Transitions</w:t>
            </w:r>
          </w:p>
        </w:tc>
        <w:tc>
          <w:tcPr>
            <w:tcW w:type="dxa" w:w="2438"/>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12</w:t>
            </w:r>
          </w:p>
        </w:tc>
        <w:tc>
          <w:tcPr>
            <w:tcW w:type="dxa" w:w="2778"/>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9</w:t>
            </w:r>
          </w:p>
        </w:tc>
      </w:tr>
      <w:tr>
        <w:trPr>
          <w:cantSplit/>
        </w:trPr>
        <w:tc>
          <w:tcPr>
            <w:tcW w:type="dxa" w:w="3402"/>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Revenue grows faster</w:t>
            </w:r>
          </w:p>
        </w:tc>
        <w:tc>
          <w:tcPr>
            <w:tcW w:type="dxa" w:w="2438"/>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10</w:t>
            </w:r>
          </w:p>
        </w:tc>
        <w:tc>
          <w:tcPr>
            <w:tcW w:type="dxa" w:w="2778"/>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6</w:t>
            </w:r>
          </w:p>
        </w:tc>
      </w:tr>
      <w:tr>
        <w:trPr>
          <w:cantSplit/>
        </w:trPr>
        <w:tc>
          <w:tcPr>
            <w:tcW w:type="dxa" w:w="3402"/>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Transaction grows faster</w:t>
            </w:r>
          </w:p>
        </w:tc>
        <w:tc>
          <w:tcPr>
            <w:tcW w:type="dxa" w:w="2438"/>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2</w:t>
            </w:r>
          </w:p>
        </w:tc>
        <w:tc>
          <w:tcPr>
            <w:tcW w:type="dxa" w:w="2778"/>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3</w:t>
            </w:r>
          </w:p>
        </w:tc>
      </w:tr>
      <w:tr>
        <w:trPr>
          <w:cantSplit/>
        </w:trPr>
        <w:tc>
          <w:tcPr>
            <w:tcW w:type="dxa" w:w="3402"/>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Opposite-sign transitions</w:t>
            </w:r>
          </w:p>
        </w:tc>
        <w:tc>
          <w:tcPr>
            <w:tcW w:type="dxa" w:w="2438"/>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2</w:t>
            </w:r>
          </w:p>
        </w:tc>
        <w:tc>
          <w:tcPr>
            <w:tcW w:type="dxa" w:w="2778"/>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3</w:t>
            </w:r>
          </w:p>
        </w:tc>
      </w:tr>
      <w:tr>
        <w:trPr>
          <w:cantSplit/>
        </w:trPr>
        <w:tc>
          <w:tcPr>
            <w:tcW w:type="dxa" w:w="3402"/>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Median absolute divergence</w:t>
            </w:r>
          </w:p>
        </w:tc>
        <w:tc>
          <w:tcPr>
            <w:tcW w:type="dxa" w:w="2438"/>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42.02 pp</w:t>
            </w:r>
          </w:p>
        </w:tc>
        <w:tc>
          <w:tcPr>
            <w:tcW w:type="dxa" w:w="2778"/>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42.94 pp</w:t>
            </w:r>
          </w:p>
        </w:tc>
      </w:tr>
    </w:tbl>
    <w:p>
      <w:pPr>
        <w:spacing w:line="254" w:lineRule="auto" w:after="80" w:before="0"/>
        <w:jc w:val="both"/>
      </w:pPr>
      <w:r>
        <w:rPr>
          <w:rFonts w:ascii="Times New Roman" w:hAnsi="Times New Roman" w:cs="Times New Roman" w:eastAsia="Times New Roman"/>
          <w:i w:val="0"/>
          <w:sz w:val="24"/>
        </w:rPr>
        <w:t>Table 3 compares the two admission rules. The summaries differ because the rules differ; neither is a filtered restatement of the other. Tokopedia FY2022-FY2023 provides the cleanest mechanism example: transaction value falls 8.90 percent while selected third-party net segment revenue rises 53.20 percent. Of the arithmetic increase in net revenue, 60.56 percent is associated with lower customer incentives and 39.44 percent with higher gross revenue. This reconciles the divergence without claiming causality.</w:t>
      </w:r>
    </w:p>
    <w:p>
      <w:pPr>
        <w:keepNext/>
        <w:spacing w:before="80" w:after="40" w:line="254" w:lineRule="auto"/>
        <w:jc w:val="center"/>
      </w:pPr>
      <w:r>
        <w:rPr>
          <w:rFonts w:ascii="Times New Roman" w:hAnsi="Times New Roman" w:cs="Times New Roman" w:eastAsia="Times New Roman"/>
          <w:sz w:val="24"/>
        </w:rPr>
        <w:drawing>
          <wp:inline xmlns:a="http://schemas.openxmlformats.org/drawingml/2006/main" xmlns:pic="http://schemas.openxmlformats.org/drawingml/2006/picture">
            <wp:extent cx="5715000" cy="2921586"/>
            <wp:docPr id="1" name="Picture 1"/>
            <wp:cNvGraphicFramePr>
              <a:graphicFrameLocks noChangeAspect="1"/>
            </wp:cNvGraphicFramePr>
            <a:graphic>
              <a:graphicData uri="http://schemas.openxmlformats.org/drawingml/2006/picture">
                <pic:pic>
                  <pic:nvPicPr>
                    <pic:cNvPr id="0" name="figure1_ecosystem_ratio_extended_sample_bw.png"/>
                    <pic:cNvPicPr/>
                  </pic:nvPicPr>
                  <pic:blipFill>
                    <a:blip r:embed="rId10"/>
                    <a:stretch>
                      <a:fillRect/>
                    </a:stretch>
                  </pic:blipFill>
                  <pic:spPr>
                    <a:xfrm>
                      <a:off x="0" y="0"/>
                      <a:ext cx="5715000" cy="2921586"/>
                    </a:xfrm>
                    <a:prstGeom prst="rect"/>
                  </pic:spPr>
                </pic:pic>
              </a:graphicData>
            </a:graphic>
          </wp:inline>
        </w:drawing>
      </w:r>
    </w:p>
    <w:p>
      <w:pPr>
        <w:keepNext/>
        <w:spacing w:before="60" w:after="100" w:line="240" w:lineRule="auto"/>
        <w:jc w:val="center"/>
      </w:pPr>
      <w:r>
        <w:rPr>
          <w:rFonts w:ascii="Times New Roman" w:hAnsi="Times New Roman" w:cs="Times New Roman" w:eastAsia="Times New Roman"/>
          <w:i/>
          <w:sz w:val="18"/>
        </w:rPr>
        <w:t>Figure 1. Ecosystem Ratio across the extended candidate series. Each line follows one disclosed or transparently reconstructed series through time; levels are shown by series and are not pooled across evidence tiers.</w:t>
      </w:r>
    </w:p>
    <w:p>
      <w:pPr>
        <w:spacing w:before="0" w:after="80" w:line="254" w:lineRule="auto"/>
        <w:jc w:val="both"/>
      </w:pPr>
      <w:r>
        <w:rPr>
          <w:rFonts w:ascii="Times New Roman" w:hAnsi="Times New Roman" w:cs="Times New Roman" w:eastAsia="Times New Roman"/>
          <w:sz w:val="24"/>
        </w:rPr>
        <w:t>Figure 1 makes two features of the extended sample visible that the summary table alone does not. First, the wedge persists across every retained series, although its magnitude differs substantially by business model and reporting perimeter. Second, several series show large changes in the ratio over time, which is why the thesis focuses on explaining movements rather than treating one cross-sectional ratio as a fixed platform characteristic. The figure is descriptive: differences between lines are not interpreted as causal platform effects.</w:t>
      </w:r>
    </w:p>
    <w:p>
      <w:pPr>
        <w:pStyle w:val="Heading2"/>
        <w:keepNext/>
        <w:spacing w:before="140" w:after="60"/>
        <w:jc w:val="left"/>
      </w:pPr>
      <w:r>
        <w:rPr>
          <w:rFonts w:ascii="Times New Roman" w:hAnsi="Times New Roman" w:cs="Times New Roman" w:eastAsia="Times New Roman"/>
          <w:b/>
          <w:sz w:val="24"/>
        </w:rPr>
        <w:t>5.3 Wider Indonesian activity and reporting</w:t>
      </w:r>
    </w:p>
    <w:p>
      <w:pPr>
        <w:spacing w:line="254" w:lineRule="auto" w:after="80" w:before="0"/>
        <w:jc w:val="both"/>
      </w:pPr>
      <w:r>
        <w:rPr>
          <w:rFonts w:ascii="Times New Roman" w:hAnsi="Times New Roman" w:cs="Times New Roman" w:eastAsia="Times New Roman"/>
          <w:i w:val="0"/>
          <w:sz w:val="24"/>
        </w:rPr>
        <w:t>BPS reports national e-commerce transaction value rising 17.08 percent from 2023 to 2024. Over the same period, the directly reported marketplace component rises only 1.45 percent, while the non-marketplace component rises 20.57 percent; approximately 98.46 percent of the nominal increase therefore falls outside the marketplace component. These aggregates provide a wider view of e-commerce activity and are not reconciled one-for-one to issuer transaction value.</w:t>
      </w:r>
    </w:p>
    <w:p>
      <w:pPr>
        <w:spacing w:line="254" w:lineRule="auto" w:after="80" w:before="0"/>
        <w:jc w:val="both"/>
      </w:pPr>
      <w:r>
        <w:rPr>
          <w:rFonts w:ascii="Times New Roman" w:hAnsi="Times New Roman" w:cs="Times New Roman" w:eastAsia="Times New Roman"/>
          <w:i w:val="0"/>
          <w:sz w:val="24"/>
        </w:rPr>
        <w:t>PMK 37/2025 provides the institutional bridge. The verified implementation sequence records marketplace designation on 1 July 2026, collection effective 1 August, postponement through 31 October, and scheduled implementation on 1 November 2026. The regulation is used as evidence of seller-linked reporting architecture, not as proof of prior underpayment or a completed compliance effect.</w:t>
      </w:r>
    </w:p>
    <w:p>
      <w:pPr>
        <w:spacing w:line="254" w:lineRule="auto" w:after="80" w:before="0"/>
        <w:jc w:val="both"/>
      </w:pPr>
      <w:r>
        <w:rPr>
          <w:rFonts w:ascii="Times New Roman" w:hAnsi="Times New Roman" w:cs="Times New Roman" w:eastAsia="Times New Roman"/>
          <w:i w:val="0"/>
          <w:sz w:val="24"/>
        </w:rPr>
        <w:t>Outside Indonesia, 48 matched issuer-years across eight platform businesses show that transaction value and revenue can also diverge under other business models. This evidence remains external corroboration only; it is neither pooled with Indonesia nor treated as a representative global sample.</w:t>
      </w:r>
    </w:p>
    <w:p>
      <w:pPr>
        <w:pStyle w:val="Heading2"/>
        <w:keepNext/>
        <w:spacing w:before="140" w:after="60" w:line="276" w:lineRule="auto"/>
        <w:jc w:val="left"/>
      </w:pPr>
      <w:r>
        <w:rPr>
          <w:rFonts w:ascii="Times New Roman" w:hAnsi="Times New Roman" w:cs="Times New Roman" w:eastAsia="Times New Roman"/>
          <w:b/>
          <w:sz w:val="24"/>
        </w:rPr>
        <w:t>5.4 What the preliminary evidence establishes</w:t>
      </w:r>
    </w:p>
    <w:p>
      <w:pPr>
        <w:spacing w:before="0" w:after="80" w:line="254" w:lineRule="auto"/>
        <w:jc w:val="both"/>
      </w:pPr>
      <w:r>
        <w:rPr>
          <w:rFonts w:ascii="Times New Roman" w:hAnsi="Times New Roman" w:cs="Times New Roman" w:eastAsia="Times New Roman"/>
          <w:sz w:val="24"/>
        </w:rPr>
        <w:t>Taken together, the preliminary evidence establishes feasibility at three levels. The FY2023 cases show that the transaction-revenue boundary is economically large enough to matter; the longitudinal results show that the boundary is not constant through time; and the Tokopedia reconciliation demonstrates that at least some of those movements can be traced to disclosed revenue components rather than treated as unexplained residuals. These are the core empirical claims required for the proposal oral.</w:t>
      </w:r>
    </w:p>
    <w:p>
      <w:pPr>
        <w:spacing w:before="0" w:after="80" w:line="254" w:lineRule="auto"/>
        <w:jc w:val="both"/>
      </w:pPr>
      <w:r>
        <w:rPr>
          <w:rFonts w:ascii="Times New Roman" w:hAnsi="Times New Roman" w:cs="Times New Roman" w:eastAsia="Times New Roman"/>
          <w:sz w:val="24"/>
        </w:rPr>
        <w:t>The BPS and PMK material then answers a different question: what sits outside the issuer revenue line and what institutional machinery can use the underlying records? They do not convert the wedge into a tax-gap estimate. Their role is to show why the accounting boundary matters beyond corporate reporting while leaving causal compliance and welfare questions for later work if the committee considers them necessary.</w:t>
      </w:r>
    </w:p>
    <w:p>
      <w:pPr>
        <w:pStyle w:val="Heading1"/>
        <w:keepNext/>
        <w:spacing w:before="200" w:after="100"/>
        <w:jc w:val="left"/>
      </w:pPr>
      <w:r>
        <w:rPr>
          <w:rFonts w:ascii="Times New Roman" w:hAnsi="Times New Roman" w:cs="Times New Roman" w:eastAsia="Times New Roman"/>
          <w:b/>
          <w:sz w:val="24"/>
        </w:rPr>
        <w:t>6. Limitations and Proposal Decisions</w:t>
      </w:r>
    </w:p>
    <w:p>
      <w:pPr>
        <w:keepNext/>
        <w:spacing w:before="120" w:after="40" w:line="240" w:lineRule="auto"/>
        <w:jc w:val="left"/>
      </w:pPr>
      <w:r>
        <w:rPr>
          <w:rFonts w:ascii="Times New Roman" w:hAnsi="Times New Roman" w:cs="Times New Roman" w:eastAsia="Times New Roman"/>
          <w:b/>
          <w:i w:val="0"/>
          <w:sz w:val="18"/>
        </w:rPr>
        <w:t>Table 4. Inference boundaries for the proposal examination.</w:t>
      </w:r>
    </w:p>
    <w:tbl>
      <w:tblPr>
        <w:tblStyle w:val="TableGrid"/>
        <w:tblW w:type="auto" w:w="0"/>
        <w:jc w:val="center"/>
        <w:tblLayout w:type="autofit"/>
        <w:tblLook w:firstColumn="1" w:firstRow="1" w:lastColumn="0" w:lastRow="0" w:noHBand="0" w:noVBand="1" w:val="04A0"/>
      </w:tblPr>
      <w:tblGrid>
        <w:gridCol w:w="4819"/>
        <w:gridCol w:w="4819"/>
      </w:tblGrid>
      <w:tr>
        <w:trPr>
          <w:tblHeader w:val="true"/>
          <w:cantSplit/>
        </w:trPr>
        <w:tc>
          <w:tcPr>
            <w:tcW w:type="dxa" w:w="4819"/>
            <w:vAlign w:val="center"/>
            <w:tcMar>
              <w:top w:w="55" w:type="dxa"/>
              <w:bottom w:w="55" w:type="dxa"/>
              <w:left w:w="70" w:type="dxa"/>
              <w:right w:w="70" w:type="dxa"/>
            </w:tcMar>
          </w:tcPr>
          <w:p>
            <w:pPr>
              <w:keepNext/>
              <w:spacing w:after="0" w:before="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t>Evidence supports</w:t>
            </w:r>
          </w:p>
        </w:tc>
        <w:tc>
          <w:tcPr>
            <w:tcW w:type="dxa" w:w="4819"/>
            <w:vAlign w:val="center"/>
            <w:tcMar>
              <w:top w:w="55" w:type="dxa"/>
              <w:bottom w:w="55" w:type="dxa"/>
              <w:left w:w="70" w:type="dxa"/>
              <w:right w:w="70" w:type="dxa"/>
            </w:tcMar>
          </w:tcPr>
          <w:p>
            <w:pPr>
              <w:keepNext/>
              <w:spacing w:after="0" w:before="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t>Does not by itself establish</w:t>
            </w:r>
          </w:p>
        </w:tc>
      </w:tr>
      <w:tr>
        <w:trPr>
          <w:cantSplit/>
        </w:trPr>
        <w:tc>
          <w:tcPr>
            <w:tcW w:type="dxa" w:w="4819"/>
            <w:vAlign w:val="center"/>
            <w:tcMar>
              <w:top w:w="55" w:type="dxa"/>
              <w:bottom w:w="55" w:type="dxa"/>
              <w:left w:w="70" w:type="dxa"/>
              <w:right w:w="70" w:type="dxa"/>
            </w:tcMar>
          </w:tcPr>
          <w:p>
            <w:pPr>
              <w:keepNext/>
              <w:spacing w:after="0" w:before="0" w:line="240" w:lineRule="auto"/>
              <w:jc w:val="left"/>
            </w:pPr>
            <w:r>
              <w:rPr>
                <w:rFonts w:ascii="Times New Roman" w:hAnsi="Times New Roman" w:cs="Times New Roman" w:eastAsia="Times New Roman"/>
                <w:sz w:val="21"/>
              </w:rPr>
            </w:r>
            <w:r>
              <w:rPr>
                <w:rFonts w:ascii="Times New Roman" w:hAnsi="Times New Roman" w:cs="Times New Roman" w:eastAsia="Times New Roman"/>
                <w:sz w:val="21"/>
              </w:rPr>
              <w:t>W = V - R and E measure the transaction-revenue boundary.</w:t>
            </w:r>
          </w:p>
        </w:tc>
        <w:tc>
          <w:tcPr>
            <w:tcW w:type="dxa" w:w="4819"/>
            <w:vAlign w:val="center"/>
            <w:tcMar>
              <w:top w:w="55" w:type="dxa"/>
              <w:bottom w:w="55" w:type="dxa"/>
              <w:left w:w="70" w:type="dxa"/>
              <w:right w:w="70" w:type="dxa"/>
            </w:tcMar>
          </w:tcPr>
          <w:p>
            <w:pPr>
              <w:keepNext/>
              <w:spacing w:after="0" w:before="0" w:line="240" w:lineRule="auto"/>
              <w:jc w:val="left"/>
            </w:pPr>
            <w:r>
              <w:rPr>
                <w:rFonts w:ascii="Times New Roman" w:hAnsi="Times New Roman" w:cs="Times New Roman" w:eastAsia="Times New Roman"/>
                <w:sz w:val="21"/>
              </w:rPr>
            </w:r>
            <w:r>
              <w:rPr>
                <w:rFonts w:ascii="Times New Roman" w:hAnsi="Times New Roman" w:cs="Times New Roman" w:eastAsia="Times New Roman"/>
                <w:sz w:val="21"/>
              </w:rPr>
              <w:t>Participant profit, taxable income, unpaid tax, tax evasion or missing GDP.</w:t>
            </w:r>
          </w:p>
        </w:tc>
      </w:tr>
      <w:tr>
        <w:trPr>
          <w:cantSplit/>
        </w:trPr>
        <w:tc>
          <w:tcPr>
            <w:tcW w:type="dxa" w:w="4819"/>
            <w:vAlign w:val="center"/>
            <w:tcMar>
              <w:top w:w="55" w:type="dxa"/>
              <w:bottom w:w="55" w:type="dxa"/>
              <w:left w:w="70" w:type="dxa"/>
              <w:right w:w="70" w:type="dxa"/>
            </w:tcMar>
          </w:tcPr>
          <w:p>
            <w:pPr>
              <w:keepNext/>
              <w:spacing w:after="0" w:before="0" w:line="240" w:lineRule="auto"/>
              <w:jc w:val="left"/>
            </w:pPr>
            <w:r>
              <w:rPr>
                <w:rFonts w:ascii="Times New Roman" w:hAnsi="Times New Roman" w:cs="Times New Roman" w:eastAsia="Times New Roman"/>
                <w:sz w:val="21"/>
              </w:rPr>
            </w:r>
            <w:r>
              <w:rPr>
                <w:rFonts w:ascii="Times New Roman" w:hAnsi="Times New Roman" w:cs="Times New Roman" w:eastAsia="Times New Roman"/>
                <w:sz w:val="21"/>
              </w:rPr>
              <w:t>Evidence tiers identify how directly each series maps to Indonesia.</w:t>
            </w:r>
          </w:p>
        </w:tc>
        <w:tc>
          <w:tcPr>
            <w:tcW w:type="dxa" w:w="4819"/>
            <w:vAlign w:val="center"/>
            <w:tcMar>
              <w:top w:w="55" w:type="dxa"/>
              <w:bottom w:w="55" w:type="dxa"/>
              <w:left w:w="70" w:type="dxa"/>
              <w:right w:w="70" w:type="dxa"/>
            </w:tcMar>
          </w:tcPr>
          <w:p>
            <w:pPr>
              <w:keepNext/>
              <w:spacing w:after="0" w:before="0" w:line="240" w:lineRule="auto"/>
              <w:jc w:val="left"/>
            </w:pPr>
            <w:r>
              <w:rPr>
                <w:rFonts w:ascii="Times New Roman" w:hAnsi="Times New Roman" w:cs="Times New Roman" w:eastAsia="Times New Roman"/>
                <w:sz w:val="21"/>
              </w:rPr>
            </w:r>
            <w:r>
              <w:rPr>
                <w:rFonts w:ascii="Times New Roman" w:hAnsi="Times New Roman" w:cs="Times New Roman" w:eastAsia="Times New Roman"/>
                <w:sz w:val="21"/>
              </w:rPr>
              <w:t>That direct, scope-pending and conditional observations are interchangeable or should be pooled.</w:t>
            </w:r>
          </w:p>
        </w:tc>
      </w:tr>
      <w:tr>
        <w:trPr>
          <w:cantSplit/>
        </w:trPr>
        <w:tc>
          <w:tcPr>
            <w:tcW w:type="dxa" w:w="4819"/>
            <w:vAlign w:val="center"/>
            <w:tcMar>
              <w:top w:w="55" w:type="dxa"/>
              <w:bottom w:w="55" w:type="dxa"/>
              <w:left w:w="70" w:type="dxa"/>
              <w:right w:w="70" w:type="dxa"/>
            </w:tcMar>
          </w:tcPr>
          <w:p>
            <w:pPr>
              <w:keepNext/>
              <w:spacing w:after="0" w:before="0" w:line="240" w:lineRule="auto"/>
              <w:jc w:val="left"/>
            </w:pPr>
            <w:r>
              <w:rPr>
                <w:rFonts w:ascii="Times New Roman" w:hAnsi="Times New Roman" w:cs="Times New Roman" w:eastAsia="Times New Roman"/>
                <w:sz w:val="21"/>
              </w:rPr>
            </w:r>
            <w:r>
              <w:rPr>
                <w:rFonts w:ascii="Times New Roman" w:hAnsi="Times New Roman" w:cs="Times New Roman" w:eastAsia="Times New Roman"/>
                <w:sz w:val="21"/>
              </w:rPr>
              <w:t>Issuer revenue components can arithmetically reconcile selected divergences.</w:t>
            </w:r>
          </w:p>
        </w:tc>
        <w:tc>
          <w:tcPr>
            <w:tcW w:type="dxa" w:w="4819"/>
            <w:vAlign w:val="center"/>
            <w:tcMar>
              <w:top w:w="55" w:type="dxa"/>
              <w:bottom w:w="55" w:type="dxa"/>
              <w:left w:w="70" w:type="dxa"/>
              <w:right w:w="70" w:type="dxa"/>
            </w:tcMar>
          </w:tcPr>
          <w:p>
            <w:pPr>
              <w:keepNext/>
              <w:spacing w:after="0" w:before="0" w:line="240" w:lineRule="auto"/>
              <w:jc w:val="left"/>
            </w:pPr>
            <w:r>
              <w:rPr>
                <w:rFonts w:ascii="Times New Roman" w:hAnsi="Times New Roman" w:cs="Times New Roman" w:eastAsia="Times New Roman"/>
                <w:sz w:val="21"/>
              </w:rPr>
            </w:r>
            <w:r>
              <w:rPr>
                <w:rFonts w:ascii="Times New Roman" w:hAnsi="Times New Roman" w:cs="Times New Roman" w:eastAsia="Times New Roman"/>
                <w:sz w:val="21"/>
              </w:rPr>
              <w:t>A causal treatment effect of incentives, monetization or accounting choices.</w:t>
            </w:r>
          </w:p>
        </w:tc>
      </w:tr>
      <w:tr>
        <w:trPr>
          <w:cantSplit/>
        </w:trPr>
        <w:tc>
          <w:tcPr>
            <w:tcW w:type="dxa" w:w="4819"/>
            <w:vAlign w:val="center"/>
            <w:tcMar>
              <w:top w:w="55" w:type="dxa"/>
              <w:bottom w:w="55" w:type="dxa"/>
              <w:left w:w="70" w:type="dxa"/>
              <w:right w:w="70" w:type="dxa"/>
            </w:tcMar>
          </w:tcPr>
          <w:p>
            <w:pPr>
              <w:spacing w:after="0" w:before="0" w:line="240" w:lineRule="auto"/>
              <w:jc w:val="left"/>
            </w:pPr>
            <w:r>
              <w:rPr>
                <w:rFonts w:ascii="Times New Roman" w:hAnsi="Times New Roman" w:cs="Times New Roman" w:eastAsia="Times New Roman"/>
                <w:sz w:val="21"/>
              </w:rPr>
            </w:r>
            <w:r>
              <w:rPr>
                <w:rFonts w:ascii="Times New Roman" w:hAnsi="Times New Roman" w:cs="Times New Roman" w:eastAsia="Times New Roman"/>
                <w:sz w:val="21"/>
              </w:rPr>
              <w:t>BPS and PMK document wider activity and reporting architecture.</w:t>
            </w:r>
          </w:p>
        </w:tc>
        <w:tc>
          <w:tcPr>
            <w:tcW w:type="dxa" w:w="4819"/>
            <w:vAlign w:val="center"/>
            <w:tcMar>
              <w:top w:w="55" w:type="dxa"/>
              <w:bottom w:w="55" w:type="dxa"/>
              <w:left w:w="70" w:type="dxa"/>
              <w:right w:w="70" w:type="dxa"/>
            </w:tcMar>
          </w:tcPr>
          <w:p>
            <w:pPr>
              <w:spacing w:after="0" w:before="0" w:line="240" w:lineRule="auto"/>
              <w:jc w:val="left"/>
            </w:pPr>
            <w:r>
              <w:rPr>
                <w:rFonts w:ascii="Times New Roman" w:hAnsi="Times New Roman" w:cs="Times New Roman" w:eastAsia="Times New Roman"/>
                <w:sz w:val="21"/>
              </w:rPr>
            </w:r>
            <w:r>
              <w:rPr>
                <w:rFonts w:ascii="Times New Roman" w:hAnsi="Times New Roman" w:cs="Times New Roman" w:eastAsia="Times New Roman"/>
                <w:sz w:val="21"/>
              </w:rPr>
              <w:t>A firm-level causal effect or a completed compliance / tax-revenue effect.</w:t>
            </w:r>
          </w:p>
        </w:tc>
      </w:tr>
    </w:tbl>
    <w:p>
      <w:pPr>
        <w:spacing w:line="254" w:lineRule="auto" w:after="80" w:before="0"/>
        <w:jc w:val="both"/>
      </w:pPr>
      <w:r>
        <w:rPr>
          <w:rFonts w:ascii="Times New Roman" w:hAnsi="Times New Roman" w:cs="Times New Roman" w:eastAsia="Times New Roman"/>
          <w:sz w:val="24"/>
        </w:rPr>
        <w:t>Table 4 summarizes the inferential boundaries that govern the proposal. These boundaries are part of the identification discipline of the study: measurement, accounting reconciliation and institutional interpretation are kept separate so that evidence from one layer is not used to make claims that belong to another.</w:t>
      </w:r>
    </w:p>
    <w:p>
      <w:pPr>
        <w:spacing w:line="254" w:lineRule="auto" w:after="80" w:before="0"/>
        <w:jc w:val="both"/>
      </w:pPr>
      <w:r>
        <w:rPr>
          <w:rFonts w:ascii="Times New Roman" w:hAnsi="Times New Roman" w:cs="Times New Roman" w:eastAsia="Times New Roman"/>
          <w:i w:val="0"/>
          <w:sz w:val="24"/>
        </w:rPr>
        <w:t>Two sample decisions remain for the advisor / committee: whether Blibli 3P Retail and Bukalapak Group are admissible in the final longitudinal core, and whether Grab and Shopee should remain sensitivity evidence only. The proposal exposes those decisions rather than treating them as already approved.</w:t>
      </w:r>
    </w:p>
    <w:p>
      <w:pPr>
        <w:pStyle w:val="Heading1"/>
        <w:keepNext/>
        <w:spacing w:before="200" w:after="100"/>
        <w:jc w:val="left"/>
      </w:pPr>
      <w:r>
        <w:rPr>
          <w:rFonts w:ascii="Times New Roman" w:hAnsi="Times New Roman" w:cs="Times New Roman" w:eastAsia="Times New Roman"/>
          <w:b/>
          <w:sz w:val="24"/>
        </w:rPr>
        <w:t>7. Next Step</w:t>
      </w:r>
    </w:p>
    <w:p>
      <w:pPr>
        <w:spacing w:line="254" w:lineRule="auto" w:after="80" w:before="0"/>
        <w:jc w:val="both"/>
      </w:pPr>
      <w:r>
        <w:rPr>
          <w:rFonts w:ascii="Times New Roman" w:hAnsi="Times New Roman" w:cs="Times New Roman" w:eastAsia="Times New Roman"/>
          <w:i w:val="0"/>
          <w:sz w:val="24"/>
        </w:rPr>
        <w:t>After the proposal examination the approved sample boundary will be frozen and the requested checks completed during October-November 2026, with the full manuscript rebuilt around that boundary before the final defence. Robustness, ASEAN/payment extensions, detailed source reconciliation, and the complete verification ledger remain available in the repository and advisor data package rather than occupying proposal space.</w:t>
      </w:r>
    </w:p>
    <w:p>
      <w:pPr>
        <w:pStyle w:val="Heading1"/>
        <w:keepNext/>
        <w:spacing/>
        <w:jc w:val="left"/>
      </w:pPr>
      <w:r>
        <w:rPr>
          <w:rFonts w:ascii="Times New Roman" w:hAnsi="Times New Roman" w:cs="Times New Roman" w:eastAsia="Times New Roman"/>
          <w:b/>
          <w:sz w:val="24"/>
        </w:rPr>
        <w:t>Appendix A - data sources by evidence class</w:t>
      </w:r>
    </w:p>
    <w:p>
      <w:pPr>
        <w:keepNext/>
        <w:spacing w:line="240" w:lineRule="auto" w:after="0" w:before="0"/>
        <w:jc w:val="left"/>
      </w:pPr>
      <w:r>
        <w:rPr>
          <w:rFonts w:ascii="Times New Roman" w:hAnsi="Times New Roman" w:cs="Times New Roman" w:eastAsia="Times New Roman"/>
          <w:b/>
          <w:i w:val="0"/>
          <w:sz w:val="17"/>
        </w:rPr>
        <w:t>Table A1. Source lineage by evidence class.</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cantSplit/>
        </w:trPr>
        <w:tc>
          <w:tcPr>
            <w:tcW w:type="dxa" w:w="1234440"/>
            <w:vAlign w:val="center"/>
            <w:tcMar>
              <w:top w:w="0" w:type="dxa"/>
              <w:bottom w:w="0" w:type="dxa"/>
              <w:left w:w="55" w:type="dxa"/>
              <w:right w:w="55" w:type="dxa"/>
            </w:tcMar>
          </w:tcPr>
          <w:p>
            <w:pPr>
              <w:spacing w:before="0" w:after="0" w:line="228" w:lineRule="auto"/>
            </w:pPr>
            <w:r>
              <w:rPr>
                <w:rFonts w:ascii="Times New Roman" w:hAnsi="Times New Roman"/>
                <w:sz w:val="17"/>
              </w:rPr>
              <w:t>Evidence class</w:t>
            </w:r>
          </w:p>
        </w:tc>
        <w:tc>
          <w:tcPr>
            <w:tcW w:type="dxa" w:w="1143000"/>
            <w:vAlign w:val="center"/>
            <w:tcMar>
              <w:top w:w="0" w:type="dxa"/>
              <w:bottom w:w="0" w:type="dxa"/>
              <w:left w:w="55" w:type="dxa"/>
              <w:right w:w="55" w:type="dxa"/>
            </w:tcMar>
          </w:tcPr>
          <w:p>
            <w:pPr>
              <w:spacing w:before="0" w:after="0" w:line="228" w:lineRule="auto"/>
            </w:pPr>
            <w:r>
              <w:rPr>
                <w:rFonts w:ascii="Times New Roman" w:hAnsi="Times New Roman"/>
                <w:sz w:val="17"/>
              </w:rPr>
              <w:t>Series / object</w:t>
            </w:r>
          </w:p>
        </w:tc>
        <w:tc>
          <w:tcPr>
            <w:tcW w:type="dxa" w:w="1965960"/>
            <w:vAlign w:val="center"/>
            <w:tcMar>
              <w:top w:w="0" w:type="dxa"/>
              <w:bottom w:w="0" w:type="dxa"/>
              <w:left w:w="55" w:type="dxa"/>
              <w:right w:w="55" w:type="dxa"/>
            </w:tcMar>
          </w:tcPr>
          <w:p>
            <w:pPr>
              <w:spacing w:before="0" w:after="0" w:line="228" w:lineRule="auto"/>
            </w:pPr>
            <w:r>
              <w:rPr>
                <w:rFonts w:ascii="Times New Roman" w:hAnsi="Times New Roman"/>
                <w:sz w:val="17"/>
              </w:rPr>
              <w:t>Activity / transaction source</w:t>
            </w:r>
          </w:p>
        </w:tc>
        <w:tc>
          <w:tcPr>
            <w:tcW w:type="dxa" w:w="1920240"/>
            <w:vAlign w:val="center"/>
            <w:tcMar>
              <w:top w:w="0" w:type="dxa"/>
              <w:bottom w:w="0" w:type="dxa"/>
              <w:left w:w="55" w:type="dxa"/>
              <w:right w:w="55" w:type="dxa"/>
            </w:tcMar>
          </w:tcPr>
          <w:p>
            <w:pPr>
              <w:spacing w:before="0" w:after="0" w:line="228" w:lineRule="auto"/>
            </w:pPr>
            <w:r>
              <w:rPr>
                <w:rFonts w:ascii="Times New Roman" w:hAnsi="Times New Roman"/>
                <w:sz w:val="17"/>
              </w:rPr>
              <w:t>Revenue / related source</w:t>
            </w:r>
          </w:p>
        </w:tc>
      </w:tr>
      <w:tr>
        <w:trPr>
          <w:cantSplit/>
        </w:trPr>
        <w:tc>
          <w:tcPr>
            <w:tcW w:type="dxa" w:w="1234440"/>
            <w:vAlign w:val="center"/>
            <w:tcMar>
              <w:top w:w="0" w:type="dxa"/>
              <w:bottom w:w="0" w:type="dxa"/>
              <w:left w:w="55" w:type="dxa"/>
              <w:right w:w="55" w:type="dxa"/>
            </w:tcMar>
          </w:tcPr>
          <w:p>
            <w:pPr>
              <w:spacing w:before="0" w:after="0" w:line="228" w:lineRule="auto"/>
              <w:jc w:val="left"/>
            </w:pPr>
            <w:r>
              <w:rPr>
                <w:rFonts w:ascii="Times New Roman" w:hAnsi="Times New Roman" w:cs="Times New Roman" w:eastAsia="Times New Roman"/>
                <w:sz w:val="17"/>
              </w:rPr>
            </w:r>
            <w:r>
              <w:rPr>
                <w:rFonts w:ascii="Times New Roman" w:hAnsi="Times New Roman" w:cs="Times New Roman" w:eastAsia="Times New Roman"/>
                <w:i w:val="0"/>
                <w:sz w:val="17"/>
              </w:rPr>
              <w:t>Direct Indonesia-aligned</w:t>
            </w:r>
          </w:p>
        </w:tc>
        <w:tc>
          <w:tcPr>
            <w:tcW w:type="dxa" w:w="1143000"/>
            <w:vAlign w:val="center"/>
            <w:tcMar>
              <w:top w:w="0" w:type="dxa"/>
              <w:bottom w:w="0" w:type="dxa"/>
              <w:left w:w="55" w:type="dxa"/>
              <w:right w:w="55" w:type="dxa"/>
            </w:tcMar>
          </w:tcPr>
          <w:p>
            <w:pPr>
              <w:spacing w:before="0" w:after="0" w:line="228" w:lineRule="auto"/>
              <w:jc w:val="left"/>
            </w:pPr>
            <w:r>
              <w:rPr>
                <w:rFonts w:ascii="Times New Roman" w:hAnsi="Times New Roman" w:cs="Times New Roman" w:eastAsia="Times New Roman"/>
                <w:sz w:val="17"/>
              </w:rPr>
            </w:r>
            <w:r>
              <w:rPr>
                <w:rFonts w:ascii="Times New Roman" w:hAnsi="Times New Roman" w:cs="Times New Roman" w:eastAsia="Times New Roman"/>
                <w:i w:val="0"/>
                <w:sz w:val="17"/>
              </w:rPr>
              <w:t>Tokopedia e-commerce</w:t>
            </w:r>
          </w:p>
        </w:tc>
        <w:tc>
          <w:tcPr>
            <w:tcW w:type="dxa" w:w="1965960"/>
            <w:vAlign w:val="center"/>
            <w:tcMar>
              <w:top w:w="0" w:type="dxa"/>
              <w:bottom w:w="0" w:type="dxa"/>
              <w:left w:w="55" w:type="dxa"/>
              <w:right w:w="55" w:type="dxa"/>
            </w:tcMar>
          </w:tcPr>
          <w:p>
            <w:pPr>
              <w:spacing w:before="0" w:after="0" w:line="228" w:lineRule="auto"/>
              <w:jc w:val="left"/>
            </w:pPr>
            <w:r>
              <w:rPr>
                <w:rFonts w:ascii="Times New Roman" w:hAnsi="Times New Roman" w:cs="Times New Roman" w:eastAsia="Times New Roman"/>
                <w:sz w:val="17"/>
              </w:rPr>
            </w:r>
            <w:r>
              <w:rPr>
                <w:rFonts w:ascii="Times New Roman" w:hAnsi="Times New Roman" w:cs="Times New Roman" w:eastAsia="Times New Roman"/>
                <w:i w:val="0"/>
                <w:sz w:val="17"/>
              </w:rPr>
              <w:t>GoTo annual report, e-commerce segment metrics</w:t>
            </w:r>
          </w:p>
        </w:tc>
        <w:tc>
          <w:tcPr>
            <w:tcW w:type="dxa" w:w="1920240"/>
            <w:vAlign w:val="center"/>
            <w:tcMar>
              <w:top w:w="0" w:type="dxa"/>
              <w:bottom w:w="0" w:type="dxa"/>
              <w:left w:w="55" w:type="dxa"/>
              <w:right w:w="55" w:type="dxa"/>
            </w:tcMar>
          </w:tcPr>
          <w:p>
            <w:pPr>
              <w:spacing w:before="0" w:after="0" w:line="228" w:lineRule="auto"/>
              <w:jc w:val="left"/>
            </w:pPr>
            <w:r>
              <w:rPr>
                <w:rFonts w:ascii="Times New Roman" w:hAnsi="Times New Roman" w:cs="Times New Roman" w:eastAsia="Times New Roman"/>
                <w:sz w:val="17"/>
              </w:rPr>
            </w:r>
            <w:r>
              <w:rPr>
                <w:rFonts w:ascii="Times New Roman" w:hAnsi="Times New Roman" w:cs="Times New Roman" w:eastAsia="Times New Roman"/>
                <w:i w:val="0"/>
                <w:sz w:val="17"/>
              </w:rPr>
              <w:t>GoTo annual report, segment note</w:t>
            </w:r>
          </w:p>
        </w:tc>
      </w:tr>
      <w:tr>
        <w:trPr>
          <w:cantSplit/>
        </w:trPr>
        <w:tc>
          <w:tcPr>
            <w:tcW w:type="dxa" w:w="1234440"/>
            <w:vAlign w:val="center"/>
            <w:tcMar>
              <w:top w:w="0" w:type="dxa"/>
              <w:bottom w:w="0" w:type="dxa"/>
              <w:left w:w="55" w:type="dxa"/>
              <w:right w:w="55" w:type="dxa"/>
            </w:tcMar>
          </w:tcPr>
          <w:p>
            <w:pPr>
              <w:spacing w:before="0" w:after="0" w:line="228" w:lineRule="auto"/>
              <w:jc w:val="left"/>
            </w:pPr>
            <w:r>
              <w:rPr>
                <w:rFonts w:ascii="Times New Roman" w:hAnsi="Times New Roman" w:cs="Times New Roman" w:eastAsia="Times New Roman"/>
                <w:sz w:val="17"/>
              </w:rPr>
            </w:r>
            <w:r>
              <w:rPr>
                <w:rFonts w:ascii="Times New Roman" w:hAnsi="Times New Roman" w:cs="Times New Roman" w:eastAsia="Times New Roman"/>
                <w:i w:val="0"/>
                <w:sz w:val="17"/>
              </w:rPr>
              <w:t>Direct, scope-pending</w:t>
            </w:r>
          </w:p>
        </w:tc>
        <w:tc>
          <w:tcPr>
            <w:tcW w:type="dxa" w:w="1143000"/>
            <w:vAlign w:val="center"/>
            <w:tcMar>
              <w:top w:w="0" w:type="dxa"/>
              <w:bottom w:w="0" w:type="dxa"/>
              <w:left w:w="55" w:type="dxa"/>
              <w:right w:w="55" w:type="dxa"/>
            </w:tcMar>
          </w:tcPr>
          <w:p>
            <w:pPr>
              <w:spacing w:before="0" w:after="0" w:line="228" w:lineRule="auto"/>
              <w:jc w:val="left"/>
            </w:pPr>
            <w:r>
              <w:rPr>
                <w:rFonts w:ascii="Times New Roman" w:hAnsi="Times New Roman" w:cs="Times New Roman" w:eastAsia="Times New Roman"/>
                <w:sz w:val="17"/>
              </w:rPr>
            </w:r>
            <w:r>
              <w:rPr>
                <w:rFonts w:ascii="Times New Roman" w:hAnsi="Times New Roman" w:cs="Times New Roman" w:eastAsia="Times New Roman"/>
                <w:i w:val="0"/>
                <w:sz w:val="17"/>
              </w:rPr>
              <w:t>Blibli 3P Retail</w:t>
            </w:r>
          </w:p>
        </w:tc>
        <w:tc>
          <w:tcPr>
            <w:tcW w:type="dxa" w:w="1965960"/>
            <w:vAlign w:val="center"/>
            <w:tcMar>
              <w:top w:w="0" w:type="dxa"/>
              <w:bottom w:w="0" w:type="dxa"/>
              <w:left w:w="55" w:type="dxa"/>
              <w:right w:w="55" w:type="dxa"/>
            </w:tcMar>
          </w:tcPr>
          <w:p>
            <w:pPr>
              <w:spacing w:before="0" w:after="0" w:line="228" w:lineRule="auto"/>
              <w:jc w:val="left"/>
            </w:pPr>
            <w:r>
              <w:rPr>
                <w:rFonts w:ascii="Times New Roman" w:hAnsi="Times New Roman" w:cs="Times New Roman" w:eastAsia="Times New Roman"/>
                <w:sz w:val="17"/>
              </w:rPr>
            </w:r>
            <w:r>
              <w:rPr>
                <w:rFonts w:ascii="Times New Roman" w:hAnsi="Times New Roman" w:cs="Times New Roman" w:eastAsia="Times New Roman"/>
                <w:i w:val="0"/>
                <w:sz w:val="17"/>
              </w:rPr>
              <w:t>Global Digital Niaga prospectus and results releases</w:t>
            </w:r>
          </w:p>
        </w:tc>
        <w:tc>
          <w:tcPr>
            <w:tcW w:type="dxa" w:w="1920240"/>
            <w:vAlign w:val="center"/>
            <w:tcMar>
              <w:top w:w="0" w:type="dxa"/>
              <w:bottom w:w="0" w:type="dxa"/>
              <w:left w:w="55" w:type="dxa"/>
              <w:right w:w="55" w:type="dxa"/>
            </w:tcMar>
          </w:tcPr>
          <w:p>
            <w:pPr>
              <w:spacing w:before="0" w:after="0" w:line="228" w:lineRule="auto"/>
              <w:jc w:val="left"/>
            </w:pPr>
            <w:r>
              <w:rPr>
                <w:rFonts w:ascii="Times New Roman" w:hAnsi="Times New Roman" w:cs="Times New Roman" w:eastAsia="Times New Roman"/>
                <w:sz w:val="17"/>
              </w:rPr>
            </w:r>
            <w:r>
              <w:rPr>
                <w:rFonts w:ascii="Times New Roman" w:hAnsi="Times New Roman" w:cs="Times New Roman" w:eastAsia="Times New Roman"/>
                <w:i w:val="0"/>
                <w:sz w:val="17"/>
              </w:rPr>
              <w:t>Same issuer filings</w:t>
            </w:r>
          </w:p>
        </w:tc>
      </w:tr>
      <w:tr>
        <w:trPr>
          <w:cantSplit/>
        </w:trPr>
        <w:tc>
          <w:tcPr>
            <w:tcW w:type="dxa" w:w="1234440"/>
            <w:vAlign w:val="center"/>
            <w:tcMar>
              <w:top w:w="0" w:type="dxa"/>
              <w:bottom w:w="0" w:type="dxa"/>
              <w:left w:w="55" w:type="dxa"/>
              <w:right w:w="55" w:type="dxa"/>
            </w:tcMar>
          </w:tcPr>
          <w:p>
            <w:pPr>
              <w:spacing w:before="0" w:after="0" w:line="228" w:lineRule="auto"/>
              <w:jc w:val="left"/>
            </w:pPr>
            <w:r>
              <w:rPr>
                <w:rFonts w:ascii="Times New Roman" w:hAnsi="Times New Roman" w:cs="Times New Roman" w:eastAsia="Times New Roman"/>
                <w:sz w:val="17"/>
              </w:rPr>
            </w:r>
            <w:r>
              <w:rPr>
                <w:rFonts w:ascii="Times New Roman" w:hAnsi="Times New Roman" w:cs="Times New Roman" w:eastAsia="Times New Roman"/>
                <w:i w:val="0"/>
                <w:sz w:val="17"/>
              </w:rPr>
              <w:t>Direct, scope-pending</w:t>
            </w:r>
          </w:p>
        </w:tc>
        <w:tc>
          <w:tcPr>
            <w:tcW w:type="dxa" w:w="1143000"/>
            <w:vAlign w:val="center"/>
            <w:tcMar>
              <w:top w:w="0" w:type="dxa"/>
              <w:bottom w:w="0" w:type="dxa"/>
              <w:left w:w="55" w:type="dxa"/>
              <w:right w:w="55" w:type="dxa"/>
            </w:tcMar>
          </w:tcPr>
          <w:p>
            <w:pPr>
              <w:spacing w:before="0" w:after="0" w:line="228" w:lineRule="auto"/>
              <w:jc w:val="left"/>
            </w:pPr>
            <w:r>
              <w:rPr>
                <w:rFonts w:ascii="Times New Roman" w:hAnsi="Times New Roman" w:cs="Times New Roman" w:eastAsia="Times New Roman"/>
                <w:sz w:val="17"/>
              </w:rPr>
            </w:r>
            <w:r>
              <w:rPr>
                <w:rFonts w:ascii="Times New Roman" w:hAnsi="Times New Roman" w:cs="Times New Roman" w:eastAsia="Times New Roman"/>
                <w:i w:val="0"/>
                <w:sz w:val="17"/>
              </w:rPr>
              <w:t>Bukalapak Group</w:t>
            </w:r>
          </w:p>
        </w:tc>
        <w:tc>
          <w:tcPr>
            <w:tcW w:type="dxa" w:w="1965960"/>
            <w:vAlign w:val="center"/>
            <w:tcMar>
              <w:top w:w="0" w:type="dxa"/>
              <w:bottom w:w="0" w:type="dxa"/>
              <w:left w:w="55" w:type="dxa"/>
              <w:right w:w="55" w:type="dxa"/>
            </w:tcMar>
          </w:tcPr>
          <w:p>
            <w:pPr>
              <w:spacing w:before="0" w:after="0" w:line="228" w:lineRule="auto"/>
              <w:jc w:val="left"/>
            </w:pPr>
            <w:r>
              <w:rPr>
                <w:rFonts w:ascii="Times New Roman" w:hAnsi="Times New Roman" w:cs="Times New Roman" w:eastAsia="Times New Roman"/>
                <w:sz w:val="17"/>
              </w:rPr>
            </w:r>
            <w:r>
              <w:rPr>
                <w:rFonts w:ascii="Times New Roman" w:hAnsi="Times New Roman" w:cs="Times New Roman" w:eastAsia="Times New Roman"/>
                <w:i w:val="0"/>
                <w:sz w:val="17"/>
              </w:rPr>
              <w:t>Bukalapak annual and sustainability reports</w:t>
            </w:r>
          </w:p>
        </w:tc>
        <w:tc>
          <w:tcPr>
            <w:tcW w:type="dxa" w:w="1920240"/>
            <w:vAlign w:val="center"/>
            <w:tcMar>
              <w:top w:w="0" w:type="dxa"/>
              <w:bottom w:w="0" w:type="dxa"/>
              <w:left w:w="55" w:type="dxa"/>
              <w:right w:w="55" w:type="dxa"/>
            </w:tcMar>
          </w:tcPr>
          <w:p>
            <w:pPr>
              <w:spacing w:before="0" w:after="0" w:line="228" w:lineRule="auto"/>
              <w:jc w:val="left"/>
            </w:pPr>
            <w:r>
              <w:rPr>
                <w:rFonts w:ascii="Times New Roman" w:hAnsi="Times New Roman" w:cs="Times New Roman" w:eastAsia="Times New Roman"/>
                <w:sz w:val="17"/>
              </w:rPr>
            </w:r>
            <w:r>
              <w:rPr>
                <w:rFonts w:ascii="Times New Roman" w:hAnsi="Times New Roman" w:cs="Times New Roman" w:eastAsia="Times New Roman"/>
                <w:i w:val="0"/>
                <w:sz w:val="17"/>
              </w:rPr>
              <w:t>Same issuer filings</w:t>
            </w:r>
          </w:p>
        </w:tc>
      </w:tr>
      <w:tr>
        <w:trPr>
          <w:cantSplit/>
        </w:trPr>
        <w:tc>
          <w:tcPr>
            <w:tcW w:type="dxa" w:w="1234440"/>
            <w:vAlign w:val="center"/>
            <w:tcMar>
              <w:top w:w="0" w:type="dxa"/>
              <w:bottom w:w="0" w:type="dxa"/>
              <w:left w:w="55" w:type="dxa"/>
              <w:right w:w="55" w:type="dxa"/>
            </w:tcMar>
          </w:tcPr>
          <w:p>
            <w:pPr>
              <w:spacing w:before="0" w:after="0" w:line="228" w:lineRule="auto"/>
              <w:jc w:val="left"/>
            </w:pPr>
            <w:r>
              <w:rPr>
                <w:rFonts w:ascii="Times New Roman" w:hAnsi="Times New Roman" w:cs="Times New Roman" w:eastAsia="Times New Roman"/>
                <w:sz w:val="17"/>
              </w:rPr>
            </w:r>
            <w:r>
              <w:rPr>
                <w:rFonts w:ascii="Times New Roman" w:hAnsi="Times New Roman" w:cs="Times New Roman" w:eastAsia="Times New Roman"/>
                <w:i w:val="0"/>
                <w:sz w:val="17"/>
              </w:rPr>
              <w:t>Conditional reconstruction</w:t>
            </w:r>
          </w:p>
        </w:tc>
        <w:tc>
          <w:tcPr>
            <w:tcW w:type="dxa" w:w="1143000"/>
            <w:vAlign w:val="center"/>
            <w:tcMar>
              <w:top w:w="0" w:type="dxa"/>
              <w:bottom w:w="0" w:type="dxa"/>
              <w:left w:w="55" w:type="dxa"/>
              <w:right w:w="55" w:type="dxa"/>
            </w:tcMar>
          </w:tcPr>
          <w:p>
            <w:pPr>
              <w:spacing w:before="0" w:after="0" w:line="228" w:lineRule="auto"/>
              <w:jc w:val="left"/>
            </w:pPr>
            <w:r>
              <w:rPr>
                <w:rFonts w:ascii="Times New Roman" w:hAnsi="Times New Roman" w:cs="Times New Roman" w:eastAsia="Times New Roman"/>
                <w:sz w:val="17"/>
              </w:rPr>
            </w:r>
            <w:r>
              <w:rPr>
                <w:rFonts w:ascii="Times New Roman" w:hAnsi="Times New Roman" w:cs="Times New Roman" w:eastAsia="Times New Roman"/>
                <w:i w:val="0"/>
                <w:sz w:val="17"/>
              </w:rPr>
              <w:t>Grab Indonesia</w:t>
            </w:r>
          </w:p>
        </w:tc>
        <w:tc>
          <w:tcPr>
            <w:tcW w:type="dxa" w:w="1965960"/>
            <w:vAlign w:val="center"/>
            <w:tcMar>
              <w:top w:w="0" w:type="dxa"/>
              <w:bottom w:w="0" w:type="dxa"/>
              <w:left w:w="55" w:type="dxa"/>
              <w:right w:w="55" w:type="dxa"/>
            </w:tcMar>
          </w:tcPr>
          <w:p>
            <w:pPr>
              <w:spacing w:before="0" w:after="0" w:line="228" w:lineRule="auto"/>
              <w:jc w:val="left"/>
            </w:pPr>
            <w:r>
              <w:rPr>
                <w:rFonts w:ascii="Times New Roman" w:hAnsi="Times New Roman" w:cs="Times New Roman" w:eastAsia="Times New Roman"/>
                <w:sz w:val="17"/>
              </w:rPr>
            </w:r>
            <w:r>
              <w:rPr>
                <w:rFonts w:ascii="Times New Roman" w:hAnsi="Times New Roman" w:cs="Times New Roman" w:eastAsia="Times New Roman"/>
                <w:i w:val="0"/>
                <w:sz w:val="17"/>
              </w:rPr>
              <w:t>Derived from disclosed Indonesia revenue and Group monetization rate (Form 20-F)</w:t>
            </w:r>
          </w:p>
        </w:tc>
        <w:tc>
          <w:tcPr>
            <w:tcW w:type="dxa" w:w="1920240"/>
            <w:vAlign w:val="center"/>
            <w:tcMar>
              <w:top w:w="0" w:type="dxa"/>
              <w:bottom w:w="0" w:type="dxa"/>
              <w:left w:w="55" w:type="dxa"/>
              <w:right w:w="55" w:type="dxa"/>
            </w:tcMar>
          </w:tcPr>
          <w:p>
            <w:pPr>
              <w:spacing w:before="0" w:after="0" w:line="228" w:lineRule="auto"/>
              <w:jc w:val="left"/>
            </w:pPr>
            <w:r>
              <w:rPr>
                <w:rFonts w:ascii="Times New Roman" w:hAnsi="Times New Roman" w:cs="Times New Roman" w:eastAsia="Times New Roman"/>
                <w:sz w:val="17"/>
              </w:rPr>
            </w:r>
            <w:r>
              <w:rPr>
                <w:rFonts w:ascii="Times New Roman" w:hAnsi="Times New Roman" w:cs="Times New Roman" w:eastAsia="Times New Roman"/>
                <w:i w:val="0"/>
                <w:sz w:val="17"/>
              </w:rPr>
              <w:t>Grab Form 20-F</w:t>
            </w:r>
          </w:p>
        </w:tc>
      </w:tr>
      <w:tr>
        <w:trPr>
          <w:cantSplit/>
        </w:trPr>
        <w:tc>
          <w:tcPr>
            <w:tcW w:type="dxa" w:w="1234440"/>
            <w:vAlign w:val="center"/>
            <w:tcMar>
              <w:top w:w="0" w:type="dxa"/>
              <w:bottom w:w="0" w:type="dxa"/>
              <w:left w:w="55" w:type="dxa"/>
              <w:right w:w="55" w:type="dxa"/>
            </w:tcMar>
          </w:tcPr>
          <w:p>
            <w:pPr>
              <w:spacing w:before="0" w:after="0" w:line="228" w:lineRule="auto"/>
              <w:jc w:val="left"/>
            </w:pPr>
            <w:r>
              <w:rPr>
                <w:rFonts w:ascii="Times New Roman" w:hAnsi="Times New Roman" w:cs="Times New Roman" w:eastAsia="Times New Roman"/>
                <w:sz w:val="17"/>
              </w:rPr>
            </w:r>
            <w:r>
              <w:rPr>
                <w:rFonts w:ascii="Times New Roman" w:hAnsi="Times New Roman" w:cs="Times New Roman" w:eastAsia="Times New Roman"/>
                <w:i w:val="0"/>
                <w:sz w:val="17"/>
              </w:rPr>
              <w:t>Conditional reconstruction</w:t>
            </w:r>
          </w:p>
        </w:tc>
        <w:tc>
          <w:tcPr>
            <w:tcW w:type="dxa" w:w="1143000"/>
            <w:vAlign w:val="center"/>
            <w:tcMar>
              <w:top w:w="0" w:type="dxa"/>
              <w:bottom w:w="0" w:type="dxa"/>
              <w:left w:w="55" w:type="dxa"/>
              <w:right w:w="55" w:type="dxa"/>
            </w:tcMar>
          </w:tcPr>
          <w:p>
            <w:pPr>
              <w:spacing w:before="0" w:after="0" w:line="228" w:lineRule="auto"/>
              <w:jc w:val="left"/>
            </w:pPr>
            <w:r>
              <w:rPr>
                <w:rFonts w:ascii="Times New Roman" w:hAnsi="Times New Roman" w:cs="Times New Roman" w:eastAsia="Times New Roman"/>
                <w:sz w:val="17"/>
              </w:rPr>
            </w:r>
            <w:r>
              <w:rPr>
                <w:rFonts w:ascii="Times New Roman" w:hAnsi="Times New Roman" w:cs="Times New Roman" w:eastAsia="Times New Roman"/>
                <w:i w:val="0"/>
                <w:sz w:val="17"/>
              </w:rPr>
              <w:t>Shopee Indonesia</w:t>
            </w:r>
          </w:p>
        </w:tc>
        <w:tc>
          <w:tcPr>
            <w:tcW w:type="dxa" w:w="1965960"/>
            <w:vAlign w:val="center"/>
            <w:tcMar>
              <w:top w:w="0" w:type="dxa"/>
              <w:bottom w:w="0" w:type="dxa"/>
              <w:left w:w="55" w:type="dxa"/>
              <w:right w:w="55" w:type="dxa"/>
            </w:tcMar>
          </w:tcPr>
          <w:p>
            <w:pPr>
              <w:spacing w:before="0" w:after="0" w:line="228" w:lineRule="auto"/>
              <w:jc w:val="left"/>
            </w:pPr>
            <w:r>
              <w:rPr>
                <w:rFonts w:ascii="Times New Roman" w:hAnsi="Times New Roman" w:cs="Times New Roman" w:eastAsia="Times New Roman"/>
                <w:sz w:val="17"/>
              </w:rPr>
            </w:r>
            <w:r>
              <w:rPr>
                <w:rFonts w:ascii="Times New Roman" w:hAnsi="Times New Roman" w:cs="Times New Roman" w:eastAsia="Times New Roman"/>
                <w:i w:val="0"/>
                <w:sz w:val="17"/>
              </w:rPr>
              <w:t>Momentum Works Southeast Asia e-commerce estimate (third-party)</w:t>
            </w:r>
          </w:p>
        </w:tc>
        <w:tc>
          <w:tcPr>
            <w:tcW w:type="dxa" w:w="1920240"/>
            <w:vAlign w:val="center"/>
            <w:tcMar>
              <w:top w:w="0" w:type="dxa"/>
              <w:bottom w:w="0" w:type="dxa"/>
              <w:left w:w="55" w:type="dxa"/>
              <w:right w:w="55" w:type="dxa"/>
            </w:tcMar>
          </w:tcPr>
          <w:p>
            <w:pPr>
              <w:spacing w:before="0" w:after="0" w:line="228" w:lineRule="auto"/>
              <w:jc w:val="left"/>
            </w:pPr>
            <w:r>
              <w:rPr>
                <w:rFonts w:ascii="Times New Roman" w:hAnsi="Times New Roman" w:cs="Times New Roman" w:eastAsia="Times New Roman"/>
                <w:sz w:val="17"/>
              </w:rPr>
            </w:r>
            <w:r>
              <w:rPr>
                <w:rFonts w:ascii="Times New Roman" w:hAnsi="Times New Roman" w:cs="Times New Roman" w:eastAsia="Times New Roman"/>
                <w:i w:val="0"/>
                <w:sz w:val="17"/>
              </w:rPr>
              <w:t>Derived from Sea Limited Form 20-F</w:t>
            </w:r>
          </w:p>
        </w:tc>
      </w:tr>
      <w:tr>
        <w:trPr>
          <w:cantSplit/>
        </w:trPr>
        <w:tc>
          <w:tcPr>
            <w:tcW w:type="dxa" w:w="1234440"/>
            <w:vAlign w:val="center"/>
            <w:tcMar>
              <w:top w:w="0" w:type="dxa"/>
              <w:bottom w:w="0" w:type="dxa"/>
              <w:left w:w="55" w:type="dxa"/>
              <w:right w:w="55" w:type="dxa"/>
            </w:tcMar>
          </w:tcPr>
          <w:p>
            <w:pPr>
              <w:spacing w:before="0" w:after="0" w:line="228" w:lineRule="auto"/>
              <w:jc w:val="left"/>
            </w:pPr>
            <w:r>
              <w:rPr>
                <w:rFonts w:ascii="Times New Roman" w:hAnsi="Times New Roman" w:cs="Times New Roman" w:eastAsia="Times New Roman"/>
                <w:sz w:val="17"/>
              </w:rPr>
            </w:r>
            <w:r>
              <w:rPr>
                <w:rFonts w:ascii="Times New Roman" w:hAnsi="Times New Roman" w:cs="Times New Roman" w:eastAsia="Times New Roman"/>
                <w:i w:val="0"/>
                <w:sz w:val="17"/>
              </w:rPr>
              <w:t>National statistics</w:t>
            </w:r>
          </w:p>
        </w:tc>
        <w:tc>
          <w:tcPr>
            <w:tcW w:type="dxa" w:w="1143000"/>
            <w:vAlign w:val="center"/>
            <w:tcMar>
              <w:top w:w="0" w:type="dxa"/>
              <w:bottom w:w="0" w:type="dxa"/>
              <w:left w:w="55" w:type="dxa"/>
              <w:right w:w="55" w:type="dxa"/>
            </w:tcMar>
          </w:tcPr>
          <w:p>
            <w:pPr>
              <w:spacing w:before="0" w:after="0" w:line="228" w:lineRule="auto"/>
              <w:jc w:val="left"/>
            </w:pPr>
            <w:r>
              <w:rPr>
                <w:rFonts w:ascii="Times New Roman" w:hAnsi="Times New Roman" w:cs="Times New Roman" w:eastAsia="Times New Roman"/>
                <w:sz w:val="17"/>
              </w:rPr>
            </w:r>
            <w:r>
              <w:rPr>
                <w:rFonts w:ascii="Times New Roman" w:hAnsi="Times New Roman" w:cs="Times New Roman" w:eastAsia="Times New Roman"/>
                <w:i w:val="0"/>
                <w:sz w:val="17"/>
              </w:rPr>
              <w:t>BPS-Statistics Indonesia</w:t>
            </w:r>
          </w:p>
        </w:tc>
        <w:tc>
          <w:tcPr>
            <w:tcW w:type="dxa" w:w="1965960"/>
            <w:vAlign w:val="center"/>
            <w:tcMar>
              <w:top w:w="0" w:type="dxa"/>
              <w:bottom w:w="0" w:type="dxa"/>
              <w:left w:w="55" w:type="dxa"/>
              <w:right w:w="55" w:type="dxa"/>
            </w:tcMar>
          </w:tcPr>
          <w:p>
            <w:pPr>
              <w:spacing w:before="0" w:after="0" w:line="228" w:lineRule="auto"/>
            </w:pPr>
            <w:r>
              <w:rPr>
                <w:rFonts w:ascii="Times New Roman" w:hAnsi="Times New Roman"/>
                <w:sz w:val="17"/>
              </w:rPr>
              <w:t>E-Commerce Statistics 2023 and 2024; BPS marketplace-use analysis</w:t>
            </w:r>
          </w:p>
        </w:tc>
        <w:tc>
          <w:tcPr>
            <w:tcW w:type="dxa" w:w="1920240"/>
            <w:vAlign w:val="center"/>
            <w:tcMar>
              <w:top w:w="0" w:type="dxa"/>
              <w:bottom w:w="0" w:type="dxa"/>
              <w:left w:w="55" w:type="dxa"/>
              <w:right w:w="55" w:type="dxa"/>
            </w:tcMar>
          </w:tcPr>
          <w:p>
            <w:pPr>
              <w:spacing w:before="0" w:after="0" w:line="228" w:lineRule="auto"/>
            </w:pPr>
            <w:r>
              <w:rPr>
                <w:rFonts w:ascii="Times New Roman" w:hAnsi="Times New Roman"/>
                <w:sz w:val="17"/>
              </w:rPr>
              <w:t>-</w:t>
            </w:r>
          </w:p>
        </w:tc>
      </w:tr>
      <w:tr>
        <w:trPr>
          <w:cantSplit/>
        </w:trPr>
        <w:tc>
          <w:tcPr>
            <w:tcW w:type="dxa" w:w="1234440"/>
            <w:vAlign w:val="center"/>
            <w:tcMar>
              <w:top w:w="0" w:type="dxa"/>
              <w:bottom w:w="0" w:type="dxa"/>
              <w:left w:w="55" w:type="dxa"/>
              <w:right w:w="55" w:type="dxa"/>
            </w:tcMar>
          </w:tcPr>
          <w:p>
            <w:pPr>
              <w:spacing w:before="0" w:after="0" w:line="228" w:lineRule="auto"/>
              <w:jc w:val="left"/>
            </w:pPr>
            <w:r>
              <w:rPr>
                <w:rFonts w:ascii="Times New Roman" w:hAnsi="Times New Roman" w:cs="Times New Roman" w:eastAsia="Times New Roman"/>
                <w:sz w:val="17"/>
              </w:rPr>
            </w:r>
            <w:r>
              <w:rPr>
                <w:rFonts w:ascii="Times New Roman" w:hAnsi="Times New Roman" w:cs="Times New Roman" w:eastAsia="Times New Roman"/>
                <w:i w:val="0"/>
                <w:sz w:val="17"/>
              </w:rPr>
              <w:t>Regulatory</w:t>
            </w:r>
          </w:p>
        </w:tc>
        <w:tc>
          <w:tcPr>
            <w:tcW w:type="dxa" w:w="1143000"/>
            <w:vAlign w:val="center"/>
            <w:tcMar>
              <w:top w:w="0" w:type="dxa"/>
              <w:bottom w:w="0" w:type="dxa"/>
              <w:left w:w="55" w:type="dxa"/>
              <w:right w:w="55" w:type="dxa"/>
            </w:tcMar>
          </w:tcPr>
          <w:p>
            <w:pPr>
              <w:spacing w:before="0" w:after="0" w:line="228" w:lineRule="auto"/>
              <w:jc w:val="left"/>
            </w:pPr>
            <w:r>
              <w:rPr>
                <w:rFonts w:ascii="Times New Roman" w:hAnsi="Times New Roman" w:cs="Times New Roman" w:eastAsia="Times New Roman"/>
                <w:sz w:val="17"/>
              </w:rPr>
            </w:r>
            <w:r>
              <w:rPr>
                <w:rFonts w:ascii="Times New Roman" w:hAnsi="Times New Roman" w:cs="Times New Roman" w:eastAsia="Times New Roman"/>
                <w:i w:val="0"/>
                <w:sz w:val="17"/>
              </w:rPr>
              <w:t>PMK 37/2025; DJP</w:t>
            </w:r>
          </w:p>
        </w:tc>
        <w:tc>
          <w:tcPr>
            <w:tcW w:type="dxa" w:w="1965960"/>
            <w:vAlign w:val="center"/>
            <w:tcMar>
              <w:top w:w="0" w:type="dxa"/>
              <w:bottom w:w="0" w:type="dxa"/>
              <w:left w:w="55" w:type="dxa"/>
              <w:right w:w="55" w:type="dxa"/>
            </w:tcMar>
          </w:tcPr>
          <w:p>
            <w:pPr>
              <w:spacing w:before="0" w:after="0" w:line="228" w:lineRule="auto"/>
            </w:pPr>
            <w:r>
              <w:rPr>
                <w:rFonts w:ascii="Times New Roman" w:hAnsi="Times New Roman"/>
                <w:sz w:val="17"/>
              </w:rPr>
              <w:t>-</w:t>
            </w:r>
          </w:p>
        </w:tc>
        <w:tc>
          <w:tcPr>
            <w:tcW w:type="dxa" w:w="1920240"/>
            <w:vAlign w:val="center"/>
            <w:tcMar>
              <w:top w:w="0" w:type="dxa"/>
              <w:bottom w:w="0" w:type="dxa"/>
              <w:left w:w="55" w:type="dxa"/>
              <w:right w:w="55" w:type="dxa"/>
            </w:tcMar>
          </w:tcPr>
          <w:p>
            <w:pPr>
              <w:spacing w:before="0" w:after="0" w:line="228" w:lineRule="auto"/>
            </w:pPr>
            <w:r>
              <w:rPr>
                <w:rFonts w:ascii="Times New Roman" w:hAnsi="Times New Roman"/>
                <w:sz w:val="17"/>
              </w:rPr>
              <w:t>Ministry of Finance PMK 37/2025 and DJP implementation materials</w:t>
            </w:r>
          </w:p>
        </w:tc>
      </w:tr>
    </w:tbl>
    <w:p>
      <w:pPr>
        <w:spacing w:after="80" w:before="0"/>
        <w:jc w:val="both"/>
      </w:pPr>
      <w:r>
        <w:rPr>
          <w:rFonts w:ascii="Times New Roman" w:hAnsi="Times New Roman" w:cs="Times New Roman" w:eastAsia="Times New Roman"/>
          <w:i w:val="0"/>
          <w:sz w:val="24"/>
        </w:rPr>
        <w:t>Every figure used in this proposal traces to a named file and locator in the accompanying data package.</w:t>
      </w:r>
    </w:p>
    <w:p>
      <w:pPr>
        <w:pStyle w:val="Heading1"/>
        <w:keepNext/>
        <w:spacing/>
        <w:jc w:val="left"/>
      </w:pPr>
      <w:r>
        <w:rPr>
          <w:rFonts w:ascii="Times New Roman" w:hAnsi="Times New Roman" w:cs="Times New Roman" w:eastAsia="Times New Roman"/>
          <w:b/>
          <w:sz w:val="24"/>
        </w:rPr>
        <w:t>References</w:t>
      </w:r>
    </w:p>
    <w:p>
      <w:pPr>
        <w:spacing w:before="0" w:after="0" w:line="240" w:lineRule="auto"/>
        <w:ind w:left="0" w:firstLine="0"/>
        <w:jc w:val="left"/>
      </w:pPr>
      <w:r>
        <w:rPr>
          <w:rFonts w:ascii="Times New Roman" w:hAnsi="Times New Roman" w:cs="Times New Roman" w:eastAsia="Times New Roman"/>
          <w:sz w:val="24"/>
        </w:rPr>
        <w:t>Armstrong, M. (2006). Competition in two-sided markets. RAND Journal of Economics, 37(3), 668-691.</w:t>
      </w:r>
    </w:p>
    <w:p>
      <w:pPr>
        <w:spacing w:before="0" w:after="0" w:line="240" w:lineRule="auto"/>
        <w:ind w:left="0" w:firstLine="0"/>
        <w:jc w:val="left"/>
      </w:pPr>
      <w:r>
        <w:rPr>
          <w:rFonts w:ascii="Times New Roman" w:hAnsi="Times New Roman" w:cs="Times New Roman" w:eastAsia="Times New Roman"/>
          <w:sz w:val="24"/>
        </w:rPr>
        <w:t>Barrios, J. M., Hochberg, Y. V., &amp; Yi, H. (2022). Launching with a parachute: The gig economy and new business formation. Journal of Financial Economics, 144(1), 22-43.</w:t>
      </w:r>
    </w:p>
    <w:p>
      <w:pPr>
        <w:spacing w:before="0" w:after="0" w:line="240" w:lineRule="auto"/>
        <w:ind w:left="0" w:firstLine="0"/>
        <w:jc w:val="left"/>
      </w:pPr>
      <w:r>
        <w:rPr>
          <w:rFonts w:ascii="Times New Roman" w:hAnsi="Times New Roman" w:cs="Times New Roman" w:eastAsia="Times New Roman"/>
          <w:sz w:val="24"/>
        </w:rPr>
        <w:t>Berg, T., Burg, V., Gombovic, A., &amp; Puri, M. (2020). On the rise of FinTechs: Credit scoring using digital footprints. Review of Financial Studies, 33(7), 2845-2897.</w:t>
      </w:r>
    </w:p>
    <w:p>
      <w:pPr>
        <w:spacing w:before="0" w:after="0" w:line="240" w:lineRule="auto"/>
        <w:ind w:left="0" w:firstLine="0"/>
        <w:jc w:val="left"/>
      </w:pPr>
      <w:r>
        <w:rPr>
          <w:rFonts w:ascii="Times New Roman" w:hAnsi="Times New Roman" w:cs="Times New Roman" w:eastAsia="Times New Roman"/>
          <w:sz w:val="24"/>
        </w:rPr>
        <w:t>Caillaud, B., &amp; Jullien, B. (2003). Chicken and egg: Competition among intermediation service providers. RAND Journal of Economics, 34(2), 309-328.</w:t>
      </w:r>
    </w:p>
    <w:p>
      <w:pPr>
        <w:spacing w:before="0" w:after="0" w:line="240" w:lineRule="auto"/>
        <w:ind w:left="0" w:firstLine="0"/>
        <w:jc w:val="left"/>
      </w:pPr>
      <w:r>
        <w:rPr>
          <w:rFonts w:ascii="Times New Roman" w:hAnsi="Times New Roman" w:cs="Times New Roman" w:eastAsia="Times New Roman"/>
          <w:sz w:val="24"/>
        </w:rPr>
        <w:t>De Franco, G., Kothari, S. P., &amp; Verdi, R. S. (2011). The benefits of financial statement comparability. Journal of Accounting Research, 49(4), 895-931.</w:t>
      </w:r>
    </w:p>
    <w:p>
      <w:pPr>
        <w:spacing w:before="0" w:after="0" w:line="240" w:lineRule="auto"/>
        <w:ind w:left="0" w:firstLine="0"/>
        <w:jc w:val="left"/>
      </w:pPr>
      <w:r>
        <w:rPr>
          <w:rFonts w:ascii="Times New Roman" w:hAnsi="Times New Roman" w:cs="Times New Roman" w:eastAsia="Times New Roman"/>
          <w:sz w:val="24"/>
        </w:rPr>
        <w:t>Denes, M. R., Lagaras, S., &amp; Tsoutsoura, M. (2025). Entrepreneurship and the gig economy: Evidence from U.S. tax returns. Journal of Financial Economics, 173, 104156.</w:t>
      </w:r>
    </w:p>
    <w:p>
      <w:pPr>
        <w:spacing w:before="0" w:after="0" w:line="240" w:lineRule="auto"/>
        <w:ind w:left="0" w:firstLine="0"/>
        <w:jc w:val="left"/>
      </w:pPr>
      <w:r>
        <w:rPr>
          <w:rFonts w:ascii="Times New Roman" w:hAnsi="Times New Roman" w:cs="Times New Roman" w:eastAsia="Times New Roman"/>
          <w:sz w:val="24"/>
        </w:rPr>
        <w:t>European Union. (2021). Council Directive (EU) 2021/514 amending Directive 2011/16/EU (DAC7).</w:t>
      </w:r>
    </w:p>
    <w:p>
      <w:pPr>
        <w:keepNext w:val="0"/>
        <w:spacing w:before="0" w:after="0" w:line="240" w:lineRule="auto"/>
      </w:pPr>
      <w:r>
        <w:rPr>
          <w:rFonts w:ascii="Times New Roman" w:hAnsi="Times New Roman"/>
          <w:sz w:val="24"/>
        </w:rPr>
        <w:t>Evans, D. S., &amp; Schmalensee, R. (2016). Matchmakers: The New Economics of Multisided Platforms. Harvard Business Review Press.</w:t>
      </w:r>
    </w:p>
    <w:p>
      <w:pPr>
        <w:spacing w:before="0" w:after="0" w:line="240" w:lineRule="auto"/>
        <w:ind w:left="0" w:firstLine="0"/>
        <w:jc w:val="left"/>
      </w:pPr>
      <w:r>
        <w:rPr>
          <w:rFonts w:ascii="Times New Roman" w:hAnsi="Times New Roman" w:cs="Times New Roman" w:eastAsia="Times New Roman"/>
          <w:sz w:val="24"/>
        </w:rPr>
        <w:t>Google, Temasek, &amp; Bain &amp; Company. (2020). e-Conomy SEA 2020: At Full Velocity.</w:t>
      </w:r>
    </w:p>
    <w:p>
      <w:pPr>
        <w:spacing w:before="0" w:after="0" w:line="240" w:lineRule="auto"/>
        <w:ind w:left="0" w:firstLine="0"/>
        <w:jc w:val="left"/>
      </w:pPr>
      <w:r>
        <w:rPr>
          <w:rFonts w:ascii="Times New Roman" w:hAnsi="Times New Roman" w:cs="Times New Roman" w:eastAsia="Times New Roman"/>
          <w:sz w:val="24"/>
        </w:rPr>
        <w:t>Google, Temasek, &amp; Bain &amp; Company. (2024). e-Conomy SEA 2024: Profits on the Rise.</w:t>
      </w:r>
    </w:p>
    <w:p>
      <w:pPr>
        <w:spacing w:before="0" w:after="0" w:line="240" w:lineRule="auto"/>
        <w:ind w:left="0" w:firstLine="0"/>
        <w:jc w:val="left"/>
      </w:pPr>
      <w:r>
        <w:rPr>
          <w:rFonts w:ascii="Times New Roman" w:hAnsi="Times New Roman" w:cs="Times New Roman" w:eastAsia="Times New Roman"/>
          <w:sz w:val="24"/>
        </w:rPr>
        <w:t>Hagiu, A., &amp; Wright, J. (2015). Multi-sided platforms. International Journal of Industrial Organization, 43, 162-174.</w:t>
      </w:r>
    </w:p>
    <w:p>
      <w:pPr>
        <w:spacing w:before="0" w:after="0" w:line="240" w:lineRule="auto"/>
        <w:ind w:left="0" w:firstLine="0"/>
        <w:jc w:val="left"/>
      </w:pPr>
      <w:r>
        <w:rPr>
          <w:rFonts w:ascii="Times New Roman" w:hAnsi="Times New Roman" w:cs="Times New Roman" w:eastAsia="Times New Roman"/>
          <w:sz w:val="24"/>
        </w:rPr>
        <w:t>International Accounting Standards Board. (2014). IFRS 15: Revenue from Contracts with Customers.</w:t>
      </w:r>
    </w:p>
    <w:p>
      <w:pPr>
        <w:spacing w:before="0" w:after="0" w:line="240" w:lineRule="auto"/>
        <w:ind w:left="0" w:firstLine="0"/>
        <w:jc w:val="left"/>
      </w:pPr>
      <w:r>
        <w:rPr>
          <w:rFonts w:ascii="Times New Roman" w:hAnsi="Times New Roman" w:cs="Times New Roman" w:eastAsia="Times New Roman"/>
          <w:sz w:val="24"/>
        </w:rPr>
        <w:t>Kleven, H. J., Knudsen, M. B., Kreiner, C. T., Pedersen, S., &amp; Saez, E. (2011). Unwilling or unable to cheat? Evidence from a tax audit experiment in Denmark. Econometrica, 79(3), 651-692.</w:t>
      </w:r>
    </w:p>
    <w:p>
      <w:pPr>
        <w:spacing w:before="0" w:after="0" w:line="240" w:lineRule="auto"/>
        <w:ind w:left="0" w:firstLine="0"/>
        <w:jc w:val="left"/>
      </w:pPr>
      <w:r>
        <w:rPr>
          <w:rFonts w:ascii="Times New Roman" w:hAnsi="Times New Roman" w:cs="Times New Roman" w:eastAsia="Times New Roman"/>
          <w:sz w:val="24"/>
        </w:rPr>
        <w:t>Kleven, H. J., Kreiner, C. T., &amp; Saez, E. (2016). Why can modern governments tax so much? Economica, 83(330), 219-246.</w:t>
      </w:r>
    </w:p>
    <w:p>
      <w:pPr>
        <w:spacing w:before="0" w:after="0" w:line="240" w:lineRule="auto"/>
        <w:ind w:left="0" w:firstLine="0"/>
        <w:jc w:val="left"/>
      </w:pPr>
      <w:r>
        <w:rPr>
          <w:rFonts w:ascii="Times New Roman" w:hAnsi="Times New Roman" w:cs="Times New Roman" w:eastAsia="Times New Roman"/>
          <w:sz w:val="24"/>
        </w:rPr>
        <w:t>La Porta, R., &amp; Shleifer, A. (2014). Informality and development. Journal of Economic Perspectives, 28(3), 109-126.</w:t>
      </w:r>
    </w:p>
    <w:p>
      <w:pPr>
        <w:spacing w:before="0" w:after="0" w:line="240" w:lineRule="auto"/>
        <w:ind w:left="0" w:firstLine="0"/>
        <w:jc w:val="left"/>
      </w:pPr>
      <w:r>
        <w:rPr>
          <w:rFonts w:ascii="Times New Roman" w:hAnsi="Times New Roman" w:cs="Times New Roman" w:eastAsia="Times New Roman"/>
          <w:sz w:val="24"/>
        </w:rPr>
        <w:t>Medina, L., &amp; Schneider, F. (2019). Shedding light on the shadow economy: A global database. CESifo Working Paper 7981.</w:t>
      </w:r>
    </w:p>
    <w:p>
      <w:pPr>
        <w:keepNext w:val="0"/>
        <w:spacing w:before="0" w:after="0" w:line="240" w:lineRule="auto"/>
      </w:pPr>
      <w:r>
        <w:rPr>
          <w:rFonts w:ascii="Times New Roman" w:hAnsi="Times New Roman"/>
          <w:sz w:val="24"/>
        </w:rPr>
        <w:t>Naritomi, J. (2019). Consumers as tax auditors. American Economic Review, 109(9), 3031-3072.</w:t>
      </w:r>
    </w:p>
    <w:p>
      <w:pPr>
        <w:spacing w:before="0" w:after="0" w:line="240" w:lineRule="auto"/>
        <w:ind w:left="0" w:firstLine="0"/>
        <w:jc w:val="left"/>
      </w:pPr>
      <w:r>
        <w:rPr>
          <w:rFonts w:ascii="Times New Roman" w:hAnsi="Times New Roman" w:cs="Times New Roman" w:eastAsia="Times New Roman"/>
          <w:sz w:val="24"/>
        </w:rPr>
        <w:t>OECD. (2020). Model Rules for Reporting by Platform Operators with respect to Sellers in the Sharing and Gig Economy.</w:t>
      </w:r>
    </w:p>
    <w:p>
      <w:pPr>
        <w:keepNext w:val="0"/>
        <w:spacing w:before="0" w:after="0" w:line="240" w:lineRule="auto"/>
      </w:pPr>
      <w:r>
        <w:rPr>
          <w:rFonts w:ascii="Times New Roman" w:hAnsi="Times New Roman"/>
          <w:sz w:val="24"/>
        </w:rPr>
        <w:t>Parker, G. G., &amp; Van Alstyne, M. W. (2005). Two-sided network effects: A theory of information product design. Management Science, 51(10), 1494-1504.</w:t>
      </w:r>
    </w:p>
    <w:p>
      <w:pPr>
        <w:spacing w:before="0" w:after="0" w:line="240" w:lineRule="auto"/>
        <w:ind w:left="0" w:firstLine="0"/>
        <w:jc w:val="left"/>
      </w:pPr>
      <w:r>
        <w:rPr>
          <w:rFonts w:ascii="Times New Roman" w:hAnsi="Times New Roman" w:cs="Times New Roman" w:eastAsia="Times New Roman"/>
          <w:sz w:val="24"/>
        </w:rPr>
        <w:t>Pomeranz, D. (2015). No taxation without information: Deterrence and self-enforcement in the value added tax. American Economic Review, 105(8), 2539-2569.</w:t>
      </w:r>
    </w:p>
    <w:p>
      <w:pPr>
        <w:spacing w:before="0" w:after="0" w:line="240" w:lineRule="auto"/>
        <w:ind w:left="0" w:firstLine="0"/>
        <w:jc w:val="left"/>
      </w:pPr>
      <w:r>
        <w:rPr>
          <w:rFonts w:ascii="Times New Roman" w:hAnsi="Times New Roman" w:cs="Times New Roman" w:eastAsia="Times New Roman"/>
          <w:sz w:val="24"/>
        </w:rPr>
        <w:t>Rochet, J.-C., &amp; Tirole, J. (2003). Platform competition in two-sided markets. Journal of the European Economic Association, 1(4), 990-1029.</w:t>
      </w:r>
    </w:p>
    <w:p>
      <w:pPr>
        <w:spacing w:before="0" w:after="0" w:line="240" w:lineRule="auto"/>
        <w:ind w:left="0" w:firstLine="0"/>
        <w:jc w:val="left"/>
      </w:pPr>
      <w:r>
        <w:rPr>
          <w:rFonts w:ascii="Times New Roman" w:hAnsi="Times New Roman" w:cs="Times New Roman" w:eastAsia="Times New Roman"/>
          <w:sz w:val="24"/>
        </w:rPr>
        <w:t>Slemrod, J. (2019). Tax compliance and enforcement. Journal of Economic Literature, 57(4), 904-954.</w:t>
      </w:r>
    </w:p>
    <w:p>
      <w:pPr>
        <w:spacing w:before="0" w:after="0" w:line="240" w:lineRule="auto"/>
        <w:ind w:left="0" w:firstLine="0"/>
        <w:jc w:val="left"/>
      </w:pPr>
      <w:r>
        <w:rPr>
          <w:rFonts w:ascii="Times New Roman" w:hAnsi="Times New Roman" w:cs="Times New Roman" w:eastAsia="Times New Roman"/>
          <w:sz w:val="24"/>
        </w:rPr>
        <w:t>Ulyssea, G. (2018). Firms, informality, and development: Theory and evidence from Brazil. American Economic Review, 108(8), 2015-2047.</w:t>
      </w:r>
    </w:p>
    <w:sectPr w:rsidR="00FC693F" w:rsidRPr="0006063C" w:rsidSect="00034616">
      <w:footerReference w:type="default" r:id="rId9"/>
      <w:pgSz w:w="12240" w:h="15840"/>
      <w:pgMar w:top="1123" w:right="1181" w:bottom="1037" w:left="118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cs="Times New Roman" w:eastAsia="Times New Roman"/>
        <w:sz w:val="18"/>
      </w:rPr>
      <w:t xml:space="preserve">Yuan Ze University | Master of Science in Finance | September 2026 | </w:t>
    </w:r>
    <w:r>
      <w:rPr>
        <w:rFonts w:ascii="Times New Roman" w:hAnsi="Times New Roman" w:cs="Times New Roman" w:eastAsia="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8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40" w:line="240" w:lineRule="auto"/>
      <w:ind w:left="317" w:hanging="317"/>
    </w:pPr>
    <w:rPr>
      <w:rFonts w:ascii="Times New Roman" w:hAnsi="Times New Roman" w:eastAsia="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Invisible Ledger: Quantifying the Invisible Wedge in Indonesia's Platform Economy</dc:title>
  <dc:subject>Master's Thesis Proposal</dc:subject>
  <dc:creator>Christopher Ongko</dc:creator>
  <cp:keywords>Invisible Ledger, Indonesia, platform economy, Ecosystem Ratio</cp:keywords>
  <dc:description>generated by python-docx</dc:description>
  <cp:lastModifiedBy/>
  <cp:revision>1</cp:revision>
  <dcterms:created xsi:type="dcterms:W3CDTF">2013-12-23T23:15:00Z</dcterms:created>
  <dcterms:modified xsi:type="dcterms:W3CDTF">2013-12-23T23:15:00Z</dcterms:modified>
  <cp:category/>
</cp:coreProperties>
</file>