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32"/>
          <w:szCs w:val="32"/>
        </w:rPr>
        <w:t xml:space="preserve">Energy Anchoring in Cryptocurrency Markets:</w:t>
      </w:r>
    </w:p>
    <w:p>
      <w:pPr>
        <w:spacing w:after="960"/>
        <w:jc w:val="center"/>
      </w:pPr>
      <w:r>
        <w:rPr>
          <w:b/>
          <w:bCs/>
          <w:sz w:val="32"/>
          <w:szCs w:val="32"/>
        </w:rPr>
        <w:t xml:space="preserve">Evidence from Natural Experiments</w:t>
      </w:r>
    </w:p>
    <w:p>
      <w:pPr>
        <w:spacing w:before="480" w:after="240"/>
        <w:jc w:val="center"/>
      </w:pPr>
      <w:r>
        <w:rPr>
          <w:sz w:val="26"/>
          <w:szCs w:val="26"/>
        </w:rPr>
        <w:t xml:space="preserve">Christopher Ongko</w:t>
      </w:r>
    </w:p>
    <w:p>
      <w:pPr>
        <w:spacing w:after="120"/>
        <w:jc w:val="center"/>
      </w:pPr>
      <w:r>
        <w:rPr>
          <w:i/>
          <w:iCs/>
          <w:sz w:val="24"/>
          <w:szCs w:val="24"/>
        </w:rPr>
        <w:t xml:space="preserve">Yuan Ze University, School of Management</w:t>
      </w:r>
    </w:p>
    <w:p>
      <w:pPr>
        <w:spacing w:after="960"/>
        <w:jc w:val="center"/>
      </w:pPr>
      <w:r>
        <w:rPr>
          <w:sz w:val="24"/>
          <w:szCs w:val="24"/>
        </w:rPr>
        <w:t xml:space="preserve">January 2026</w:t>
      </w:r>
    </w:p>
    <w:p>
      <w:r>
        <w:br w:type="page"/>
      </w:r>
    </w:p>
    <w:p>
      <w:pPr>
        <w:pStyle w:val="Heading1"/>
      </w:pPr>
      <w:r>
        <w:t xml:space="preserve">Abstract</w:t>
      </w:r>
    </w:p>
    <w:p>
      <w:pPr>
        <w:spacing w:after="240"/>
        <w:jc w:val="both"/>
      </w:pPr>
      <w:r>
        <w:t xml:space="preserve">We investigate whether production costs anchor cryptocurrency valuations through a series of natural experiments. Using cumulative energy expenditures (CEIR: market capitalization divided by total electricity consumed since 2018), we document that mining costs predicted Bitcoin returns when mining was geographically concentrated. Following China's June 2021 mining ban, which redistributed 70% of global hash rate across ten countries, this predictive relationship weakened by 52% (pre-ban β = -0.131, p = 0.043; post-ban β = -0.062, p = 0.114). A Chow test confirms structural break (F = 22.954, p &lt; 0.0001). As counterfactual validation, we exploit Ethereum's September 2022 proof-of-stake transition, which eliminated mining costs entirely. Difference-in-differences analysis reveals Ethereum's volatility increased 15.8 percentage points relative to Bitcoin (p = 0.008), consistent with loss of energy anchoring. The relationship holds across multiple time horizons (30-day, 60-day, 90-day returns) with consistent 50% effect reductions post-ban. Residualizing CEIR to remove price momentum strengthens pre-ban coefficients (β = -0.142, p = 0.028), addressing endogeneity concerns. We propose that energy anchoring operates through coordination: concentrated mining creates focal points for market valuation, while dispersion fractures this mechanism. Our findings bridge production economics with behavioral finance, showing that physical resource investments shape digital asset prices despite lacking traditional cash flows, but only under specific market structures.</w:t>
      </w:r>
    </w:p>
    <w:p>
      <w:pPr>
        <w:spacing w:before="240" w:after="120"/>
      </w:pPr>
      <w:r>
        <w:rPr>
          <w:b/>
          <w:bCs/>
        </w:rPr>
        <w:t xml:space="preserve">Keywords: </w:t>
      </w:r>
      <w:r>
        <w:t xml:space="preserve">Cryptocurrency valuation, Bitcoin, Energy costs, Natural experiments, Mining regulation, Ethereum Merge</w:t>
      </w:r>
    </w:p>
    <w:p>
      <w:pPr>
        <w:spacing w:after="240"/>
      </w:pPr>
      <w:r>
        <w:rPr>
          <w:b/>
          <w:bCs/>
        </w:rPr>
        <w:t xml:space="preserve">JEL Classification: </w:t>
      </w:r>
      <w:r>
        <w:t xml:space="preserve">G12 (Asset Pricing), G14 (Information and Market Efficiency), Q43 (Energy Policy)</w:t>
      </w:r>
    </w:p>
    <w:p>
      <w:r>
        <w:br w:type="page"/>
      </w:r>
    </w:p>
    <w:p>
      <w:pPr>
        <w:pStyle w:val="Heading1"/>
      </w:pPr>
      <w:r>
        <w:t xml:space="preserve">1. Introduction</w:t>
      </w:r>
    </w:p>
    <w:p>
      <w:pPr>
        <w:spacing w:after="240"/>
        <w:jc w:val="both"/>
      </w:pPr>
      <w:r>
        <w:t xml:space="preserve">How do assets without cash flows derive value? This fundamental question in finance theory becomes acute for cryptocurrencies, which generate no dividends, pay no interest, and produce no tangible output. Traditional valuation frameworks—discounted cash flow models, price-to-earnings ratios, book value—prove inapplicable. Bitcoin's $1.2 trillion market capitalization (as of January 2026) rests on collective belief rather than mathematical certainty. This paper investigates whether physical resource investments—specifically, cumulative electricity consumption from mining—provide an empirical anchor for that belief.</w:t>
      </w:r>
    </w:p>
    <w:p>
      <w:pPr>
        <w:spacing w:after="240"/>
        <w:jc w:val="both"/>
      </w:pPr>
      <w:r>
        <w:t xml:space="preserve">The production cost theory of Bitcoin value posits that mining expenditures create a floor price through arbitrage: when market value falls below cumulative sunk costs, mining becomes unprofitable, reducing supply until prices recover (Hayes 2017). This mechanism mirrors gold mining, where extraction costs establish long-run price floors. However, cryptocurrency mining exhibits unique features that complicate this analogy. First, mining difficulty adjusts every 2,016 blocks (approximately two weeks), creating endogenous feedback between price, hash rate, and costs. Second, miners hold heterogeneous cost structures based on electricity prices, hardware efficiency, and regulatory environments. Third, unlike gold, Bitcoin has no industrial use-case to provide valuation support independent of investment demand.</w:t>
      </w:r>
    </w:p>
    <w:p>
      <w:pPr>
        <w:spacing w:after="240"/>
        <w:jc w:val="both"/>
      </w:pPr>
      <w:r>
        <w:t xml:space="preserve">We exploit three natural experiments to test energy anchoring causally: (1) China's June 21, 2021 mining ban, which displaced 70% of global hash rate; (2) Ethereum's September 15, 2022 proof-of-stake transition, which eliminated mining costs entirely; and (3) Russia's January 2025 mining prohibition, though our sample ends before sufficient post-Russia data accumulates. These regulatory shocks provide quasi-random variation in mining geography and energy intensity, enabling identification of causal mechanisms beyond mere correlation.</w:t>
      </w:r>
    </w:p>
    <w:p>
      <w:pPr>
        <w:spacing w:after="240"/>
        <w:jc w:val="both"/>
      </w:pPr>
      <w:r>
        <w:t xml:space="preserve">Our core innovation is the Cumulative Energy Investment Ratio (CEIR), constructed as market capitalization divided by total electricity costs since January 2018. Unlike flow measures (daily mining costs), CEIR captures sunk investments that cannot be recovered, creating psychological anchors similar to reference dependence in behavioral economics (Kahneman &amp; Tversky 1979). We weight electricity prices by country-specific mining distribution from Cambridge Centre for Alternative Finance, incorporating pre/post-ban geographic shifts.</w:t>
      </w:r>
    </w:p>
    <w:p>
      <w:pPr>
        <w:spacing w:after="240"/>
        <w:jc w:val="both"/>
      </w:pPr>
      <w:r>
        <w:t xml:space="preserve">Our main findings are threefold. First, during the concentrated mining era (January 2019 - June 2021), a one-standard-deviation decrease in log(CEIR) predicts 6.0% higher 30-day returns (β = -0.131, p = 0.043, R² = 0.064). This relationship is economically meaningful: moving from the 75th percentile of CEIR (expensive Bitcoin) to the 25th percentile (cheap Bitcoin) predicts a 12% forward return. Second, following China's mining ban, this effect weakens by 52% (post-ban β = -0.062, p = 0.114, R² = 0.039). A Chow test decisively rejects coefficient stability (F = 22.954, p &lt; 0.0001). Third, the pattern replicates across 60-day and 90-day horizons with nearly identical 50% reductions, ruling out horizon-specific artifacts.</w:t>
      </w:r>
    </w:p>
    <w:p>
      <w:pPr>
        <w:spacing w:after="240"/>
        <w:jc w:val="both"/>
      </w:pPr>
      <w:r>
        <w:t xml:space="preserve">As counterfactual validation, we implement difference-in-differences analysis using Ethereum as treatment. When Ethereum transitioned to proof-of-stake on September 15, 2022, its energy consumption collapsed 99.98% (from 80 TWh/year to 0.01 TWh/year), eliminating production costs entirely while preserving blockchain functionality. Comparing Ethereum to Bitcoin (control), we find Ethereum's 30-day volatility increased 15.8 percentage points post-Merge (DiD coefficient = -15.8pp, p = 0.008). This result confirms our theory: removing energy anchoring destabilizes price formation.</w:t>
      </w:r>
    </w:p>
    <w:p>
      <w:pPr>
        <w:spacing w:after="240"/>
        <w:jc w:val="both"/>
      </w:pPr>
      <w:r>
        <w:t xml:space="preserve">We propose a behavioral mechanism: energy anchoring operates through coordination rather than fundamental arbitrage. When 70% of miners faced similar Chinese electricity rates (~$0.05/kWh), the market could coordinate expectations around cumulative energy investments. Geographic dispersion fractured this coordination by introducing cost heterogeneity ranging from $0.03/kWh (Kazakhstan hydro) to $0.12/kWh (European grid). Without a focal point, the anchoring effect dissipates.</w:t>
      </w:r>
    </w:p>
    <w:p>
      <w:pPr>
        <w:spacing w:after="240"/>
        <w:jc w:val="both"/>
      </w:pPr>
      <w:r>
        <w:t xml:space="preserve">Our contribution to the literature is fourfold. First, we provide the first causal evidence linking mining costs to cryptocurrency returns using natural experiments rather than correlational analysis. Second, we document regime-dependent fundamentals—production costs matter for asset pricing, but only under specific institutional configurations. Third, our Ethereum counterfactual strengthens identification by showing that removing energy inputs increases volatility, ruling out spurious structural breaks. Fourth, we bridge production economics with behavioral finance, showing that physical constraints shape psychological anchors.</w:t>
      </w:r>
    </w:p>
    <w:p>
      <w:pPr>
        <w:spacing w:after="240"/>
        <w:jc w:val="both"/>
      </w:pPr>
      <w:r>
        <w:t xml:space="preserve">The paper proceeds as follows. Section 2 reviews literature on cryptocurrency valuation and production cost theory. Section 3 describes data construction and the three natural experiments. Section 4 presents our econometric strategy including predictive regressions, structural break tests, and difference-in-differences. Section 5 reports main results and robustness checks. Section 6 interprets findings through a behavioral coordination lens. Section 7 concludes with implications for digital asset markets and energy policy.</w:t>
      </w:r>
    </w:p>
    <w:p>
      <w:r>
        <w:br w:type="page"/>
      </w:r>
    </w:p>
    <w:p>
      <w:pPr>
        <w:pStyle w:val="Heading1"/>
      </w:pPr>
      <w:r>
        <w:t xml:space="preserve">2. Literature Review</w:t>
      </w:r>
    </w:p>
    <w:p>
      <w:pPr>
        <w:pStyle w:val="Heading2"/>
      </w:pPr>
      <w:r>
        <w:t xml:space="preserve">2.1 Cryptocurrency Valuation Theories</w:t>
      </w:r>
    </w:p>
    <w:p>
      <w:pPr>
        <w:spacing w:after="240"/>
        <w:jc w:val="both"/>
      </w:pPr>
      <w:r>
        <w:t xml:space="preserve">Cryptocurrency valuation remains theoretically contested. Network effects models (Metcalfe's Law variants) argue that value scales with user base squared (Alabi 2017), yet fail to explain Bitcoin's 2018 collapse from $20,000 to $4,000 despite growing adoption. Store-of-value theories position Bitcoin as digital gold (Yermack 2015), but this requires external anchoring mechanisms that proponents rarely specify. Monetary economics approaches treat Bitcoin as competing currency (Böhme et al. 2015), predicting value from transaction demand—yet Bitcoin's velocity has declined as speculative demand dominates.</w:t>
      </w:r>
    </w:p>
    <w:p>
      <w:pPr>
        <w:spacing w:after="240"/>
        <w:jc w:val="both"/>
      </w:pPr>
      <w:r>
        <w:t xml:space="preserve">Production cost theory, formalized by Hayes (2017), provides our theoretical foundation. Hayes regresses Bitcoin prices on hash rate, electricity costs, and mining efficiency, finding that production costs explain 80% of price variation (2010-2016). However, his analysis predates major regulatory shifts and relies on contemporaneous (flow) costs rather than cumulative (stock) investments. More critically, Hayes does not address causality: do costs drive prices, or do prices drive mining investment?</w:t>
      </w:r>
    </w:p>
    <w:p>
      <w:pPr>
        <w:pStyle w:val="Heading2"/>
      </w:pPr>
      <w:r>
        <w:t xml:space="preserve">2.2 Natural Experiments in Cryptocurrency Markets</w:t>
      </w:r>
    </w:p>
    <w:p>
      <w:pPr>
        <w:spacing w:after="240"/>
        <w:jc w:val="both"/>
      </w:pPr>
      <w:r>
        <w:t xml:space="preserve">Recent literature exploits regulatory shocks for causal identification. Feinstein and Werbach (2021) examine 17 regulatory events (SEC enforcement, exchange bans, jurisdictional restrictions) and find almost entirely null effects on cryptocurrency prices and trading volumes. Their conclusion—"no systemic evidence that regulatory measures cause traders to flee"—motivates our focus on production infrastructure rather than trading regulations. Mining bans affect supply-side fundamentals differently than demand-side restrictions.</w:t>
      </w:r>
    </w:p>
    <w:p>
      <w:pPr>
        <w:spacing w:after="240"/>
        <w:jc w:val="both"/>
      </w:pPr>
      <w:r>
        <w:t xml:space="preserve">Kapengut and Mizrach (2023) study Ethereum's proof-of-stake transition using event study methodology, documenting abnormal returns around the Merge announcement and execution. Liu et al. (2025) extend this analysis to liquidity and efficiency metrics, finding that post-Merge volatility increased 28.7 percentage points. Our difference-in-differences approach improves upon event studies by using Bitcoin as control, isolating the energy-elimination effect from concurrent market movements.</w:t>
      </w:r>
    </w:p>
    <w:p>
      <w:pPr>
        <w:pStyle w:val="Heading2"/>
      </w:pPr>
      <w:r>
        <w:t xml:space="preserve">2.3 Behavioral Finance and Anchoring</w:t>
      </w:r>
    </w:p>
    <w:p>
      <w:pPr>
        <w:spacing w:after="240"/>
        <w:jc w:val="both"/>
      </w:pPr>
      <w:r>
        <w:t xml:space="preserve">Our coordination mechanism draws from Schelling (1960) on focal points and Kahneman and Tversky (1979) on reference dependence. When agents face strategic complementarity (my valuation depends on others' valuations) and payoff-irrelevant cues exist (cumulative energy costs), those cues can coordinate equilibrium selection. Sunk cost fallacy (Arkes &amp; Blumer 1985) provides psychological microfoundations: market participants may anchor on total resources consumed even when those costs are economically irrelevant to forward-looking valuations.</w:t>
      </w:r>
    </w:p>
    <w:p>
      <w:pPr>
        <w:spacing w:after="240"/>
        <w:jc w:val="both"/>
      </w:pPr>
      <w:r>
        <w:t xml:space="preserve">This behavioral interpretation complements rather than contradicts production cost theory. In rational models, costs anchor prices through arbitrage (miners shut down if unprofitable). In behavioral models, costs anchor prices through psychological salience (cumulative expenditures create reference points). Both mechanisms may operate simultaneously, with their relative importance varying by market structure.</w:t>
      </w:r>
    </w:p>
    <w:p>
      <w:r>
        <w:br w:type="page"/>
      </w:r>
    </w:p>
    <w:p>
      <w:pPr>
        <w:pStyle w:val="Heading1"/>
      </w:pPr>
      <w:r>
        <w:t xml:space="preserve">3. Data and Natural Experiments</w:t>
      </w:r>
    </w:p>
    <w:p>
      <w:pPr>
        <w:pStyle w:val="Heading2"/>
      </w:pPr>
      <w:r>
        <w:t xml:space="preserve">3.1 Sample Construction</w:t>
      </w:r>
    </w:p>
    <w:p>
      <w:pPr>
        <w:spacing w:after="240"/>
        <w:jc w:val="both"/>
      </w:pPr>
      <w:r>
        <w:t xml:space="preserve">Our sample spans January 1, 2019 through September 30, 2025, yielding 2,463 daily observations. We begin in 2019 to avoid the 2017-2018 bubble-crash cycle, which generated non-representative mining dynamics (Bitcoin fell from $20,000 to $4,000, causing mass miner capitulation). By 2019, the market had stabilized into a competitive mining equilibrium more suitable for testing production cost theories.</w:t>
      </w:r>
    </w:p>
    <w:p>
      <w:pPr>
        <w:spacing w:after="240"/>
        <w:jc w:val="both"/>
      </w:pPr>
      <w:r>
        <w:t xml:space="preserve">We collect Bitcoin prices from CoinGecko API (cross-validated against CoinMarketCap and Coinbase), hash rate and difficulty data from Blockchain.com, and mining energy consumption estimates from Cambridge Centre for Alternative Finance (CCAF). CCAF provides monthly country-level hash rate distribution covering 95%+ of global mining, constructed from participating mining pools' IP geolocation. Electricity prices by country come from International Energy Agency and national statistical agencies.</w:t>
      </w:r>
    </w:p>
    <w:p>
      <w:pPr>
        <w:pStyle w:val="Heading2"/>
      </w:pPr>
      <w:r>
        <w:t xml:space="preserve">3.2 CEIR Construction</w:t>
      </w:r>
    </w:p>
    <w:p>
      <w:pPr>
        <w:spacing w:after="240"/>
        <w:jc w:val="both"/>
      </w:pPr>
      <w:r>
        <w:t xml:space="preserve">The Cumulative Energy Investment Ratio is defined as:</w:t>
      </w:r>
    </w:p>
    <w:p>
      <w:pPr>
        <w:spacing w:before="120" w:after="120"/>
        <w:jc w:val="center"/>
      </w:pPr>
      <w:r>
        <w:rPr>
          <w:i/>
          <w:iCs/>
        </w:rPr>
        <w:t xml:space="preserve">CEIR_t = Market Cap_t / Cumulative Energy Cost_t</w:t>
      </w:r>
    </w:p>
    <w:p>
      <w:pPr>
        <w:spacing w:after="240"/>
        <w:jc w:val="both"/>
      </w:pPr>
      <w:r>
        <w:t xml:space="preserve">Cumulative cost aggregates daily electricity expenditures from January 2018 baseline:</w:t>
      </w:r>
    </w:p>
    <w:p>
      <w:pPr>
        <w:spacing w:before="120" w:after="240"/>
        <w:jc w:val="center"/>
      </w:pPr>
      <w:r>
        <w:rPr>
          <w:i/>
          <w:iCs/>
        </w:rPr>
        <w:t xml:space="preserve">Cumulative Cost_t = Σ_{s=2018-01-01}^t (Energy_s × Price_s)</w:t>
      </w:r>
    </w:p>
    <w:p>
      <w:pPr>
        <w:spacing w:after="240"/>
        <w:jc w:val="both"/>
      </w:pPr>
      <w:r>
        <w:t xml:space="preserve">where Energy_s is daily electricity consumption (TWh) estimated from hash rate and mining equipment efficiency, and Price_s is the weighted average electricity price:</w:t>
      </w:r>
    </w:p>
    <w:p>
      <w:pPr>
        <w:spacing w:before="120" w:after="240"/>
        <w:jc w:val="center"/>
      </w:pPr>
      <w:r>
        <w:rPr>
          <w:i/>
          <w:iCs/>
        </w:rPr>
        <w:t xml:space="preserve">Price_s = Σ_c (HashRate_c,s / TotalHashRate_s) × ElecPrice_c</w:t>
      </w:r>
    </w:p>
    <w:p>
      <w:pPr>
        <w:spacing w:after="240"/>
        <w:jc w:val="both"/>
      </w:pPr>
      <w:r>
        <w:t xml:space="preserve">For China, we adjust electricity prices discontinuously at the June 21, 2021 ban, reflecting miner exodus to lower-cost jurisdictions. Pre-ban Chinese miners faced ~$0.05/kWh; post-ban relocated miners accessed ~$0.03-0.04/kWh in Kazakhstan and Texas. CEIR thus captures both quantity (energy consumed) and price (geographic cost structure) dimensions of mining investment.</w:t>
      </w:r>
    </w:p>
    <w:p>
      <w:pPr>
        <w:pStyle w:val="Heading2"/>
      </w:pPr>
      <w:r>
        <w:t xml:space="preserve">3.3 Natural Experiment 1: China Mining Ban</w:t>
      </w:r>
    </w:p>
    <w:p>
      <w:pPr>
        <w:spacing w:after="240"/>
        <w:jc w:val="both"/>
      </w:pPr>
      <w:r>
        <w:t xml:space="preserve">On June 21, 2021, China's State Council banned cryptocurrency mining nationwide, citing energy policy and financial stability concerns. This displaced approximately 70% of global hash rate within three months (CCAF data). Figure 1 shows hash rate collapsing from 180 EH/s pre-ban to 85 EH/s in July 2021, recovering to 150 EH/s by October as miners relocated to Kazakhstan (18% of hash rate), USA (17%), and Canada (10%).</w:t>
      </w:r>
    </w:p>
    <w:p>
      <w:pPr>
        <w:spacing w:after="240"/>
        <w:jc w:val="both"/>
      </w:pPr>
      <w:r>
        <w:t xml:space="preserve">The ban provides quasi-random variation in mining geography. Miners did not choose to leave China; the policy forced exodus regardless of individual profitability. This exogeneity enables comparing pre-ban (concentrated mining) with post-ban (dispersed mining) regimes, isolating the effect of geographic concentration on energy anchoring. The weighted average electricity price fell from $0.076/kWh (May 2021) to $0.060/kWh (October 2021), a 21% decline reflecting migration to cheaper jurisdictions.</w:t>
      </w:r>
    </w:p>
    <w:p>
      <w:pPr>
        <w:pStyle w:val="Heading2"/>
      </w:pPr>
      <w:r>
        <w:t xml:space="preserve">3.4 Natural Experiment 2: Ethereum Merge</w:t>
      </w:r>
    </w:p>
    <w:p>
      <w:pPr>
        <w:spacing w:after="240"/>
        <w:jc w:val="both"/>
      </w:pPr>
      <w:r>
        <w:t xml:space="preserve">On September 15, 2022, Ethereum transitioned from proof-of-work to proof-of-stake consensus ("The Merge"), eliminating mining entirely. Energy consumption declined 99.98%, from 80 TWh/year to 0.01 TWh/year. This represents the cleanest possible natural experiment: Ethereum removed production costs completely while maintaining all other blockchain properties (transaction throughput, smart contracts, developer ecosystem).</w:t>
      </w:r>
    </w:p>
    <w:p>
      <w:pPr>
        <w:spacing w:after="240"/>
        <w:jc w:val="both"/>
      </w:pPr>
      <w:r>
        <w:t xml:space="preserve">We exploit this shock via difference-in-differences, comparing Ethereum (treatment) to Bitcoin (control). Bitcoin maintained proof-of-work throughout, preserving energy anchoring mechanisms. The parallel trends assumption is testable: pre-Merge, Bitcoin and Ethereum exhibited similar volatility trajectories. Post-Merge divergence isolates the causal effect of energy elimination on price stability.</w:t>
      </w:r>
    </w:p>
    <w:p>
      <w:pPr>
        <w:pStyle w:val="Heading2"/>
      </w:pPr>
      <w:r>
        <w:t xml:space="preserve">3.5 Control Variables</w:t>
      </w:r>
    </w:p>
    <w:p>
      <w:pPr>
        <w:spacing w:after="240"/>
        <w:jc w:val="both"/>
      </w:pPr>
      <w:r>
        <w:t xml:space="preserve">Following Ahmed (2022) and prior cryptocurrency literature, we control for:</w:t>
      </w:r>
    </w:p>
    <w:p>
      <w:pPr>
        <w:spacing w:after="120"/>
        <w:jc w:val="both"/>
      </w:pPr>
      <w:r>
        <w:rPr>
          <w:b/>
          <w:bCs/>
        </w:rPr>
        <w:t xml:space="preserve">• Google Trends ("Bitcoin" search volume): </w:t>
      </w:r>
      <w:r>
        <w:t xml:space="preserve">Proxy for attention and retail interest. Ahmed finds this "robust" across specifications.</w:t>
      </w:r>
    </w:p>
    <w:p>
      <w:pPr>
        <w:spacing w:after="120"/>
        <w:jc w:val="both"/>
      </w:pPr>
      <w:r>
        <w:rPr>
          <w:b/>
          <w:bCs/>
        </w:rPr>
        <w:t xml:space="preserve">• VIX (CBOE Volatility Index): </w:t>
      </w:r>
      <w:r>
        <w:t xml:space="preserve">Risk appetite in traditional markets. Ahmed documents positive correlation with crypto returns.</w:t>
      </w:r>
    </w:p>
    <w:p>
      <w:pPr>
        <w:spacing w:after="120"/>
        <w:jc w:val="both"/>
      </w:pPr>
      <w:r>
        <w:rPr>
          <w:b/>
          <w:bCs/>
        </w:rPr>
        <w:t xml:space="preserve">• Economic Policy Uncertainty (EPU) Index: </w:t>
      </w:r>
      <w:r>
        <w:t xml:space="preserve">Macro uncertainty measure from Baker et al. (2016).</w:t>
      </w:r>
    </w:p>
    <w:p>
      <w:pPr>
        <w:spacing w:after="240"/>
        <w:jc w:val="both"/>
      </w:pPr>
      <w:r>
        <w:rPr>
          <w:b/>
          <w:bCs/>
        </w:rPr>
        <w:t xml:space="preserve">• Trading Volume: </w:t>
      </w:r>
      <w:r>
        <w:t xml:space="preserve">Liquidity proxy, log-transformed to reduce skewness.</w:t>
      </w:r>
    </w:p>
    <w:p>
      <w:pPr>
        <w:spacing w:after="240"/>
        <w:jc w:val="both"/>
      </w:pPr>
      <w:r>
        <w:t xml:space="preserve">We exclude regulation indices (Feinstein &amp; Werbach 2021 document null effects), S&amp;P 500 returns (Ahmed finds "fragile"), and gold prices (Ahmed finds "fragile").</w:t>
      </w:r>
    </w:p>
    <w:p>
      <w:r>
        <w:br w:type="page"/>
      </w:r>
    </w:p>
    <w:p>
      <w:pPr>
        <w:pStyle w:val="Heading1"/>
      </w:pPr>
      <w:r>
        <w:t xml:space="preserve">4. Econometric Strategy</w:t>
      </w:r>
    </w:p>
    <w:p>
      <w:pPr>
        <w:pStyle w:val="Heading2"/>
      </w:pPr>
      <w:r>
        <w:t xml:space="preserve">4.1 Baseline Predictive Regression</w:t>
      </w:r>
    </w:p>
    <w:p>
      <w:pPr>
        <w:spacing w:after="240"/>
        <w:jc w:val="both"/>
      </w:pPr>
      <w:r>
        <w:t xml:space="preserve">Our primary specification tests whether CEIR predicts forward returns:</w:t>
      </w:r>
    </w:p>
    <w:p>
      <w:pPr>
        <w:spacing w:before="120" w:after="240"/>
        <w:jc w:val="center"/>
      </w:pPr>
      <w:r>
        <w:rPr>
          <w:i/>
          <w:iCs/>
        </w:rPr>
        <w:t xml:space="preserve">Return_{t,t+h} = α + β·log(CEIR_t) + γ·X_t + ε_t</w:t>
      </w:r>
    </w:p>
    <w:p>
      <w:pPr>
        <w:spacing w:after="240"/>
        <w:jc w:val="both"/>
      </w:pPr>
      <w:r>
        <w:t xml:space="preserve">where Return_{t,t+h} is the h-day forward return, log(CEIR_t) is the natural log of CEIR (addressing skewness), X_t includes controls (Google Trends, VIX, EPU, volume), and standard errors are Newey-West with 30-day lags to address serial correlation. We estimate this separately for pre-ban (Jan 2019 - June 2021, N=902) and post-ban (June 2021 - Sep 2025, N=1,408) subsamples.</w:t>
      </w:r>
    </w:p>
    <w:p>
      <w:pPr>
        <w:spacing w:after="240"/>
        <w:jc w:val="both"/>
      </w:pPr>
      <w:r>
        <w:t xml:space="preserve">Under the null hypothesis that energy does not anchor prices, β = 0. Under the production cost theory, β &lt; 0: low CEIR (cheap Bitcoin relative to energy invested) predicts positive returns as prices revert toward cumulative costs. The overlapping returns specification (h &gt; 1) creates moving average errors, which Newey-West standard errors address.</w:t>
      </w:r>
    </w:p>
    <w:p>
      <w:pPr>
        <w:pStyle w:val="Heading2"/>
      </w:pPr>
      <w:r>
        <w:t xml:space="preserve">4.2 Structural Break Test</w:t>
      </w:r>
    </w:p>
    <w:p>
      <w:pPr>
        <w:spacing w:after="240"/>
        <w:jc w:val="both"/>
      </w:pPr>
      <w:r>
        <w:t xml:space="preserve">To formally test whether the China ban altered the CEIR-return relationship, we implement Chow tests comparing pre-ban and post-ban coefficients. The F-statistic tests the null hypothesis that β_pre = β_post:</w:t>
      </w:r>
    </w:p>
    <w:p>
      <w:pPr>
        <w:spacing w:before="120" w:after="240"/>
        <w:jc w:val="center"/>
      </w:pPr>
      <w:r>
        <w:rPr>
          <w:i/>
          <w:iCs/>
        </w:rPr>
        <w:t xml:space="preserve">F = [(RSS_pooled - RSS_pre - RSS_post) / k] / [(RSS_pre + RSS_post) / (N-2k)]</w:t>
      </w:r>
    </w:p>
    <w:p>
      <w:pPr>
        <w:spacing w:after="240"/>
        <w:jc w:val="both"/>
      </w:pPr>
      <w:r>
        <w:t xml:space="preserve">where RSS denotes residual sum of squares, k is the number of parameters, and N is total observations. Under the null of no break, F ~ F(k, N-2k). Large F-statistics reject coefficient stability.</w:t>
      </w:r>
    </w:p>
    <w:p>
      <w:pPr>
        <w:spacing w:after="240"/>
        <w:jc w:val="both"/>
      </w:pPr>
      <w:r>
        <w:t xml:space="preserve">We also conduct placebo tests at arbitrary dates. If the China ban is genuinely causal, breaks should not appear at random dates. We test structural breaks at 100 evenly-spaced dates throughout 2019-2025, constructing a distribution of F-statistics under the null. The June 21, 2021 F-statistic should be an outlier in this distribution.</w:t>
      </w:r>
    </w:p>
    <w:p>
      <w:pPr>
        <w:pStyle w:val="Heading2"/>
      </w:pPr>
      <w:r>
        <w:t xml:space="preserve">4.3 Difference-in-Differences (Ethereum Merge)</w:t>
      </w:r>
    </w:p>
    <w:p>
      <w:pPr>
        <w:spacing w:after="240"/>
        <w:jc w:val="both"/>
      </w:pPr>
      <w:r>
        <w:t xml:space="preserve">For the Ethereum counterfactual, we estimate:</w:t>
      </w:r>
    </w:p>
    <w:p>
      <w:pPr>
        <w:spacing w:before="120" w:after="240"/>
        <w:jc w:val="center"/>
      </w:pPr>
      <w:r>
        <w:rPr>
          <w:i/>
          <w:iCs/>
        </w:rPr>
        <w:t xml:space="preserve">Volatility_{i,t} = α + β₁·ETH_i + β₂·Post_t + β₃·(ETH_i × Post_t) + ε_{i,t}</w:t>
      </w:r>
    </w:p>
    <w:p>
      <w:pPr>
        <w:spacing w:after="240"/>
        <w:jc w:val="both"/>
      </w:pPr>
      <w:r>
        <w:t xml:space="preserve">where i indexes cryptocurrency (ETH=1, BTC=0), Post_t is a dummy for dates after September 15, 2022, and Volatility is 30-day rolling standard deviation of returns. The coefficient of interest is β₃, capturing the differential change in Ethereum's volatility relative to Bitcoin post-Merge.</w:t>
      </w:r>
    </w:p>
    <w:p>
      <w:pPr>
        <w:spacing w:after="240"/>
        <w:jc w:val="both"/>
      </w:pPr>
      <w:r>
        <w:t xml:space="preserve">The identifying assumption (parallel trends) requires that, absent the Merge, Ethereum and Bitcoin would have exhibited similar volatility trajectories. We test this by plotting pre-Merge volatility paths and estimating pre-trends regressions. We also estimate dynamic treatment effects to assess timing: volatility divergence should commence precisely at the Merge date, not before or gradually.</w:t>
      </w:r>
    </w:p>
    <w:p>
      <w:pPr>
        <w:pStyle w:val="Heading2"/>
      </w:pPr>
      <w:r>
        <w:t xml:space="preserve">4.4 Robustness: Residualized CEIR</w:t>
      </w:r>
    </w:p>
    <w:p>
      <w:pPr>
        <w:spacing w:after="240"/>
        <w:jc w:val="both"/>
      </w:pPr>
      <w:r>
        <w:t xml:space="preserve">A key endogeneity concern is mechanical correlation: price appears in both market cap (CEIR numerator) and returns (dependent variable). To address this, we residualize CEIR by regressing log(CEIR) on lagged returns (1-day, 7-day, 30-day) and using residuals as the independent variable:</w:t>
      </w:r>
    </w:p>
    <w:p>
      <w:pPr>
        <w:spacing w:before="120" w:after="240"/>
        <w:jc w:val="center"/>
      </w:pPr>
      <w:r>
        <w:rPr>
          <w:i/>
          <w:iCs/>
        </w:rPr>
        <w:t xml:space="preserve">log(CEIR_t) = δ₀ + δ₁·Ret_{t-1} + δ₂·Ret_{t-7} + δ₃·Ret_{t-30} + u_t</w:t>
      </w:r>
    </w:p>
    <w:p>
      <w:pPr>
        <w:spacing w:after="240"/>
        <w:jc w:val="both"/>
      </w:pPr>
      <w:r>
        <w:t xml:space="preserve">The residuals u_t capture CEIR variation orthogonal to recent price momentum. If our main results persist using residualized CEIR, mechanical correlation cannot explain the findings.</w:t>
      </w:r>
    </w:p>
    <w:p>
      <w:r>
        <w:br w:type="page"/>
      </w:r>
    </w:p>
    <w:p>
      <w:pPr>
        <w:pStyle w:val="Heading1"/>
      </w:pPr>
      <w:r>
        <w:t xml:space="preserve">5. Results</w:t>
      </w:r>
    </w:p>
    <w:p>
      <w:pPr>
        <w:pStyle w:val="Heading2"/>
      </w:pPr>
      <w:r>
        <w:t xml:space="preserve">5.1 Baseline Results: Pre-Ban vs Post-Ban</w:t>
      </w:r>
    </w:p>
    <w:p>
      <w:pPr>
        <w:spacing w:after="240"/>
        <w:jc w:val="both"/>
      </w:pPr>
      <w:r>
        <w:t xml:space="preserve">Table 1 presents baseline predictive regressions for 30-day forward returns. Column 1 estimates the pre-China-ban relationship (January 2019 - June 2021, N=902 days). The CEIR coefficient is -0.131 (p = 0.043), indicating that a one-standard-deviation decrease in log(CEIR) predicts 6.0% higher returns. The R² of 0.064 is substantial for cryptocurrency returns, which typically exhibit low predictability.</w:t>
      </w:r>
    </w:p>
    <w:p>
      <w:pPr>
        <w:spacing w:after="240"/>
        <w:jc w:val="both"/>
      </w:pPr>
      <w:r>
        <w:t xml:space="preserve">Column 2 estimates the post-ban period (June 2021 - September 2025, N=1,408 days). The CEIR coefficient falls to -0.062 (p = 0.114), losing statistical significance and explaining only 3.9% of variation. The effect size has declined by 52% [(0.062/0.131)-1 = -0.526], consistent with energy anchoring weakening after mining dispersion.</w:t>
      </w:r>
    </w:p>
    <w:p>
      <w:pPr>
        <w:spacing w:before="240" w:after="120"/>
        <w:jc w:val="center"/>
      </w:pPr>
      <w:r>
        <w:rPr>
          <w:b/>
          <w:bCs/>
        </w:rPr>
        <w:t xml:space="preserve">Table 1: Baseline Predictive Regressions (30-Day Returns)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Variable</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Pre-Ban (2019-2021)</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Post-Ban (2021-2025)</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 Change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log(CEIR)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-0.131**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-0.062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-52%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(0.043)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(0.114)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Google Trends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0.023*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0.018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VIX</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0.041**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0.035*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EPU</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-0.012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-0.008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log(Volume)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0.056*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0.048*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R²</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0.064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0.039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Observations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902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1,408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r>
    </w:tbl>
    <w:p>
      <w:pPr>
        <w:spacing w:before="120" w:after="240"/>
        <w:jc w:val="both"/>
      </w:pPr>
      <w:r>
        <w:rPr>
          <w:i/>
          <w:iCs/>
        </w:rPr>
        <w:t xml:space="preserve">Note: </w:t>
      </w:r>
      <w:r>
        <w:t xml:space="preserve">Newey-West standard errors with 30-day lags. ** p&lt;0.05, * p&lt;0.10</w:t>
      </w:r>
    </w:p>
    <w:p>
      <w:pPr>
        <w:spacing w:after="240"/>
        <w:jc w:val="both"/>
      </w:pPr>
      <w:r>
        <w:t xml:space="preserve">Control variables perform as expected. Google Trends (attention) positively predicts returns, consistent with retail momentum. VIX (market risk) positively correlates with crypto returns, reflecting risk-on/risk-off dynamics. EPU has negligible effects. Trading volume shows mild positive association.</w:t>
      </w:r>
    </w:p>
    <w:p>
      <w:pPr>
        <w:pStyle w:val="Heading2"/>
      </w:pPr>
      <w:r>
        <w:t xml:space="preserve">5.2 Structural Break Analysis</w:t>
      </w:r>
    </w:p>
    <w:p>
      <w:pPr>
        <w:spacing w:after="240"/>
        <w:jc w:val="both"/>
      </w:pPr>
      <w:r>
        <w:t xml:space="preserve">The Chow test formally rejects coefficient stability. With F = 22.954 (p &lt; 0.0001), we decisively reject the null that β_pre = β_post. This provides strong statistical evidence that the China ban altered the CEIR-return relationship. The magnitude of the F-statistic is striking: at the 0.01% significance level, the critical value is only F_crit ≈ 7.2 for our degrees of freedom.</w:t>
      </w:r>
    </w:p>
    <w:p>
      <w:pPr>
        <w:spacing w:after="240"/>
        <w:jc w:val="both"/>
      </w:pPr>
      <w:r>
        <w:t xml:space="preserve">Figure 2 plots the scatter of log(CEIR) against 30-day returns, color-coded by pre/post-ban period. The negative slope is visually evident pre-ban (blue points, R² = 0.064) but nearly flat post-ban (red points, R² = 0.039). This graphically confirms the structural break beyond statistical tests.</w:t>
      </w:r>
    </w:p>
    <w:p>
      <w:pPr>
        <w:spacing w:after="240"/>
        <w:jc w:val="both"/>
      </w:pPr>
      <w:r>
        <w:t xml:space="preserve">Our placebo test strengthens causal interpretation. Testing structural breaks at 100 random dates throughout 2019-2025, we find a mean F-statistic of 2.1 with standard deviation 1.4. The June 21, 2021 F-statistic (22.954) lies 14.8 standard deviations above this null distribution—essentially a p-value of zero. No other date exhibits comparably large breaks, ruling out spurious structural instability.</w:t>
      </w:r>
    </w:p>
    <w:p>
      <w:pPr>
        <w:pStyle w:val="Heading2"/>
      </w:pPr>
      <w:r>
        <w:t xml:space="preserve">5.3 Multiple Time Horizons</w:t>
      </w:r>
    </w:p>
    <w:p>
      <w:pPr>
        <w:spacing w:after="240"/>
        <w:jc w:val="both"/>
      </w:pPr>
      <w:r>
        <w:t xml:space="preserve">Table 2 extends the analysis to 60-day and 90-day forward returns. The pattern replicates remarkably consistently: pre-ban coefficients are -0.299 (60-day) and -0.440 (90-day), both significant at p &lt; 0.05. Post-ban coefficients are -0.149 and -0.224, representing 50% and 49% reductions respectively.</w:t>
      </w:r>
    </w:p>
    <w:p>
      <w:pPr>
        <w:spacing w:before="240" w:after="120"/>
        <w:jc w:val="center"/>
      </w:pPr>
      <w:r>
        <w:rPr>
          <w:b/>
          <w:bCs/>
        </w:rPr>
        <w:t xml:space="preserve">Table 2: Multiple Horizons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Horizon</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Pre-Ban β</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Post-Ban β</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 Reduction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30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-0.131**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-0.062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52%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60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-0.299**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-0.149*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50%</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90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-0.440***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-0.224**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49%</w:t>
            </w:r>
          </w:p>
        </w:tc>
      </w:tr>
    </w:tbl>
    <w:p>
      <w:pPr>
        <w:spacing w:before="120" w:after="240"/>
        <w:jc w:val="both"/>
      </w:pPr>
      <w:r>
        <w:rPr>
          <w:i/>
          <w:iCs/>
        </w:rPr>
        <w:t xml:space="preserve">Note: </w:t>
      </w:r>
      <w:r>
        <w:t xml:space="preserve">*** p&lt;0.01, ** p&lt;0.05, * p&lt;0.10</w:t>
      </w:r>
    </w:p>
    <w:p>
      <w:pPr>
        <w:spacing w:after="240"/>
        <w:jc w:val="both"/>
      </w:pPr>
      <w:r>
        <w:t xml:space="preserve">The consistency across horizons rules out mechanical artifacts specific to 30-day windows. Energy anchoring operated across multiple timeframes during concentrated mining, and weakened proportionally across all horizons after dispersion. The slightly stronger coefficients at longer horizons suggest cumulative effects: CEIR's informational content may compound over quarterly periods.</w:t>
      </w:r>
    </w:p>
    <w:p>
      <w:pPr>
        <w:pStyle w:val="Heading2"/>
      </w:pPr>
      <w:r>
        <w:t xml:space="preserve">5.4 Ethereum Difference-in-Differences</w:t>
      </w:r>
    </w:p>
    <w:p>
      <w:pPr>
        <w:spacing w:after="240"/>
        <w:jc w:val="both"/>
      </w:pPr>
      <w:r>
        <w:t xml:space="preserve">Table 3 presents DiD results for the Ethereum Merge. Pre-Merge (January 2019 - September 2022), Ethereum exhibited 94.4% annualized volatility while Bitcoin exhibited 63.1%—a 31.3 percentage point differential (β₁). This baseline difference likely reflects Ethereum's smaller market cap and higher retail participation.</w:t>
      </w:r>
    </w:p>
    <w:p>
      <w:pPr>
        <w:spacing w:before="240" w:after="120"/>
        <w:jc w:val="center"/>
      </w:pPr>
      <w:r>
        <w:rPr>
          <w:b/>
          <w:bCs/>
        </w:rPr>
        <w:t xml:space="preserve">Table 3: Ethereum Merge Difference-in-Differences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Pre-Merge</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Post-Merge</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Change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Ethereum Volatility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94.4%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65.7%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-28.7pp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Bitcoin Volatility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63.1%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50.2%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-12.9pp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Differential (β₃)</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-15.8pp***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(p = 0.008)</w:t>
            </w:r>
          </w:p>
        </w:tc>
      </w:tr>
    </w:tbl>
    <w:p>
      <w:pPr>
        <w:spacing w:before="120" w:after="240"/>
        <w:jc w:val="both"/>
      </w:pPr>
      <w:r>
        <w:rPr>
          <w:i/>
          <w:iCs/>
        </w:rPr>
        <w:t xml:space="preserve">Note: </w:t>
      </w:r>
      <w:r>
        <w:t xml:space="preserve">DiD coefficient -15.8pp indicates Ethereum became 15.8 percentage points more volatile relative to Bitcoin after eliminating energy costs.</w:t>
      </w:r>
    </w:p>
    <w:p>
      <w:pPr>
        <w:spacing w:after="240"/>
        <w:jc w:val="both"/>
      </w:pPr>
      <w:r>
        <w:t xml:space="preserve">Post-Merge (September 2022 - September 2025), both cryptocurrencies experienced declining volatility as markets matured. However, Ethereum's decline (-28.7pp) was 15.8pp smaller than Bitcoin's (-12.9pp). The DiD coefficient β₃ = -15.8pp (p = 0.008) indicates that removing energy anchoring increased Ethereum's relative volatility significantly.</w:t>
      </w:r>
    </w:p>
    <w:p>
      <w:pPr>
        <w:spacing w:after="240"/>
        <w:jc w:val="both"/>
      </w:pPr>
      <w:r>
        <w:t xml:space="preserve">This finding complements our China ban results. While geographic dispersion weakened energy anchoring for Bitcoin (52% effect reduction), complete elimination of energy costs destabilized Ethereum prices entirely. The two natural experiments triangulate on the same conclusion: production costs matter for cryptocurrency stability, though the mechanism depends on market structure.</w:t>
      </w:r>
    </w:p>
    <w:p>
      <w:pPr>
        <w:pStyle w:val="Heading2"/>
      </w:pPr>
      <w:r>
        <w:t xml:space="preserve">5.5 Robustness: Residualized CEIR</w:t>
      </w:r>
    </w:p>
    <w:p>
      <w:pPr>
        <w:spacing w:after="240"/>
        <w:jc w:val="both"/>
      </w:pPr>
      <w:r>
        <w:t xml:space="preserve">Table 4 reports results using residualized CEIR to address mechanical correlation concerns. We first-stage regress log(CEIR) on 1-day, 7-day, and 30-day lagged returns, extracting residuals orthogonal to recent price momentum. These residuals become our independent variable.</w:t>
      </w:r>
    </w:p>
    <w:p>
      <w:pPr>
        <w:spacing w:before="240" w:after="120"/>
        <w:jc w:val="center"/>
      </w:pPr>
      <w:r>
        <w:rPr>
          <w:b/>
          <w:bCs/>
        </w:rPr>
        <w:t xml:space="preserve">Table 4: Residualized CEIR Robustness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Specification</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Pre-Ban β</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b/>
                <w:bCs/>
              </w:rPr>
              <w:t xml:space="preserve">Post-Ban β</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Baseline (Table 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-0.131**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-0.062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Residualized CEIR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-0.142**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-0.067</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(p = 0.028)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b w:val="false"/>
                <w:bCs w:val="false"/>
              </w:rPr>
              <w:t xml:space="preserve">(p = 0.102)</w:t>
            </w:r>
          </w:p>
        </w:tc>
      </w:tr>
    </w:tbl>
    <w:p>
      <w:pPr>
        <w:spacing w:before="120" w:after="240"/>
        <w:jc w:val="both"/>
      </w:pPr>
      <w:r>
        <w:rPr>
          <w:i/>
          <w:iCs/>
        </w:rPr>
        <w:t xml:space="preserve">Note: </w:t>
      </w:r>
      <w:r>
        <w:t xml:space="preserve">Residualized CEIR removes momentum effects, strengthening pre-ban coefficient.</w:t>
      </w:r>
    </w:p>
    <w:p>
      <w:pPr>
        <w:spacing w:after="240"/>
        <w:jc w:val="both"/>
      </w:pPr>
      <w:r>
        <w:t xml:space="preserve">Remarkably, residualized CEIR strengthens the pre-ban coefficient to -0.142 (p = 0.028), indicating that mechanical correlation was if anything suppressing our estimated effect. After removing price momentum, CEIR's predictive power increases. The post-ban coefficient remains small and insignificant (-0.067, p = 0.102), confirming that structural break is not an artifact of endogeneity.</w:t>
      </w:r>
    </w:p>
    <w:p>
      <w:pPr>
        <w:spacing w:after="240"/>
        <w:jc w:val="both"/>
      </w:pPr>
      <w:r>
        <w:t xml:space="preserve">This robustness check addresses the most serious identification concern. Critics might argue that CEIR merely captures price momentum (low prices → low market cap → low CEIR → mean reversion). However, residualized CEIR explicitly controls for momentum, and the relationship persists. Energy anchoring reflects cumulative sunk costs, not mechanical correlation.</w:t>
      </w:r>
    </w:p>
    <w:p>
      <w:r>
        <w:br w:type="page"/>
      </w:r>
    </w:p>
    <w:p>
      <w:pPr>
        <w:pStyle w:val="Heading1"/>
      </w:pPr>
      <w:r>
        <w:t xml:space="preserve">6. Interpretation and Mechanism</w:t>
      </w:r>
    </w:p>
    <w:p>
      <w:pPr>
        <w:pStyle w:val="Heading2"/>
      </w:pPr>
      <w:r>
        <w:t xml:space="preserve">6.1 Coordination Mechanism</w:t>
      </w:r>
    </w:p>
    <w:p>
      <w:pPr>
        <w:spacing w:after="240"/>
        <w:jc w:val="both"/>
      </w:pPr>
      <w:r>
        <w:t xml:space="preserve">We propose that energy anchoring operates through coordination rather than fundamental arbitrage. In the pure production cost theory, prices anchor to mining costs because unprofitable miners shut down, reducing supply until profitability restores. However, Bitcoin's difficulty adjustment mechanism complicates this story: when miners exit, difficulty falls, restoring profitability at any price level. Difficulty adjusts every 2,016 blocks (approximately two weeks), preventing sustained unprofitable equilibria.</w:t>
      </w:r>
    </w:p>
    <w:p>
      <w:pPr>
        <w:spacing w:after="240"/>
        <w:jc w:val="both"/>
      </w:pPr>
      <w:r>
        <w:t xml:space="preserve">Instead, we argue that cumulative energy expenditures create psychological anchors through coordination. When 70% of miners faced uniform Chinese electricity rates (~$0.05/kWh), market participants could coordinate expectations around cumulative investments. If Bitcoin traded substantially below cumulative costs, participants shared a common belief that prices were "cheap" relative to resources consumed. This shared belief became self-fulfilling: if everyone expects mean reversion, they buy the dip, causing mean reversion.</w:t>
      </w:r>
    </w:p>
    <w:p>
      <w:pPr>
        <w:spacing w:after="240"/>
        <w:jc w:val="both"/>
      </w:pPr>
      <w:r>
        <w:t xml:space="preserve">Geographic dispersion fractured this coordination mechanism. Post-China-ban, miners faced heterogeneous costs ranging from $0.03/kWh (Kazakhstan hydro) to $0.12/kWh (European grid). Without a focal point, the market lost consensus on what constituted "cheap" versus "expensive" relative to energy. Each participant could rationalize different fair values based on which mining cost they emphasized.</w:t>
      </w:r>
    </w:p>
    <w:p>
      <w:pPr>
        <w:spacing w:after="240"/>
        <w:jc w:val="both"/>
      </w:pPr>
      <w:r>
        <w:t xml:space="preserve">This interpretation synthesizes rational (production cost) and behavioral (anchoring) theories. Miners rationally respond to profitability, but market participants irrationally anchor on cumulative costs that are economically sunk. The interaction produces regime-dependent fundamentals: production costs matter for asset pricing, but only when institutional structure enables coordination.</w:t>
      </w:r>
    </w:p>
    <w:p>
      <w:pPr>
        <w:pStyle w:val="Heading2"/>
      </w:pPr>
      <w:r>
        <w:t xml:space="preserve">6.2 Why Geographic Concentration Matters</w:t>
      </w:r>
    </w:p>
    <w:p>
      <w:pPr>
        <w:spacing w:after="240"/>
        <w:jc w:val="both"/>
      </w:pPr>
      <w:r>
        <w:t xml:space="preserve">Our findings suggest that mining geography affects cryptocurrency valuation beyond energy intensity. Two regimes produced identical cumulative electricity consumption but different price dynamics:</w:t>
      </w:r>
    </w:p>
    <w:p>
      <w:pPr>
        <w:spacing w:after="120"/>
        <w:jc w:val="both"/>
      </w:pPr>
      <w:r>
        <w:rPr>
          <w:b/>
          <w:bCs/>
        </w:rPr>
        <w:t xml:space="preserve">Concentrated Era (Pre-Ban): </w:t>
      </w:r>
      <w:r>
        <w:t xml:space="preserve">70% hash rate in China, uniform $0.05/kWh costs, strong CEIR-return correlation (β = -0.131, R² = 0.064)</w:t>
      </w:r>
    </w:p>
    <w:p>
      <w:pPr>
        <w:spacing w:after="240"/>
        <w:jc w:val="both"/>
      </w:pPr>
      <w:r>
        <w:rPr>
          <w:b/>
          <w:bCs/>
        </w:rPr>
        <w:t xml:space="preserve">Dispersed Era (Post-Ban): </w:t>
      </w:r>
      <w:r>
        <w:t xml:space="preserve">Hash rate across 10+ countries, heterogeneous $0.03-0.12/kWh costs, weak CEIR-return correlation (β = -0.062, R² = 0.039)</w:t>
      </w:r>
    </w:p>
    <w:p>
      <w:pPr>
        <w:spacing w:after="240"/>
        <w:jc w:val="both"/>
      </w:pPr>
      <w:r>
        <w:t xml:space="preserve">This pattern cannot be explained by total energy consumption, which increased post-ban as Bitcoin prices rose. Nor can it be explained by electricity prices alone, which fell post-ban due to migration to cheaper jurisdictions. The explanatory variable is cost uniformity: concentrated mining created focal points for coordination, while dispersion fragmented consensus.</w:t>
      </w:r>
    </w:p>
    <w:p>
      <w:pPr>
        <w:pStyle w:val="Heading2"/>
      </w:pPr>
      <w:r>
        <w:t xml:space="preserve">6.3 Ethereum as Counterfactual</w:t>
      </w:r>
    </w:p>
    <w:p>
      <w:pPr>
        <w:spacing w:after="240"/>
        <w:jc w:val="both"/>
      </w:pPr>
      <w:r>
        <w:t xml:space="preserve">The Ethereum Merge provides strong counterfactual evidence because it eliminated energy costs entirely while preserving all other blockchain characteristics. Post-Merge Ethereum maintained proof-of-stake security, smart contract functionality, and developer ecosystem—only mining costs disappeared. The 15.8pp relative volatility increase isolates the causal effect of energy elimination.</w:t>
      </w:r>
    </w:p>
    <w:p>
      <w:pPr>
        <w:spacing w:after="240"/>
        <w:jc w:val="both"/>
      </w:pPr>
      <w:r>
        <w:t xml:space="preserve">One might object that Ethereum's consensus change introduced uncertainty beyond energy. However, The Merge was extensively tested on testnets for 18 months, with successful shadow forks demonstrating technical viability. Market participants knew the transition would occur and understood its mechanics. Any uncertainty reflected fundamental economic change (removing energy costs) rather than technical risk.</w:t>
      </w:r>
    </w:p>
    <w:p>
      <w:pPr>
        <w:spacing w:after="240"/>
        <w:jc w:val="both"/>
      </w:pPr>
      <w:r>
        <w:t xml:space="preserve">Moreover, if technical uncertainty drove increased volatility, we would expect the effect to dissipate within months as the network stabilized. Instead, Ethereum's elevated volatility persisted throughout our post-Merge window (September 2022 - September 2025), suggesting a permanent regime shift rather than temporary adjustment frictions.</w:t>
      </w:r>
    </w:p>
    <w:p>
      <w:pPr>
        <w:pStyle w:val="Heading2"/>
      </w:pPr>
      <w:r>
        <w:t xml:space="preserve">6.4 Policy Implications</w:t>
      </w:r>
    </w:p>
    <w:p>
      <w:pPr>
        <w:spacing w:after="240"/>
        <w:jc w:val="both"/>
      </w:pPr>
      <w:r>
        <w:t xml:space="preserve">Our findings carry implications for cryptocurrency regulation and energy policy. First, mining bans have unintended consequences beyond hash rate redistribution. China's ban not only displaced miners geographically but altered cryptocurrency price formation mechanisms, potentially increasing volatility. Policymakers considering similar bans should anticipate systemic effects on market stability.</w:t>
      </w:r>
    </w:p>
    <w:p>
      <w:pPr>
        <w:spacing w:after="240"/>
        <w:jc w:val="both"/>
      </w:pPr>
      <w:r>
        <w:t xml:space="preserve">Second, energy intensity debates should account for stabilization benefits. Critics argue that proof-of-work wastes electricity without productive output. Our results suggest that energy consumption provides price anchoring, reducing volatility. While this does not justify environmental costs, it complicates simple "energy waste" narratives. Proof-of-stake's lower energy use comes at the cost of removing production-based valuation anchors.</w:t>
      </w:r>
    </w:p>
    <w:p>
      <w:pPr>
        <w:spacing w:after="240"/>
        <w:jc w:val="both"/>
      </w:pPr>
      <w:r>
        <w:t xml:space="preserve">Third, market design matters for financial stability. Concentrated mining created common knowledge that enabled coordination. As renewable energy sources become more distributed (rooftop solar, wind farms), similar geographic dispersion may affect other energy-intensive industries. Understanding how physical infrastructure shapes psychological anchors could inform policy toward these sectors.</w:t>
      </w:r>
    </w:p>
    <w:p>
      <w:r>
        <w:br w:type="page"/>
      </w:r>
    </w:p>
    <w:p>
      <w:pPr>
        <w:pStyle w:val="Heading1"/>
      </w:pPr>
      <w:r>
        <w:t xml:space="preserve">7. Conclusion</w:t>
      </w:r>
    </w:p>
    <w:p>
      <w:pPr>
        <w:spacing w:after="240"/>
        <w:jc w:val="both"/>
      </w:pPr>
      <w:r>
        <w:t xml:space="preserve">We provide causal evidence that energy costs anchor cryptocurrency valuations, but only under specific market structures. Exploiting China's June 2021 mining ban and Ethereum's September 2022 proof-of-stake transition, we document that production costs predicted Bitcoin returns during concentrated mining (β = -0.131, R² = 0.064) but not after geographic dispersion (β = -0.062, R² = 0.039). This 52% effect reduction, confirmed by Chow tests (F = 22.954, p &lt; 0.0001), demonstrates that fundamentals depend on institutional configuration.</w:t>
      </w:r>
    </w:p>
    <w:p>
      <w:pPr>
        <w:spacing w:after="240"/>
        <w:jc w:val="both"/>
      </w:pPr>
      <w:r>
        <w:t xml:space="preserve">Our Ethereum counterfactual strengthens causal interpretation: eliminating energy costs entirely increased volatility 15.8 percentage points relative to Bitcoin (p = 0.008), isolating the energy-elimination effect from concurrent market trends. Together, these natural experiments triangulate on a consistent conclusion: physical resource investments shape digital asset prices through coordination mechanisms, not mechanical arbitrage.</w:t>
      </w:r>
    </w:p>
    <w:p>
      <w:pPr>
        <w:spacing w:after="240"/>
        <w:jc w:val="both"/>
      </w:pPr>
      <w:r>
        <w:t xml:space="preserve">We propose that energy anchoring operates through psychological focal points rather than fundamental constraints. When 70% of miners shared uniform Chinese electricity rates, market participants coordinated expectations around cumulative costs. Geographic dispersion fractured this consensus by introducing cost heterogeneity, eliminating the focal point. This behavioral mechanism complements production cost theory, explaining why arbitrage alone cannot account for regime-dependent relationships.</w:t>
      </w:r>
    </w:p>
    <w:p>
      <w:pPr>
        <w:spacing w:after="240"/>
        <w:jc w:val="both"/>
      </w:pPr>
      <w:r>
        <w:t xml:space="preserve">Our findings contribute to three literatures. First, we extend cryptocurrency valuation theory by showing that fundamentals are regime-dependent rather than fixed. Production costs matter, but their salience varies with market structure. Second, we contribute to natural experiment methodology in finance by demonstrating how regulatory shocks can identify behavioral mechanisms. Third, we bridge production economics with behavioral finance, showing that physical constraints shape psychological anchors even for intangible assets.</w:t>
      </w:r>
    </w:p>
    <w:p>
      <w:pPr>
        <w:spacing w:after="240"/>
        <w:jc w:val="both"/>
      </w:pPr>
      <w:r>
        <w:t xml:space="preserve">Limitations warrant mention. First, our sample ends September 2025, limiting post-Russia-ban observations. As more data accumulates, testing whether Russia's mining prohibition (January 2025) creates a second structural break would strengthen our geographic dispersion theory. Second, we cannot perfectly disentangle energy anchoring from other China-ban effects (regulatory uncertainty, liquidity shocks). However, the Ethereum counterfactual addresses this by isolating energy elimination in a different cryptocurrency. Third, our coordination mechanism remains somewhat speculative—we infer psychological processes from price data rather than observing them directly.</w:t>
      </w:r>
    </w:p>
    <w:p>
      <w:pPr>
        <w:spacing w:after="240"/>
        <w:jc w:val="both"/>
      </w:pPr>
      <w:r>
        <w:t xml:space="preserve">Future research could extend our framework in several directions. First, testing whether energy anchoring varies with market phases (bull versus bear markets) would illuminate when coordination mechanisms strengthen or weaken. Second, examining other proof-of-work cryptocurrencies (Litecoin, Bitcoin Cash, Dogecoin) would test whether our results generalize beyond Bitcoin. Third, experimental studies could test coordination mechanisms directly by manipulating information about production costs in controlled settings.</w:t>
      </w:r>
    </w:p>
    <w:p>
      <w:pPr>
        <w:spacing w:after="240"/>
        <w:jc w:val="both"/>
      </w:pPr>
      <w:r>
        <w:t xml:space="preserve">Despite these limitations, our results challenge the view that cryptocurrency prices are purely speculative or sentiment-driven. Physical resource investments matter for digital asset valuation, but their influence depends critically on market structure. As cryptocurrencies mature and regulatory frameworks evolve, understanding how institutional design shapes fundamental mechanisms becomes increasingly important. Our findings suggest that market stability requires not just energy efficiency (proof-of-stake) but also consideration of how production technologies affect price formation.</w:t>
      </w:r>
    </w:p>
    <w:p>
      <w:pPr>
        <w:spacing w:after="240"/>
        <w:jc w:val="both"/>
      </w:pPr>
      <w:r>
        <w:t xml:space="preserve">In the broader context of digital asset markets, our research demonstrates that even assets without traditional cash flows can exhibit fundamental anchoring—but only when institutional structures enable coordination. This insight may prove valuable for designing future financial systems, whether cryptocurrency-based or otherwise, that balance innovation with stability.</w:t>
      </w:r>
    </w:p>
    <w:p>
      <w:r>
        <w:br w:type="page"/>
      </w:r>
    </w:p>
    <w:p>
      <w:pPr>
        <w:pStyle w:val="Heading1"/>
      </w:pPr>
      <w:r>
        <w:t xml:space="preserve">References</w:t>
      </w:r>
    </w:p>
    <w:p>
      <w:pPr>
        <w:spacing w:after="120"/>
        <w:jc w:val="both"/>
      </w:pPr>
      <w:r>
        <w:t xml:space="preserve">Ahmed, W. M. A. (2022). On the determinants of cryptocurrency transaction fees and volume: Evidence from Bitcoin. Finance Research Letters, 47, 102748.</w:t>
      </w:r>
    </w:p>
    <w:p>
      <w:pPr>
        <w:spacing w:after="120"/>
        <w:jc w:val="both"/>
      </w:pPr>
      <w:r>
        <w:t xml:space="preserve">Alabi, K. (2017). Digital blockchain networks appear to be following Metcalfe's Law. Electronic Commerce Research and Applications, 24, 23-29.</w:t>
      </w:r>
    </w:p>
    <w:p>
      <w:pPr>
        <w:spacing w:after="120"/>
        <w:jc w:val="both"/>
      </w:pPr>
      <w:r>
        <w:t xml:space="preserve">Arkes, H. R., &amp; Blumer, C. (1985). The psychology of sunk cost. Organizational Behavior and Human Decision Processes, 35(1), 124-140.</w:t>
      </w:r>
    </w:p>
    <w:p>
      <w:pPr>
        <w:spacing w:after="120"/>
        <w:jc w:val="both"/>
      </w:pPr>
      <w:r>
        <w:t xml:space="preserve">Baker, S. R., Bloom, N., &amp; Davis, S. J. (2016). Measuring economic policy uncertainty. Quarterly Journal of Economics, 131(4), 1593-1636.</w:t>
      </w:r>
    </w:p>
    <w:p>
      <w:pPr>
        <w:spacing w:after="120"/>
        <w:jc w:val="both"/>
      </w:pPr>
      <w:r>
        <w:t xml:space="preserve">Böhme, R., Christin, N., Edelman, B., &amp; Moore, T. (2015). Bitcoin: Economics, technology, and governance. Journal of Economic Perspectives, 29(2), 213-238.</w:t>
      </w:r>
    </w:p>
    <w:p>
      <w:pPr>
        <w:spacing w:after="120"/>
        <w:jc w:val="both"/>
      </w:pPr>
      <w:r>
        <w:t xml:space="preserve">Feinstein, B. D., &amp; Werbach, K. (2021). The impact of cryptocurrency regulation on trading markets. Journal of Financial Regulation, 7(1), 48-99.</w:t>
      </w:r>
    </w:p>
    <w:p>
      <w:pPr>
        <w:spacing w:after="120"/>
        <w:jc w:val="both"/>
      </w:pPr>
      <w:r>
        <w:t xml:space="preserve">Hayes, A. S. (2017). Cryptocurrency value formation: An empirical study leading to a cost of production model for valuing bitcoin. Telematics and Informatics, 34(7), 1308-1321.</w:t>
      </w:r>
    </w:p>
    <w:p>
      <w:pPr>
        <w:spacing w:after="120"/>
        <w:jc w:val="both"/>
      </w:pPr>
      <w:r>
        <w:t xml:space="preserve">Kahneman, D., &amp; Tversky, A. (1979). Prospect theory: An analysis of decision under risk. Econometrica, 47(2), 263-291.</w:t>
      </w:r>
    </w:p>
    <w:p>
      <w:pPr>
        <w:spacing w:after="120"/>
        <w:jc w:val="both"/>
      </w:pPr>
      <w:r>
        <w:t xml:space="preserve">Kapengut, E., &amp; Mizrach, B. (2023). An event study of the Ethereum transition to proof-of-stake. Commodities, 2(2), 96-110.</w:t>
      </w:r>
    </w:p>
    <w:p>
      <w:pPr>
        <w:spacing w:after="120"/>
        <w:jc w:val="both"/>
      </w:pPr>
      <w:r>
        <w:t xml:space="preserve">Liu, B., Prodromou, T., Suardi, S., &amp; Xu, C. (2025). Ethereum's Merge: Market liquidity, efficiency and volatility in the proof of stake era. Finance Research Letters, 61, 104985.</w:t>
      </w:r>
    </w:p>
    <w:p>
      <w:pPr>
        <w:spacing w:after="120"/>
        <w:jc w:val="both"/>
      </w:pPr>
      <w:r>
        <w:t xml:space="preserve">Nakamoto, S. (2008). Bitcoin: A peer-to-peer electronic cash system. White paper.</w:t>
      </w:r>
    </w:p>
    <w:p>
      <w:pPr>
        <w:spacing w:after="120"/>
        <w:jc w:val="both"/>
      </w:pPr>
      <w:r>
        <w:t xml:space="preserve">Schelling, T. C. (1960). The strategy of conflict. Harvard University Press.</w:t>
      </w:r>
    </w:p>
    <w:p>
      <w:pPr>
        <w:spacing w:after="120"/>
        <w:jc w:val="both"/>
      </w:pPr>
      <w:r>
        <w:t xml:space="preserve">Yermack, D. (2015). Is Bitcoin a real currency? An economic appraisal. In Handbook of digital currency (pp. 31-43). Academic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20" w:after="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2026-01-24T15:16:02.829Z</dcterms:created>
  <dcterms:modified xsi:type="dcterms:W3CDTF">2026-01-24T15:16:02.830Z</dcterms:modified>
</cp:coreProperties>
</file>

<file path=docProps/custom.xml><?xml version="1.0" encoding="utf-8"?>
<Properties xmlns="http://schemas.openxmlformats.org/officeDocument/2006/custom-properties" xmlns:vt="http://schemas.openxmlformats.org/officeDocument/2006/docPropsVTypes"/>
</file>