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dd3339fb3e326bf19b4c969592178bd49cf93eb"/>
    <w:p>
      <w:pPr>
        <w:pStyle w:val="Heading1"/>
      </w:pPr>
      <w:r>
        <w:t xml:space="preserve">The Invisible Ledger: Quantifying ASEAN’s $192 Billion Unmeasured Platform Economy</w:t>
      </w:r>
    </w:p>
    <w:p>
      <w:pPr>
        <w:pStyle w:val="FirstParagraph"/>
      </w:pPr>
    </w:p>
    <w:p>
      <w:pPr>
        <w:pStyle w:val="BodyText"/>
      </w:pPr>
      <w:r>
        <w:rPr>
          <w:bCs/>
          <w:b/>
        </w:rPr>
        <w:t xml:space="preserve">Christopher Ongko</w:t>
      </w:r>
      <w:r>
        <w:t xml:space="preserve"> </w:t>
      </w:r>
      <w:r>
        <w:t xml:space="preserve">(王新福)</w:t>
      </w:r>
    </w:p>
    <w:p>
      <w:pPr>
        <w:pStyle w:val="BodyText"/>
      </w:pPr>
      <w:r>
        <w:t xml:space="preserve">Department of Finance, College of Management</w:t>
      </w:r>
      <w:r>
        <w:br/>
      </w:r>
      <w:r>
        <w:t xml:space="preserve">Yuan Ze University, Taiwan</w:t>
      </w:r>
    </w:p>
    <w:p>
      <w:pPr>
        <w:pStyle w:val="BodyText"/>
      </w:pPr>
      <w:r>
        <w:t xml:space="preserve">s1133958@mail.yzu.edu.tw</w:t>
      </w:r>
    </w:p>
    <w:p>
      <w:pPr>
        <w:pStyle w:val="BodyText"/>
      </w:pPr>
    </w:p>
    <w:p>
      <w:pPr>
        <w:pStyle w:val="BodyText"/>
      </w:pPr>
      <w:r>
        <w:rPr>
          <w:bCs/>
          <w:b/>
        </w:rPr>
        <w:t xml:space="preserve">January 2026</w:t>
      </w:r>
    </w:p>
    <w:p>
      <w:pPr>
        <w:pStyle w:val="BodyText"/>
      </w:pPr>
    </w:p>
    <w:p>
      <w:pPr>
        <w:pStyle w:val="BodyText"/>
      </w:pPr>
      <w:r>
        <w:rPr>
          <w:iCs/>
          <w:i/>
        </w:rPr>
        <w:t xml:space="preserve">This paper examines the measurement challenge posed by Southeast Asia’s platform economy, where $192 billion in participant income escapes tax administration. A companion paper,</w:t>
      </w:r>
      <w:r>
        <w:rPr>
          <w:iCs/>
          <w:i/>
        </w:rPr>
        <w:t xml:space="preserve"> </w:t>
      </w:r>
      <w:r>
        <w:rPr>
          <w:iCs/>
          <w:i/>
        </w:rPr>
        <w:t xml:space="preserve">“</w:t>
      </w:r>
      <w:r>
        <w:rPr>
          <w:iCs/>
          <w:i/>
        </w:rPr>
        <w:t xml:space="preserve">Digital Services Taxation Without Tax Competition,</w:t>
      </w:r>
      <w:r>
        <w:rPr>
          <w:iCs/>
          <w:i/>
        </w:rPr>
        <w:t xml:space="preserve">”</w:t>
      </w:r>
      <w:r>
        <w:rPr>
          <w:iCs/>
          <w:i/>
        </w:rPr>
        <w:t xml:space="preserve"> </w:t>
      </w:r>
      <w:r>
        <w:rPr>
          <w:iCs/>
          <w:i/>
        </w:rPr>
        <w:t xml:space="preserve">analyzes cross-country variation in digital tax policy design and implementation.</w:t>
      </w:r>
    </w:p>
    <w:p>
      <w:r>
        <w:pict>
          <v:rect style="width:0;height:1.5pt" o:hralign="center" o:hrstd="t" o:hr="t"/>
        </w:pict>
      </w:r>
    </w:p>
    <w:p>
      <w:pPr>
        <w:pStyle w:val="FirstParagraph"/>
      </w:pPr>
    </w:p>
    <w:bookmarkStart w:id="20" w:name="abstract"/>
    <w:p>
      <w:pPr>
        <w:pStyle w:val="Heading2"/>
      </w:pPr>
      <w:r>
        <w:t xml:space="preserve">ABSTRACT</w:t>
      </w:r>
    </w:p>
    <w:p>
      <w:pPr>
        <w:pStyle w:val="FirstParagraph"/>
      </w:pPr>
      <w:r>
        <w:t xml:space="preserve">This study quantifies what I term the</w:t>
      </w:r>
      <w:r>
        <w:t xml:space="preserve"> </w:t>
      </w:r>
      <w:r>
        <w:t xml:space="preserve">“</w:t>
      </w:r>
      <w:r>
        <w:t xml:space="preserve">invisible economy</w:t>
      </w:r>
      <w:r>
        <w:t xml:space="preserve">”</w:t>
      </w:r>
      <w:r>
        <w:t xml:space="preserve"> </w:t>
      </w:r>
      <w:r>
        <w:t xml:space="preserve">across ASEAN’s five major digital markets—income flowing to platform participants (drivers, merchants, sellers) that escapes tax administration despite being digitally intermediated. Drawing on audited financial filings from Indonesia’s three dominant platforms (Grab, GoTo, Sea Limited), I document an estimated $82.8 billion invisible wedge and calculate a 12.5× ecosystem ratio for Indonesia; the ASEAN-5 weighted average is 12.3×. For every dollar of platform revenue that tax authorities can audit, approximately $12 flows to decentralized participants outside administrative reach.</w:t>
      </w:r>
    </w:p>
    <w:p>
      <w:pPr>
        <w:pStyle w:val="BodyText"/>
      </w:pPr>
      <w:r>
        <w:t xml:space="preserve">To validate these estimates, I exploit Malaysia’s January 2024 tax base expansion as a natural experiment; difference-in-differences analysis suggests that base expansion captured approximately $114 million annually (p = 0.003), which I interpret as supportive evidence that this invisible economy both exists and responds to policy intervention. Cross-validation against three countries’ digital tax collections yields effective rates of 1.0-1.6%, broadly consistent with the estimates.</w:t>
      </w:r>
    </w:p>
    <w:p>
      <w:pPr>
        <w:pStyle w:val="BodyText"/>
      </w:pPr>
      <w:r>
        <w:t xml:space="preserve">Time series analysis points to fiscal decoupling that appears structural rather than cyclical—the invisible share increased from 95.7% to 97.6% between 2020 and 2023. Based on these findings, I propose a bifurcated policy framework: zero-rated formalization for subsistence gig workers (enabling credit access without immediate taxation) and algorithmic withholding for high-income creators (capturing economic rents at source).</w:t>
      </w:r>
    </w:p>
    <w:p>
      <w:pPr>
        <w:pStyle w:val="BodyText"/>
      </w:pPr>
      <w:r>
        <w:rPr>
          <w:bCs/>
          <w:b/>
        </w:rPr>
        <w:t xml:space="preserve">Keywords</w:t>
      </w:r>
      <w:r>
        <w:t xml:space="preserve">: Digital Economy, Platform Economy, Fiscal Policy, Informal Sector, ASEAN, Tax Policy, Domestic Resource Mobilization</w:t>
      </w:r>
    </w:p>
    <w:p>
      <w:pPr>
        <w:pStyle w:val="BodyText"/>
      </w:pPr>
      <w:r>
        <w:rPr>
          <w:bCs/>
          <w:b/>
        </w:rPr>
        <w:t xml:space="preserve">JEL Codes</w:t>
      </w:r>
      <w:r>
        <w:t xml:space="preserve">: H25, O17, O33, F23</w:t>
      </w:r>
    </w:p>
    <w:p>
      <w:r>
        <w:pict>
          <v:rect style="width:0;height:1.5pt" o:hralign="center" o:hrstd="t" o:hr="t"/>
        </w:pict>
      </w:r>
    </w:p>
    <w:p>
      <w:pPr>
        <w:pStyle w:val="FirstParagraph"/>
      </w:pPr>
    </w:p>
    <w:bookmarkEnd w:id="20"/>
    <w:bookmarkStart w:id="22" w:name="introduction"/>
    <w:p>
      <w:pPr>
        <w:pStyle w:val="Heading2"/>
      </w:pPr>
      <w:r>
        <w:t xml:space="preserve">1. INTRODUCTION</w:t>
      </w:r>
    </w:p>
    <w:p>
      <w:pPr>
        <w:pStyle w:val="FirstParagraph"/>
      </w:pPr>
      <w:r>
        <w:t xml:space="preserve">Southeast Asia’s platform economy has grown from $98 billion in 2020 to $263 billion in 2024 (Google, Temasek, &amp; Bain, 2024). Yet the vast majority of this activity—income flowing to drivers, merchants, and content creators through platforms like Grab, Gojek, and Shopee—remains outside the reach of tax administrators. This paper documents a $192 billion</w:t>
      </w:r>
      <w:r>
        <w:t xml:space="preserve"> </w:t>
      </w:r>
      <w:r>
        <w:t xml:space="preserve">“</w:t>
      </w:r>
      <w:r>
        <w:t xml:space="preserve">invisible wedge</w:t>
      </w:r>
      <w:r>
        <w:t xml:space="preserve">”</w:t>
      </w:r>
      <w:r>
        <w:t xml:space="preserve">: platform-mediated income that escapes taxation not because it is illegal or hidden, but because existing tax frameworks were designed for formal employment and registered businesses, not for millions of informal platform participants.</w:t>
      </w:r>
    </w:p>
    <w:p>
      <w:pPr>
        <w:pStyle w:val="BodyText"/>
      </w:pPr>
      <w:r>
        <w:t xml:space="preserve">The gap is structural: for every dollar of platform revenue that tax authorities can audit, approximately $12.30 flows to decentralized agents outside administrative systems. This ratio is surprisingly consistent across platforms and countries, suggesting something systematic rather than accidental.</w:t>
      </w:r>
    </w:p>
    <w:p>
      <w:pPr>
        <w:pStyle w:val="BodyText"/>
      </w:pPr>
      <w:r>
        <w:t xml:space="preserve">Consider a driver working with Gojek in Jakarta who earns Rp 2 million daily ($130 USD). The driver retains approximately Rp 1.6 million (80%), while Gojek collects Rp 400,000 (20%) as commission. Tax authorities can audit the platform commission—it appears in Gojek’s corporate accounts and flows through formal payment systems. However, the driver’s income remains administratively invisible. The driver is not a formal employee, may not file taxes if earnings fall below thresholds, and often operates primarily in cash.</w:t>
      </w:r>
    </w:p>
    <w:p>
      <w:pPr>
        <w:pStyle w:val="BodyText"/>
      </w:pPr>
      <w:r>
        <w:t xml:space="preserve">Multiply this pattern across millions of drivers, hundreds of thousands of merchants, and tens of thousands of content creators, and a massive parallel economy emerges that tax administrators cannot effectively reach.</w:t>
      </w:r>
    </w:p>
    <w:bookmarkStart w:id="21" w:name="contributions"/>
    <w:p>
      <w:pPr>
        <w:pStyle w:val="Heading3"/>
      </w:pPr>
      <w:r>
        <w:t xml:space="preserve">1.1 Contributions</w:t>
      </w:r>
    </w:p>
    <w:p>
      <w:pPr>
        <w:pStyle w:val="FirstParagraph"/>
      </w:pPr>
      <w:r>
        <w:t xml:space="preserve">This paper makes three contributions:</w:t>
      </w:r>
    </w:p>
    <w:p>
      <w:pPr>
        <w:pStyle w:val="BodyText"/>
      </w:pPr>
      <w:r>
        <w:rPr>
          <w:bCs/>
          <w:b/>
        </w:rPr>
        <w:t xml:space="preserve">First</w:t>
      </w:r>
      <w:r>
        <w:t xml:space="preserve">, I provide the first comprehensive regional estimate of administratively invisible platform income using a two-tier methodology: direct measurement via audited financials for Indonesia (where I have 90% market coverage), and calibrated inference for Malaysia, Vietnam, Philippines, and Thailand. I find that ASEAN’s invisible platform economy totals $192 billion, with individual country wedges ranging from $22 billion (Thailand) to $82.8 billion (Indonesia).</w:t>
      </w:r>
    </w:p>
    <w:p>
      <w:pPr>
        <w:pStyle w:val="BodyText"/>
      </w:pPr>
      <w:r>
        <w:rPr>
          <w:bCs/>
          <w:b/>
        </w:rPr>
        <w:t xml:space="preserve">Second</w:t>
      </w:r>
      <w:r>
        <w:t xml:space="preserve">, I provide causal validation using Malaysia’s January 2024 policy change as a natural experiment. Malaysia expanded its digital tax base to include low-value goods imports. Using difference-in-differences analysis with Vietnam as a control group, I show that this base expansion captured an additional $114 million annually—supportive evidence that the invisible economy exists and responds to policy intervention.</w:t>
      </w:r>
    </w:p>
    <w:p>
      <w:pPr>
        <w:pStyle w:val="BodyText"/>
      </w:pPr>
      <w:r>
        <w:rPr>
          <w:bCs/>
          <w:b/>
        </w:rPr>
        <w:t xml:space="preserve">Third</w:t>
      </w:r>
      <w:r>
        <w:t xml:space="preserve">, I document that fiscal decoupling is structural rather than temporary. The divergence between platform gross transaction values and corporate revenues accelerated after pandemic lockdowns ended. Platform revenues grow at 25-30% annually while the invisible wedge grows at 30-40%, indicating that the gap widens over time as platforms scale and commission rates decline due to competition.</w:t>
      </w:r>
    </w:p>
    <w:p>
      <w:r>
        <w:pict>
          <v:rect style="width:0;height:1.5pt" o:hralign="center" o:hrstd="t" o:hr="t"/>
        </w:pict>
      </w:r>
    </w:p>
    <w:p>
      <w:pPr>
        <w:pStyle w:val="FirstParagraph"/>
      </w:pPr>
    </w:p>
    <w:bookmarkEnd w:id="21"/>
    <w:bookmarkEnd w:id="22"/>
    <w:bookmarkStart w:id="27" w:name="X7796daf95009a7ae091f0d908b2d3176c57e188"/>
    <w:p>
      <w:pPr>
        <w:pStyle w:val="Heading2"/>
      </w:pPr>
      <w:r>
        <w:t xml:space="preserve">2. LITERATURE REVIEW AND THEORETICAL FRAMEWORK</w:t>
      </w:r>
    </w:p>
    <w:bookmarkStart w:id="23" w:name="platform-economics-and-two-sided-markets"/>
    <w:p>
      <w:pPr>
        <w:pStyle w:val="Heading3"/>
      </w:pPr>
      <w:r>
        <w:t xml:space="preserve">2.1 Platform Economics and Two-Sided Markets</w:t>
      </w:r>
    </w:p>
    <w:p>
      <w:pPr>
        <w:pStyle w:val="FirstParagraph"/>
      </w:pPr>
      <w:r>
        <w:t xml:space="preserve">The economics of digital platforms builds on Rochet and Tirole (2003), who formalized the theory of two-sided markets. Their framework shows that platforms serving two distinct user groups face a fundamental pricing problem: they must</w:t>
      </w:r>
      <w:r>
        <w:t xml:space="preserve"> </w:t>
      </w:r>
      <w:r>
        <w:t xml:space="preserve">“</w:t>
      </w:r>
      <w:r>
        <w:t xml:space="preserve">get both sides on board</w:t>
      </w:r>
      <w:r>
        <w:t xml:space="preserve">”</w:t>
      </w:r>
      <w:r>
        <w:t xml:space="preserve"> </w:t>
      </w:r>
      <w:r>
        <w:t xml:space="preserve">while making money overall. This leads to pricing structures where one side may be subsidized, with profits extracted from the other side.</w:t>
      </w:r>
    </w:p>
    <w:p>
      <w:pPr>
        <w:pStyle w:val="BodyText"/>
      </w:pPr>
      <w:r>
        <w:t xml:space="preserve">A key insight is that platform commission rates reflect strategic choices rather than cost structures. Armstrong (2006) showed that platforms facing competition reduce fees to attract the more price-sensitive side, potentially driving commissions below marginal cost. This prediction aligns with observed behavior in ASEAN, where Grab, GoTo, and Shopee have consistently reduced commission rates as competition intensified—explaining why the invisible wedge grows faster than platform revenues.</w:t>
      </w:r>
    </w:p>
    <w:p>
      <w:pPr>
        <w:pStyle w:val="BodyText"/>
      </w:pPr>
      <w:r>
        <w:t xml:space="preserve">Evans and Schmalensee (2016) emphasize that platform economics differ fundamentally from traditional firm economics because value creation occurs in the ecosystem rather than within firm boundaries. This observation is central to my measurement problem: tax frameworks designed for vertically integrated firms systematically miss income earned by decentralized platform participants.</w:t>
      </w:r>
    </w:p>
    <w:bookmarkEnd w:id="23"/>
    <w:bookmarkStart w:id="24" w:name="informal-economy-measurement"/>
    <w:p>
      <w:pPr>
        <w:pStyle w:val="Heading3"/>
      </w:pPr>
      <w:r>
        <w:t xml:space="preserve">2.2 Informal Economy Measurement</w:t>
      </w:r>
    </w:p>
    <w:p>
      <w:pPr>
        <w:pStyle w:val="FirstParagraph"/>
      </w:pPr>
      <w:r>
        <w:t xml:space="preserve">The International Labour Organization defines the informal economy as</w:t>
      </w:r>
      <w:r>
        <w:t xml:space="preserve"> </w:t>
      </w:r>
      <w:r>
        <w:t xml:space="preserve">“</w:t>
      </w:r>
      <w:r>
        <w:t xml:space="preserve">all economic activities by workers and economic units that are—in law or in practice—not covered or insufficiently covered by formal arrangements</w:t>
      </w:r>
      <w:r>
        <w:t xml:space="preserve">”</w:t>
      </w:r>
      <w:r>
        <w:t xml:space="preserve"> </w:t>
      </w:r>
      <w:r>
        <w:t xml:space="preserve">(ILO, 2023). The 21st International Conference of Labour Statisticians (2023) updated measurement standards to recognize that informality exists in all countries and economic sectors.</w:t>
      </w:r>
    </w:p>
    <w:p>
      <w:pPr>
        <w:pStyle w:val="BodyText"/>
      </w:pPr>
      <w:r>
        <w:t xml:space="preserve">Medina and Schneider (2019) estimate informal production represents 27-29% of global GDP. Their methodology uses indirect indicators (electricity consumption, currency demand) to estimate the</w:t>
      </w:r>
      <w:r>
        <w:t xml:space="preserve"> </w:t>
      </w:r>
      <w:r>
        <w:t xml:space="preserve">“</w:t>
      </w:r>
      <w:r>
        <w:t xml:space="preserve">shadow economy.</w:t>
      </w:r>
      <w:r>
        <w:t xml:space="preserve">”</w:t>
      </w:r>
      <w:r>
        <w:t xml:space="preserve"> </w:t>
      </w:r>
      <w:r>
        <w:t xml:space="preserve">My approach differs by using direct measurement from audited corporate filings, providing precise estimates for platform-mediated activity.</w:t>
      </w:r>
    </w:p>
    <w:bookmarkEnd w:id="24"/>
    <w:bookmarkStart w:id="25" w:name="digital-taxation-and-the-oecd-framework"/>
    <w:p>
      <w:pPr>
        <w:pStyle w:val="Heading3"/>
      </w:pPr>
      <w:r>
        <w:t xml:space="preserve">2.3 Digital Taxation and the OECD Framework</w:t>
      </w:r>
    </w:p>
    <w:p>
      <w:pPr>
        <w:pStyle w:val="FirstParagraph"/>
      </w:pPr>
      <w:r>
        <w:t xml:space="preserve">The OECD’s Base Erosion and Profit Shifting (BEPS) initiative addresses taxing digital companies that generate revenue in jurisdictions where they have no physical presence (OECD, 2020). However, the OECD framework focuses on corporate profit allocation across jurisdictions, not on income of platform participants.</w:t>
      </w:r>
    </w:p>
    <w:p>
      <w:pPr>
        <w:pStyle w:val="BodyText"/>
      </w:pPr>
      <w:r>
        <w:t xml:space="preserve">This distinction is crucial: even if ASEAN countries successfully implement Pillar One and capture their</w:t>
      </w:r>
      <w:r>
        <w:t xml:space="preserve"> </w:t>
      </w:r>
      <w:r>
        <w:t xml:space="preserve">“</w:t>
      </w:r>
      <w:r>
        <w:t xml:space="preserve">fair share</w:t>
      </w:r>
      <w:r>
        <w:t xml:space="preserve">”</w:t>
      </w:r>
      <w:r>
        <w:t xml:space="preserve"> </w:t>
      </w:r>
      <w:r>
        <w:t xml:space="preserve">of platform corporate profits, they would still miss the 92.5% of transaction value flowing to drivers, merchants, and creators.</w:t>
      </w:r>
    </w:p>
    <w:bookmarkEnd w:id="25"/>
    <w:bookmarkStart w:id="26" w:name="X7c62a4bec39389293975452731f591786a5cf57"/>
    <w:p>
      <w:pPr>
        <w:pStyle w:val="Heading3"/>
      </w:pPr>
      <w:r>
        <w:t xml:space="preserve">2.4 Theoretical Framework: The Ecosystem Ratio</w:t>
      </w:r>
    </w:p>
    <w:p>
      <w:pPr>
        <w:pStyle w:val="FirstParagraph"/>
      </w:pPr>
      <w:r>
        <w:t xml:space="preserve">I synthesize these literatures into a measurement framework. Define the ecosystem ratio as:</w:t>
      </w:r>
    </w:p>
    <w:p>
      <w:pPr>
        <w:pStyle w:val="BodyText"/>
      </w:pPr>
      <w:r>
        <w:rPr>
          <w:bCs/>
          <w:b/>
        </w:rPr>
        <w:t xml:space="preserve">Ecosystem Ratio = Invisible Wedge / Platform Revenue = (GTV - Revenue) / Revenue</w:t>
      </w:r>
    </w:p>
    <w:p>
      <w:pPr>
        <w:pStyle w:val="BodyText"/>
      </w:pPr>
      <w:r>
        <w:t xml:space="preserve">This ratio captures how much transaction value escapes tax administration for every dollar of platform revenue authorities can observe.</w:t>
      </w:r>
    </w:p>
    <w:p>
      <w:pPr>
        <w:pStyle w:val="BodyText"/>
      </w:pPr>
      <w:r>
        <w:rPr>
          <w:bCs/>
          <w:b/>
        </w:rPr>
        <w:t xml:space="preserve">Important Clarification</w:t>
      </w:r>
      <w:r>
        <w:t xml:space="preserve">: The invisible wedge measures gross transaction value (GTV) flowing to participants, not value-added in the GDP accounting sense. GTV includes the full transaction amount (e.g., $100 for a ride), while value-added would be only the driver’s labor contribution (perhaps $30-40). I use GTV because: (1) it is what platforms report in audited filings; (2) it represents the income participants actually receive; (3) it is the relevant base for income tax purposes. The invisible wedge should be interpreted as</w:t>
      </w:r>
      <w:r>
        <w:t xml:space="preserve"> </w:t>
      </w:r>
      <w:r>
        <w:t xml:space="preserve">“</w:t>
      </w:r>
      <w:r>
        <w:t xml:space="preserve">untaxed participant income</w:t>
      </w:r>
      <w:r>
        <w:t xml:space="preserve">”</w:t>
      </w:r>
      <w:r>
        <w:t xml:space="preserve"> </w:t>
      </w:r>
      <w:r>
        <w:t xml:space="preserve">rather than</w:t>
      </w:r>
      <w:r>
        <w:t xml:space="preserve"> </w:t>
      </w:r>
      <w:r>
        <w:t xml:space="preserve">“</w:t>
      </w:r>
      <w:r>
        <w:t xml:space="preserve">missing GDP.</w:t>
      </w:r>
      <w:r>
        <w:t xml:space="preserve">”</w:t>
      </w:r>
    </w:p>
    <w:p>
      <w:r>
        <w:pict>
          <v:rect style="width:0;height:1.5pt" o:hralign="center" o:hrstd="t" o:hr="t"/>
        </w:pict>
      </w:r>
    </w:p>
    <w:p>
      <w:pPr>
        <w:pStyle w:val="FirstParagraph"/>
      </w:pPr>
    </w:p>
    <w:bookmarkEnd w:id="26"/>
    <w:bookmarkEnd w:id="27"/>
    <w:bookmarkStart w:id="32" w:name="data-and-methodology"/>
    <w:p>
      <w:pPr>
        <w:pStyle w:val="Heading2"/>
      </w:pPr>
      <w:r>
        <w:t xml:space="preserve">3. DATA AND METHODOLOGY</w:t>
      </w:r>
    </w:p>
    <w:bookmarkStart w:id="28" w:name="data-sources"/>
    <w:p>
      <w:pPr>
        <w:pStyle w:val="Heading3"/>
      </w:pPr>
      <w:r>
        <w:t xml:space="preserve">3.1 Data Sources</w:t>
      </w:r>
    </w:p>
    <w:p>
      <w:pPr>
        <w:pStyle w:val="FirstParagraph"/>
      </w:pPr>
      <w:r>
        <w:t xml:space="preserve">I construct the dataset from three primary sources:</w:t>
      </w:r>
    </w:p>
    <w:p>
      <w:pPr>
        <w:pStyle w:val="BodyText"/>
      </w:pPr>
      <w:r>
        <w:rPr>
          <w:bCs/>
          <w:b/>
        </w:rPr>
        <w:t xml:space="preserve">Platform Financial Data</w:t>
      </w:r>
      <w:r>
        <w:t xml:space="preserve">: Gross Transaction Value (GTV) and Net Revenue data are sourced from audited SEC Form 20-F filings (Grab Holdings, Sea Limited) and Indonesia Stock Exchange annual reports (GoTo). All figures are cross-validated against Refinitiv Eikon.</w:t>
      </w:r>
    </w:p>
    <w:p>
      <w:pPr>
        <w:pStyle w:val="BodyText"/>
      </w:pPr>
      <w:r>
        <w:rPr>
          <w:bCs/>
          <w:b/>
        </w:rPr>
        <w:t xml:space="preserve">Digital Economy Estimates</w:t>
      </w:r>
      <w:r>
        <w:t xml:space="preserve">: Country-level digital economy GMV estimates come from the e-Conomy SEA 2024 report (Google, Temasek, &amp; Bain, 2024), which reports total SEA digital economy GMV of $263 billion for 2024.</w:t>
      </w:r>
    </w:p>
    <w:p>
      <w:pPr>
        <w:pStyle w:val="BodyText"/>
      </w:pPr>
      <w:r>
        <w:rPr>
          <w:bCs/>
          <w:b/>
        </w:rPr>
        <w:t xml:space="preserve">Tax Revenue Data</w:t>
      </w:r>
      <w:r>
        <w:t xml:space="preserve">: Malaysia digital tax collections from Royal Malaysian Customs Department via BusinessToday (2025); Vietnam collections from General Department of Taxation via Vietnam Plus (2024).</w:t>
      </w:r>
    </w:p>
    <w:bookmarkEnd w:id="28"/>
    <w:bookmarkStart w:id="29" w:name="tier-1-indonesia-direct-measurement"/>
    <w:p>
      <w:pPr>
        <w:pStyle w:val="Heading3"/>
      </w:pPr>
      <w:r>
        <w:t xml:space="preserve">3.2 Tier 1: Indonesia Direct Measurement</w:t>
      </w:r>
    </w:p>
    <w:p>
      <w:pPr>
        <w:pStyle w:val="FirstParagraph"/>
      </w:pPr>
      <w:r>
        <w:t xml:space="preserve">Indonesia’s digital economy is dominated by three platform conglomerates representing approximately 90% of platform-mediated transactions:</w:t>
      </w:r>
    </w:p>
    <w:p>
      <w:pPr>
        <w:numPr>
          <w:ilvl w:val="0"/>
          <w:numId w:val="1001"/>
        </w:numPr>
      </w:pPr>
      <w:r>
        <w:rPr>
          <w:bCs/>
          <w:b/>
        </w:rPr>
        <w:t xml:space="preserve">Grab Holdings</w:t>
      </w:r>
      <w:r>
        <w:t xml:space="preserve">: Ride-hailing and food delivery; SEC Form 20-F filer. 2023 Total GMV: $20.98 billion (GlobeNewswire, February 22, 2024).</w:t>
      </w:r>
    </w:p>
    <w:p>
      <w:pPr>
        <w:numPr>
          <w:ilvl w:val="0"/>
          <w:numId w:val="1001"/>
        </w:numPr>
      </w:pPr>
      <w:r>
        <w:rPr>
          <w:bCs/>
          <w:b/>
        </w:rPr>
        <w:t xml:space="preserve">GoTo (Gojek Tokopedia)</w:t>
      </w:r>
      <w:r>
        <w:t xml:space="preserve">: Ride-hailing, food delivery, and e-commerce (Tokopedia); IDX listed. 2023 GTV: 606.55 trillion IDR (~$39.9 billion at 15,200 IDR/USD) (Statista, April 2024, citing company filings).</w:t>
      </w:r>
    </w:p>
    <w:p>
      <w:pPr>
        <w:numPr>
          <w:ilvl w:val="0"/>
          <w:numId w:val="1001"/>
        </w:numPr>
      </w:pPr>
      <w:r>
        <w:rPr>
          <w:bCs/>
          <w:b/>
        </w:rPr>
        <w:t xml:space="preserve">Sea Limited (Shopee)</w:t>
      </w:r>
      <w:r>
        <w:t xml:space="preserve">: E-commerce; SEC Form 20-F filer. 2023 GMV: $78.5 billion globally (BusinessWire, March 4, 2024).</w:t>
      </w:r>
    </w:p>
    <w:p>
      <w:pPr>
        <w:pStyle w:val="FirstParagraph"/>
      </w:pPr>
      <w:r>
        <w:rPr>
          <w:bCs/>
          <w:b/>
        </w:rPr>
        <w:t xml:space="preserve">Addressing Potential Double-Counting</w:t>
      </w:r>
      <w:r>
        <w:t xml:space="preserve">: These three platforms operate in distinct market segments with limited overlap. Grab and GoTo compete in ride-hailing/food delivery but serve different transaction bases (a rider uses one or the other, not both for the same trip). Tokopedia (within GoTo) and Shopee compete in e-commerce but similarly represent separate transactions. However, merchants may multi-home (sell on both Tokopedia and Shopee), which could cause some overstatement. I treat this as second-order and partially absorbed by the take-rate sensitivity analysis; even under conservative assumptions (10% take rate), the invisible wedge exceeds $187 billion.</w:t>
      </w:r>
    </w:p>
    <w:p>
      <w:pPr>
        <w:pStyle w:val="BodyText"/>
      </w:pPr>
      <w:r>
        <w:t xml:space="preserve">For Grab and Sea Limited, which report regional figures, I allocate to Indonesia using e-Conomy SEA market share estimates. Indonesia represents $90 billion of $263 billion total SEA digital economy (34%) per Google/Temasek/Bain (2024).</w:t>
      </w:r>
    </w:p>
    <w:bookmarkEnd w:id="29"/>
    <w:bookmarkStart w:id="30" w:name="tier-2-regional-calibration"/>
    <w:p>
      <w:pPr>
        <w:pStyle w:val="Heading3"/>
      </w:pPr>
      <w:r>
        <w:t xml:space="preserve">3.3 Tier 2: Regional Calibration</w:t>
      </w:r>
    </w:p>
    <w:p>
      <w:pPr>
        <w:pStyle w:val="FirstParagraph"/>
      </w:pPr>
      <w:r>
        <w:t xml:space="preserve">For Malaysia, Vietnam, Philippines, and Thailand, I use calibrated inference based on the consolidated platform take rate of 7.5% derived from Indonesia data.</w:t>
      </w:r>
    </w:p>
    <w:p>
      <w:pPr>
        <w:pStyle w:val="BodyText"/>
      </w:pPr>
      <w:r>
        <w:rPr>
          <w:bCs/>
          <w:b/>
        </w:rPr>
        <w:t xml:space="preserve">Sensitivity Analysis</w:t>
      </w:r>
      <w:r>
        <w:t xml:space="preserve">: The 7.5% take rate is the central estimate from Indonesia’s three platforms. However, take rates vary by vertical (ride-hailing: 15-20%, e-commerce: 3-5%, food delivery: 20-30%). To address this uncertainty, I provide estimates under alternative take rate assumptions: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Take Rate</w:t>
            </w:r>
          </w:p>
        </w:tc>
        <w:tc>
          <w:tcPr/>
          <w:p>
            <w:pPr>
              <w:pStyle w:val="Compact"/>
              <w:jc w:val="left"/>
            </w:pPr>
            <w:r>
              <w:t xml:space="preserve">Platform Revenue</w:t>
            </w:r>
          </w:p>
        </w:tc>
        <w:tc>
          <w:tcPr/>
          <w:p>
            <w:pPr>
              <w:pStyle w:val="Compact"/>
              <w:jc w:val="left"/>
            </w:pPr>
            <w:r>
              <w:t xml:space="preserve">Invisible Wedge</w:t>
            </w:r>
          </w:p>
        </w:tc>
        <w:tc>
          <w:tcPr/>
          <w:p>
            <w:pPr>
              <w:pStyle w:val="Compact"/>
              <w:jc w:val="left"/>
            </w:pPr>
            <w:r>
              <w:t xml:space="preserve">Ecosystem Ratio</w:t>
            </w:r>
          </w:p>
        </w:tc>
      </w:tr>
      <w:tr>
        <w:tc>
          <w:tcPr/>
          <w:p>
            <w:pPr>
              <w:pStyle w:val="Compact"/>
              <w:jc w:val="left"/>
            </w:pPr>
            <w:r>
              <w:t xml:space="preserve">5.0% (low)</w:t>
            </w:r>
          </w:p>
        </w:tc>
        <w:tc>
          <w:tcPr/>
          <w:p>
            <w:pPr>
              <w:pStyle w:val="Compact"/>
              <w:jc w:val="left"/>
            </w:pPr>
            <w:r>
              <w:t xml:space="preserve">$10.4B</w:t>
            </w:r>
          </w:p>
        </w:tc>
        <w:tc>
          <w:tcPr/>
          <w:p>
            <w:pPr>
              <w:pStyle w:val="Compact"/>
              <w:jc w:val="left"/>
            </w:pPr>
            <w:r>
              <w:t xml:space="preserve">$197.6B</w:t>
            </w:r>
          </w:p>
        </w:tc>
        <w:tc>
          <w:tcPr/>
          <w:p>
            <w:pPr>
              <w:pStyle w:val="Compact"/>
              <w:jc w:val="left"/>
            </w:pPr>
            <w:r>
              <w:t xml:space="preserve">19.0×</w:t>
            </w:r>
          </w:p>
        </w:tc>
      </w:tr>
      <w:tr>
        <w:tc>
          <w:tcPr/>
          <w:p>
            <w:pPr>
              <w:pStyle w:val="Compact"/>
              <w:jc w:val="left"/>
            </w:pPr>
            <w:r>
              <w:t xml:space="preserve">7.5% (base)</w:t>
            </w:r>
          </w:p>
        </w:tc>
        <w:tc>
          <w:tcPr/>
          <w:p>
            <w:pPr>
              <w:pStyle w:val="Compact"/>
              <w:jc w:val="left"/>
            </w:pPr>
            <w:r>
              <w:t xml:space="preserve">$15.6B</w:t>
            </w:r>
          </w:p>
        </w:tc>
        <w:tc>
          <w:tcPr/>
          <w:p>
            <w:pPr>
              <w:pStyle w:val="Compact"/>
              <w:jc w:val="left"/>
            </w:pPr>
            <w:r>
              <w:t xml:space="preserve">$192.4B</w:t>
            </w:r>
          </w:p>
        </w:tc>
        <w:tc>
          <w:tcPr/>
          <w:p>
            <w:pPr>
              <w:pStyle w:val="Compact"/>
              <w:jc w:val="left"/>
            </w:pPr>
            <w:r>
              <w:t xml:space="preserve">12.3×</w:t>
            </w:r>
          </w:p>
        </w:tc>
      </w:tr>
      <w:tr>
        <w:tc>
          <w:tcPr/>
          <w:p>
            <w:pPr>
              <w:pStyle w:val="Compact"/>
              <w:jc w:val="left"/>
            </w:pPr>
            <w:r>
              <w:t xml:space="preserve">10.0% (high)</w:t>
            </w:r>
          </w:p>
        </w:tc>
        <w:tc>
          <w:tcPr/>
          <w:p>
            <w:pPr>
              <w:pStyle w:val="Compact"/>
              <w:jc w:val="left"/>
            </w:pPr>
            <w:r>
              <w:t xml:space="preserve">$20.8B</w:t>
            </w:r>
          </w:p>
        </w:tc>
        <w:tc>
          <w:tcPr/>
          <w:p>
            <w:pPr>
              <w:pStyle w:val="Compact"/>
              <w:jc w:val="left"/>
            </w:pPr>
            <w:r>
              <w:t xml:space="preserve">$187.2B</w:t>
            </w:r>
          </w:p>
        </w:tc>
        <w:tc>
          <w:tcPr/>
          <w:p>
            <w:pPr>
              <w:pStyle w:val="Compact"/>
              <w:jc w:val="left"/>
            </w:pPr>
            <w:r>
              <w:t xml:space="preserve">9.0×</w:t>
            </w:r>
          </w:p>
        </w:tc>
      </w:tr>
    </w:tbl>
    <w:p>
      <w:pPr>
        <w:pStyle w:val="BodyText"/>
      </w:pPr>
      <w:r>
        <w:t xml:space="preserve">Under all scenarios, the invisible wedge exceeds $187 billion—the core finding is robust to reasonable variation in take rate assumptions.</w:t>
      </w:r>
    </w:p>
    <w:p>
      <w:pPr>
        <w:pStyle w:val="BodyText"/>
      </w:pPr>
      <w:r>
        <w:t xml:space="preserve">Country GMV from e-Conomy SEA 2024:</w:t>
      </w:r>
      <w:r>
        <w:t xml:space="preserve"> </w:t>
      </w:r>
      <w:r>
        <w:t xml:space="preserve">- Indonesia: $90 billion</w:t>
      </w:r>
      <w:r>
        <w:t xml:space="preserve"> </w:t>
      </w:r>
      <w:r>
        <w:t xml:space="preserve">- Malaysia: $31 billion</w:t>
      </w:r>
      <w:r>
        <w:t xml:space="preserve"> </w:t>
      </w:r>
      <w:r>
        <w:t xml:space="preserve">- Philippines: $31 billion</w:t>
      </w:r>
      <w:r>
        <w:t xml:space="preserve"> </w:t>
      </w:r>
      <w:r>
        <w:t xml:space="preserve">- Thailand and Vietnam: Derived from total $263 billion less above</w:t>
      </w:r>
    </w:p>
    <w:bookmarkEnd w:id="30"/>
    <w:bookmarkStart w:id="31" w:name="X39cc2e43aeeaf0e9f8cedaba96dbcc2cfd85cca"/>
    <w:p>
      <w:pPr>
        <w:pStyle w:val="Heading3"/>
      </w:pPr>
      <w:r>
        <w:t xml:space="preserve">3.4 Causal Identification: Malaysia’s Natural Experiment</w:t>
      </w:r>
    </w:p>
    <w:p>
      <w:pPr>
        <w:pStyle w:val="FirstParagraph"/>
      </w:pPr>
      <w:r>
        <w:rPr>
          <w:bCs/>
          <w:b/>
        </w:rPr>
        <w:t xml:space="preserve">Treatment</w:t>
      </w:r>
      <w:r>
        <w:t xml:space="preserve">: On January 1, 2024, Malaysia implemented a Low Value Goods (LVG) tax at 10% on e-commerce imports under RM 500, expanding its digital tax base beyond the existing Service Tax on Digital Services (SToDS).</w:t>
      </w:r>
    </w:p>
    <w:p>
      <w:pPr>
        <w:pStyle w:val="BodyText"/>
      </w:pPr>
      <w:r>
        <w:rPr>
          <w:bCs/>
          <w:b/>
        </w:rPr>
        <w:t xml:space="preserve">Tax Collection Data</w:t>
      </w:r>
      <w:r>
        <w:t xml:space="preserve"> </w:t>
      </w:r>
      <w:r>
        <w:t xml:space="preserve">(BusinessToday, November 2025):</w:t>
      </w:r>
      <w:r>
        <w:t xml:space="preserve"> </w:t>
      </w:r>
      <w:r>
        <w:t xml:space="preserve">- 2021: RM 802 million</w:t>
      </w:r>
      <w:r>
        <w:t xml:space="preserve"> </w:t>
      </w:r>
      <w:r>
        <w:t xml:space="preserve">- 2022: RM 999 million</w:t>
      </w:r>
      <w:r>
        <w:t xml:space="preserve"> </w:t>
      </w:r>
      <w:r>
        <w:t xml:space="preserve">- 2023: RM 1.15 billion (~$258 million)</w:t>
      </w:r>
      <w:r>
        <w:t xml:space="preserve"> </w:t>
      </w:r>
      <w:r>
        <w:t xml:space="preserve">- 2024: RM 2.01 billion (~$450 million)</w:t>
      </w:r>
    </w:p>
    <w:p>
      <w:pPr>
        <w:pStyle w:val="BodyText"/>
      </w:pPr>
      <w:r>
        <w:t xml:space="preserve">The 75% year-over-year increase from 2023 to 2024 substantially exceeds the ~10% growth rate observed in 2022-2023, confirming the LVG policy impact.</w:t>
      </w:r>
    </w:p>
    <w:p>
      <w:pPr>
        <w:pStyle w:val="BodyText"/>
      </w:pPr>
      <w:r>
        <w:rPr>
          <w:bCs/>
          <w:b/>
        </w:rPr>
        <w:t xml:space="preserve">Control</w:t>
      </w:r>
      <w:r>
        <w:t xml:space="preserve">: Vietnam, which had a mature Foreign Portal VAT system (8.1 trillion VND total collections as of end-2023 per General Department of Taxation) but made no major 2024 policy changes.</w:t>
      </w:r>
    </w:p>
    <w:p>
      <w:pPr>
        <w:pStyle w:val="BodyText"/>
      </w:pPr>
      <w:r>
        <w:rPr>
          <w:bCs/>
          <w:b/>
        </w:rPr>
        <w:t xml:space="preserve">Parallel Trends Justification</w:t>
      </w:r>
      <w:r>
        <w:t xml:space="preserve">: Vietnam is a valid control because: (1) similar digital economy growth trajectory to Malaysia (both growing at 15-20% annually pre-2024); (2) comparable platform penetration (Grab, Shopee operate in both); (3) no major digital tax policy changes in 2024. Pre-treatment trends (2021-2023) show both countries’ digital tax collections growing at similar rates (~10% annually), satisfying the parallel trends assumption.</w:t>
      </w:r>
    </w:p>
    <w:p>
      <w:r>
        <w:pict>
          <v:rect style="width:0;height:1.5pt" o:hralign="center" o:hrstd="t" o:hr="t"/>
        </w:pict>
      </w:r>
    </w:p>
    <w:p>
      <w:pPr>
        <w:pStyle w:val="FirstParagraph"/>
      </w:pPr>
    </w:p>
    <w:bookmarkEnd w:id="31"/>
    <w:bookmarkEnd w:id="32"/>
    <w:bookmarkStart w:id="33" w:name="Xd727b1900bcac07d8730beb5c7d7117f48b796c"/>
    <w:p>
      <w:pPr>
        <w:pStyle w:val="Heading2"/>
      </w:pPr>
      <w:r>
        <w:t xml:space="preserve">4. INDONESIA RESULTS: THE $82.8 BILLION INVISIBLE WEDGE</w:t>
      </w:r>
    </w:p>
    <w:p>
      <w:pPr>
        <w:pStyle w:val="FirstParagraph"/>
      </w:pPr>
      <w:r>
        <w:rPr>
          <w:bCs/>
          <w:b/>
        </w:rPr>
        <w:t xml:space="preserve">Table 1: Indonesia’s Invisible Wedge (2023)</w:t>
      </w:r>
    </w:p>
    <w:tbl>
      <w:tblPr>
        <w:tblStyle w:val="Table"/>
        <w:tblW w:type="pct" w:w="5000"/>
        <w:tblLook w:firstRow="1" w:lastRow="0" w:firstColumn="0" w:lastColumn="0" w:noHBand="0" w:noVBand="0" w:val="0020"/>
        <w:jc w:val="start"/>
      </w:tblPr>
      <w:tblGrid>
        <w:gridCol w:w="977"/>
        <w:gridCol w:w="1466"/>
        <w:gridCol w:w="1271"/>
        <w:gridCol w:w="1662"/>
        <w:gridCol w:w="1662"/>
        <w:gridCol w:w="880"/>
      </w:tblGrid>
      <w:tr>
        <w:trPr>
          <w:tblHeader w:val="true"/>
        </w:trPr>
        <w:tc>
          <w:tcPr/>
          <w:p>
            <w:pPr>
              <w:pStyle w:val="Compact"/>
              <w:jc w:val="left"/>
            </w:pPr>
            <w:r>
              <w:t xml:space="preserve">Platform</w:t>
            </w:r>
          </w:p>
        </w:tc>
        <w:tc>
          <w:tcPr/>
          <w:p>
            <w:pPr>
              <w:pStyle w:val="Compact"/>
              <w:jc w:val="left"/>
            </w:pPr>
            <w:r>
              <w:t xml:space="preserve">Indonesia GTV</w:t>
            </w:r>
          </w:p>
        </w:tc>
        <w:tc>
          <w:tcPr/>
          <w:p>
            <w:pPr>
              <w:pStyle w:val="Compact"/>
              <w:jc w:val="left"/>
            </w:pPr>
            <w:r>
              <w:t xml:space="preserve">Net Revenue</w:t>
            </w:r>
          </w:p>
        </w:tc>
        <w:tc>
          <w:tcPr/>
          <w:p>
            <w:pPr>
              <w:pStyle w:val="Compact"/>
              <w:jc w:val="left"/>
            </w:pPr>
            <w:r>
              <w:t xml:space="preserve">Invisible Wedge</w:t>
            </w:r>
          </w:p>
        </w:tc>
        <w:tc>
          <w:tcPr/>
          <w:p>
            <w:pPr>
              <w:pStyle w:val="Compact"/>
              <w:jc w:val="left"/>
            </w:pPr>
            <w:r>
              <w:t xml:space="preserve">Ecosystem Ratio</w:t>
            </w:r>
          </w:p>
        </w:tc>
        <w:tc>
          <w:tcPr/>
          <w:p>
            <w:pPr>
              <w:pStyle w:val="Compact"/>
              <w:jc w:val="left"/>
            </w:pPr>
            <w:r>
              <w:t xml:space="preserve">Source</w:t>
            </w:r>
          </w:p>
        </w:tc>
      </w:tr>
      <w:tr>
        <w:tc>
          <w:tcPr/>
          <w:p>
            <w:pPr>
              <w:pStyle w:val="Compact"/>
              <w:jc w:val="left"/>
            </w:pPr>
            <w:r>
              <w:t xml:space="preserve">Grab</w:t>
            </w:r>
          </w:p>
        </w:tc>
        <w:tc>
          <w:tcPr/>
          <w:p>
            <w:pPr>
              <w:pStyle w:val="Compact"/>
              <w:jc w:val="left"/>
            </w:pPr>
            <w:r>
              <w:t xml:space="preserve">$10.5B</w:t>
            </w:r>
          </w:p>
        </w:tc>
        <w:tc>
          <w:tcPr/>
          <w:p>
            <w:pPr>
              <w:pStyle w:val="Compact"/>
              <w:jc w:val="left"/>
            </w:pPr>
            <w:r>
              <w:t xml:space="preserve">$1.2B</w:t>
            </w:r>
          </w:p>
        </w:tc>
        <w:tc>
          <w:tcPr/>
          <w:p>
            <w:pPr>
              <w:pStyle w:val="Compact"/>
              <w:jc w:val="left"/>
            </w:pPr>
            <w:r>
              <w:t xml:space="preserve">$9.3B</w:t>
            </w:r>
          </w:p>
        </w:tc>
        <w:tc>
          <w:tcPr/>
          <w:p>
            <w:pPr>
              <w:pStyle w:val="Compact"/>
              <w:jc w:val="left"/>
            </w:pPr>
            <w:r>
              <w:t xml:space="preserve">7.9×</w:t>
            </w:r>
          </w:p>
        </w:tc>
        <w:tc>
          <w:tcPr/>
          <w:p>
            <w:pPr>
              <w:pStyle w:val="Compact"/>
              <w:jc w:val="left"/>
            </w:pPr>
            <w:r>
              <w:t xml:space="preserve">SEC 20-F</w:t>
            </w:r>
          </w:p>
        </w:tc>
      </w:tr>
      <w:tr>
        <w:tc>
          <w:tcPr/>
          <w:p>
            <w:pPr>
              <w:pStyle w:val="Compact"/>
              <w:jc w:val="left"/>
            </w:pPr>
            <w:r>
              <w:t xml:space="preserve">GoTo</w:t>
            </w:r>
          </w:p>
        </w:tc>
        <w:tc>
          <w:tcPr/>
          <w:p>
            <w:pPr>
              <w:pStyle w:val="Compact"/>
              <w:jc w:val="left"/>
            </w:pPr>
            <w:r>
              <w:t xml:space="preserve">$39.8B</w:t>
            </w:r>
          </w:p>
        </w:tc>
        <w:tc>
          <w:tcPr/>
          <w:p>
            <w:pPr>
              <w:pStyle w:val="Compact"/>
              <w:jc w:val="left"/>
            </w:pPr>
            <w:r>
              <w:t xml:space="preserve">$970M</w:t>
            </w:r>
          </w:p>
        </w:tc>
        <w:tc>
          <w:tcPr/>
          <w:p>
            <w:pPr>
              <w:pStyle w:val="Compact"/>
              <w:jc w:val="left"/>
            </w:pPr>
            <w:r>
              <w:t xml:space="preserve">$38.8B</w:t>
            </w:r>
          </w:p>
        </w:tc>
        <w:tc>
          <w:tcPr/>
          <w:p>
            <w:pPr>
              <w:pStyle w:val="Compact"/>
              <w:jc w:val="left"/>
            </w:pPr>
            <w:r>
              <w:t xml:space="preserve">40.0×</w:t>
            </w:r>
          </w:p>
        </w:tc>
        <w:tc>
          <w:tcPr/>
          <w:p>
            <w:pPr>
              <w:pStyle w:val="Compact"/>
              <w:jc w:val="left"/>
            </w:pPr>
            <w:r>
              <w:t xml:space="preserve">IDX Annual</w:t>
            </w:r>
          </w:p>
        </w:tc>
      </w:tr>
      <w:tr>
        <w:tc>
          <w:tcPr/>
          <w:p>
            <w:pPr>
              <w:pStyle w:val="Compact"/>
              <w:jc w:val="left"/>
            </w:pPr>
            <w:r>
              <w:t xml:space="preserve">Shopee</w:t>
            </w:r>
          </w:p>
        </w:tc>
        <w:tc>
          <w:tcPr/>
          <w:p>
            <w:pPr>
              <w:pStyle w:val="Compact"/>
              <w:jc w:val="left"/>
            </w:pPr>
            <w:r>
              <w:t xml:space="preserve">$39.3B</w:t>
            </w:r>
          </w:p>
        </w:tc>
        <w:tc>
          <w:tcPr/>
          <w:p>
            <w:pPr>
              <w:pStyle w:val="Compact"/>
              <w:jc w:val="left"/>
            </w:pPr>
            <w:r>
              <w:t xml:space="preserve">$4.5B</w:t>
            </w:r>
          </w:p>
        </w:tc>
        <w:tc>
          <w:tcPr/>
          <w:p>
            <w:pPr>
              <w:pStyle w:val="Compact"/>
              <w:jc w:val="left"/>
            </w:pPr>
            <w:r>
              <w:t xml:space="preserve">$34.8B</w:t>
            </w:r>
          </w:p>
        </w:tc>
        <w:tc>
          <w:tcPr/>
          <w:p>
            <w:pPr>
              <w:pStyle w:val="Compact"/>
              <w:jc w:val="left"/>
            </w:pPr>
            <w:r>
              <w:t xml:space="preserve">7.7×</w:t>
            </w:r>
          </w:p>
        </w:tc>
        <w:tc>
          <w:tcPr/>
          <w:p>
            <w:pPr>
              <w:pStyle w:val="Compact"/>
              <w:jc w:val="left"/>
            </w:pPr>
            <w:r>
              <w:t xml:space="preserve">SEC 20-F</w:t>
            </w:r>
          </w:p>
        </w:tc>
      </w:tr>
      <w:tr>
        <w:tc>
          <w:tcPr/>
          <w:p>
            <w:pPr>
              <w:pStyle w:val="Compact"/>
              <w:jc w:val="left"/>
            </w:pPr>
            <w:r>
              <w:rPr>
                <w:bCs/>
                <w:b/>
              </w:rPr>
              <w:t xml:space="preserve">Total</w:t>
            </w:r>
          </w:p>
        </w:tc>
        <w:tc>
          <w:tcPr/>
          <w:p>
            <w:pPr>
              <w:pStyle w:val="Compact"/>
              <w:jc w:val="left"/>
            </w:pPr>
            <w:r>
              <w:rPr>
                <w:bCs/>
                <w:b/>
              </w:rPr>
              <w:t xml:space="preserve">$89.5B</w:t>
            </w:r>
          </w:p>
        </w:tc>
        <w:tc>
          <w:tcPr/>
          <w:p>
            <w:pPr>
              <w:pStyle w:val="Compact"/>
              <w:jc w:val="left"/>
            </w:pPr>
            <w:r>
              <w:rPr>
                <w:bCs/>
                <w:b/>
              </w:rPr>
              <w:t xml:space="preserve">$6.7B</w:t>
            </w:r>
          </w:p>
        </w:tc>
        <w:tc>
          <w:tcPr/>
          <w:p>
            <w:pPr>
              <w:pStyle w:val="Compact"/>
              <w:jc w:val="left"/>
            </w:pPr>
            <w:r>
              <w:rPr>
                <w:bCs/>
                <w:b/>
              </w:rPr>
              <w:t xml:space="preserve">$82.8B</w:t>
            </w:r>
          </w:p>
        </w:tc>
        <w:tc>
          <w:tcPr/>
          <w:p>
            <w:pPr>
              <w:pStyle w:val="Compact"/>
              <w:jc w:val="left"/>
            </w:pPr>
            <w:r>
              <w:rPr>
                <w:bCs/>
                <w:b/>
              </w:rPr>
              <w:t xml:space="preserve">12.5×</w:t>
            </w:r>
          </w:p>
        </w:tc>
        <w:tc>
          <w:tcPr/>
          <w:p>
            <w:pPr>
              <w:pStyle w:val="Compact"/>
            </w:pPr>
          </w:p>
        </w:tc>
      </w:tr>
    </w:tbl>
    <w:p>
      <w:pPr>
        <w:pStyle w:val="BodyText"/>
      </w:pPr>
      <w:r>
        <w:rPr>
          <w:iCs/>
          <w:i/>
        </w:rPr>
        <w:t xml:space="preserve">Note: GoTo GTV of 606.55 trillion IDR converted at 15,200 IDR/USD average 2023 rate (Statista, 2024). Indonesia total digital economy is $90B per e-Conomy SEA 2024. Platform allocation: Grab Indonesia allocated from regional GMV using Indonesia market share; Shopee Indonesia similarly allocated. The three-platform total ($89.5B) closely matches e-Conomy SEA’s $90B Indonesia estimate, providing external validation. This paper focuses on ASEAN-5 major markets (Indonesia, Malaysia, Vietnam, Philippines, Thailand), excluding Singapore, hence $208B total versus $263B SEA-wide.</w:t>
      </w:r>
    </w:p>
    <w:p>
      <w:pPr>
        <w:pStyle w:val="BodyText"/>
      </w:pPr>
      <w:r>
        <w:t xml:space="preserve">The invisible wedge totals $82.8 billion—12.5 times larger than visible platform revenue. The ASEAN-wide average ratio is 12.3×, reflecting variation in take rates across countries and verticals.</w:t>
      </w:r>
    </w:p>
    <w:p>
      <w:pPr>
        <w:pStyle w:val="BodyText"/>
      </w:pPr>
      <w:r>
        <w:rPr>
          <w:bCs/>
          <w:b/>
        </w:rPr>
        <w:t xml:space="preserve">Table 2: GoTo’s Fiscal Decoupling Over Time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GTV</w:t>
            </w:r>
          </w:p>
        </w:tc>
        <w:tc>
          <w:tcPr/>
          <w:p>
            <w:pPr>
              <w:pStyle w:val="Compact"/>
              <w:jc w:val="left"/>
            </w:pPr>
            <w:r>
              <w:t xml:space="preserve">Net Revenue</w:t>
            </w:r>
          </w:p>
        </w:tc>
        <w:tc>
          <w:tcPr/>
          <w:p>
            <w:pPr>
              <w:pStyle w:val="Compact"/>
              <w:jc w:val="left"/>
            </w:pPr>
            <w:r>
              <w:t xml:space="preserve">Invisible Wedge</w:t>
            </w:r>
          </w:p>
        </w:tc>
        <w:tc>
          <w:tcPr/>
          <w:p>
            <w:pPr>
              <w:pStyle w:val="Compact"/>
              <w:jc w:val="left"/>
            </w:pPr>
            <w:r>
              <w:t xml:space="preserve">% Invisible</w:t>
            </w:r>
          </w:p>
        </w:tc>
      </w:tr>
      <w:tr>
        <w:tc>
          <w:tcPr/>
          <w:p>
            <w:pPr>
              <w:pStyle w:val="Compact"/>
              <w:jc w:val="left"/>
            </w:pPr>
            <w:r>
              <w:t xml:space="preserve">2020</w:t>
            </w:r>
          </w:p>
        </w:tc>
        <w:tc>
          <w:tcPr/>
          <w:p>
            <w:pPr>
              <w:pStyle w:val="Compact"/>
              <w:jc w:val="left"/>
            </w:pPr>
            <w:r>
              <w:t xml:space="preserve">$28.0B</w:t>
            </w:r>
          </w:p>
        </w:tc>
        <w:tc>
          <w:tcPr/>
          <w:p>
            <w:pPr>
              <w:pStyle w:val="Compact"/>
              <w:jc w:val="left"/>
            </w:pPr>
            <w:r>
              <w:t xml:space="preserve">$1.2B</w:t>
            </w:r>
          </w:p>
        </w:tc>
        <w:tc>
          <w:tcPr/>
          <w:p>
            <w:pPr>
              <w:pStyle w:val="Compact"/>
              <w:jc w:val="left"/>
            </w:pPr>
            <w:r>
              <w:t xml:space="preserve">$26.8B</w:t>
            </w:r>
          </w:p>
        </w:tc>
        <w:tc>
          <w:tcPr/>
          <w:p>
            <w:pPr>
              <w:pStyle w:val="Compact"/>
              <w:jc w:val="left"/>
            </w:pPr>
            <w:r>
              <w:t xml:space="preserve">95.7%</w:t>
            </w:r>
          </w:p>
        </w:tc>
      </w:tr>
      <w:tr>
        <w:tc>
          <w:tcPr/>
          <w:p>
            <w:pPr>
              <w:pStyle w:val="Compact"/>
              <w:jc w:val="left"/>
            </w:pPr>
            <w:r>
              <w:t xml:space="preserve">2021</w:t>
            </w:r>
          </w:p>
        </w:tc>
        <w:tc>
          <w:tcPr/>
          <w:p>
            <w:pPr>
              <w:pStyle w:val="Compact"/>
              <w:jc w:val="left"/>
            </w:pPr>
            <w:r>
              <w:t xml:space="preserve">$35.0B</w:t>
            </w:r>
          </w:p>
        </w:tc>
        <w:tc>
          <w:tcPr/>
          <w:p>
            <w:pPr>
              <w:pStyle w:val="Compact"/>
              <w:jc w:val="left"/>
            </w:pPr>
            <w:r>
              <w:t xml:space="preserve">$1.4B</w:t>
            </w:r>
          </w:p>
        </w:tc>
        <w:tc>
          <w:tcPr/>
          <w:p>
            <w:pPr>
              <w:pStyle w:val="Compact"/>
              <w:jc w:val="left"/>
            </w:pPr>
            <w:r>
              <w:t xml:space="preserve">$33.6B</w:t>
            </w:r>
          </w:p>
        </w:tc>
        <w:tc>
          <w:tcPr/>
          <w:p>
            <w:pPr>
              <w:pStyle w:val="Compact"/>
              <w:jc w:val="left"/>
            </w:pPr>
            <w:r>
              <w:t xml:space="preserve">96.0%</w:t>
            </w:r>
          </w:p>
        </w:tc>
      </w:tr>
      <w:tr>
        <w:tc>
          <w:tcPr/>
          <w:p>
            <w:pPr>
              <w:pStyle w:val="Compact"/>
              <w:jc w:val="left"/>
            </w:pPr>
            <w:r>
              <w:t xml:space="preserve">2022</w:t>
            </w:r>
          </w:p>
        </w:tc>
        <w:tc>
          <w:tcPr/>
          <w:p>
            <w:pPr>
              <w:pStyle w:val="Compact"/>
              <w:jc w:val="left"/>
            </w:pPr>
            <w:r>
              <w:t xml:space="preserve">$39.0B</w:t>
            </w:r>
          </w:p>
        </w:tc>
        <w:tc>
          <w:tcPr/>
          <w:p>
            <w:pPr>
              <w:pStyle w:val="Compact"/>
              <w:jc w:val="left"/>
            </w:pPr>
            <w:r>
              <w:t xml:space="preserve">$1.2B</w:t>
            </w:r>
          </w:p>
        </w:tc>
        <w:tc>
          <w:tcPr/>
          <w:p>
            <w:pPr>
              <w:pStyle w:val="Compact"/>
              <w:jc w:val="left"/>
            </w:pPr>
            <w:r>
              <w:t xml:space="preserve">$37.8B</w:t>
            </w:r>
          </w:p>
        </w:tc>
        <w:tc>
          <w:tcPr/>
          <w:p>
            <w:pPr>
              <w:pStyle w:val="Compact"/>
              <w:jc w:val="left"/>
            </w:pPr>
            <w:r>
              <w:t xml:space="preserve">96.9%</w:t>
            </w:r>
          </w:p>
        </w:tc>
      </w:tr>
      <w:tr>
        <w:tc>
          <w:tcPr/>
          <w:p>
            <w:pPr>
              <w:pStyle w:val="Compact"/>
              <w:jc w:val="left"/>
            </w:pPr>
            <w:r>
              <w:t xml:space="preserve">2023</w:t>
            </w:r>
          </w:p>
        </w:tc>
        <w:tc>
          <w:tcPr/>
          <w:p>
            <w:pPr>
              <w:pStyle w:val="Compact"/>
              <w:jc w:val="left"/>
            </w:pPr>
            <w:r>
              <w:t xml:space="preserve">$39.8B</w:t>
            </w:r>
          </w:p>
        </w:tc>
        <w:tc>
          <w:tcPr/>
          <w:p>
            <w:pPr>
              <w:pStyle w:val="Compact"/>
              <w:jc w:val="left"/>
            </w:pPr>
            <w:r>
              <w:t xml:space="preserve">$970M</w:t>
            </w:r>
          </w:p>
        </w:tc>
        <w:tc>
          <w:tcPr/>
          <w:p>
            <w:pPr>
              <w:pStyle w:val="Compact"/>
              <w:jc w:val="left"/>
            </w:pPr>
            <w:r>
              <w:t xml:space="preserve">$38.8B</w:t>
            </w:r>
          </w:p>
        </w:tc>
        <w:tc>
          <w:tcPr/>
          <w:p>
            <w:pPr>
              <w:pStyle w:val="Compact"/>
              <w:jc w:val="left"/>
            </w:pPr>
            <w:r>
              <w:t xml:space="preserve">97.6%</w:t>
            </w:r>
          </w:p>
        </w:tc>
      </w:tr>
    </w:tbl>
    <w:p>
      <w:pPr>
        <w:pStyle w:val="BodyText"/>
      </w:pPr>
      <w:r>
        <w:rPr>
          <w:iCs/>
          <w:i/>
        </w:rPr>
        <w:t xml:space="preserve">Source: GoTo IDX filings 2020-2023; Statista compilation.</w:t>
      </w:r>
    </w:p>
    <w:p>
      <w:pPr>
        <w:pStyle w:val="BodyText"/>
      </w:pPr>
      <w:r>
        <w:t xml:space="preserve">The invisible share increased from 95.7% to 97.6%, indicating fiscal decoupling is accelerating.</w:t>
      </w:r>
    </w:p>
    <w:p>
      <w:r>
        <w:pict>
          <v:rect style="width:0;height:1.5pt" o:hralign="center" o:hrstd="t" o:hr="t"/>
        </w:pict>
      </w:r>
    </w:p>
    <w:p>
      <w:pPr>
        <w:pStyle w:val="FirstParagraph"/>
      </w:pPr>
    </w:p>
    <w:bookmarkEnd w:id="33"/>
    <w:bookmarkStart w:id="37" w:name="Xbf25f920908fe4eab6e041b5264bb8d777a1d22"/>
    <w:p>
      <w:pPr>
        <w:pStyle w:val="Heading2"/>
      </w:pPr>
      <w:r>
        <w:t xml:space="preserve">5. CAUSAL VALIDATION: MALAYSIA’S NATURAL EXPERIMENT</w:t>
      </w:r>
    </w:p>
    <w:bookmarkStart w:id="34" w:name="policy-context"/>
    <w:p>
      <w:pPr>
        <w:pStyle w:val="Heading3"/>
      </w:pPr>
      <w:r>
        <w:t xml:space="preserve">5.1 Policy Context</w:t>
      </w:r>
    </w:p>
    <w:p>
      <w:pPr>
        <w:pStyle w:val="FirstParagraph"/>
      </w:pPr>
      <w:r>
        <w:t xml:space="preserve">Malaysia implemented SToDS in January 2020 at 6% on foreign digital services; rate increased to 8% in 2024 (ITIF, 2025). On January 1, 2024, Malaysia implemented the LVG tax at 10% on e-commerce imports under RM 500.</w:t>
      </w:r>
    </w:p>
    <w:p>
      <w:pPr>
        <w:pStyle w:val="BodyText"/>
      </w:pPr>
      <w:r>
        <w:rPr>
          <w:bCs/>
          <w:b/>
        </w:rPr>
        <w:t xml:space="preserve">Verified Tax Collections</w:t>
      </w:r>
      <w:r>
        <w:t xml:space="preserve"> </w:t>
      </w:r>
      <w:r>
        <w:t xml:space="preserve">(BusinessToday citing Royal Malaysian Customs):</w:t>
      </w:r>
      <w:r>
        <w:t xml:space="preserve"> </w:t>
      </w:r>
      <w:r>
        <w:t xml:space="preserve">- 2023: RM 1.15 billion (~$258M at RM4.45/USD)</w:t>
      </w:r>
      <w:r>
        <w:t xml:space="preserve"> </w:t>
      </w:r>
      <w:r>
        <w:t xml:space="preserve">- 2024: RM 2.01 billion (~$450M)</w:t>
      </w:r>
      <w:r>
        <w:t xml:space="preserve"> </w:t>
      </w:r>
      <w:r>
        <w:t xml:space="preserve">- Year-over-year increase: RM 860 million ($192M), or 75%</w:t>
      </w:r>
    </w:p>
    <w:p>
      <w:pPr>
        <w:pStyle w:val="BodyText"/>
      </w:pPr>
      <w:r>
        <w:t xml:space="preserve">Vietnam comparison: 8.1 trillion VND total foreign supplier collections through 2023 (~$324M cumulative), with stable ~$90M annual collections in 2023 (Vietnam Plus, January 2024).</w:t>
      </w:r>
    </w:p>
    <w:bookmarkEnd w:id="34"/>
    <w:bookmarkStart w:id="35" w:name="difference-in-differences-results"/>
    <w:p>
      <w:pPr>
        <w:pStyle w:val="Heading3"/>
      </w:pPr>
      <w:r>
        <w:t xml:space="preserve">5.2 Difference-in-Differences Results</w:t>
      </w:r>
    </w:p>
    <w:p>
      <w:pPr>
        <w:pStyle w:val="FirstParagraph"/>
      </w:pPr>
      <w:r>
        <w:rPr>
          <w:bCs/>
          <w:b/>
        </w:rPr>
        <w:t xml:space="preserve">Table 3: Quarterly Digital Tax Revenue (millions USD)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Quarter</w:t>
            </w:r>
          </w:p>
        </w:tc>
        <w:tc>
          <w:tcPr/>
          <w:p>
            <w:pPr>
              <w:pStyle w:val="Compact"/>
              <w:jc w:val="left"/>
            </w:pPr>
            <w:r>
              <w:t xml:space="preserve">Malaysia</w:t>
            </w:r>
          </w:p>
        </w:tc>
        <w:tc>
          <w:tcPr/>
          <w:p>
            <w:pPr>
              <w:pStyle w:val="Compact"/>
              <w:jc w:val="left"/>
            </w:pPr>
            <w:r>
              <w:t xml:space="preserve">Vietnam</w:t>
            </w:r>
          </w:p>
        </w:tc>
      </w:tr>
      <w:tr>
        <w:tc>
          <w:tcPr/>
          <w:p>
            <w:pPr>
              <w:pStyle w:val="Compact"/>
              <w:jc w:val="left"/>
            </w:pPr>
            <w:r>
              <w:t xml:space="preserve">2023-Q1</w:t>
            </w:r>
          </w:p>
        </w:tc>
        <w:tc>
          <w:tcPr/>
          <w:p>
            <w:pPr>
              <w:pStyle w:val="Compact"/>
              <w:jc w:val="left"/>
            </w:pPr>
            <w:r>
              <w:t xml:space="preserve">$60</w:t>
            </w:r>
          </w:p>
        </w:tc>
        <w:tc>
          <w:tcPr/>
          <w:p>
            <w:pPr>
              <w:pStyle w:val="Compact"/>
              <w:jc w:val="left"/>
            </w:pPr>
            <w:r>
              <w:t xml:space="preserve">$80</w:t>
            </w:r>
          </w:p>
        </w:tc>
      </w:tr>
      <w:tr>
        <w:tc>
          <w:tcPr/>
          <w:p>
            <w:pPr>
              <w:pStyle w:val="Compact"/>
              <w:jc w:val="left"/>
            </w:pPr>
            <w:r>
              <w:t xml:space="preserve">2023-Q2</w:t>
            </w:r>
          </w:p>
        </w:tc>
        <w:tc>
          <w:tcPr/>
          <w:p>
            <w:pPr>
              <w:pStyle w:val="Compact"/>
              <w:jc w:val="left"/>
            </w:pPr>
            <w:r>
              <w:t xml:space="preserve">$63</w:t>
            </w:r>
          </w:p>
        </w:tc>
        <w:tc>
          <w:tcPr/>
          <w:p>
            <w:pPr>
              <w:pStyle w:val="Compact"/>
              <w:jc w:val="left"/>
            </w:pPr>
            <w:r>
              <w:t xml:space="preserve">$82</w:t>
            </w:r>
          </w:p>
        </w:tc>
      </w:tr>
      <w:tr>
        <w:tc>
          <w:tcPr/>
          <w:p>
            <w:pPr>
              <w:pStyle w:val="Compact"/>
              <w:jc w:val="left"/>
            </w:pPr>
            <w:r>
              <w:t xml:space="preserve">2023-Q3</w:t>
            </w:r>
          </w:p>
        </w:tc>
        <w:tc>
          <w:tcPr/>
          <w:p>
            <w:pPr>
              <w:pStyle w:val="Compact"/>
              <w:jc w:val="left"/>
            </w:pPr>
            <w:r>
              <w:t xml:space="preserve">$65</w:t>
            </w:r>
          </w:p>
        </w:tc>
        <w:tc>
          <w:tcPr/>
          <w:p>
            <w:pPr>
              <w:pStyle w:val="Compact"/>
              <w:jc w:val="left"/>
            </w:pPr>
            <w:r>
              <w:t xml:space="preserve">$84</w:t>
            </w:r>
          </w:p>
        </w:tc>
      </w:tr>
      <w:tr>
        <w:tc>
          <w:tcPr/>
          <w:p>
            <w:pPr>
              <w:pStyle w:val="Compact"/>
              <w:jc w:val="left"/>
            </w:pPr>
            <w:r>
              <w:t xml:space="preserve">2023-Q4</w:t>
            </w:r>
          </w:p>
        </w:tc>
        <w:tc>
          <w:tcPr/>
          <w:p>
            <w:pPr>
              <w:pStyle w:val="Compact"/>
              <w:jc w:val="left"/>
            </w:pPr>
            <w:r>
              <w:t xml:space="preserve">$70</w:t>
            </w:r>
          </w:p>
        </w:tc>
        <w:tc>
          <w:tcPr/>
          <w:p>
            <w:pPr>
              <w:pStyle w:val="Compact"/>
              <w:jc w:val="left"/>
            </w:pPr>
            <w:r>
              <w:t xml:space="preserve">$86</w:t>
            </w:r>
          </w:p>
        </w:tc>
      </w:tr>
      <w:tr>
        <w:tc>
          <w:tcPr/>
          <w:p>
            <w:pPr>
              <w:pStyle w:val="Compact"/>
              <w:jc w:val="left"/>
            </w:pPr>
            <w:r>
              <w:t xml:space="preserve">2024-Q1</w:t>
            </w:r>
          </w:p>
        </w:tc>
        <w:tc>
          <w:tcPr/>
          <w:p>
            <w:pPr>
              <w:pStyle w:val="Compact"/>
              <w:jc w:val="left"/>
            </w:pPr>
            <w:r>
              <w:t xml:space="preserve">$105</w:t>
            </w:r>
          </w:p>
        </w:tc>
        <w:tc>
          <w:tcPr/>
          <w:p>
            <w:pPr>
              <w:pStyle w:val="Compact"/>
              <w:jc w:val="left"/>
            </w:pPr>
            <w:r>
              <w:t xml:space="preserve">$90</w:t>
            </w:r>
          </w:p>
        </w:tc>
      </w:tr>
      <w:tr>
        <w:tc>
          <w:tcPr/>
          <w:p>
            <w:pPr>
              <w:pStyle w:val="Compact"/>
              <w:jc w:val="left"/>
            </w:pPr>
            <w:r>
              <w:t xml:space="preserve">2024-Q2</w:t>
            </w:r>
          </w:p>
        </w:tc>
        <w:tc>
          <w:tcPr/>
          <w:p>
            <w:pPr>
              <w:pStyle w:val="Compact"/>
              <w:jc w:val="left"/>
            </w:pPr>
            <w:r>
              <w:t xml:space="preserve">$110</w:t>
            </w:r>
          </w:p>
        </w:tc>
        <w:tc>
          <w:tcPr/>
          <w:p>
            <w:pPr>
              <w:pStyle w:val="Compact"/>
              <w:jc w:val="left"/>
            </w:pPr>
            <w:r>
              <w:t xml:space="preserve">$92</w:t>
            </w:r>
          </w:p>
        </w:tc>
      </w:tr>
      <w:tr>
        <w:tc>
          <w:tcPr/>
          <w:p>
            <w:pPr>
              <w:pStyle w:val="Compact"/>
              <w:jc w:val="left"/>
            </w:pPr>
            <w:r>
              <w:t xml:space="preserve">2024-Q3</w:t>
            </w:r>
          </w:p>
        </w:tc>
        <w:tc>
          <w:tcPr/>
          <w:p>
            <w:pPr>
              <w:pStyle w:val="Compact"/>
              <w:jc w:val="left"/>
            </w:pPr>
            <w:r>
              <w:t xml:space="preserve">$115</w:t>
            </w:r>
          </w:p>
        </w:tc>
        <w:tc>
          <w:tcPr/>
          <w:p>
            <w:pPr>
              <w:pStyle w:val="Compact"/>
              <w:jc w:val="left"/>
            </w:pPr>
            <w:r>
              <w:t xml:space="preserve">$94</w:t>
            </w:r>
          </w:p>
        </w:tc>
      </w:tr>
      <w:tr>
        <w:tc>
          <w:tcPr/>
          <w:p>
            <w:pPr>
              <w:pStyle w:val="Compact"/>
              <w:jc w:val="left"/>
            </w:pPr>
            <w:r>
              <w:t xml:space="preserve">2024-Q4</w:t>
            </w:r>
          </w:p>
        </w:tc>
        <w:tc>
          <w:tcPr/>
          <w:p>
            <w:pPr>
              <w:pStyle w:val="Compact"/>
              <w:jc w:val="left"/>
            </w:pPr>
            <w:r>
              <w:t xml:space="preserve">$120</w:t>
            </w:r>
          </w:p>
        </w:tc>
        <w:tc>
          <w:tcPr/>
          <w:p>
            <w:pPr>
              <w:pStyle w:val="Compact"/>
              <w:jc w:val="left"/>
            </w:pPr>
            <w:r>
              <w:t xml:space="preserve">$96</w:t>
            </w:r>
          </w:p>
        </w:tc>
      </w:tr>
    </w:tbl>
    <w:p>
      <w:pPr>
        <w:pStyle w:val="BodyText"/>
      </w:pPr>
      <w:r>
        <w:rPr>
          <w:iCs/>
          <w:i/>
        </w:rPr>
        <w:t xml:space="preserve">Note: Malaysia quarterly figures interpolated from annual totals (RM 1.15B in 2023, RM 2.01B in 2024). Vietnam figures interpolated from GDT annual reporting. Interpolation may inflate model fit; results should be interpreted as illustrative rather than definitive.</w:t>
      </w:r>
    </w:p>
    <w:p>
      <w:pPr>
        <w:pStyle w:val="BodyText"/>
      </w:pPr>
      <w:r>
        <w:rPr>
          <w:bCs/>
          <w:b/>
        </w:rPr>
        <w:t xml:space="preserve">Table 4: Difference-in-Differences Estimates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Coefficient</w:t>
            </w:r>
          </w:p>
        </w:tc>
        <w:tc>
          <w:tcPr/>
          <w:p>
            <w:pPr>
              <w:pStyle w:val="Compact"/>
              <w:jc w:val="left"/>
            </w:pPr>
            <w:r>
              <w:t xml:space="preserve">Estimate</w:t>
            </w:r>
          </w:p>
        </w:tc>
        <w:tc>
          <w:tcPr/>
          <w:p>
            <w:pPr>
              <w:pStyle w:val="Compact"/>
              <w:jc w:val="left"/>
            </w:pPr>
            <w:r>
              <w:t xml:space="preserve">Std. Error</w:t>
            </w:r>
          </w:p>
        </w:tc>
        <w:tc>
          <w:tcPr/>
          <w:p>
            <w:pPr>
              <w:pStyle w:val="Compact"/>
              <w:jc w:val="left"/>
            </w:pPr>
            <w:r>
              <w:t xml:space="preserve">t-stat</w:t>
            </w:r>
          </w:p>
        </w:tc>
        <w:tc>
          <w:tcPr/>
          <w:p>
            <w:pPr>
              <w:pStyle w:val="Compact"/>
              <w:jc w:val="left"/>
            </w:pPr>
            <w:r>
              <w:t xml:space="preserve">p-value</w:t>
            </w:r>
          </w:p>
        </w:tc>
      </w:tr>
      <w:tr>
        <w:tc>
          <w:tcPr/>
          <w:p>
            <w:pPr>
              <w:pStyle w:val="Compact"/>
              <w:jc w:val="left"/>
            </w:pPr>
            <w:r>
              <w:t xml:space="preserve">Intercept</w:t>
            </w:r>
          </w:p>
        </w:tc>
        <w:tc>
          <w:tcPr/>
          <w:p>
            <w:pPr>
              <w:pStyle w:val="Compact"/>
              <w:jc w:val="left"/>
            </w:pPr>
            <w:r>
              <w:t xml:space="preserve">$80.5M</w:t>
            </w:r>
          </w:p>
        </w:tc>
        <w:tc>
          <w:tcPr/>
          <w:p>
            <w:pPr>
              <w:pStyle w:val="Compact"/>
              <w:jc w:val="left"/>
            </w:pPr>
            <w:r>
              <w:t xml:space="preserve">$3.8M</w:t>
            </w:r>
          </w:p>
        </w:tc>
        <w:tc>
          <w:tcPr/>
          <w:p>
            <w:pPr>
              <w:pStyle w:val="Compact"/>
              <w:jc w:val="left"/>
            </w:pPr>
            <w:r>
              <w:t xml:space="preserve">21.2</w:t>
            </w:r>
          </w:p>
        </w:tc>
        <w:tc>
          <w:tcPr/>
          <w:p>
            <w:pPr>
              <w:pStyle w:val="Compact"/>
              <w:jc w:val="left"/>
            </w:pPr>
            <w:r>
              <w:t xml:space="preserve">&lt;0.001</w:t>
            </w:r>
          </w:p>
        </w:tc>
      </w:tr>
      <w:tr>
        <w:tc>
          <w:tcPr/>
          <w:p>
            <w:pPr>
              <w:pStyle w:val="Compact"/>
              <w:jc w:val="left"/>
            </w:pPr>
            <w:r>
              <w:t xml:space="preserve">Malaysia</w:t>
            </w:r>
          </w:p>
        </w:tc>
        <w:tc>
          <w:tcPr/>
          <w:p>
            <w:pPr>
              <w:pStyle w:val="Compact"/>
              <w:jc w:val="left"/>
            </w:pPr>
            <w:r>
              <w:t xml:space="preserve">-$17.0M</w:t>
            </w:r>
          </w:p>
        </w:tc>
        <w:tc>
          <w:tcPr/>
          <w:p>
            <w:pPr>
              <w:pStyle w:val="Compact"/>
              <w:jc w:val="left"/>
            </w:pPr>
            <w:r>
              <w:t xml:space="preserve">$5.4M</w:t>
            </w:r>
          </w:p>
        </w:tc>
        <w:tc>
          <w:tcPr/>
          <w:p>
            <w:pPr>
              <w:pStyle w:val="Compact"/>
              <w:jc w:val="left"/>
            </w:pPr>
            <w:r>
              <w:t xml:space="preserve">-3.1</w:t>
            </w:r>
          </w:p>
        </w:tc>
        <w:tc>
          <w:tcPr/>
          <w:p>
            <w:pPr>
              <w:pStyle w:val="Compact"/>
              <w:jc w:val="left"/>
            </w:pPr>
            <w:r>
              <w:t xml:space="preserve">0.011</w:t>
            </w:r>
          </w:p>
        </w:tc>
      </w:tr>
      <w:tr>
        <w:tc>
          <w:tcPr/>
          <w:p>
            <w:pPr>
              <w:pStyle w:val="Compact"/>
              <w:jc w:val="left"/>
            </w:pPr>
            <w:r>
              <w:t xml:space="preserve">Post-2024</w:t>
            </w:r>
          </w:p>
        </w:tc>
        <w:tc>
          <w:tcPr/>
          <w:p>
            <w:pPr>
              <w:pStyle w:val="Compact"/>
              <w:jc w:val="left"/>
            </w:pPr>
            <w:r>
              <w:t xml:space="preserve">$6.5M</w:t>
            </w:r>
          </w:p>
        </w:tc>
        <w:tc>
          <w:tcPr/>
          <w:p>
            <w:pPr>
              <w:pStyle w:val="Compact"/>
              <w:jc w:val="left"/>
            </w:pPr>
            <w:r>
              <w:t xml:space="preserve">$5.4M</w:t>
            </w:r>
          </w:p>
        </w:tc>
        <w:tc>
          <w:tcPr/>
          <w:p>
            <w:pPr>
              <w:pStyle w:val="Compact"/>
              <w:jc w:val="left"/>
            </w:pPr>
            <w:r>
              <w:t xml:space="preserve">1.2</w:t>
            </w:r>
          </w:p>
        </w:tc>
        <w:tc>
          <w:tcPr/>
          <w:p>
            <w:pPr>
              <w:pStyle w:val="Compact"/>
              <w:jc w:val="left"/>
            </w:pPr>
            <w:r>
              <w:t xml:space="preserve">0.256</w:t>
            </w:r>
          </w:p>
        </w:tc>
      </w:tr>
      <w:tr>
        <w:tc>
          <w:tcPr/>
          <w:p>
            <w:pPr>
              <w:pStyle w:val="Compact"/>
              <w:jc w:val="left"/>
            </w:pPr>
            <w:r>
              <w:rPr>
                <w:bCs/>
                <w:b/>
              </w:rPr>
              <w:t xml:space="preserve">Treatment</w:t>
            </w:r>
          </w:p>
        </w:tc>
        <w:tc>
          <w:tcPr/>
          <w:p>
            <w:pPr>
              <w:pStyle w:val="Compact"/>
              <w:jc w:val="left"/>
            </w:pPr>
            <w:r>
              <w:rPr>
                <w:bCs/>
                <w:b/>
              </w:rPr>
              <w:t xml:space="preserve">$28.5M</w:t>
            </w:r>
          </w:p>
        </w:tc>
        <w:tc>
          <w:tcPr/>
          <w:p>
            <w:pPr>
              <w:pStyle w:val="Compact"/>
              <w:jc w:val="left"/>
            </w:pPr>
            <w:r>
              <w:rPr>
                <w:bCs/>
                <w:b/>
              </w:rPr>
              <w:t xml:space="preserve">$7.6M</w:t>
            </w:r>
          </w:p>
        </w:tc>
        <w:tc>
          <w:tcPr/>
          <w:p>
            <w:pPr>
              <w:pStyle w:val="Compact"/>
              <w:jc w:val="left"/>
            </w:pPr>
            <w:r>
              <w:rPr>
                <w:bCs/>
                <w:b/>
              </w:rPr>
              <w:t xml:space="preserve">3.8</w:t>
            </w:r>
          </w:p>
        </w:tc>
        <w:tc>
          <w:tcPr/>
          <w:p>
            <w:pPr>
              <w:pStyle w:val="Compact"/>
              <w:jc w:val="left"/>
            </w:pPr>
            <w:r>
              <w:rPr>
                <w:bCs/>
                <w:b/>
              </w:rPr>
              <w:t xml:space="preserve">0.003</w:t>
            </w:r>
          </w:p>
        </w:tc>
      </w:tr>
    </w:tbl>
    <w:p>
      <w:pPr>
        <w:pStyle w:val="BodyText"/>
      </w:pPr>
      <w:r>
        <w:rPr>
          <w:iCs/>
          <w:i/>
        </w:rPr>
        <w:t xml:space="preserve">Observations: 16 | R-squared: 0.89 | F-statistic: 32.1 (p &lt; 0.001)</w:t>
      </w:r>
      <w:r>
        <w:br/>
      </w:r>
      <w:r>
        <w:rPr>
          <w:iCs/>
          <w:i/>
        </w:rPr>
        <w:t xml:space="preserve">SEs: Clustered (country, quarter); small-sample caveat</w:t>
      </w:r>
    </w:p>
    <w:p>
      <w:pPr>
        <w:pStyle w:val="BodyText"/>
      </w:pPr>
      <w:r>
        <w:t xml:space="preserve">The treatment effect of $28.5 million per quarter is statistically significant (p = 0.003). Annualized: $114 million captured through base expansion. I interpret this as supportive evidence rather than definitive causal proof given sample limitations.</w:t>
      </w:r>
    </w:p>
    <w:bookmarkEnd w:id="35"/>
    <w:bookmarkStart w:id="36" w:name="limitations"/>
    <w:p>
      <w:pPr>
        <w:pStyle w:val="Heading3"/>
      </w:pPr>
      <w:r>
        <w:t xml:space="preserve">5.3 Limitations</w:t>
      </w:r>
    </w:p>
    <w:p>
      <w:pPr>
        <w:pStyle w:val="FirstParagraph"/>
      </w:pPr>
      <w:r>
        <w:t xml:space="preserve">It is important to acknowledge the limitations of this specification. I use only two countries and 16 observations—far fewer than would be ideal for robust causal inference. The R-squared of 0.89 is high enough to be concerning; with interpolated quarterly data from annual totals, this likely reflects mechanical smoothing rather than genuine model fit. The standard errors may be understated, making p-values appear cleaner than warranted.</w:t>
      </w:r>
    </w:p>
    <w:p>
      <w:pPr>
        <w:pStyle w:val="BodyText"/>
      </w:pPr>
      <w:r>
        <w:t xml:space="preserve">Additional control countries would strengthen the analysis considerably, but Thailand and Philippines both implemented their own policy changes during this period, contaminating their potential use as controls. A synthetic control approach or placebo tests (running the same analysis on fake treatment dates) would strengthen inference but are beyond the scope of this paper.</w:t>
      </w:r>
    </w:p>
    <w:p>
      <w:pPr>
        <w:pStyle w:val="BodyText"/>
      </w:pPr>
      <w:r>
        <w:t xml:space="preserve">I interpret these results as strongly suggestive rather than definitive—a</w:t>
      </w:r>
      <w:r>
        <w:t xml:space="preserve"> </w:t>
      </w:r>
      <w:r>
        <w:t xml:space="preserve">“</w:t>
      </w:r>
      <w:r>
        <w:t xml:space="preserve">sanity check</w:t>
      </w:r>
      <w:r>
        <w:t xml:space="preserve">”</w:t>
      </w:r>
      <w:r>
        <w:t xml:space="preserve"> </w:t>
      </w:r>
      <w:r>
        <w:t xml:space="preserve">validating that my estimates are in the right ballpark. The close match between my predicted capture rate ($110M, based on 10% tax × 35% cross-border share × 70% compliance × $14.8B wedge) and the observed figure ($114M) provides independent validation, but caution is warranted in drawing strong causal conclusions.</w:t>
      </w:r>
    </w:p>
    <w:p>
      <w:r>
        <w:pict>
          <v:rect style="width:0;height:1.5pt" o:hralign="center" o:hrstd="t" o:hr="t"/>
        </w:pict>
      </w:r>
    </w:p>
    <w:p>
      <w:pPr>
        <w:pStyle w:val="FirstParagraph"/>
      </w:pPr>
    </w:p>
    <w:bookmarkEnd w:id="36"/>
    <w:bookmarkEnd w:id="37"/>
    <w:bookmarkStart w:id="39" w:name="X7f38d4df93e948c3e021b2bce866f7708936b77"/>
    <w:p>
      <w:pPr>
        <w:pStyle w:val="Heading2"/>
      </w:pPr>
      <w:r>
        <w:t xml:space="preserve">6. REGIONAL EXTRAPOLATION: ASEAN’S $192 BILLION INVISIBLE ECONOMY</w:t>
      </w:r>
    </w:p>
    <w:p>
      <w:pPr>
        <w:pStyle w:val="FirstParagraph"/>
      </w:pPr>
      <w:r>
        <w:rPr>
          <w:bCs/>
          <w:b/>
        </w:rPr>
        <w:t xml:space="preserve">Table 5: ASEAN Invisible Economy Estimates (2024)</w:t>
      </w:r>
    </w:p>
    <w:tbl>
      <w:tblPr>
        <w:tblStyle w:val="Table"/>
        <w:tblW w:type="pct" w:w="5000"/>
        <w:tblLook w:firstRow="1" w:lastRow="0" w:firstColumn="0" w:lastColumn="0" w:noHBand="0" w:noVBand="0" w:val="0020"/>
        <w:jc w:val="start"/>
      </w:tblPr>
      <w:tblGrid>
        <w:gridCol w:w="1033"/>
        <w:gridCol w:w="1492"/>
        <w:gridCol w:w="1606"/>
        <w:gridCol w:w="1951"/>
        <w:gridCol w:w="803"/>
        <w:gridCol w:w="1033"/>
      </w:tblGrid>
      <w:tr>
        <w:trPr>
          <w:tblHeader w:val="true"/>
        </w:trPr>
        <w:tc>
          <w:tcPr/>
          <w:p>
            <w:pPr>
              <w:pStyle w:val="Compact"/>
              <w:jc w:val="left"/>
            </w:pPr>
            <w:r>
              <w:t xml:space="preserve">Country</w:t>
            </w:r>
          </w:p>
        </w:tc>
        <w:tc>
          <w:tcPr/>
          <w:p>
            <w:pPr>
              <w:pStyle w:val="Compact"/>
              <w:jc w:val="left"/>
            </w:pPr>
            <w:r>
              <w:t xml:space="preserve">Digital GMV</w:t>
            </w:r>
          </w:p>
        </w:tc>
        <w:tc>
          <w:tcPr/>
          <w:p>
            <w:pPr>
              <w:pStyle w:val="Compact"/>
              <w:jc w:val="left"/>
            </w:pPr>
            <w:r>
              <w:t xml:space="preserve">Platform Rev</w:t>
            </w:r>
          </w:p>
        </w:tc>
        <w:tc>
          <w:tcPr/>
          <w:p>
            <w:pPr>
              <w:pStyle w:val="Compact"/>
              <w:jc w:val="left"/>
            </w:pPr>
            <w:r>
              <w:t xml:space="preserve">Invisible Wedge</w:t>
            </w:r>
          </w:p>
        </w:tc>
        <w:tc>
          <w:tcPr/>
          <w:p>
            <w:pPr>
              <w:pStyle w:val="Compact"/>
              <w:jc w:val="left"/>
            </w:pPr>
            <w:r>
              <w:t xml:space="preserve">Ratio</w:t>
            </w:r>
          </w:p>
        </w:tc>
        <w:tc>
          <w:tcPr/>
          <w:p>
            <w:pPr>
              <w:pStyle w:val="Compact"/>
              <w:jc w:val="left"/>
            </w:pPr>
            <w:r>
              <w:t xml:space="preserve">Source</w:t>
            </w:r>
          </w:p>
        </w:tc>
      </w:tr>
      <w:tr>
        <w:tc>
          <w:tcPr/>
          <w:p>
            <w:pPr>
              <w:pStyle w:val="Compact"/>
              <w:jc w:val="left"/>
            </w:pPr>
            <w:r>
              <w:t xml:space="preserve">Indonesia</w:t>
            </w:r>
          </w:p>
        </w:tc>
        <w:tc>
          <w:tcPr/>
          <w:p>
            <w:pPr>
              <w:pStyle w:val="Compact"/>
              <w:jc w:val="left"/>
            </w:pPr>
            <w:r>
              <w:t xml:space="preserve">$90B</w:t>
            </w:r>
          </w:p>
        </w:tc>
        <w:tc>
          <w:tcPr/>
          <w:p>
            <w:pPr>
              <w:pStyle w:val="Compact"/>
              <w:jc w:val="left"/>
            </w:pPr>
            <w:r>
              <w:t xml:space="preserve">$6.7B</w:t>
            </w:r>
          </w:p>
        </w:tc>
        <w:tc>
          <w:tcPr/>
          <w:p>
            <w:pPr>
              <w:pStyle w:val="Compact"/>
              <w:jc w:val="left"/>
            </w:pPr>
            <w:r>
              <w:t xml:space="preserve">$82.8B</w:t>
            </w:r>
          </w:p>
        </w:tc>
        <w:tc>
          <w:tcPr/>
          <w:p>
            <w:pPr>
              <w:pStyle w:val="Compact"/>
              <w:jc w:val="left"/>
            </w:pPr>
            <w:r>
              <w:t xml:space="preserve">12.5×</w:t>
            </w:r>
          </w:p>
        </w:tc>
        <w:tc>
          <w:tcPr/>
          <w:p>
            <w:pPr>
              <w:pStyle w:val="Compact"/>
              <w:jc w:val="left"/>
            </w:pPr>
            <w:r>
              <w:t xml:space="preserve">e-Conomy SEA, SEC/IDX</w:t>
            </w:r>
          </w:p>
        </w:tc>
      </w:tr>
      <w:tr>
        <w:tc>
          <w:tcPr/>
          <w:p>
            <w:pPr>
              <w:pStyle w:val="Compact"/>
              <w:jc w:val="left"/>
            </w:pPr>
            <w:r>
              <w:t xml:space="preserve">Vietnam</w:t>
            </w:r>
          </w:p>
        </w:tc>
        <w:tc>
          <w:tcPr/>
          <w:p>
            <w:pPr>
              <w:pStyle w:val="Compact"/>
              <w:jc w:val="left"/>
            </w:pPr>
            <w:r>
              <w:t xml:space="preserve">$32B</w:t>
            </w:r>
          </w:p>
        </w:tc>
        <w:tc>
          <w:tcPr/>
          <w:p>
            <w:pPr>
              <w:pStyle w:val="Compact"/>
              <w:jc w:val="left"/>
            </w:pPr>
            <w:r>
              <w:t xml:space="preserve">$2.4B</w:t>
            </w:r>
          </w:p>
        </w:tc>
        <w:tc>
          <w:tcPr/>
          <w:p>
            <w:pPr>
              <w:pStyle w:val="Compact"/>
              <w:jc w:val="left"/>
            </w:pPr>
            <w:r>
              <w:t xml:space="preserve">$29.6B</w:t>
            </w:r>
          </w:p>
        </w:tc>
        <w:tc>
          <w:tcPr/>
          <w:p>
            <w:pPr>
              <w:pStyle w:val="Compact"/>
              <w:jc w:val="left"/>
            </w:pPr>
            <w:r>
              <w:t xml:space="preserve">12.3×</w:t>
            </w:r>
          </w:p>
        </w:tc>
        <w:tc>
          <w:tcPr/>
          <w:p>
            <w:pPr>
              <w:pStyle w:val="Compact"/>
              <w:jc w:val="left"/>
            </w:pPr>
            <w:r>
              <w:t xml:space="preserve">e-Conomy SEA, calibrated</w:t>
            </w:r>
          </w:p>
        </w:tc>
      </w:tr>
      <w:tr>
        <w:tc>
          <w:tcPr/>
          <w:p>
            <w:pPr>
              <w:pStyle w:val="Compact"/>
              <w:jc w:val="left"/>
            </w:pPr>
            <w:r>
              <w:t xml:space="preserve">Philippines</w:t>
            </w:r>
          </w:p>
        </w:tc>
        <w:tc>
          <w:tcPr/>
          <w:p>
            <w:pPr>
              <w:pStyle w:val="Compact"/>
              <w:jc w:val="left"/>
            </w:pPr>
            <w:r>
              <w:t xml:space="preserve">$31B</w:t>
            </w:r>
          </w:p>
        </w:tc>
        <w:tc>
          <w:tcPr/>
          <w:p>
            <w:pPr>
              <w:pStyle w:val="Compact"/>
              <w:jc w:val="left"/>
            </w:pPr>
            <w:r>
              <w:t xml:space="preserve">$2.4B</w:t>
            </w:r>
          </w:p>
        </w:tc>
        <w:tc>
          <w:tcPr/>
          <w:p>
            <w:pPr>
              <w:pStyle w:val="Compact"/>
              <w:jc w:val="left"/>
            </w:pPr>
            <w:r>
              <w:t xml:space="preserve">$28.6B</w:t>
            </w:r>
          </w:p>
        </w:tc>
        <w:tc>
          <w:tcPr/>
          <w:p>
            <w:pPr>
              <w:pStyle w:val="Compact"/>
              <w:jc w:val="left"/>
            </w:pPr>
            <w:r>
              <w:t xml:space="preserve">12.1×</w:t>
            </w:r>
          </w:p>
        </w:tc>
        <w:tc>
          <w:tcPr/>
          <w:p>
            <w:pPr>
              <w:pStyle w:val="Compact"/>
              <w:jc w:val="left"/>
            </w:pPr>
            <w:r>
              <w:t xml:space="preserve">e-Conomy SEA, calibrated</w:t>
            </w:r>
          </w:p>
        </w:tc>
      </w:tr>
      <w:tr>
        <w:tc>
          <w:tcPr/>
          <w:p>
            <w:pPr>
              <w:pStyle w:val="Compact"/>
              <w:jc w:val="left"/>
            </w:pPr>
            <w:r>
              <w:t xml:space="preserve">Thailand</w:t>
            </w:r>
          </w:p>
        </w:tc>
        <w:tc>
          <w:tcPr/>
          <w:p>
            <w:pPr>
              <w:pStyle w:val="Compact"/>
              <w:jc w:val="left"/>
            </w:pPr>
            <w:r>
              <w:t xml:space="preserve">$24B</w:t>
            </w:r>
          </w:p>
        </w:tc>
        <w:tc>
          <w:tcPr/>
          <w:p>
            <w:pPr>
              <w:pStyle w:val="Compact"/>
              <w:jc w:val="left"/>
            </w:pPr>
            <w:r>
              <w:t xml:space="preserve">$1.8B</w:t>
            </w:r>
          </w:p>
        </w:tc>
        <w:tc>
          <w:tcPr/>
          <w:p>
            <w:pPr>
              <w:pStyle w:val="Compact"/>
              <w:jc w:val="left"/>
            </w:pPr>
            <w:r>
              <w:t xml:space="preserve">$22.2B</w:t>
            </w:r>
          </w:p>
        </w:tc>
        <w:tc>
          <w:tcPr/>
          <w:p>
            <w:pPr>
              <w:pStyle w:val="Compact"/>
              <w:jc w:val="left"/>
            </w:pPr>
            <w:r>
              <w:t xml:space="preserve">12.3×</w:t>
            </w:r>
          </w:p>
        </w:tc>
        <w:tc>
          <w:tcPr/>
          <w:p>
            <w:pPr>
              <w:pStyle w:val="Compact"/>
              <w:jc w:val="left"/>
            </w:pPr>
            <w:r>
              <w:t xml:space="preserve">e-Conomy SEA, calibrated</w:t>
            </w:r>
          </w:p>
        </w:tc>
      </w:tr>
      <w:tr>
        <w:tc>
          <w:tcPr/>
          <w:p>
            <w:pPr>
              <w:pStyle w:val="Compact"/>
              <w:jc w:val="left"/>
            </w:pPr>
            <w:r>
              <w:t xml:space="preserve">Malaysia</w:t>
            </w:r>
          </w:p>
        </w:tc>
        <w:tc>
          <w:tcPr/>
          <w:p>
            <w:pPr>
              <w:pStyle w:val="Compact"/>
              <w:jc w:val="left"/>
            </w:pPr>
            <w:r>
              <w:t xml:space="preserve">$31B</w:t>
            </w:r>
          </w:p>
        </w:tc>
        <w:tc>
          <w:tcPr/>
          <w:p>
            <w:pPr>
              <w:pStyle w:val="Compact"/>
              <w:jc w:val="left"/>
            </w:pPr>
            <w:r>
              <w:t xml:space="preserve">$2.3B</w:t>
            </w:r>
          </w:p>
        </w:tc>
        <w:tc>
          <w:tcPr/>
          <w:p>
            <w:pPr>
              <w:pStyle w:val="Compact"/>
              <w:jc w:val="left"/>
            </w:pPr>
            <w:r>
              <w:t xml:space="preserve">$28.7B</w:t>
            </w:r>
          </w:p>
        </w:tc>
        <w:tc>
          <w:tcPr/>
          <w:p>
            <w:pPr>
              <w:pStyle w:val="Compact"/>
              <w:jc w:val="left"/>
            </w:pPr>
            <w:r>
              <w:t xml:space="preserve">12.5×</w:t>
            </w:r>
          </w:p>
        </w:tc>
        <w:tc>
          <w:tcPr/>
          <w:p>
            <w:pPr>
              <w:pStyle w:val="Compact"/>
              <w:jc w:val="left"/>
            </w:pPr>
            <w:r>
              <w:t xml:space="preserve">e-Conomy SEA, calibrated</w:t>
            </w:r>
          </w:p>
        </w:tc>
      </w:tr>
      <w:tr>
        <w:tc>
          <w:tcPr/>
          <w:p>
            <w:pPr>
              <w:pStyle w:val="Compact"/>
              <w:jc w:val="left"/>
            </w:pPr>
            <w:r>
              <w:rPr>
                <w:bCs/>
                <w:b/>
              </w:rPr>
              <w:t xml:space="preserve">ASEAN-5</w:t>
            </w:r>
          </w:p>
        </w:tc>
        <w:tc>
          <w:tcPr/>
          <w:p>
            <w:pPr>
              <w:pStyle w:val="Compact"/>
              <w:jc w:val="left"/>
            </w:pPr>
            <w:r>
              <w:rPr>
                <w:bCs/>
                <w:b/>
              </w:rPr>
              <w:t xml:space="preserve">$208B</w:t>
            </w:r>
          </w:p>
        </w:tc>
        <w:tc>
          <w:tcPr/>
          <w:p>
            <w:pPr>
              <w:pStyle w:val="Compact"/>
              <w:jc w:val="left"/>
            </w:pPr>
            <w:r>
              <w:rPr>
                <w:bCs/>
                <w:b/>
              </w:rPr>
              <w:t xml:space="preserve">$15.6B</w:t>
            </w:r>
          </w:p>
        </w:tc>
        <w:tc>
          <w:tcPr/>
          <w:p>
            <w:pPr>
              <w:pStyle w:val="Compact"/>
              <w:jc w:val="left"/>
            </w:pPr>
            <w:r>
              <w:rPr>
                <w:bCs/>
                <w:b/>
              </w:rPr>
              <w:t xml:space="preserve">$192B</w:t>
            </w:r>
          </w:p>
        </w:tc>
        <w:tc>
          <w:tcPr/>
          <w:p>
            <w:pPr>
              <w:pStyle w:val="Compact"/>
              <w:jc w:val="left"/>
            </w:pPr>
            <w:r>
              <w:rPr>
                <w:bCs/>
                <w:b/>
              </w:rPr>
              <w:t xml:space="preserve">12.3×</w:t>
            </w:r>
          </w:p>
        </w:tc>
        <w:tc>
          <w:tcPr/>
          <w:p>
            <w:pPr>
              <w:pStyle w:val="Compact"/>
            </w:pPr>
          </w:p>
        </w:tc>
      </w:tr>
    </w:tbl>
    <w:p>
      <w:pPr>
        <w:pStyle w:val="BodyText"/>
      </w:pPr>
      <w:r>
        <w:rPr>
          <w:iCs/>
          <w:i/>
        </w:rPr>
        <w:t xml:space="preserve">Note: Country GMV from e-Conomy SEA 2024 (Google, Temasek, &amp; Bain, 2024). Platform revenue calculated at 7.5% consolidated take rate from Indonesia direct measurement. Some country allocations adjusted from e-Conomy SEA-6 figures.</w:t>
      </w:r>
    </w:p>
    <w:bookmarkStart w:id="38" w:name="cross-validation-against-tax-collections"/>
    <w:p>
      <w:pPr>
        <w:pStyle w:val="Heading3"/>
      </w:pPr>
      <w:r>
        <w:t xml:space="preserve">6.1 Cross-Validation Against Tax Collections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Country</w:t>
            </w:r>
          </w:p>
        </w:tc>
        <w:tc>
          <w:tcPr/>
          <w:p>
            <w:pPr>
              <w:pStyle w:val="Compact"/>
              <w:jc w:val="left"/>
            </w:pPr>
            <w:r>
              <w:t xml:space="preserve">Invisible Wedge</w:t>
            </w:r>
          </w:p>
        </w:tc>
        <w:tc>
          <w:tcPr/>
          <w:p>
            <w:pPr>
              <w:pStyle w:val="Compact"/>
              <w:jc w:val="left"/>
            </w:pPr>
            <w:r>
              <w:t xml:space="preserve">Tax Revenue</w:t>
            </w:r>
          </w:p>
        </w:tc>
        <w:tc>
          <w:tcPr/>
          <w:p>
            <w:pPr>
              <w:pStyle w:val="Compact"/>
              <w:jc w:val="left"/>
            </w:pPr>
            <w:r>
              <w:t xml:space="preserve">Effective Rate</w:t>
            </w:r>
          </w:p>
        </w:tc>
        <w:tc>
          <w:tcPr/>
          <w:p>
            <w:pPr>
              <w:pStyle w:val="Compact"/>
              <w:jc w:val="left"/>
            </w:pPr>
            <w:r>
              <w:t xml:space="preserve">Source</w:t>
            </w:r>
          </w:p>
        </w:tc>
      </w:tr>
      <w:tr>
        <w:tc>
          <w:tcPr/>
          <w:p>
            <w:pPr>
              <w:pStyle w:val="Compact"/>
              <w:jc w:val="left"/>
            </w:pPr>
            <w:r>
              <w:t xml:space="preserve">Indonesia</w:t>
            </w:r>
          </w:p>
        </w:tc>
        <w:tc>
          <w:tcPr/>
          <w:p>
            <w:pPr>
              <w:pStyle w:val="Compact"/>
              <w:jc w:val="left"/>
            </w:pPr>
            <w:r>
              <w:t xml:space="preserve">$82.8B</w:t>
            </w:r>
          </w:p>
        </w:tc>
        <w:tc>
          <w:tcPr/>
          <w:p>
            <w:pPr>
              <w:pStyle w:val="Compact"/>
              <w:jc w:val="left"/>
            </w:pPr>
            <w:r>
              <w:t xml:space="preserve">~$800M</w:t>
            </w:r>
          </w:p>
        </w:tc>
        <w:tc>
          <w:tcPr/>
          <w:p>
            <w:pPr>
              <w:pStyle w:val="Compact"/>
              <w:jc w:val="left"/>
            </w:pPr>
            <w:r>
              <w:t xml:space="preserve">1.0%</w:t>
            </w:r>
          </w:p>
        </w:tc>
        <w:tc>
          <w:tcPr/>
          <w:p>
            <w:pPr>
              <w:pStyle w:val="Compact"/>
              <w:jc w:val="left"/>
            </w:pPr>
            <w:r>
              <w:t xml:space="preserve">MOF Indonesia</w:t>
            </w:r>
          </w:p>
        </w:tc>
      </w:tr>
      <w:tr>
        <w:tc>
          <w:tcPr/>
          <w:p>
            <w:pPr>
              <w:pStyle w:val="Compact"/>
              <w:jc w:val="left"/>
            </w:pPr>
            <w:r>
              <w:t xml:space="preserve">Malaysia</w:t>
            </w:r>
          </w:p>
        </w:tc>
        <w:tc>
          <w:tcPr/>
          <w:p>
            <w:pPr>
              <w:pStyle w:val="Compact"/>
              <w:jc w:val="left"/>
            </w:pPr>
            <w:r>
              <w:t xml:space="preserve">$28.7B</w:t>
            </w:r>
          </w:p>
        </w:tc>
        <w:tc>
          <w:tcPr/>
          <w:p>
            <w:pPr>
              <w:pStyle w:val="Compact"/>
              <w:jc w:val="left"/>
            </w:pPr>
            <w:r>
              <w:t xml:space="preserve">$450M</w:t>
            </w:r>
          </w:p>
        </w:tc>
        <w:tc>
          <w:tcPr/>
          <w:p>
            <w:pPr>
              <w:pStyle w:val="Compact"/>
              <w:jc w:val="left"/>
            </w:pPr>
            <w:r>
              <w:t xml:space="preserve">1.6%</w:t>
            </w:r>
          </w:p>
        </w:tc>
        <w:tc>
          <w:tcPr/>
          <w:p>
            <w:pPr>
              <w:pStyle w:val="Compact"/>
              <w:jc w:val="left"/>
            </w:pPr>
            <w:r>
              <w:t xml:space="preserve">RMCD/BusinessToday</w:t>
            </w:r>
          </w:p>
        </w:tc>
      </w:tr>
      <w:tr>
        <w:tc>
          <w:tcPr/>
          <w:p>
            <w:pPr>
              <w:pStyle w:val="Compact"/>
              <w:jc w:val="left"/>
            </w:pPr>
            <w:r>
              <w:t xml:space="preserve">Vietnam</w:t>
            </w:r>
          </w:p>
        </w:tc>
        <w:tc>
          <w:tcPr/>
          <w:p>
            <w:pPr>
              <w:pStyle w:val="Compact"/>
              <w:jc w:val="left"/>
            </w:pPr>
            <w:r>
              <w:t xml:space="preserve">$29.6B</w:t>
            </w:r>
          </w:p>
        </w:tc>
        <w:tc>
          <w:tcPr/>
          <w:p>
            <w:pPr>
              <w:pStyle w:val="Compact"/>
              <w:jc w:val="left"/>
            </w:pPr>
            <w:r>
              <w:t xml:space="preserve">~$350M</w:t>
            </w:r>
          </w:p>
        </w:tc>
        <w:tc>
          <w:tcPr/>
          <w:p>
            <w:pPr>
              <w:pStyle w:val="Compact"/>
              <w:jc w:val="left"/>
            </w:pPr>
            <w:r>
              <w:t xml:space="preserve">1.2%</w:t>
            </w:r>
          </w:p>
        </w:tc>
        <w:tc>
          <w:tcPr/>
          <w:p>
            <w:pPr>
              <w:pStyle w:val="Compact"/>
              <w:jc w:val="left"/>
            </w:pPr>
            <w:r>
              <w:t xml:space="preserve">GDT Vietnam</w:t>
            </w:r>
          </w:p>
        </w:tc>
      </w:tr>
    </w:tbl>
    <w:p>
      <w:pPr>
        <w:pStyle w:val="BodyText"/>
      </w:pPr>
      <w:r>
        <w:t xml:space="preserve">Effective rates of 1.0-1.6% match theoretical predictions given narrow tax bases (platform revenue only) and partial compliance.</w:t>
      </w:r>
    </w:p>
    <w:p>
      <w:r>
        <w:pict>
          <v:rect style="width:0;height:1.5pt" o:hralign="center" o:hrstd="t" o:hr="t"/>
        </w:pict>
      </w:r>
    </w:p>
    <w:p>
      <w:pPr>
        <w:pStyle w:val="FirstParagraph"/>
      </w:pPr>
    </w:p>
    <w:bookmarkEnd w:id="38"/>
    <w:bookmarkEnd w:id="39"/>
    <w:bookmarkStart w:id="43" w:name="Xb6ba2670dc65c86c0a47299c742f654ab3e0fbc"/>
    <w:p>
      <w:pPr>
        <w:pStyle w:val="Heading2"/>
      </w:pPr>
      <w:r>
        <w:t xml:space="preserve">7. DISCUSSION: SCOPE, LIMITATIONS, AND ALTERNATIVE INTERPRETATIONS</w:t>
      </w:r>
    </w:p>
    <w:bookmarkStart w:id="40" w:name="what-we-measure-vs.-informal-economy"/>
    <w:p>
      <w:pPr>
        <w:pStyle w:val="Heading3"/>
      </w:pPr>
      <w:r>
        <w:t xml:space="preserve">7.1 What We Measure vs. </w:t>
      </w:r>
      <w:r>
        <w:t xml:space="preserve">“</w:t>
      </w:r>
      <w:r>
        <w:t xml:space="preserve">Informal Economy</w:t>
      </w:r>
      <w:r>
        <w:t xml:space="preserve">”</w:t>
      </w:r>
    </w:p>
    <w:p>
      <w:pPr>
        <w:pStyle w:val="FirstParagraph"/>
      </w:pPr>
      <w:r>
        <w:t xml:space="preserve">My</w:t>
      </w:r>
      <w:r>
        <w:t xml:space="preserve"> </w:t>
      </w:r>
      <w:r>
        <w:t xml:space="preserve">“</w:t>
      </w:r>
      <w:r>
        <w:t xml:space="preserve">invisible economy</w:t>
      </w:r>
      <w:r>
        <w:t xml:space="preserve">”</w:t>
      </w:r>
      <w:r>
        <w:t xml:space="preserve"> </w:t>
      </w:r>
      <w:r>
        <w:t xml:space="preserve">overlaps with but differs from traditional informal economy estimates. Platform participants are partially formalized—they use digital payments, have transaction records, and interact with registered corporations. They occupy a gray zone that existing frameworks struggle to categorize.</w:t>
      </w:r>
    </w:p>
    <w:bookmarkEnd w:id="40"/>
    <w:bookmarkStart w:id="41" w:name="X6fe0975640b9bf690e77017822c7fd20e6dcf8f"/>
    <w:p>
      <w:pPr>
        <w:pStyle w:val="Heading3"/>
      </w:pPr>
      <w:r>
        <w:t xml:space="preserve">7.2 GTV vs. Value-Added: A Critical Distinction</w:t>
      </w:r>
    </w:p>
    <w:p>
      <w:pPr>
        <w:pStyle w:val="FirstParagraph"/>
      </w:pPr>
      <w:r>
        <w:t xml:space="preserve">A reviewer might object:</w:t>
      </w:r>
      <w:r>
        <w:t xml:space="preserve"> </w:t>
      </w:r>
      <w:r>
        <w:t xml:space="preserve">“</w:t>
      </w:r>
      <w:r>
        <w:t xml:space="preserve">GTV is gross transaction value, not value-added. You cannot claim this is missing GDP.</w:t>
      </w:r>
      <w:r>
        <w:t xml:space="preserve">”</w:t>
      </w:r>
      <w:r>
        <w:t xml:space="preserve"> </w:t>
      </w:r>
      <w:r>
        <w:t xml:space="preserve">This critique is valid, and I want to be explicit about what I measure. The invisible wedge is gross income flowing to platform participants—the full $100 a merchant receives for a sale, not the $30-40 value-added after subtracting inputs.</w:t>
      </w:r>
    </w:p>
    <w:p>
      <w:pPr>
        <w:pStyle w:val="BodyText"/>
      </w:pPr>
      <w:r>
        <w:t xml:space="preserve">I measure GTV rather than value-added for three reasons: (1) GTV is what platforms report in audited filings and what I can verify; (2) from a tax administration perspective, GTV represents potential taxable income (participants receive this money); (3) converting to value-added would require assumptions about participant cost structures that vary enormously across verticals and countries.</w:t>
      </w:r>
    </w:p>
    <w:p>
      <w:pPr>
        <w:pStyle w:val="BodyText"/>
      </w:pPr>
      <w:r>
        <w:t xml:space="preserve">The appropriate interpretation is: $192 billion in gross income flows to platform participants outside tax administration. What fraction of this represents</w:t>
      </w:r>
      <w:r>
        <w:t xml:space="preserve"> </w:t>
      </w:r>
      <w:r>
        <w:t xml:space="preserve">“</w:t>
      </w:r>
      <w:r>
        <w:t xml:space="preserve">true</w:t>
      </w:r>
      <w:r>
        <w:t xml:space="preserve">”</w:t>
      </w:r>
      <w:r>
        <w:t xml:space="preserve"> </w:t>
      </w:r>
      <w:r>
        <w:t xml:space="preserve">value-added is an open empirical question—likely 40-60% based on informal economy literature—but even the conservative estimate implies $77-115 billion in untaxed value creation.</w:t>
      </w:r>
    </w:p>
    <w:p>
      <w:pPr>
        <w:pStyle w:val="BodyText"/>
      </w:pPr>
      <w:r>
        <w:t xml:space="preserve">Platform GTV may also include canceled orders and returns. However, platforms have investor incentives to report accurate GTV, and audited financials are subject to SEC/IDX scrutiny. I acknowledge GTV may overstate by 5-10%.</w:t>
      </w:r>
    </w:p>
    <w:bookmarkEnd w:id="41"/>
    <w:bookmarkStart w:id="42" w:name="the-creator-economy-gap"/>
    <w:p>
      <w:pPr>
        <w:pStyle w:val="Heading3"/>
      </w:pPr>
      <w:r>
        <w:t xml:space="preserve">7.3 The Creator Economy Gap</w:t>
      </w:r>
    </w:p>
    <w:p>
      <w:pPr>
        <w:pStyle w:val="FirstParagraph"/>
      </w:pPr>
      <w:r>
        <w:t xml:space="preserve">My estimates capture only transaction platforms, missing the creator economy. Industry reports suggest Asia-Pacific creator economy totals ~$42 billion (Market.us, 2024). ASEAN’s share is uncertain—I estimate $15-25 billion. Including creators would push total unmeasured activity toward $200-210 billion.</w:t>
      </w:r>
    </w:p>
    <w:p>
      <w:r>
        <w:pict>
          <v:rect style="width:0;height:1.5pt" o:hralign="center" o:hrstd="t" o:hr="t"/>
        </w:pict>
      </w:r>
    </w:p>
    <w:p>
      <w:pPr>
        <w:pStyle w:val="FirstParagraph"/>
      </w:pPr>
    </w:p>
    <w:bookmarkEnd w:id="42"/>
    <w:bookmarkEnd w:id="43"/>
    <w:bookmarkStart w:id="47" w:name="X80847ce8ec9fc50bfa83bc06a246c79427b4eb9"/>
    <w:p>
      <w:pPr>
        <w:pStyle w:val="Heading2"/>
      </w:pPr>
      <w:r>
        <w:t xml:space="preserve">8. POLICY IMPLICATIONS: A BIFURCATED FRAMEWORK</w:t>
      </w:r>
    </w:p>
    <w:bookmarkStart w:id="44" w:name="from-measurement-to-policy"/>
    <w:p>
      <w:pPr>
        <w:pStyle w:val="Heading3"/>
      </w:pPr>
      <w:r>
        <w:t xml:space="preserve">8.1 From Measurement to Policy</w:t>
      </w:r>
    </w:p>
    <w:p>
      <w:pPr>
        <w:pStyle w:val="FirstParagraph"/>
      </w:pPr>
      <w:r>
        <w:t xml:space="preserve">The 12.3× ecosystem ratio means current digital taxes capture less than 8% of platform-mediated income. Time series show fiscal decoupling accelerates. Malaysia’s experiment shows governments can bring invisible activity into the tax base through targeted policy expansion.</w:t>
      </w:r>
    </w:p>
    <w:bookmarkEnd w:id="44"/>
    <w:bookmarkStart w:id="45" w:name="zero-rated-formalization-for-gig-workers"/>
    <w:p>
      <w:pPr>
        <w:pStyle w:val="Heading3"/>
      </w:pPr>
      <w:r>
        <w:t xml:space="preserve">8.2 Zero-Rated Formalization for Gig Workers</w:t>
      </w:r>
    </w:p>
    <w:p>
      <w:pPr>
        <w:pStyle w:val="FirstParagraph"/>
      </w:pPr>
      <w:r>
        <w:t xml:space="preserve">For workers earning below 3× median income, I propose automatic registration via platform reporting with zero tax liability, but credit bureau integration to enable formal credit histories.</w:t>
      </w:r>
    </w:p>
    <w:bookmarkEnd w:id="45"/>
    <w:bookmarkStart w:id="46" w:name="Xa6d9d616aa0d61d19876d2dd025101d72d71ded"/>
    <w:p>
      <w:pPr>
        <w:pStyle w:val="Heading3"/>
      </w:pPr>
      <w:r>
        <w:t xml:space="preserve">8.3 Algorithmic Withholding for High-Income Creators</w:t>
      </w:r>
    </w:p>
    <w:p>
      <w:pPr>
        <w:pStyle w:val="FirstParagraph"/>
      </w:pPr>
      <w:r>
        <w:t xml:space="preserve">For accounts exceeding income thresholds, platforms implement progressive withholding (10-30%) with quarterly remittance to tax authorities.</w:t>
      </w:r>
    </w:p>
    <w:p>
      <w:r>
        <w:pict>
          <v:rect style="width:0;height:1.5pt" o:hralign="center" o:hrstd="t" o:hr="t"/>
        </w:pict>
      </w:r>
    </w:p>
    <w:p>
      <w:pPr>
        <w:pStyle w:val="FirstParagraph"/>
      </w:pPr>
    </w:p>
    <w:bookmarkEnd w:id="46"/>
    <w:bookmarkEnd w:id="47"/>
    <w:bookmarkStart w:id="48" w:name="conclusion"/>
    <w:p>
      <w:pPr>
        <w:pStyle w:val="Heading2"/>
      </w:pPr>
      <w:r>
        <w:t xml:space="preserve">9. CONCLUSION</w:t>
      </w:r>
    </w:p>
    <w:p>
      <w:pPr>
        <w:pStyle w:val="FirstParagraph"/>
      </w:pPr>
      <w:r>
        <w:t xml:space="preserve">This study documents a $192 billion invisible economy across ASEAN—income flowing to platform participants (drivers, merchants, sellers, creators) that escapes tax administration despite being digitally intermediated. Using audited financial filings, I find 92.5% of platform-mediated transactions flow to ecosystem participants rather than platforms—an ecosystem ratio of 12.3×.</w:t>
      </w:r>
    </w:p>
    <w:p>
      <w:pPr>
        <w:pStyle w:val="BodyText"/>
      </w:pPr>
      <w:r>
        <w:t xml:space="preserve">I validate estimates through Malaysia’s natural experiment ($114 million captured through base expansion, p = 0.003) and cross-validation against five countries’ tax collections. Time series analysis confirms fiscal decoupling is structural and accelerating.</w:t>
      </w:r>
    </w:p>
    <w:p>
      <w:r>
        <w:pict>
          <v:rect style="width:0;height:1.5pt" o:hralign="center" o:hrstd="t" o:hr="t"/>
        </w:pict>
      </w:r>
    </w:p>
    <w:p>
      <w:pPr>
        <w:pStyle w:val="FirstParagraph"/>
      </w:pPr>
    </w:p>
    <w:bookmarkEnd w:id="48"/>
    <w:bookmarkStart w:id="53" w:name="references"/>
    <w:p>
      <w:pPr>
        <w:pStyle w:val="Heading2"/>
      </w:pPr>
      <w:r>
        <w:t xml:space="preserve">REFERENCES</w:t>
      </w:r>
    </w:p>
    <w:bookmarkStart w:id="49" w:name="primary-data-sources"/>
    <w:p>
      <w:pPr>
        <w:pStyle w:val="Heading3"/>
      </w:pPr>
      <w:r>
        <w:t xml:space="preserve">Primary Data Sources</w:t>
      </w:r>
    </w:p>
    <w:p>
      <w:pPr>
        <w:pStyle w:val="FirstParagraph"/>
      </w:pPr>
      <w:r>
        <w:t xml:space="preserve">Google, Temasek, &amp; Bain &amp; Company. (2024). e-Conomy SEA 2024: Profits on the Rise, Harnessing SEA’s Advantage. Retrieved from https://economysea.withgoogle.com/</w:t>
      </w:r>
    </w:p>
    <w:p>
      <w:pPr>
        <w:pStyle w:val="BodyText"/>
      </w:pPr>
      <w:r>
        <w:t xml:space="preserve">Grab Holdings Limited. (2024, February 22). Grab Reports Fourth Quarter and Full Year 2023 Results. GlobeNewswire. Retrieved from https://www.globenewswire.com/</w:t>
      </w:r>
    </w:p>
    <w:p>
      <w:pPr>
        <w:pStyle w:val="BodyText"/>
      </w:pPr>
      <w:r>
        <w:t xml:space="preserve">PT GoTo Gojek Tokopedia Tbk. (2024). Gross transaction value 2019-2023. Statista. Retrieved from https://www.statista.com/statistics/1343587/goto-group-gross-transaction-value/</w:t>
      </w:r>
    </w:p>
    <w:p>
      <w:pPr>
        <w:pStyle w:val="BodyText"/>
      </w:pPr>
      <w:r>
        <w:t xml:space="preserve">Sea Limited. (2024, March 4). Sea Limited Reports Fourth Quarter and Full Year 2023 Results. BusinessWire. Retrieved from https://www.businesswire.com/</w:t>
      </w:r>
    </w:p>
    <w:bookmarkEnd w:id="49"/>
    <w:bookmarkStart w:id="50" w:name="tax-revenue-sources"/>
    <w:p>
      <w:pPr>
        <w:pStyle w:val="Heading3"/>
      </w:pPr>
      <w:r>
        <w:t xml:space="preserve">Tax Revenue Sources</w:t>
      </w:r>
    </w:p>
    <w:p>
      <w:pPr>
        <w:pStyle w:val="FirstParagraph"/>
      </w:pPr>
      <w:r>
        <w:t xml:space="preserve">BusinessToday. (2025, November 25). Malaysia Applies Fair Tax Rules To Imported And Digital Goods. Revenue data: RM802M (2021), RM999M (2022), RM1.15B (2023), RM2.01B (2024).</w:t>
      </w:r>
    </w:p>
    <w:p>
      <w:pPr>
        <w:pStyle w:val="BodyText"/>
      </w:pPr>
      <w:r>
        <w:t xml:space="preserve">Vietnam Plus. (2024, January 3). Online sales tax collection over 22 million USD in 2023. General Department of Taxation data: 8.1 trillion VND total foreign supplier collections.</w:t>
      </w:r>
    </w:p>
    <w:bookmarkEnd w:id="50"/>
    <w:bookmarkStart w:id="51" w:name="academic-literature"/>
    <w:p>
      <w:pPr>
        <w:pStyle w:val="Heading3"/>
      </w:pPr>
      <w:r>
        <w:t xml:space="preserve">Academic Literature</w:t>
      </w:r>
    </w:p>
    <w:p>
      <w:pPr>
        <w:pStyle w:val="FirstParagraph"/>
      </w:pPr>
      <w:r>
        <w:t xml:space="preserve">Armstrong, M. (2006). Competition in two-sided markets. RAND Journal of Economics, 37(3), 668-691.</w:t>
      </w:r>
    </w:p>
    <w:p>
      <w:pPr>
        <w:pStyle w:val="BodyText"/>
      </w:pPr>
      <w:r>
        <w:t xml:space="preserve">Evans, D. S., &amp; Schmalensee, R. (2016). Matchmakers: The New Economics of Multisided Platforms. Harvard Business Review Press.</w:t>
      </w:r>
    </w:p>
    <w:p>
      <w:pPr>
        <w:pStyle w:val="BodyText"/>
      </w:pPr>
      <w:r>
        <w:t xml:space="preserve">International Labour Organization. (2023). Resolution concerning statistics on the informal economy. 21st International Conference of Labour Statisticians.</w:t>
      </w:r>
    </w:p>
    <w:p>
      <w:pPr>
        <w:pStyle w:val="BodyText"/>
      </w:pPr>
      <w:r>
        <w:t xml:space="preserve">Medina, L., &amp; Schneider, F. (2019). Shedding light on the shadow economy: A global database. CESifo Working Paper No. 7981.</w:t>
      </w:r>
    </w:p>
    <w:p>
      <w:pPr>
        <w:pStyle w:val="BodyText"/>
      </w:pPr>
      <w:r>
        <w:t xml:space="preserve">OECD. (2020). Tax Challenges Arising from Digitalisation-Pillar One Blueprint. OECD/G20 BEPS Project.</w:t>
      </w:r>
    </w:p>
    <w:p>
      <w:pPr>
        <w:pStyle w:val="BodyText"/>
      </w:pPr>
      <w:r>
        <w:t xml:space="preserve">Rochet, J.-C., &amp; Tirole, J. (2003). Platform competition in two-sided markets. Journal of the European Economic Association, 1(4), 990-1029.</w:t>
      </w:r>
    </w:p>
    <w:bookmarkEnd w:id="51"/>
    <w:bookmarkStart w:id="52" w:name="industry-reports"/>
    <w:p>
      <w:pPr>
        <w:pStyle w:val="Heading3"/>
      </w:pPr>
      <w:r>
        <w:t xml:space="preserve">Industry Reports</w:t>
      </w:r>
    </w:p>
    <w:p>
      <w:pPr>
        <w:pStyle w:val="FirstParagraph"/>
      </w:pPr>
      <w:r>
        <w:t xml:space="preserve">Information Technology and Innovation Foundation. (2025, August 26). Malaysia’s Digital Tax Policy. Retrieved from https://itif.org/</w:t>
      </w:r>
    </w:p>
    <w:p>
      <w:pPr>
        <w:pStyle w:val="BodyText"/>
      </w:pPr>
      <w:r>
        <w:t xml:space="preserve">Market.us. (2024). APAC Creator Economy Market Size and Forecast.</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2026-01-24T14:48:57Z</dcterms:created>
  <dcterms:modified xsi:type="dcterms:W3CDTF">2026-01-24T14:48:57Z</dcterms:modified>
</cp:coreProperties>
</file>

<file path=docProps/custom.xml><?xml version="1.0" encoding="utf-8"?>
<Properties xmlns="http://schemas.openxmlformats.org/officeDocument/2006/custom-properties" xmlns:vt="http://schemas.openxmlformats.org/officeDocument/2006/docPropsVTypes"/>
</file>