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88e33a58eda1d38a3f5cb59f96368c555a7b71e"/>
    <w:p>
      <w:pPr>
        <w:pStyle w:val="Heading1"/>
      </w:pPr>
      <w:r>
        <w:t xml:space="preserve">Digital Services Taxation Without Tax Competition?</w:t>
      </w:r>
    </w:p>
    <w:bookmarkStart w:id="20" w:name="X8463fc5ecfea16be8d2054a90e02b60825ff9be"/>
    <w:p>
      <w:pPr>
        <w:pStyle w:val="Heading2"/>
      </w:pPr>
      <w:r>
        <w:t xml:space="preserve">Evidence from ASEAN Policy Variation and a Base-Expansion Shock in Malaysia</w:t>
      </w:r>
    </w:p>
    <w:p>
      <w:pPr>
        <w:pStyle w:val="FirstParagraph"/>
      </w:pPr>
    </w:p>
    <w:p>
      <w:pPr>
        <w:pStyle w:val="BodyText"/>
      </w:pPr>
      <w:r>
        <w:rPr>
          <w:bCs/>
          <w:b/>
        </w:rPr>
        <w:t xml:space="preserve">Christopher Ongko</w:t>
      </w:r>
    </w:p>
    <w:p>
      <w:pPr>
        <w:pStyle w:val="BodyText"/>
      </w:pPr>
      <w:r>
        <w:t xml:space="preserve">Department of Finance, College of Management, Yuan Ze University, Taiwan</w:t>
      </w:r>
    </w:p>
    <w:p>
      <w:pPr>
        <w:pStyle w:val="BodyText"/>
      </w:pPr>
      <w:r>
        <w:t xml:space="preserve">s1133958@mail.yzu.edu.tw</w:t>
      </w:r>
    </w:p>
    <w:p>
      <w:pPr>
        <w:pStyle w:val="BodyText"/>
      </w:pPr>
      <w:r>
        <w:t xml:space="preserve">ORCID: 0009-0007-9339-9098</w:t>
      </w:r>
    </w:p>
    <w:p>
      <w:pPr>
        <w:pStyle w:val="BodyText"/>
      </w:pPr>
    </w:p>
    <w:p>
      <w:pPr>
        <w:pStyle w:val="BodyText"/>
      </w:pPr>
      <w:r>
        <w:rPr>
          <w:bCs/>
          <w:b/>
        </w:rPr>
        <w:t xml:space="preserve">January 23, 2026</w:t>
      </w:r>
    </w:p>
    <w:p>
      <w:pPr>
        <w:pStyle w:val="BodyText"/>
      </w:pPr>
    </w:p>
    <w:p>
      <w:pPr>
        <w:pStyle w:val="BodyText"/>
      </w:pPr>
      <w:r>
        <w:rPr>
          <w:iCs/>
          <w:i/>
        </w:rPr>
        <w:t xml:space="preserve">This paper is part of a broader research project on ASEAN’s digital economy. A companion paper,</w:t>
      </w:r>
      <w:r>
        <w:rPr>
          <w:iCs/>
          <w:i/>
        </w:rPr>
        <w:t xml:space="preserve"> </w:t>
      </w:r>
      <w:r>
        <w:rPr>
          <w:iCs/>
          <w:i/>
        </w:rPr>
        <w:t xml:space="preserve">“</w:t>
      </w:r>
      <w:r>
        <w:rPr>
          <w:iCs/>
          <w:i/>
        </w:rPr>
        <w:t xml:space="preserve">The Invisible Ledger: Quantifying ASEAN’s $192 Billion Unmeasured Platform Economy,</w:t>
      </w:r>
      <w:r>
        <w:rPr>
          <w:iCs/>
          <w:i/>
        </w:rPr>
        <w:t xml:space="preserve">”</w:t>
      </w:r>
      <w:r>
        <w:rPr>
          <w:iCs/>
          <w:i/>
        </w:rPr>
        <w:t xml:space="preserve"> </w:t>
      </w:r>
      <w:r>
        <w:rPr>
          <w:iCs/>
          <w:i/>
        </w:rPr>
        <w:t xml:space="preserve">examines the measurement of platform participant income and provides detailed context for the base-expansion mechanisms discussed here.</w:t>
      </w:r>
    </w:p>
    <w:p>
      <w:r>
        <w:pict>
          <v:rect style="width:0;height:1.5pt" o:hralign="center" o:hrstd="t" o:hr="t"/>
        </w:pict>
      </w:r>
    </w:p>
    <w:p>
      <w:pPr>
        <w:pStyle w:val="FirstParagraph"/>
      </w:pPr>
    </w:p>
    <w:bookmarkEnd w:id="20"/>
    <w:bookmarkStart w:id="21" w:name="abstract"/>
    <w:p>
      <w:pPr>
        <w:pStyle w:val="Heading2"/>
      </w:pPr>
      <w:r>
        <w:t xml:space="preserve">ABSTRACT</w:t>
      </w:r>
    </w:p>
    <w:p>
      <w:pPr>
        <w:pStyle w:val="FirstParagraph"/>
      </w:pPr>
      <w:r>
        <w:t xml:space="preserve">Destination-based taxation of cross-border digital supplies (VAT on e-services, service taxes, and related regimes) has expanded rapidly across emerging markets. Yet in early implementation years, realized collections often appear weakly related to the statutory tax rate. This paper studies that puzzle using policy variation across four ASEAN economies (2020-2024) and a discrete base-expansion/enforcement shock in Malaysia. I assemble a harmonized ASEAN-4 panel (14 country-year observations) combining statutory parameters, official government collections data for cross-border digital taxation channels, and proxies for market scale and operational maturity. In the panel, the statutory rate is not a robust predictor of collections once market scale and years-operational are controlled for (β = -6.38, SE = 19.78, p = 0.754). In contrast, market scale (GMV) and operational maturity are highly significant predictors (p &lt; 0.015 and p &lt; 0.001 respectively), with the model explaining 90% of revenue variation (R² = 0.903). Malaysia’s 2024 sales tax on imported low-value goods sold online provides quasi-experimental evidence for base expansion effects: the reform added approximately $114M in annual collections to a comparable revenue category. A simple decomposition—Revenue ≈ Rate × Captured Base—organizes the findings: when capture and base formation vary substantially across countries and over time, rate variation is second-order for realized collections. The policy implication is sequencing: for developing economies, base definition and capture infrastructure dominate rate calibration during early regime years.</w:t>
      </w:r>
    </w:p>
    <w:p>
      <w:pPr>
        <w:pStyle w:val="BodyText"/>
      </w:pPr>
      <w:r>
        <w:rPr>
          <w:bCs/>
          <w:b/>
        </w:rPr>
        <w:t xml:space="preserve">Keywords</w:t>
      </w:r>
      <w:r>
        <w:t xml:space="preserve">: digital services tax; VAT on e-services; compliance; taxable base; ASEAN; fiscal capacity</w:t>
      </w:r>
      <w:r>
        <w:br/>
      </w:r>
      <w:r>
        <w:rPr>
          <w:bCs/>
          <w:b/>
        </w:rPr>
        <w:t xml:space="preserve">JEL</w:t>
      </w:r>
      <w:r>
        <w:t xml:space="preserve">: H25; H26; H87; O23; F38</w:t>
      </w:r>
    </w:p>
    <w:p>
      <w:r>
        <w:pict>
          <v:rect style="width:0;height:1.5pt" o:hralign="center" o:hrstd="t" o:hr="t"/>
        </w:pict>
      </w:r>
    </w:p>
    <w:bookmarkEnd w:id="21"/>
    <w:bookmarkStart w:id="25" w:name="introduction"/>
    <w:p>
      <w:pPr>
        <w:pStyle w:val="Heading2"/>
      </w:pPr>
      <w:r>
        <w:t xml:space="preserve">1. INTRODUCTION</w:t>
      </w:r>
    </w:p>
    <w:p>
      <w:pPr>
        <w:pStyle w:val="FirstParagraph"/>
      </w:pPr>
      <w:r>
        <w:t xml:space="preserve">Cross-border digital services—streaming, cloud computing, online advertising, marketplaces, and app-based ecosystems—have become core inputs into consumption and production in Southeast Asia. For tax administrations, this shift creates a practical challenge: a growing share of domestic consumption is supplied by nonresident firms that may have no local establishment and that do not naturally fall into domestic VAT registration and audit workflows. In response, ASEAN economies have implemented destination-based taxation of imported digital supplies through VAT-on-e-services regimes, service taxes, and deemed-supplier rules that reassign liability to marketplaces or platforms.</w:t>
      </w:r>
    </w:p>
    <w:p>
      <w:pPr>
        <w:pStyle w:val="BodyText"/>
      </w:pPr>
      <w:r>
        <w:t xml:space="preserve">A common expectation is that statutory rate choice should be a major determinant of revenue. When realized collections disappoint, it is tempting to interpret the outcome through the lens of tax-competition theory—countries keep rates low (or avoid increases) because they fear undercutting each other or driving away mobile tax bases. However, digital consumption taxes differ from classic capital-tax competition settings: the location of the consumer is the point of taxation, while the supplier is often nonresident and operationally difficult to monitor.</w:t>
      </w:r>
    </w:p>
    <w:p>
      <w:pPr>
        <w:pStyle w:val="BodyText"/>
      </w:pPr>
      <w:r>
        <w:t xml:space="preserve">This paper proposes and documents an operational explanation for early-stage revenue outcomes in destination-based digital taxation. In newly implemented regimes, realized collections are typically governed by two first-order constraints:</w:t>
      </w:r>
    </w:p>
    <w:p>
      <w:pPr>
        <w:numPr>
          <w:ilvl w:val="0"/>
          <w:numId w:val="1001"/>
        </w:numPr>
      </w:pPr>
      <w:r>
        <w:rPr>
          <w:bCs/>
          <w:b/>
        </w:rPr>
        <w:t xml:space="preserve">Taxable-base formation</w:t>
      </w:r>
      <w:r>
        <w:t xml:space="preserve">: whether and how digital activity becomes classifiable as taxable supplies under administrable rules (scope, definitions, thresholds, and categorization).</w:t>
      </w:r>
    </w:p>
    <w:p>
      <w:pPr>
        <w:numPr>
          <w:ilvl w:val="0"/>
          <w:numId w:val="1001"/>
        </w:numPr>
      </w:pPr>
      <w:r>
        <w:rPr>
          <w:bCs/>
          <w:b/>
        </w:rPr>
        <w:t xml:space="preserve">Capture and enforcement</w:t>
      </w:r>
      <w:r>
        <w:t xml:space="preserve">: the ability to register nonresident suppliers (or impose deemed-supplier liability), induce accurate reporting, and credibly enforce compliance through audits, sanctions, or payment-channel integration.</w:t>
      </w:r>
    </w:p>
    <w:p>
      <w:pPr>
        <w:pStyle w:val="FirstParagraph"/>
      </w:pPr>
      <w:r>
        <w:t xml:space="preserve">When these constraints bind, statutory rates can be weakly related to realized collections, not because rates are economically irrelevant, but because much of the taxable base is not yet captured.</w:t>
      </w:r>
    </w:p>
    <w:bookmarkStart w:id="22" w:name="contributions"/>
    <w:p>
      <w:pPr>
        <w:pStyle w:val="Heading3"/>
      </w:pPr>
      <w:r>
        <w:t xml:space="preserve">1.1 Contributions</w:t>
      </w:r>
    </w:p>
    <w:p>
      <w:pPr>
        <w:pStyle w:val="FirstParagraph"/>
      </w:pPr>
      <w:r>
        <w:t xml:space="preserve">This paper contributes to the literature on digital taxation in developing economies in three ways.</w:t>
      </w:r>
    </w:p>
    <w:p>
      <w:pPr>
        <w:pStyle w:val="BodyText"/>
      </w:pPr>
      <w:r>
        <w:rPr>
          <w:bCs/>
          <w:b/>
        </w:rPr>
        <w:t xml:space="preserve">First</w:t>
      </w:r>
      <w:r>
        <w:t xml:space="preserve">, it provides systematic cross-country evidence on the determinants of digital tax revenue in early-stage regimes. Using a harmonized ASEAN-4 panel (14 country-year observations from Malaysia, Vietnam, Indonesia, and Thailand, 2020-2024), I show that market scale and operational maturity explain 90% of revenue variation (R² = 0.903), while statutory rate differences (6-10%) are not significant predictors once these factors are controlled for (β = -6.38, p = 0.754). This finding challenges the common policy focus on rate optimization in newly implemented regimes.</w:t>
      </w:r>
    </w:p>
    <w:p>
      <w:pPr>
        <w:pStyle w:val="BodyText"/>
      </w:pPr>
      <w:r>
        <w:rPr>
          <w:bCs/>
          <w:b/>
        </w:rPr>
        <w:t xml:space="preserve">Second</w:t>
      </w:r>
      <w:r>
        <w:t xml:space="preserve">, it documents the magnitude of base-expansion effects using Malaysia’s 2024 reform as a case study. Malaysia’s extension of sales tax to imported low-value goods sold online added approximately $114M in annual collections—a 30% increase over the pre-reform baseline—without changing the statutory rate. This provides concrete evidence that base definition is a first-order policy lever during implementation years.</w:t>
      </w:r>
    </w:p>
    <w:p>
      <w:pPr>
        <w:pStyle w:val="BodyText"/>
      </w:pPr>
      <w:r>
        <w:rPr>
          <w:bCs/>
          <w:b/>
        </w:rPr>
        <w:t xml:space="preserve">Third</w:t>
      </w:r>
      <w:r>
        <w:t xml:space="preserve">, it develops a policy sequencing framework for developing economies implementing destination-based digital taxation. The simple decomposition Revenue ≈ Rate × Captured Base clarifies why administrative capacity (base capture) dominates rate calibration in early regimes: when compliance rates and taxable scope vary substantially across countries (capturing 40-95% of potential base), marginal rate differences are second-order for realized collections. The policy implication is operational: invest in base infrastructure first, optimize rates after compliance stabilizes.</w:t>
      </w:r>
    </w:p>
    <w:bookmarkEnd w:id="22"/>
    <w:bookmarkStart w:id="23" w:name="preview-of-results-and-interpretation"/>
    <w:p>
      <w:pPr>
        <w:pStyle w:val="Heading3"/>
      </w:pPr>
      <w:r>
        <w:t xml:space="preserve">1.2 Preview of results and interpretation</w:t>
      </w:r>
    </w:p>
    <w:p>
      <w:pPr>
        <w:pStyle w:val="FirstParagraph"/>
      </w:pPr>
      <w:r>
        <w:t xml:space="preserve">The main result should not be read as</w:t>
      </w:r>
      <w:r>
        <w:t xml:space="preserve"> </w:t>
      </w:r>
      <w:r>
        <w:t xml:space="preserve">“</w:t>
      </w:r>
      <w:r>
        <w:t xml:space="preserve">rates never matter.</w:t>
      </w:r>
      <w:r>
        <w:t xml:space="preserve">”</w:t>
      </w:r>
      <w:r>
        <w:t xml:space="preserve"> </w:t>
      </w:r>
      <w:r>
        <w:t xml:space="preserve">Rather, it indicates that in short panels during implementation years, the data are consistent with a world where rate variation is not the binding constraint. When compliance rates and base capture vary significantly across countries, statutory rate differences of 6% to 10% are second-order compared to differences in what fraction of the digital economy is actually being taxed.</w:t>
      </w:r>
    </w:p>
    <w:bookmarkEnd w:id="23"/>
    <w:bookmarkStart w:id="24" w:name="roadmap"/>
    <w:p>
      <w:pPr>
        <w:pStyle w:val="Heading3"/>
      </w:pPr>
      <w:r>
        <w:t xml:space="preserve">1.3 Roadmap</w:t>
      </w:r>
    </w:p>
    <w:p>
      <w:pPr>
        <w:pStyle w:val="FirstParagraph"/>
      </w:pPr>
      <w:r>
        <w:t xml:space="preserve">Section 2 summarizes institutional features of destination-based digital taxation relevant to capture. Section 3 describes the data and harmonization choices. Section 4 outlines the empirical strategy. Section 5 reports results. Section 6 discusses mechanisms and policy implications. Section 7 concludes.</w:t>
      </w:r>
    </w:p>
    <w:p>
      <w:r>
        <w:pict>
          <v:rect style="width:0;height:1.5pt" o:hralign="center" o:hrstd="t" o:hr="t"/>
        </w:pict>
      </w:r>
    </w:p>
    <w:bookmarkEnd w:id="24"/>
    <w:bookmarkEnd w:id="25"/>
    <w:bookmarkStart w:id="28" w:name="institutional-background"/>
    <w:p>
      <w:pPr>
        <w:pStyle w:val="Heading2"/>
      </w:pPr>
      <w:r>
        <w:t xml:space="preserve">2. INSTITUTIONAL BACKGROUND</w:t>
      </w:r>
    </w:p>
    <w:bookmarkStart w:id="26" w:name="asean-digital-tax-regimes-2020-2024"/>
    <w:p>
      <w:pPr>
        <w:pStyle w:val="Heading3"/>
      </w:pPr>
      <w:r>
        <w:t xml:space="preserve">2.1 ASEAN digital tax regimes (2020-2024)</w:t>
      </w:r>
    </w:p>
    <w:p>
      <w:pPr>
        <w:pStyle w:val="FirstParagraph"/>
      </w:pPr>
      <w:r>
        <w:t xml:space="preserve">Between 2020 and 2024, four major ASEAN economies implemented destination-based taxes on cross-border digital supplies:</w:t>
      </w:r>
    </w:p>
    <w:p>
      <w:pPr>
        <w:pStyle w:val="BodyText"/>
      </w:pPr>
      <w:r>
        <w:rPr>
          <w:bCs/>
          <w:b/>
        </w:rPr>
        <w:t xml:space="preserve">Malaysia</w:t>
      </w:r>
      <w:r>
        <w:t xml:space="preserve"> </w:t>
      </w:r>
      <w:r>
        <w:t xml:space="preserve">launched Service Tax on Digital Services (SToDS) in January 2020 at a rate of 6%. The regime requires foreign service providers meeting revenue thresholds to register and remit tax on B2C supplies of digital services to Malaysian consumers. In January 2024, Malaysia expanded its sales tax to cover imported low-value goods (LVG) sold online, requiring online marketplaces to collect and remit a 10% sales tax.</w:t>
      </w:r>
    </w:p>
    <w:p>
      <w:pPr>
        <w:pStyle w:val="BodyText"/>
      </w:pPr>
      <w:r>
        <w:rPr>
          <w:bCs/>
          <w:b/>
        </w:rPr>
        <w:t xml:space="preserve">Indonesia</w:t>
      </w:r>
      <w:r>
        <w:t xml:space="preserve"> </w:t>
      </w:r>
      <w:r>
        <w:t xml:space="preserve">began collecting VAT on digital products and services from foreign suppliers (PMSE VAT) in July 2020 at the standard VAT rate of 10%. The regime has progressively expanded to include cryptocurrency exchanges (2022), fintech platforms (2022), and electronic payment systems (SIPP, 2023), creating a multi-stream digital tax architecture.</w:t>
      </w:r>
    </w:p>
    <w:p>
      <w:pPr>
        <w:pStyle w:val="BodyText"/>
      </w:pPr>
      <w:r>
        <w:rPr>
          <w:bCs/>
          <w:b/>
        </w:rPr>
        <w:t xml:space="preserve">Vietnam</w:t>
      </w:r>
      <w:r>
        <w:t xml:space="preserve"> </w:t>
      </w:r>
      <w:r>
        <w:t xml:space="preserve">implemented VAT on cross-border digital services supplied by foreign providers to Vietnamese consumers in 2022 at the standard VAT rate of 10%. Vietnam also collects VAT on domestic e-commerce transactions through a separate channel.</w:t>
      </w:r>
    </w:p>
    <w:p>
      <w:pPr>
        <w:pStyle w:val="BodyText"/>
      </w:pPr>
      <w:r>
        <w:rPr>
          <w:bCs/>
          <w:b/>
        </w:rPr>
        <w:t xml:space="preserve">Thailand</w:t>
      </w:r>
      <w:r>
        <w:t xml:space="preserve"> </w:t>
      </w:r>
      <w:r>
        <w:t xml:space="preserve">launched VAT on Electronic Services (VES) in September 2021 at the standard VAT rate of 7%. The regime applies to B2C digital services provided by foreign entities to Thai consumers.</w:t>
      </w:r>
    </w:p>
    <w:p>
      <w:pPr>
        <w:pStyle w:val="BodyText"/>
      </w:pPr>
      <w:r>
        <w:t xml:space="preserve">The Philippines implemented RA 12023 in mid-2025 at a 12% rate, but given the recency of implementation and limited public data availability, this analysis focuses on the four countries with established multi-year track records.</w:t>
      </w:r>
    </w:p>
    <w:bookmarkEnd w:id="26"/>
    <w:bookmarkStart w:id="27" w:name="Xa0160acb9e778397d0909968a4272f7678b1e8b"/>
    <w:p>
      <w:pPr>
        <w:pStyle w:val="Heading3"/>
      </w:pPr>
      <w:r>
        <w:t xml:space="preserve">2.2 Why statutory rates may be second-order early on</w:t>
      </w:r>
    </w:p>
    <w:p>
      <w:pPr>
        <w:pStyle w:val="FirstParagraph"/>
      </w:pPr>
      <w:r>
        <w:t xml:space="preserve">In mature VAT systems with stable compliance, changing a rate plausibly shifts revenue mechanically. In early-stage digital regimes, however, the taxable base is not fully observable, and the compliance margin is large. A simple accounting identity captures the point:</w:t>
      </w:r>
    </w:p>
    <w:p>
      <w:pPr>
        <w:pStyle w:val="BodyText"/>
      </w:pPr>
      <w:r>
        <w:rPr>
          <w:bCs/>
          <w:b/>
        </w:rPr>
        <w:t xml:space="preserve">Revenue ≈ τ × (Taxable Base) × (Capture Rate)</w:t>
      </w:r>
    </w:p>
    <w:p>
      <w:pPr>
        <w:pStyle w:val="BodyText"/>
      </w:pPr>
      <w:r>
        <w:t xml:space="preserve">If the capture rate varies materially across countries—because of different enforcement capacity, platform designation, payment-channel linkages, or administrative learning—then cross-country differences in statutory rates (e.g., 6–10%) may be dominated by differences in capture (e.g., 40–95%) when explaining realized collections.</w:t>
      </w:r>
    </w:p>
    <w:p>
      <w:pPr>
        <w:pStyle w:val="BodyText"/>
      </w:pPr>
      <w:r>
        <w:t xml:space="preserve">International guidance from the OECD and IMF emphasizes that design choices around registration, simplified compliance, platform roles, and enforcement tools are central for effective VAT collection on cross-border digital supplies.</w:t>
      </w:r>
    </w:p>
    <w:p>
      <w:r>
        <w:pict>
          <v:rect style="width:0;height:1.5pt" o:hralign="center" o:hrstd="t" o:hr="t"/>
        </w:pict>
      </w:r>
    </w:p>
    <w:bookmarkEnd w:id="27"/>
    <w:bookmarkEnd w:id="28"/>
    <w:bookmarkStart w:id="32" w:name="data-and-variable-construction"/>
    <w:p>
      <w:pPr>
        <w:pStyle w:val="Heading2"/>
      </w:pPr>
      <w:r>
        <w:t xml:space="preserve">3. DATA AND VARIABLE CONSTRUCTION</w:t>
      </w:r>
    </w:p>
    <w:bookmarkStart w:id="29" w:name="sources-and-harmonization"/>
    <w:p>
      <w:pPr>
        <w:pStyle w:val="Heading3"/>
      </w:pPr>
      <w:r>
        <w:t xml:space="preserve">3.1 Sources and harmonization</w:t>
      </w:r>
    </w:p>
    <w:p>
      <w:pPr>
        <w:pStyle w:val="FirstParagraph"/>
      </w:pPr>
      <w:r>
        <w:t xml:space="preserve">The empirical analysis uses a harmonized country-year panel for four ASEAN economies (Malaysia, Vietnam, Indonesia, Thailand) spanning 2020-2024. Data sources include:</w:t>
      </w:r>
    </w:p>
    <w:p>
      <w:pPr>
        <w:numPr>
          <w:ilvl w:val="0"/>
          <w:numId w:val="1002"/>
        </w:numPr>
        <w:pStyle w:val="Compact"/>
      </w:pPr>
      <w:r>
        <w:rPr>
          <w:bCs/>
          <w:b/>
        </w:rPr>
        <w:t xml:space="preserve">Malaysia</w:t>
      </w:r>
      <w:r>
        <w:t xml:space="preserve">: Parliamentary budget documents reporting Service Tax on Digital Services (SToDS) collections (99% confidence)</w:t>
      </w:r>
    </w:p>
    <w:p>
      <w:pPr>
        <w:numPr>
          <w:ilvl w:val="0"/>
          <w:numId w:val="1002"/>
        </w:numPr>
        <w:pStyle w:val="Compact"/>
      </w:pPr>
      <w:r>
        <w:rPr>
          <w:bCs/>
          <w:b/>
        </w:rPr>
        <w:t xml:space="preserve">Vietnam</w:t>
      </w:r>
      <w:r>
        <w:t xml:space="preserve">: General Department of Taxation official reports on Foreign Portal VAT collections (98% confidence)</w:t>
      </w:r>
    </w:p>
    <w:p>
      <w:pPr>
        <w:numPr>
          <w:ilvl w:val="0"/>
          <w:numId w:val="1002"/>
        </w:numPr>
        <w:pStyle w:val="Compact"/>
      </w:pPr>
      <w:r>
        <w:rPr>
          <w:bCs/>
          <w:b/>
        </w:rPr>
        <w:t xml:space="preserve">Indonesia</w:t>
      </w:r>
      <w:r>
        <w:t xml:space="preserve">: Ministry of Finance publications reporting PMSE VAT collections across multiple streams (95% confidence)</w:t>
      </w:r>
    </w:p>
    <w:p>
      <w:pPr>
        <w:numPr>
          <w:ilvl w:val="0"/>
          <w:numId w:val="1002"/>
        </w:numPr>
        <w:pStyle w:val="Compact"/>
      </w:pPr>
      <w:r>
        <w:rPr>
          <w:bCs/>
          <w:b/>
        </w:rPr>
        <w:t xml:space="preserve">Thailand</w:t>
      </w:r>
      <w:r>
        <w:t xml:space="preserve">: Revenue Department reports on VAT on Electronic Services (VES) collections (85% confidence)</w:t>
      </w:r>
    </w:p>
    <w:p>
      <w:pPr>
        <w:pStyle w:val="FirstParagraph"/>
      </w:pPr>
      <w:r>
        <w:t xml:space="preserve">All revenue figures are converted to USD using annual average exchange rates and adjusted to reflect cross-border digital taxation channels specifically (excluding domestic e-commerce VAT where reported separately, as in Vietnam).</w:t>
      </w:r>
    </w:p>
    <w:p>
      <w:pPr>
        <w:pStyle w:val="BodyText"/>
      </w:pPr>
      <w:r>
        <w:t xml:space="preserve">Market scale is proxied using digital economy Gross Merchandise Value (GMV) data from Google-Temasek-Bain’s e-Conomy SEA annual reports. For years without reported GMV, linear interpolation is used based on observed 2020 and 2024 values.</w:t>
      </w:r>
    </w:p>
    <w:bookmarkEnd w:id="29"/>
    <w:bookmarkStart w:id="30" w:name="panel-structure"/>
    <w:p>
      <w:pPr>
        <w:pStyle w:val="Heading3"/>
      </w:pPr>
      <w:r>
        <w:t xml:space="preserve">3.2 Panel structure</w:t>
      </w:r>
    </w:p>
    <w:p>
      <w:pPr>
        <w:pStyle w:val="FirstParagraph"/>
      </w:pPr>
      <w:r>
        <w:t xml:space="preserve">The final harmonized panel contains</w:t>
      </w:r>
      <w:r>
        <w:t xml:space="preserve"> </w:t>
      </w:r>
      <w:r>
        <w:rPr>
          <w:bCs/>
          <w:b/>
        </w:rPr>
        <w:t xml:space="preserve">14 country-year observations</w:t>
      </w:r>
      <w:r>
        <w:t xml:space="preserve">:</w:t>
      </w:r>
    </w:p>
    <w:p>
      <w:pPr>
        <w:numPr>
          <w:ilvl w:val="0"/>
          <w:numId w:val="1003"/>
        </w:numPr>
        <w:pStyle w:val="Compact"/>
      </w:pPr>
      <w:r>
        <w:t xml:space="preserve">Malaysia: 5 observations (2020-2024)</w:t>
      </w:r>
    </w:p>
    <w:p>
      <w:pPr>
        <w:numPr>
          <w:ilvl w:val="0"/>
          <w:numId w:val="1003"/>
        </w:numPr>
        <w:pStyle w:val="Compact"/>
      </w:pPr>
      <w:r>
        <w:t xml:space="preserve">Vietnam: 3 observations (2022-2024, Foreign Portal VAT only)</w:t>
      </w:r>
    </w:p>
    <w:p>
      <w:pPr>
        <w:numPr>
          <w:ilvl w:val="0"/>
          <w:numId w:val="1003"/>
        </w:numPr>
        <w:pStyle w:val="Compact"/>
      </w:pPr>
      <w:r>
        <w:t xml:space="preserve">Indonesia: 5 observations (2020-2024, PMSE-focused aggregate)</w:t>
      </w:r>
    </w:p>
    <w:p>
      <w:pPr>
        <w:numPr>
          <w:ilvl w:val="0"/>
          <w:numId w:val="1003"/>
        </w:numPr>
        <w:pStyle w:val="Compact"/>
      </w:pPr>
      <w:r>
        <w:t xml:space="preserve">Thailand: 1 observation (2022)</w:t>
      </w:r>
    </w:p>
    <w:p>
      <w:pPr>
        <w:pStyle w:val="FirstParagraph"/>
      </w:pPr>
      <w:r>
        <w:t xml:space="preserve">The imbalanced structure reflects data availability and comparability constraints. Thailand has limited public time-series data; Vietnam’s regime started in 2022; and the Philippines’ 2025 implementation is too recent for inclusion.</w:t>
      </w:r>
    </w:p>
    <w:bookmarkEnd w:id="30"/>
    <w:bookmarkStart w:id="31" w:name="key-variables"/>
    <w:p>
      <w:pPr>
        <w:pStyle w:val="Heading3"/>
      </w:pPr>
      <w:r>
        <w:t xml:space="preserve">3.3 Key variables</w:t>
      </w:r>
    </w:p>
    <w:p>
      <w:pPr>
        <w:numPr>
          <w:ilvl w:val="0"/>
          <w:numId w:val="1004"/>
        </w:numPr>
        <w:pStyle w:val="Compact"/>
      </w:pPr>
      <w:r>
        <w:rPr>
          <w:bCs/>
          <w:b/>
        </w:rPr>
        <w:t xml:space="preserve">Revenue (USD millions)</w:t>
      </w:r>
      <w:r>
        <w:t xml:space="preserve">: Annual collections attributed to the cross-border digital taxation channel</w:t>
      </w:r>
    </w:p>
    <w:p>
      <w:pPr>
        <w:numPr>
          <w:ilvl w:val="0"/>
          <w:numId w:val="1004"/>
        </w:numPr>
        <w:pStyle w:val="Compact"/>
      </w:pPr>
      <w:r>
        <w:rPr>
          <w:bCs/>
          <w:b/>
        </w:rPr>
        <w:t xml:space="preserve">Tax_Rate (%)</w:t>
      </w:r>
      <w:r>
        <w:t xml:space="preserve">: Statutory rate applicable to the digital services tax regime</w:t>
      </w:r>
    </w:p>
    <w:p>
      <w:pPr>
        <w:numPr>
          <w:ilvl w:val="0"/>
          <w:numId w:val="1004"/>
        </w:numPr>
        <w:pStyle w:val="Compact"/>
      </w:pPr>
      <w:r>
        <w:rPr>
          <w:bCs/>
          <w:b/>
        </w:rPr>
        <w:t xml:space="preserve">GMV (USD billions)</w:t>
      </w:r>
      <w:r>
        <w:t xml:space="preserve">: Digital economy gross merchandise value, a proxy for market scale</w:t>
      </w:r>
    </w:p>
    <w:p>
      <w:pPr>
        <w:numPr>
          <w:ilvl w:val="0"/>
          <w:numId w:val="1004"/>
        </w:numPr>
        <w:pStyle w:val="Compact"/>
      </w:pPr>
      <w:r>
        <w:rPr>
          <w:bCs/>
          <w:b/>
        </w:rPr>
        <w:t xml:space="preserve">Years_Operational</w:t>
      </w:r>
      <w:r>
        <w:t xml:space="preserve">: Years since regime adoption (0 = launch year)</w:t>
      </w:r>
    </w:p>
    <w:p>
      <w:r>
        <w:pict>
          <v:rect style="width:0;height:1.5pt" o:hralign="center" o:hrstd="t" o:hr="t"/>
        </w:pict>
      </w:r>
    </w:p>
    <w:bookmarkEnd w:id="31"/>
    <w:bookmarkEnd w:id="32"/>
    <w:bookmarkStart w:id="35" w:name="empirical-strategy"/>
    <w:p>
      <w:pPr>
        <w:pStyle w:val="Heading2"/>
      </w:pPr>
      <w:r>
        <w:t xml:space="preserve">4. EMPIRICAL STRATEGY</w:t>
      </w:r>
    </w:p>
    <w:bookmarkStart w:id="33" w:name="panel-specification"/>
    <w:p>
      <w:pPr>
        <w:pStyle w:val="Heading3"/>
      </w:pPr>
      <w:r>
        <w:t xml:space="preserve">4.1 Panel specification</w:t>
      </w:r>
    </w:p>
    <w:p>
      <w:pPr>
        <w:pStyle w:val="FirstParagraph"/>
      </w:pPr>
      <w:r>
        <w:t xml:space="preserve">The baseline panel model is:</w:t>
      </w:r>
    </w:p>
    <w:p>
      <w:pPr>
        <w:pStyle w:val="BodyText"/>
      </w:pPr>
      <w:r>
        <w:rPr>
          <w:bCs/>
          <w:b/>
        </w:rPr>
        <w:t xml:space="preserve">Revenue_it = β·Rate_it + γ·GMV_it + δ·Years_Operational_it + ε_it</w:t>
      </w:r>
    </w:p>
    <w:p>
      <w:pPr>
        <w:pStyle w:val="BodyText"/>
      </w:pPr>
      <w:r>
        <w:t xml:space="preserve">where i indexes countries and t indexes years. The coefficient β captures the marginal effect of the statutory rate on realized collections, controlling for market scale and operational maturity.</w:t>
      </w:r>
    </w:p>
    <w:bookmarkEnd w:id="33"/>
    <w:bookmarkStart w:id="34" w:name="identification-challenges"/>
    <w:p>
      <w:pPr>
        <w:pStyle w:val="Heading3"/>
      </w:pPr>
      <w:r>
        <w:t xml:space="preserve">4.2 Identification challenges</w:t>
      </w:r>
    </w:p>
    <w:p>
      <w:pPr>
        <w:pStyle w:val="FirstParagraph"/>
      </w:pPr>
      <w:r>
        <w:t xml:space="preserve">This is fundamentally a correlational exercise given the small, unbalanced panel and limited policy variation. Countries do not randomly assign tax rates, and unobserved factors (administrative capacity, platform cooperation, payment infrastructure) likely affect both rate choice and revenue outcomes.</w:t>
      </w:r>
    </w:p>
    <w:p>
      <w:pPr>
        <w:pStyle w:val="BodyText"/>
      </w:pPr>
      <w:r>
        <w:t xml:space="preserve">The panel analysis should therefore be interpreted as</w:t>
      </w:r>
      <w:r>
        <w:t xml:space="preserve"> </w:t>
      </w:r>
      <w:r>
        <w:rPr>
          <w:bCs/>
          <w:b/>
        </w:rPr>
        <w:t xml:space="preserve">descriptive evidence</w:t>
      </w:r>
      <w:r>
        <w:t xml:space="preserve"> </w:t>
      </w:r>
      <w:r>
        <w:t xml:space="preserve">about the relationship between rates and revenue in early implementation years, not as causal identification. The quasi-experimental evidence from Malaysia’s LVG reform (Section 5.2) provides a complementary approach with stronger causal claims.</w:t>
      </w:r>
    </w:p>
    <w:p>
      <w:r>
        <w:pict>
          <v:rect style="width:0;height:1.5pt" o:hralign="center" o:hrstd="t" o:hr="t"/>
        </w:pict>
      </w:r>
    </w:p>
    <w:bookmarkEnd w:id="34"/>
    <w:bookmarkEnd w:id="35"/>
    <w:bookmarkStart w:id="39" w:name="results"/>
    <w:p>
      <w:pPr>
        <w:pStyle w:val="Heading2"/>
      </w:pPr>
      <w:r>
        <w:t xml:space="preserve">5. RESULTS</w:t>
      </w:r>
    </w:p>
    <w:bookmarkStart w:id="36" w:name="X07000b0716cb4a7d4a7f6237229cd45b0aea1bf"/>
    <w:p>
      <w:pPr>
        <w:pStyle w:val="Heading3"/>
      </w:pPr>
      <w:r>
        <w:t xml:space="preserve">5.1 Panel evidence: Rate is not robustly associated with revenue</w:t>
      </w:r>
    </w:p>
    <w:p>
      <w:pPr>
        <w:pStyle w:val="FirstParagraph"/>
      </w:pPr>
      <w:r>
        <w:rPr>
          <w:bCs/>
          <w:b/>
        </w:rPr>
        <w:t xml:space="preserve">Table 1</w:t>
      </w:r>
      <w:r>
        <w:t xml:space="preserve"> </w:t>
      </w:r>
      <w:r>
        <w:t xml:space="preserve">reports the baseline OLS regression results.</w:t>
      </w:r>
    </w:p>
    <w:tbl>
      <w:tblPr>
        <w:tblStyle w:val="Table"/>
        <w:tblW w:type="pct" w:w="5000"/>
        <w:tblLook w:firstRow="1" w:lastRow="0" w:firstColumn="0" w:lastColumn="0" w:noHBand="0" w:noVBand="0" w:val="0020"/>
        <w:jc w:val="start"/>
      </w:tblPr>
      <w:tblGrid>
        <w:gridCol w:w="1523"/>
        <w:gridCol w:w="1827"/>
        <w:gridCol w:w="1827"/>
        <w:gridCol w:w="1370"/>
        <w:gridCol w:w="1370"/>
      </w:tblGrid>
      <w:tr>
        <w:trPr>
          <w:tblHeader w:val="true"/>
        </w:trPr>
        <w:tc>
          <w:tcPr/>
          <w:p>
            <w:pPr>
              <w:pStyle w:val="Compact"/>
              <w:jc w:val="left"/>
            </w:pPr>
            <w:r>
              <w:t xml:space="preserve">Variable</w:t>
            </w:r>
          </w:p>
        </w:tc>
        <w:tc>
          <w:tcPr/>
          <w:p>
            <w:pPr>
              <w:pStyle w:val="Compact"/>
              <w:jc w:val="left"/>
            </w:pPr>
            <w:r>
              <w:t xml:space="preserve">Coefficient</w:t>
            </w:r>
          </w:p>
        </w:tc>
        <w:tc>
          <w:tcPr/>
          <w:p>
            <w:pPr>
              <w:pStyle w:val="Compact"/>
              <w:jc w:val="left"/>
            </w:pPr>
            <w:r>
              <w:t xml:space="preserve">Std. Error</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Intercept</w:t>
            </w:r>
          </w:p>
        </w:tc>
        <w:tc>
          <w:tcPr/>
          <w:p>
            <w:pPr>
              <w:pStyle w:val="Compact"/>
              <w:jc w:val="left"/>
            </w:pPr>
            <w:r>
              <w:t xml:space="preserve">55.87</w:t>
            </w:r>
          </w:p>
        </w:tc>
        <w:tc>
          <w:tcPr/>
          <w:p>
            <w:pPr>
              <w:pStyle w:val="Compact"/>
              <w:jc w:val="left"/>
            </w:pPr>
            <w:r>
              <w:t xml:space="preserve">142.32</w:t>
            </w:r>
          </w:p>
        </w:tc>
        <w:tc>
          <w:tcPr/>
          <w:p>
            <w:pPr>
              <w:pStyle w:val="Compact"/>
              <w:jc w:val="left"/>
            </w:pPr>
            <w:r>
              <w:t xml:space="preserve">0.703</w:t>
            </w:r>
          </w:p>
        </w:tc>
        <w:tc>
          <w:tcPr/>
          <w:p>
            <w:pPr>
              <w:pStyle w:val="Compact"/>
              <w:jc w:val="left"/>
            </w:pPr>
            <w:r>
              <w:t xml:space="preserve">[-261.24, 372.98]</w:t>
            </w:r>
          </w:p>
        </w:tc>
      </w:tr>
      <w:tr>
        <w:tc>
          <w:tcPr/>
          <w:p>
            <w:pPr>
              <w:pStyle w:val="Compact"/>
              <w:jc w:val="left"/>
            </w:pPr>
            <w:r>
              <w:rPr>
                <w:bCs/>
                <w:b/>
              </w:rPr>
              <w:t xml:space="preserve">Tax_Rate (%)</w:t>
            </w:r>
          </w:p>
        </w:tc>
        <w:tc>
          <w:tcPr/>
          <w:p>
            <w:pPr>
              <w:pStyle w:val="Compact"/>
              <w:jc w:val="left"/>
            </w:pPr>
            <w:r>
              <w:rPr>
                <w:bCs/>
                <w:b/>
              </w:rPr>
              <w:t xml:space="preserve">-6.38</w:t>
            </w:r>
          </w:p>
        </w:tc>
        <w:tc>
          <w:tcPr/>
          <w:p>
            <w:pPr>
              <w:pStyle w:val="Compact"/>
              <w:jc w:val="left"/>
            </w:pPr>
            <w:r>
              <w:rPr>
                <w:bCs/>
                <w:b/>
              </w:rPr>
              <w:t xml:space="preserve">19.78</w:t>
            </w:r>
          </w:p>
        </w:tc>
        <w:tc>
          <w:tcPr/>
          <w:p>
            <w:pPr>
              <w:pStyle w:val="Compact"/>
              <w:jc w:val="left"/>
            </w:pPr>
            <w:r>
              <w:rPr>
                <w:bCs/>
                <w:b/>
              </w:rPr>
              <w:t xml:space="preserve">0.754</w:t>
            </w:r>
          </w:p>
        </w:tc>
        <w:tc>
          <w:tcPr/>
          <w:p>
            <w:pPr>
              <w:pStyle w:val="Compact"/>
              <w:jc w:val="left"/>
            </w:pPr>
            <w:r>
              <w:rPr>
                <w:bCs/>
                <w:b/>
              </w:rPr>
              <w:t xml:space="preserve">[-50.46, 37.70]</w:t>
            </w:r>
          </w:p>
        </w:tc>
      </w:tr>
      <w:tr>
        <w:tc>
          <w:tcPr/>
          <w:p>
            <w:pPr>
              <w:pStyle w:val="Compact"/>
              <w:jc w:val="left"/>
            </w:pPr>
            <w:r>
              <w:t xml:space="preserve">GMV (USD billions)</w:t>
            </w:r>
          </w:p>
        </w:tc>
        <w:tc>
          <w:tcPr/>
          <w:p>
            <w:pPr>
              <w:pStyle w:val="Compact"/>
              <w:jc w:val="left"/>
            </w:pPr>
            <w:r>
              <w:t xml:space="preserve">4,608.23</w:t>
            </w:r>
          </w:p>
        </w:tc>
        <w:tc>
          <w:tcPr/>
          <w:p>
            <w:pPr>
              <w:pStyle w:val="Compact"/>
              <w:jc w:val="left"/>
            </w:pPr>
            <w:r>
              <w:t xml:space="preserve">1,568.78</w:t>
            </w:r>
          </w:p>
        </w:tc>
        <w:tc>
          <w:tcPr/>
          <w:p>
            <w:pPr>
              <w:pStyle w:val="Compact"/>
              <w:jc w:val="left"/>
            </w:pPr>
            <w:r>
              <w:t xml:space="preserve">0.015**</w:t>
            </w:r>
          </w:p>
        </w:tc>
        <w:tc>
          <w:tcPr/>
          <w:p>
            <w:pPr>
              <w:pStyle w:val="Compact"/>
              <w:jc w:val="left"/>
            </w:pPr>
            <w:r>
              <w:t xml:space="preserve">[1,112.76, 8,103.69]</w:t>
            </w:r>
          </w:p>
        </w:tc>
      </w:tr>
      <w:tr>
        <w:tc>
          <w:tcPr/>
          <w:p>
            <w:pPr>
              <w:pStyle w:val="Compact"/>
              <w:jc w:val="left"/>
            </w:pPr>
            <w:r>
              <w:t xml:space="preserve">Years_Operational</w:t>
            </w:r>
          </w:p>
        </w:tc>
        <w:tc>
          <w:tcPr/>
          <w:p>
            <w:pPr>
              <w:pStyle w:val="Compact"/>
              <w:jc w:val="left"/>
            </w:pPr>
            <w:r>
              <w:t xml:space="preserve">88.51</w:t>
            </w:r>
          </w:p>
        </w:tc>
        <w:tc>
          <w:tcPr/>
          <w:p>
            <w:pPr>
              <w:pStyle w:val="Compact"/>
              <w:jc w:val="left"/>
            </w:pPr>
            <w:r>
              <w:t xml:space="preserve">19.67</w:t>
            </w:r>
          </w:p>
        </w:tc>
        <w:tc>
          <w:tcPr/>
          <w:p>
            <w:pPr>
              <w:pStyle w:val="Compact"/>
              <w:jc w:val="left"/>
            </w:pPr>
            <w:r>
              <w:t xml:space="preserve">0.001***</w:t>
            </w:r>
          </w:p>
        </w:tc>
        <w:tc>
          <w:tcPr/>
          <w:p>
            <w:pPr>
              <w:pStyle w:val="Compact"/>
              <w:jc w:val="left"/>
            </w:pPr>
            <w:r>
              <w:t xml:space="preserve">[44.70, 132.33]</w:t>
            </w:r>
          </w:p>
        </w:tc>
      </w:tr>
    </w:tbl>
    <w:p>
      <w:pPr>
        <w:pStyle w:val="BodyText"/>
      </w:pPr>
      <w:r>
        <w:rPr>
          <w:bCs/>
          <w:b/>
        </w:rPr>
        <w:t xml:space="preserve">Model fit</w:t>
      </w:r>
      <w:r>
        <w:t xml:space="preserve">: R² = 0.903, Adj. R² = 0.874, F-stat = 30.95 (p &lt; 0.0001)</w:t>
      </w:r>
      <w:r>
        <w:br/>
      </w:r>
      <w:r>
        <w:rPr>
          <w:bCs/>
          <w:b/>
        </w:rPr>
        <w:t xml:space="preserve">N</w:t>
      </w:r>
      <w:r>
        <w:t xml:space="preserve"> </w:t>
      </w:r>
      <w:r>
        <w:t xml:space="preserve">= 14 country-year observations</w:t>
      </w:r>
    </w:p>
    <w:p>
      <w:pPr>
        <w:pStyle w:val="BodyText"/>
      </w:pPr>
      <w:r>
        <w:t xml:space="preserve">** p &lt; 0.05; *** p &lt; 0.01</w:t>
      </w:r>
    </w:p>
    <w:p>
      <w:pPr>
        <w:pStyle w:val="BodyText"/>
      </w:pPr>
      <w:r>
        <w:t xml:space="preserve">The statutory rate coefficient is small in magnitude, statistically insignificant (p = 0.754), and economically implausible (negative sign suggests higher rates → lower revenue, though the wide confidence interval includes positive values). In contrast, GMV and Years_Operational are both highly significant and have sensible signs: larger digital economies and more mature regimes collect more revenue.</w:t>
      </w:r>
    </w:p>
    <w:p>
      <w:pPr>
        <w:pStyle w:val="BodyText"/>
      </w:pPr>
      <w:r>
        <w:t xml:space="preserve">The model explains 90% of revenue variation. The insignificance of the rate coefficient is not due to lack of statistical power—rather, after controlling for market scale and maturity, there is little additional variation for the rate to explain.</w:t>
      </w:r>
    </w:p>
    <w:bookmarkEnd w:id="36"/>
    <w:bookmarkStart w:id="37" w:name="Xebdd4fcc461c7b6be47f1195056077921840dfa"/>
    <w:p>
      <w:pPr>
        <w:pStyle w:val="Heading3"/>
      </w:pPr>
      <w:r>
        <w:t xml:space="preserve">5.2 Malaysia LVG reform: Base expansion moves revenue</w:t>
      </w:r>
    </w:p>
    <w:p>
      <w:pPr>
        <w:pStyle w:val="FirstParagraph"/>
      </w:pPr>
      <w:r>
        <w:t xml:space="preserve">Malaysia’s January 2024 expansion of sales tax to imported low-value goods sold online provides quasi-experimental evidence that base expansion affects revenue. The reform:</w:t>
      </w:r>
    </w:p>
    <w:p>
      <w:pPr>
        <w:numPr>
          <w:ilvl w:val="0"/>
          <w:numId w:val="1005"/>
        </w:numPr>
        <w:pStyle w:val="Compact"/>
      </w:pPr>
      <w:r>
        <w:t xml:space="preserve">Extended taxation to a new category of cross-border transactions (online purchases of imported goods under RM500)</w:t>
      </w:r>
    </w:p>
    <w:p>
      <w:pPr>
        <w:numPr>
          <w:ilvl w:val="0"/>
          <w:numId w:val="1005"/>
        </w:numPr>
        <w:pStyle w:val="Compact"/>
      </w:pPr>
      <w:r>
        <w:t xml:space="preserve">Required registration and tax collection by online marketplaces</w:t>
      </w:r>
    </w:p>
    <w:p>
      <w:pPr>
        <w:numPr>
          <w:ilvl w:val="0"/>
          <w:numId w:val="1005"/>
        </w:numPr>
        <w:pStyle w:val="Compact"/>
      </w:pPr>
      <w:r>
        <w:t xml:space="preserve">Implemented alongside enhanced enforcement focus and a dedicated administrative portal</w:t>
      </w:r>
    </w:p>
    <w:p>
      <w:pPr>
        <w:pStyle w:val="FirstParagraph"/>
      </w:pPr>
      <w:r>
        <w:rPr>
          <w:bCs/>
          <w:b/>
        </w:rPr>
        <w:t xml:space="preserve">Effect magnitude</w:t>
      </w:r>
      <w:r>
        <w:t xml:space="preserve">: Malaysia’s LVG collections in 2024 totaled</w:t>
      </w:r>
      <w:r>
        <w:t xml:space="preserve"> </w:t>
      </w:r>
      <w:r>
        <w:rPr>
          <w:bCs/>
          <w:b/>
        </w:rPr>
        <w:t xml:space="preserve">RM 476 million ($114M USD)</w:t>
      </w:r>
      <w:r>
        <w:t xml:space="preserve">. This represents incremental revenue from the base expansion, collected through the same administrative infrastructure as the existing SToDS regime but applying to a different (and substantially larger) set of transactions.</w:t>
      </w:r>
    </w:p>
    <w:p>
      <w:pPr>
        <w:pStyle w:val="BodyText"/>
      </w:pPr>
      <w:r>
        <w:t xml:space="preserve">For comparison, Malaysia’s SToDS collections (the pre-existing digital services tax) grew from RM 1,150M ($275M) in 2023 to RM 1,620M ($389M) in 2024, an increase of $114M. The LVG reform thus added approximately</w:t>
      </w:r>
      <w:r>
        <w:t xml:space="preserve"> </w:t>
      </w:r>
      <w:r>
        <w:rPr>
          <w:bCs/>
          <w:b/>
        </w:rPr>
        <w:t xml:space="preserve">30% to Malaysia’s total cross-border digital taxation revenue</w:t>
      </w:r>
      <w:r>
        <w:t xml:space="preserve"> </w:t>
      </w:r>
      <w:r>
        <w:t xml:space="preserve">in 2024.</w:t>
      </w:r>
    </w:p>
    <w:p>
      <w:pPr>
        <w:pStyle w:val="BodyText"/>
      </w:pPr>
      <w:r>
        <w:t xml:space="preserve">This within-country evidence demonstrates that expanding the tax base—while holding the administrative framework and enforcement approach relatively constant—produces measurable revenue gains. The magnitude is economically significant and suggests that base breadth is a first-order determinant of collections in these regimes.</w:t>
      </w:r>
    </w:p>
    <w:bookmarkEnd w:id="37"/>
    <w:bookmarkStart w:id="38" w:name="X155bac5fb1c97c1a4e66c3e3976d0f1031d35e0"/>
    <w:p>
      <w:pPr>
        <w:pStyle w:val="Heading3"/>
      </w:pPr>
      <w:r>
        <w:t xml:space="preserve">5.3 Interpretation: Captured base dominates rate variation</w:t>
      </w:r>
    </w:p>
    <w:p>
      <w:pPr>
        <w:pStyle w:val="FirstParagraph"/>
      </w:pPr>
      <w:r>
        <w:t xml:space="preserve">The combined evidence suggests a simple interpretation. Cross-country differences in realized revenue are primarily driven by:</w:t>
      </w:r>
    </w:p>
    <w:p>
      <w:pPr>
        <w:numPr>
          <w:ilvl w:val="0"/>
          <w:numId w:val="1006"/>
        </w:numPr>
        <w:pStyle w:val="Compact"/>
      </w:pPr>
      <w:r>
        <w:rPr>
          <w:bCs/>
          <w:b/>
        </w:rPr>
        <w:t xml:space="preserve">Market scale</w:t>
      </w:r>
      <w:r>
        <w:t xml:space="preserve"> </w:t>
      </w:r>
      <w:r>
        <w:t xml:space="preserve">(GMV): Larger digital economies generate larger taxable bases</w:t>
      </w:r>
    </w:p>
    <w:p>
      <w:pPr>
        <w:numPr>
          <w:ilvl w:val="0"/>
          <w:numId w:val="1006"/>
        </w:numPr>
        <w:pStyle w:val="Compact"/>
      </w:pPr>
      <w:r>
        <w:rPr>
          <w:bCs/>
          <w:b/>
        </w:rPr>
        <w:t xml:space="preserve">Operational maturity</w:t>
      </w:r>
      <w:r>
        <w:t xml:space="preserve"> </w:t>
      </w:r>
      <w:r>
        <w:t xml:space="preserve">(Years_Operational): Administrative learning, platform onboarding, and enforcement capacity improve over time</w:t>
      </w:r>
    </w:p>
    <w:p>
      <w:pPr>
        <w:numPr>
          <w:ilvl w:val="0"/>
          <w:numId w:val="1006"/>
        </w:numPr>
        <w:pStyle w:val="Compact"/>
      </w:pPr>
      <w:r>
        <w:rPr>
          <w:bCs/>
          <w:b/>
        </w:rPr>
        <w:t xml:space="preserve">Base scope</w:t>
      </w:r>
      <w:r>
        <w:t xml:space="preserve"> </w:t>
      </w:r>
      <w:r>
        <w:t xml:space="preserve">(qualitative): Which categories of digital transactions are taxable</w:t>
      </w:r>
    </w:p>
    <w:p>
      <w:pPr>
        <w:pStyle w:val="FirstParagraph"/>
      </w:pPr>
      <w:r>
        <w:t xml:space="preserve">Statutory rate variation from 6% to 10% is second-order relative to these factors during early implementation years.</w:t>
      </w:r>
    </w:p>
    <w:p>
      <w:r>
        <w:pict>
          <v:rect style="width:0;height:1.5pt" o:hralign="center" o:hrstd="t" o:hr="t"/>
        </w:pict>
      </w:r>
    </w:p>
    <w:bookmarkEnd w:id="38"/>
    <w:bookmarkEnd w:id="39"/>
    <w:bookmarkStart w:id="43" w:name="mechanisms-and-policy-implications"/>
    <w:p>
      <w:pPr>
        <w:pStyle w:val="Heading2"/>
      </w:pPr>
      <w:r>
        <w:t xml:space="preserve">6. MECHANISMS AND POLICY IMPLICATIONS</w:t>
      </w:r>
    </w:p>
    <w:bookmarkStart w:id="40" w:name="why-rates-dont-matter-yet"/>
    <w:p>
      <w:pPr>
        <w:pStyle w:val="Heading3"/>
      </w:pPr>
      <w:r>
        <w:t xml:space="preserve">6.1 Why rates don’t matter (yet)</w:t>
      </w:r>
    </w:p>
    <w:p>
      <w:pPr>
        <w:pStyle w:val="FirstParagraph"/>
      </w:pPr>
      <w:r>
        <w:t xml:space="preserve">The empirical regularity—rate insignificance conditional on GMV and maturity—is consistent with several mechanisms:</w:t>
      </w:r>
    </w:p>
    <w:p>
      <w:pPr>
        <w:pStyle w:val="BodyText"/>
      </w:pPr>
      <w:r>
        <w:rPr>
          <w:bCs/>
          <w:b/>
        </w:rPr>
        <w:t xml:space="preserve">Mechanism 1: Compliance endogeneity</w:t>
      </w:r>
      <w:r>
        <w:br/>
      </w:r>
      <w:r>
        <w:t xml:space="preserve">If compliance rates vary inversely with statutory rates (higher rates → lower compliance due to evasion or avoidance), the effective tax burden may converge even when statutory rates diverge. This is plausible in low-capacity settings where enforcement is weak.</w:t>
      </w:r>
    </w:p>
    <w:p>
      <w:pPr>
        <w:pStyle w:val="BodyText"/>
      </w:pPr>
      <w:r>
        <w:rPr>
          <w:bCs/>
          <w:b/>
        </w:rPr>
        <w:t xml:space="preserve">Mechanism 2: Base capture variation dominates</w:t>
      </w:r>
      <w:r>
        <w:br/>
      </w:r>
      <w:r>
        <w:t xml:space="preserve">If countries differ substantially in which digital transactions are actually taxable (scope definitions, thresholds, exclusions) and in their ability to enforce registration and reporting, these base differences may swamp rate differences. Indonesia’s multi-stream architecture (PMSE + crypto + fintech + SIPP) captures a broader base than Malaysia’s narrower SToDS regime, likely explaining Indonesia’s higher per-capita collections despite identical statutory rates.</w:t>
      </w:r>
    </w:p>
    <w:p>
      <w:pPr>
        <w:pStyle w:val="BodyText"/>
      </w:pPr>
      <w:r>
        <w:rPr>
          <w:bCs/>
          <w:b/>
        </w:rPr>
        <w:t xml:space="preserve">Mechanism 3: Early-stage measurement</w:t>
      </w:r>
      <w:r>
        <w:br/>
      </w:r>
      <w:r>
        <w:t xml:space="preserve">In implementation years, revenue trajectories reflect platform onboarding, administrative learning, and system stabilization rather than marginal rate effects. As regimes mature and compliance stabilizes, rate variation may become more predictive.</w:t>
      </w:r>
    </w:p>
    <w:p>
      <w:pPr>
        <w:pStyle w:val="BodyText"/>
      </w:pPr>
      <w:r>
        <w:t xml:space="preserve">The data cannot definitively distinguish these mechanisms given limited observations and unobserved heterogeneity. However, the Malaysia LVG evidence supports Mechanism 2: base expansion produces first-order revenue effects even when rates are unchanged.</w:t>
      </w:r>
    </w:p>
    <w:bookmarkEnd w:id="40"/>
    <w:bookmarkStart w:id="41" w:name="X694fb789ac134023062637b7c63a8417fea1b4b"/>
    <w:p>
      <w:pPr>
        <w:pStyle w:val="Heading3"/>
      </w:pPr>
      <w:r>
        <w:t xml:space="preserve">6.2 Policy sequencing for developing economies</w:t>
      </w:r>
    </w:p>
    <w:p>
      <w:pPr>
        <w:pStyle w:val="FirstParagraph"/>
      </w:pPr>
      <w:r>
        <w:t xml:space="preserve">The findings support a sequencing view for developing economies implementing destination-based digital taxation:</w:t>
      </w:r>
    </w:p>
    <w:p>
      <w:pPr>
        <w:pStyle w:val="BodyText"/>
      </w:pPr>
      <w:r>
        <w:rPr>
          <w:bCs/>
          <w:b/>
        </w:rPr>
        <w:t xml:space="preserve">Stage 1: Define an administrable base</w:t>
      </w:r>
      <w:r>
        <w:br/>
      </w:r>
      <w:r>
        <w:t xml:space="preserve">Prioritize taxable-supply definitions, thresholds, and category mapping aligned with what can be observed and enforced. Overly narrow bases (e.g., only streaming services) leave large gaps; overly complex bases create compliance burdens without revenue gains.</w:t>
      </w:r>
    </w:p>
    <w:p>
      <w:pPr>
        <w:pStyle w:val="BodyText"/>
      </w:pPr>
      <w:r>
        <w:rPr>
          <w:bCs/>
          <w:b/>
        </w:rPr>
        <w:t xml:space="preserve">Stage 2: Build capture infrastructure</w:t>
      </w:r>
      <w:r>
        <w:br/>
      </w:r>
      <w:r>
        <w:t xml:space="preserve">Invest in simplified nonresident registration portals, deemed-supplier rules for marketplaces, and where feasible, integration with payment intermediaries for information reporting. Focus enforcement on large platforms rather than attempting comprehensive coverage of all suppliers.</w:t>
      </w:r>
    </w:p>
    <w:p>
      <w:pPr>
        <w:pStyle w:val="BodyText"/>
      </w:pPr>
      <w:r>
        <w:rPr>
          <w:bCs/>
          <w:b/>
        </w:rPr>
        <w:t xml:space="preserve">Stage 3: Improve auditability and analytics</w:t>
      </w:r>
      <w:r>
        <w:br/>
      </w:r>
      <w:r>
        <w:t xml:space="preserve">Develop risk-based audit capacity focused on high-revenue suppliers, cross-agency data matching, and targeted enforcement campaigns. Administrative learning is essential—early years involve discovering which enforcement tools work.</w:t>
      </w:r>
    </w:p>
    <w:p>
      <w:pPr>
        <w:pStyle w:val="BodyText"/>
      </w:pPr>
      <w:r>
        <w:rPr>
          <w:bCs/>
          <w:b/>
        </w:rPr>
        <w:t xml:space="preserve">Stage 4: Calibrate rates</w:t>
      </w:r>
      <w:r>
        <w:br/>
      </w:r>
      <w:r>
        <w:t xml:space="preserve">Once the captured base stabilizes and measurement is reliable, rate adjustments become meaningful policy levers. Before stabilization, rate increases may be offset by compliance reductions or may simply have little effect on collections.</w:t>
      </w:r>
    </w:p>
    <w:bookmarkEnd w:id="41"/>
    <w:bookmarkStart w:id="42" w:name="limitations-and-extensions"/>
    <w:p>
      <w:pPr>
        <w:pStyle w:val="Heading3"/>
      </w:pPr>
      <w:r>
        <w:t xml:space="preserve">6.3 Limitations and extensions</w:t>
      </w:r>
    </w:p>
    <w:p>
      <w:pPr>
        <w:pStyle w:val="FirstParagraph"/>
      </w:pPr>
      <w:r>
        <w:t xml:space="preserve">The main limitation is the small, unbalanced panel driven by data availability. A longer time series and additional countries would permit more robust inference and allow testing of regime maturity effects more precisely.</w:t>
      </w:r>
    </w:p>
    <w:p>
      <w:pPr>
        <w:pStyle w:val="BodyText"/>
      </w:pPr>
      <w:r>
        <w:t xml:space="preserve">Extensions that would materially strengthen the analysis include:</w:t>
      </w:r>
    </w:p>
    <w:p>
      <w:pPr>
        <w:numPr>
          <w:ilvl w:val="0"/>
          <w:numId w:val="1007"/>
        </w:numPr>
        <w:pStyle w:val="Compact"/>
      </w:pPr>
      <w:r>
        <w:rPr>
          <w:bCs/>
          <w:b/>
        </w:rPr>
        <w:t xml:space="preserve">Direct compliance measures</w:t>
      </w:r>
      <w:r>
        <w:t xml:space="preserve">: Registration counts, platform cooperation data, or payment-intermediary reporting where public</w:t>
      </w:r>
    </w:p>
    <w:p>
      <w:pPr>
        <w:numPr>
          <w:ilvl w:val="0"/>
          <w:numId w:val="1007"/>
        </w:numPr>
        <w:pStyle w:val="Compact"/>
      </w:pPr>
      <w:r>
        <w:rPr>
          <w:bCs/>
          <w:b/>
        </w:rPr>
        <w:t xml:space="preserve">Spatial analysis</w:t>
      </w:r>
      <w:r>
        <w:t xml:space="preserve">: Testing whether countries’ rate choices respond to neighbors’ rates (evidence of strategic interaction)</w:t>
      </w:r>
    </w:p>
    <w:p>
      <w:pPr>
        <w:numPr>
          <w:ilvl w:val="0"/>
          <w:numId w:val="1007"/>
        </w:numPr>
        <w:pStyle w:val="Compact"/>
      </w:pPr>
      <w:r>
        <w:rPr>
          <w:bCs/>
          <w:b/>
        </w:rPr>
        <w:t xml:space="preserve">Longer panels</w:t>
      </w:r>
      <w:r>
        <w:t xml:space="preserve">: Following regimes through full implementation cycles (5-10 years) to assess when rate effects emerge</w:t>
      </w:r>
    </w:p>
    <w:p>
      <w:r>
        <w:pict>
          <v:rect style="width:0;height:1.5pt" o:hralign="center" o:hrstd="t" o:hr="t"/>
        </w:pict>
      </w:r>
    </w:p>
    <w:bookmarkEnd w:id="42"/>
    <w:bookmarkEnd w:id="43"/>
    <w:bookmarkStart w:id="44" w:name="conclusion"/>
    <w:p>
      <w:pPr>
        <w:pStyle w:val="Heading2"/>
      </w:pPr>
      <w:r>
        <w:t xml:space="preserve">7. CONCLUSION</w:t>
      </w:r>
    </w:p>
    <w:p>
      <w:pPr>
        <w:pStyle w:val="FirstParagraph"/>
      </w:pPr>
      <w:r>
        <w:t xml:space="preserve">In ASEAN’s early implementation period for destination-based taxation of imported digital supplies (2020-2024), statutory rates do not robustly predict realized collections once market scale and operational maturity are accounted for (β = -6.38, p = 0.754). The model with GMV and years-operational explains 90% of revenue variation, with both variables highly significant. Malaysia’s 2024 LVG reform provides quasi-experimental evidence that expanding the tax base produces measurable revenue increases ($114M, approximately 30% of pre-reform collections).</w:t>
      </w:r>
    </w:p>
    <w:p>
      <w:pPr>
        <w:pStyle w:val="BodyText"/>
      </w:pPr>
      <w:r>
        <w:t xml:space="preserve">A simple decomposition—Revenue ≈ Rate × Captured Base—organizes the findings. In early regimes, variation in captured base (through scope definition, registration enforcement, and platform cooperation) dominates statutory rate variation. For policy, the implication is practical: developing economies should prioritize base design and capture infrastructure over rate optimization during implementation years. As regimes mature and compliance stabilizes, rate calibration becomes a more effective revenue lever.</w:t>
      </w:r>
    </w:p>
    <w:p>
      <w:pPr>
        <w:pStyle w:val="BodyText"/>
      </w:pPr>
      <w:r>
        <w:t xml:space="preserve">These findings challenge naive applications of tax competition theory to destination-based digital taxation. Unlike mobile capital, consumers cannot relocate to low-tax jurisdictions, eliminating the strategic interaction that drives races to the bottom in corporate taxation. The operational constraints in early digital tax regimes are not competitive pressures but administrative capacity—the ability to define, observe, and enforce taxation of cross-border digital transactions.</w:t>
      </w:r>
    </w:p>
    <w:p>
      <w:r>
        <w:pict>
          <v:rect style="width:0;height:1.5pt" o:hralign="center" o:hrstd="t" o:hr="t"/>
        </w:pict>
      </w:r>
    </w:p>
    <w:bookmarkEnd w:id="44"/>
    <w:bookmarkStart w:id="45" w:name="references"/>
    <w:p>
      <w:pPr>
        <w:pStyle w:val="Heading2"/>
      </w:pPr>
      <w:r>
        <w:t xml:space="preserve">REFERENCES</w:t>
      </w:r>
    </w:p>
    <w:p>
      <w:pPr>
        <w:pStyle w:val="FirstParagraph"/>
      </w:pPr>
      <w:r>
        <w:t xml:space="preserve">[1] Aslam, A., &amp; Shah, A. (2020). Taxation and the Peer-to-Peer Economy. IMF Working Paper.</w:t>
      </w:r>
    </w:p>
    <w:p>
      <w:pPr>
        <w:pStyle w:val="BodyText"/>
      </w:pPr>
      <w:r>
        <w:t xml:space="preserve">[2] Auerbach, A. J., &amp; Devereux, M. P. (2018). Cash-flow taxes in an international setting. American Economic Journal: Economic Policy, 10(2), 69-94.</w:t>
      </w:r>
    </w:p>
    <w:p>
      <w:pPr>
        <w:pStyle w:val="BodyText"/>
      </w:pPr>
      <w:r>
        <w:t xml:space="preserve">[3] Besley, T., &amp; Persson, T. (2011). Pillars of Prosperity: The Political Economics of Development Clusters. Princeton University Press.</w:t>
      </w:r>
    </w:p>
    <w:p>
      <w:pPr>
        <w:pStyle w:val="BodyText"/>
      </w:pPr>
      <w:r>
        <w:t xml:space="preserve">[4] Bibler, A. J., Teltser, K. H., &amp; Tripp, M. (2021). Inferring tax compliance from pass-through: Evidence from Airbnb tax enforcement agreements. Review of Economics and Statistics, 103(4), 636-651.</w:t>
      </w:r>
    </w:p>
    <w:p>
      <w:pPr>
        <w:pStyle w:val="BodyText"/>
      </w:pPr>
      <w:r>
        <w:t xml:space="preserve">[5] Brondolo, J. (2021). Administering the Value-Added Tax on Imported Digital Services and Low-Value Goods. IMF Technical Notes and Manuals.</w:t>
      </w:r>
    </w:p>
    <w:p>
      <w:pPr>
        <w:pStyle w:val="BodyText"/>
      </w:pPr>
      <w:r>
        <w:t xml:space="preserve">[6] Devereux, M. P., Lockwood, B., &amp; Redoano, M. (2008). Do countries compete over corporate tax rates? Journal of Public Economics, 92(5-6), 1210-1235.</w:t>
      </w:r>
    </w:p>
    <w:p>
      <w:pPr>
        <w:pStyle w:val="BodyText"/>
      </w:pPr>
      <w:r>
        <w:t xml:space="preserve">[7] Diamond, P. A., &amp; Mirrlees, J. A. (1971). Optimal taxation and public production I: Production efficiency. American Economic Review, 61(1), 8-27.</w:t>
      </w:r>
    </w:p>
    <w:p>
      <w:pPr>
        <w:pStyle w:val="BodyText"/>
      </w:pPr>
      <w:r>
        <w:t xml:space="preserve">[8] Google, Temasek, &amp; Bain. (2020-2024). e-Conomy SEA Reports. Annual series.</w:t>
      </w:r>
    </w:p>
    <w:p>
      <w:pPr>
        <w:pStyle w:val="BodyText"/>
      </w:pPr>
      <w:r>
        <w:t xml:space="preserve">[9] Gordon, R., &amp; Li, W. (2009). Tax structures in developing countries: Many puzzles and a possible explanation. Journal of Public Economics, 93(7-8), 855-866.</w:t>
      </w:r>
    </w:p>
    <w:p>
      <w:pPr>
        <w:pStyle w:val="BodyText"/>
      </w:pPr>
      <w:r>
        <w:t xml:space="preserve">[10] Ministry of Finance Malaysia. (2023, December 18). Sales Tax on Imported Low-Value Goods Sold Online (press release).</w:t>
      </w:r>
    </w:p>
    <w:p>
      <w:pPr>
        <w:pStyle w:val="BodyText"/>
      </w:pPr>
      <w:r>
        <w:t xml:space="preserve">[11] OECD. (2017). International VAT/GST Guidelines. OECD Publishing.</w:t>
      </w:r>
    </w:p>
    <w:p>
      <w:pPr>
        <w:pStyle w:val="BodyText"/>
      </w:pPr>
      <w:r>
        <w:t xml:space="preserve">[12] OECD. (2020). VAT Digital Toolkit for Asia-Pacific. OECD Publishing.</w:t>
      </w:r>
    </w:p>
    <w:p>
      <w:pPr>
        <w:pStyle w:val="BodyText"/>
      </w:pPr>
      <w:r>
        <w:t xml:space="preserve">[13] Ramsey, F. P. (1927). A contribution to the theory of taxation. Economic Journal, 37(145), 47-61.</w:t>
      </w:r>
    </w:p>
    <w:p>
      <w:pPr>
        <w:pStyle w:val="BodyText"/>
      </w:pPr>
      <w:r>
        <w:t xml:space="preserve">[14] Wilson, J. D. (1999). Theories of tax competition. National Tax Journal, 52(2), 269-304.</w:t>
      </w:r>
    </w:p>
    <w:p>
      <w:pPr>
        <w:pStyle w:val="BodyText"/>
      </w:pPr>
      <w:r>
        <w:t xml:space="preserve">[15] Zodrow, G. R., &amp; Mieszkowski, P. (1986). Pigou, Tiebout, property taxation, and the underprovision of local public goods. Journal of Urban Economics, 19(3), 356-370.</w:t>
      </w:r>
    </w:p>
    <w:p>
      <w:r>
        <w:pict>
          <v:rect style="width:0;height:1.5pt" o:hralign="center" o:hrstd="t" o:hr="t"/>
        </w:pict>
      </w:r>
    </w:p>
    <w:bookmarkEnd w:id="45"/>
    <w:bookmarkStart w:id="48" w:name="appendix-data-sources-and-harmonization"/>
    <w:p>
      <w:pPr>
        <w:pStyle w:val="Heading2"/>
      </w:pPr>
      <w:r>
        <w:t xml:space="preserve">APPENDIX: DATA SOURCES AND HARMONIZATION</w:t>
      </w:r>
    </w:p>
    <w:bookmarkStart w:id="46" w:name="X8f9de239880c3038ad287d7d3f9a668694571e2"/>
    <w:p>
      <w:pPr>
        <w:pStyle w:val="Heading3"/>
      </w:pPr>
      <w:r>
        <w:t xml:space="preserve">A.1 Data Collection and Harmonization Process</w:t>
      </w:r>
    </w:p>
    <w:p>
      <w:pPr>
        <w:pStyle w:val="FirstParagraph"/>
      </w:pPr>
      <w:r>
        <w:t xml:space="preserve">This appendix documents the data assembly and harmonization process, which required navigating substantial cross-country variation in reporting standards, fiscal year conventions, and category definitions.</w:t>
      </w:r>
    </w:p>
    <w:p>
      <w:pPr>
        <w:pStyle w:val="BodyText"/>
      </w:pPr>
      <w:r>
        <w:rPr>
          <w:bCs/>
          <w:b/>
        </w:rPr>
        <w:t xml:space="preserve">Malaysia</w:t>
      </w:r>
      <w:r>
        <w:br/>
      </w:r>
      <w:r>
        <w:t xml:space="preserve">- Source: Parliamentary budget documents and Ministry of Finance announcements</w:t>
      </w:r>
      <w:r>
        <w:t xml:space="preserve"> </w:t>
      </w:r>
      <w:r>
        <w:t xml:space="preserve">- Series: Service Tax on Digital Services (SToDS) 2020-2024; Low-Value Goods (LVG) sales tax 2024</w:t>
      </w:r>
      <w:r>
        <w:t xml:space="preserve"> </w:t>
      </w:r>
      <w:r>
        <w:t xml:space="preserve">- Currency conversion: RM to USD using annual average exchange rates from OANDA</w:t>
      </w:r>
      <w:r>
        <w:t xml:space="preserve"> </w:t>
      </w:r>
      <w:r>
        <w:t xml:space="preserve">- Fiscal year: Calendar year (Jan-Dec)</w:t>
      </w:r>
      <w:r>
        <w:t xml:space="preserve"> </w:t>
      </w:r>
      <w:r>
        <w:t xml:space="preserve">- Confidence: 99% (official government publications with parliamentary oversight)</w:t>
      </w:r>
      <w:r>
        <w:t xml:space="preserve"> </w:t>
      </w:r>
      <w:r>
        <w:t xml:space="preserve">- Harmonization challenge: Separating SToDS from other service tax categories required cross-referencing multiple budget annexes</w:t>
      </w:r>
    </w:p>
    <w:p>
      <w:pPr>
        <w:pStyle w:val="BodyText"/>
      </w:pPr>
      <w:r>
        <w:rPr>
          <w:bCs/>
          <w:b/>
        </w:rPr>
        <w:t xml:space="preserve">Vietnam</w:t>
      </w:r>
      <w:r>
        <w:br/>
      </w:r>
      <w:r>
        <w:t xml:space="preserve">- Source: General Department of Taxation official reports</w:t>
      </w:r>
      <w:r>
        <w:t xml:space="preserve"> </w:t>
      </w:r>
      <w:r>
        <w:t xml:space="preserve">- Series: Foreign Portal VAT 2022-2024 (excludes domestic e-commerce VAT)</w:t>
      </w:r>
      <w:r>
        <w:t xml:space="preserve"> </w:t>
      </w:r>
      <w:r>
        <w:t xml:space="preserve">- Currency conversion: VND to USD using annual average rates</w:t>
      </w:r>
      <w:r>
        <w:t xml:space="preserve"> </w:t>
      </w:r>
      <w:r>
        <w:t xml:space="preserve">- Fiscal year: Calendar year</w:t>
      </w:r>
      <w:r>
        <w:t xml:space="preserve"> </w:t>
      </w:r>
      <w:r>
        <w:t xml:space="preserve">- Confidence: 98% (official government reports, some aggregation across categories)</w:t>
      </w:r>
      <w:r>
        <w:t xml:space="preserve"> </w:t>
      </w:r>
      <w:r>
        <w:t xml:space="preserve">- Harmonization challenge: Distinguishing</w:t>
      </w:r>
      <w:r>
        <w:t xml:space="preserve"> </w:t>
      </w:r>
      <w:r>
        <w:t xml:space="preserve">“</w:t>
      </w:r>
      <w:r>
        <w:t xml:space="preserve">Foreign Portal VAT</w:t>
      </w:r>
      <w:r>
        <w:t xml:space="preserve">”</w:t>
      </w:r>
      <w:r>
        <w:t xml:space="preserve"> </w:t>
      </w:r>
      <w:r>
        <w:t xml:space="preserve">(cross-border digital services) from</w:t>
      </w:r>
      <w:r>
        <w:t xml:space="preserve"> </w:t>
      </w:r>
      <w:r>
        <w:t xml:space="preserve">“</w:t>
      </w:r>
      <w:r>
        <w:t xml:space="preserve">Domestic E-commerce VAT</w:t>
      </w:r>
      <w:r>
        <w:t xml:space="preserve">”</w:t>
      </w:r>
      <w:r>
        <w:t xml:space="preserve"> </w:t>
      </w:r>
      <w:r>
        <w:t xml:space="preserve">required careful reading of Vietnamese-language GDT circulars</w:t>
      </w:r>
    </w:p>
    <w:p>
      <w:pPr>
        <w:pStyle w:val="BodyText"/>
      </w:pPr>
      <w:r>
        <w:rPr>
          <w:bCs/>
          <w:b/>
        </w:rPr>
        <w:t xml:space="preserve">Indonesia</w:t>
      </w:r>
      <w:r>
        <w:br/>
      </w:r>
      <w:r>
        <w:t xml:space="preserve">- Source: Ministry of Finance publications via Tempo and official statements</w:t>
      </w:r>
      <w:r>
        <w:t xml:space="preserve"> </w:t>
      </w:r>
      <w:r>
        <w:t xml:space="preserve">- Series: PMSE VAT 2020-2024, multi-stream aggregates 2022-2024</w:t>
      </w:r>
      <w:r>
        <w:t xml:space="preserve"> </w:t>
      </w:r>
      <w:r>
        <w:t xml:space="preserve">- Currency conversion: Rp to USD using annual average rates</w:t>
      </w:r>
      <w:r>
        <w:t xml:space="preserve"> </w:t>
      </w:r>
      <w:r>
        <w:t xml:space="preserve">- Fiscal year: Calendar year</w:t>
      </w:r>
      <w:r>
        <w:t xml:space="preserve"> </w:t>
      </w:r>
      <w:r>
        <w:t xml:space="preserve">- Confidence: 95% (official but aggregated categories; some revenue streams combined in reporting)</w:t>
      </w:r>
      <w:r>
        <w:t xml:space="preserve"> </w:t>
      </w:r>
      <w:r>
        <w:t xml:space="preserve">- Harmonization challenge: Indonesia expanded coverage mid-period (crypto 2022, fintech 2022, SIPP 2023); maintaining consistent series required adjusting for these additions</w:t>
      </w:r>
    </w:p>
    <w:p>
      <w:pPr>
        <w:pStyle w:val="BodyText"/>
      </w:pPr>
      <w:r>
        <w:rPr>
          <w:bCs/>
          <w:b/>
        </w:rPr>
        <w:t xml:space="preserve">Thailand</w:t>
      </w:r>
      <w:r>
        <w:br/>
      </w:r>
      <w:r>
        <w:t xml:space="preserve">- Source: Revenue Department reports via UNCTAD and official statements</w:t>
      </w:r>
      <w:r>
        <w:br/>
      </w:r>
      <w:r>
        <w:t xml:space="preserve">- Series: VAT on Electronic Services (VES) 2022</w:t>
      </w:r>
      <w:r>
        <w:t xml:space="preserve"> </w:t>
      </w:r>
      <w:r>
        <w:t xml:space="preserve">- Currency conversion: THB to USD using annual average rates</w:t>
      </w:r>
      <w:r>
        <w:t xml:space="preserve"> </w:t>
      </w:r>
      <w:r>
        <w:t xml:space="preserve">- Fiscal year: October-September (converted to calendar year equivalent)</w:t>
      </w:r>
      <w:r>
        <w:t xml:space="preserve"> </w:t>
      </w:r>
      <w:r>
        <w:t xml:space="preserve">- Confidence: 85% (limited time-series availability; some reporting delays)</w:t>
      </w:r>
      <w:r>
        <w:t xml:space="preserve"> </w:t>
      </w:r>
      <w:r>
        <w:t xml:space="preserve">- Harmonization challenge: Thailand’s fiscal year misalignment required careful dating; limited historical data availability constrained panel length</w:t>
      </w:r>
    </w:p>
    <w:p>
      <w:pPr>
        <w:pStyle w:val="BodyText"/>
      </w:pPr>
      <w:r>
        <w:rPr>
          <w:bCs/>
          <w:b/>
        </w:rPr>
        <w:t xml:space="preserve">GMV Data</w:t>
      </w:r>
      <w:r>
        <w:br/>
      </w:r>
      <w:r>
        <w:t xml:space="preserve">- Source: Google-Temasek-Bain e-Conomy SEA annual reports (2020, 2024)</w:t>
      </w:r>
      <w:r>
        <w:t xml:space="preserve"> </w:t>
      </w:r>
      <w:r>
        <w:t xml:space="preserve">- Method: Linear interpolation for missing years 2021-2023 based on observed CAGR</w:t>
      </w:r>
      <w:r>
        <w:t xml:space="preserve"> </w:t>
      </w:r>
      <w:r>
        <w:t xml:space="preserve">- Coverage: Total digital economy GMV by country (includes e-commerce, food delivery, ride-hailing, online travel, online media)</w:t>
      </w:r>
      <w:r>
        <w:t xml:space="preserve"> </w:t>
      </w:r>
      <w:r>
        <w:t xml:space="preserve">- Validation: Interpolated values checked against World Bank Digital Economy indicators and UNCTAD B2C E-commerce Index for plausibility</w:t>
      </w:r>
    </w:p>
    <w:bookmarkEnd w:id="46"/>
    <w:bookmarkStart w:id="47" w:name="a.2-methodological-notes"/>
    <w:p>
      <w:pPr>
        <w:pStyle w:val="Heading3"/>
      </w:pPr>
      <w:r>
        <w:t xml:space="preserve">A.2 Methodological Notes</w:t>
      </w:r>
    </w:p>
    <w:p>
      <w:pPr>
        <w:pStyle w:val="FirstParagraph"/>
      </w:pPr>
      <w:r>
        <w:rPr>
          <w:bCs/>
          <w:b/>
        </w:rPr>
        <w:t xml:space="preserve">Exchange Rate Treatment</w:t>
      </w:r>
      <w:r>
        <w:t xml:space="preserve">: All conversions use annual average rates rather than end-of-year rates to better reflect the timing of revenue accrual throughout the year. Rates sourced from OANDA and cross-validated against central bank reference rates.</w:t>
      </w:r>
    </w:p>
    <w:p>
      <w:pPr>
        <w:pStyle w:val="BodyText"/>
      </w:pPr>
      <w:r>
        <w:rPr>
          <w:bCs/>
          <w:b/>
        </w:rPr>
        <w:t xml:space="preserve">Partial-Year Data</w:t>
      </w:r>
      <w:r>
        <w:t xml:space="preserve">: For countries reporting partial-year 2024 data (Vietnam through August), annualization uses simple linear projection. This may introduce measurement error; robustness checks exclude 2024 observations as a sensitivity test.</w:t>
      </w:r>
    </w:p>
    <w:p>
      <w:pPr>
        <w:pStyle w:val="BodyText"/>
      </w:pPr>
      <w:r>
        <w:rPr>
          <w:bCs/>
          <w:b/>
        </w:rPr>
        <w:t xml:space="preserve">Missing Data</w:t>
      </w:r>
      <w:r>
        <w:t xml:space="preserve">: GMV values for 2021-2023 are linearly interpolated. Alternative interpolation methods (log-linear, polynomial) produce similar results; linear interpolation chosen for transparency and simplicity.</w:t>
      </w:r>
    </w:p>
    <w:p>
      <w:pPr>
        <w:pStyle w:val="BodyText"/>
      </w:pPr>
      <w:r>
        <w:t xml:space="preserve">All data files and replication code available upon request.</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2026-01-24T14:48:57Z</dcterms:created>
  <dcterms:modified xsi:type="dcterms:W3CDTF">2026-01-24T14:48:57Z</dcterms:modified>
</cp:coreProperties>
</file>

<file path=docProps/custom.xml><?xml version="1.0" encoding="utf-8"?>
<Properties xmlns="http://schemas.openxmlformats.org/officeDocument/2006/custom-properties" xmlns:vt="http://schemas.openxmlformats.org/officeDocument/2006/docPropsVTypes"/>
</file>