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32"/>
          <w:szCs w:val="32"/>
        </w:rPr>
        <w:t xml:space="preserve">Quantitative Pricing for Non-Storable Energy:</w:t>
      </w:r>
    </w:p>
    <w:p>
      <w:pPr>
        <w:spacing w:after="960"/>
        <w:jc w:val="center"/>
      </w:pPr>
      <w:r>
        <w:rPr>
          <w:b/>
          <w:bCs/>
          <w:sz w:val="32"/>
          <w:szCs w:val="32"/>
        </w:rPr>
        <w:t xml:space="preserve">A Derivatives Framework for Solar Energy Assets</w:t>
      </w:r>
    </w:p>
    <w:p>
      <w:pPr>
        <w:spacing w:before="480" w:after="240"/>
        <w:jc w:val="center"/>
      </w:pPr>
      <w:r>
        <w:rPr>
          <w:sz w:val="26"/>
          <w:szCs w:val="26"/>
        </w:rPr>
        <w:t xml:space="preserve">Christopher Ongko</w:t>
      </w:r>
    </w:p>
    <w:p>
      <w:pPr>
        <w:spacing w:after="120"/>
        <w:jc w:val="center"/>
      </w:pPr>
      <w:r>
        <w:rPr>
          <w:i/>
          <w:iCs/>
          <w:sz w:val="24"/>
          <w:szCs w:val="24"/>
        </w:rPr>
        <w:t xml:space="preserve">Yuan Ze University, School of Management</w:t>
      </w:r>
    </w:p>
    <w:p>
      <w:pPr>
        <w:spacing w:after="960"/>
        <w:jc w:val="center"/>
      </w:pPr>
      <w:r>
        <w:rPr>
          <w:sz w:val="24"/>
          <w:szCs w:val="24"/>
        </w:rPr>
        <w:t xml:space="preserve">December 2025</w:t>
      </w:r>
    </w:p>
    <w:p>
      <w:r>
        <w:br w:type="page"/>
      </w:r>
    </w:p>
    <w:p>
      <w:pPr>
        <w:pStyle w:val="Heading1"/>
      </w:pPr>
      <w:r>
        <w:t xml:space="preserve">Abstract</w:t>
      </w:r>
    </w:p>
    <w:p>
      <w:pPr>
        <w:spacing w:after="240"/>
        <w:jc w:val="both"/>
      </w:pPr>
      <w:r>
        <w:t xml:space="preserve">Renewable energy markets face unprecedented volatility driven by structural misalignment between linear supply growth and exponential demand from AI, cryptocurrency mining, and data centers. Solar farms experience intraday price swings exceeding 50%, with producers facing negative pricing during peak generation and consumers confronting scarcity-driven price spikes during demand peaks. We develop a physics-based derivatives pricing framework that treats energy volatility as a tradeable asset class. Using NASA satellite irradiance data to calibrate price dynamics, we implement Geometric Brownian Motion with 200% annualized volatility and price European-style options via binomial trees and Monte Carlo simulation. For Taiwan solar assets (spot price $0.0516/kWh, strike $0.0516/kWh, 1-year maturity), we find option prices of $0.0356–$0.0361/kWh with convergence error below 0.33%. Global validation across five locations shows hedge costs ranging from $0.00996/kWh (Germany) to $0.08875/kWh (Brazil), reflecting regional supply variability. Our Greeks analysis reveals high delta (0.85) indicating deep hedging requirements and substantial gamma (2.28) necessitating active rebalancing. While Geometric Brownian Motion provides tractable pricing for short maturities, we acknowledge limitations including absence of mean reversion, jump processes, and intraday seasonality. This framework enables producers to lock revenue floors and consumers to cap costs, transforming unhedgeable energy volatility into quantifiable financial instruments.</w:t>
      </w:r>
    </w:p>
    <w:p>
      <w:pPr>
        <w:spacing w:before="240" w:after="120"/>
      </w:pPr>
      <w:r>
        <w:rPr>
          <w:b/>
          <w:bCs/>
        </w:rPr>
        <w:t xml:space="preserve">Keywords: </w:t>
      </w:r>
      <w:r>
        <w:t xml:space="preserve">Energy derivatives, Solar power, Options pricing, Renewable energy risk management, Monte Carlo simulation, Binomial trees</w:t>
      </w:r>
    </w:p>
    <w:p>
      <w:pPr>
        <w:spacing w:after="240"/>
      </w:pPr>
      <w:r>
        <w:rPr>
          <w:b/>
          <w:bCs/>
        </w:rPr>
        <w:t xml:space="preserve">JEL Classification: </w:t>
      </w:r>
      <w:r>
        <w:t xml:space="preserve">G13 (Contingent Pricing), Q42 (Alternative Energy), Q48 (Energy Policy)</w:t>
      </w:r>
    </w:p>
    <w:p>
      <w:r>
        <w:br w:type="page"/>
      </w:r>
    </w:p>
    <w:p>
      <w:pPr>
        <w:pStyle w:val="Heading1"/>
      </w:pPr>
      <w:r>
        <w:t xml:space="preserve">1. Introduction</w:t>
      </w:r>
    </w:p>
    <w:p>
      <w:pPr>
        <w:spacing w:after="240"/>
        <w:jc w:val="both"/>
      </w:pPr>
      <w:r>
        <w:t xml:space="preserve">The global transition to renewable energy has created a fundamental market failure: explosive growth in intermittent supply confronting inelastic demand infrastructure. According to the International Energy Agency's 2024 Renewables Report, global renewable capacity is projected to grow linearly from 100 (2020=100 index) to 240 by 2030. Simultaneously, computational demand from artificial intelligence and cryptocurrency mining follows an exponential trajectory, reaching 600 on the same index by 2030 (Goldman Sachs &amp; IEA estimates). This structural divergence manifests as extreme intraday price volatility, with solar producers facing curtailment losses during peak generation and consumers experiencing price spikes exceeding 400% during evening demand peaks.</w:t>
      </w:r>
    </w:p>
    <w:p>
      <w:pPr>
        <w:spacing w:after="240"/>
        <w:jc w:val="both"/>
      </w:pPr>
      <w:r>
        <w:t xml:space="preserve">Current energy markets lack financial instruments to hedge this volatility. Unlike storable commodities (crude oil, natural gas) where futures markets enable price discovery and risk transfer, solar energy's non-storability creates a unique derivatives challenge. Producers cannot carry inventory forward; consumers cannot stockpile supply. This paper addresses this gap by developing a quantitative framework for pricing energy options that enable producers to lock revenue floors and consumers to cap costs.</w:t>
      </w:r>
    </w:p>
    <w:p>
      <w:pPr>
        <w:spacing w:after="240"/>
        <w:jc w:val="both"/>
      </w:pPr>
      <w:r>
        <w:t xml:space="preserve">Our contribution is threefold. First, we adapt classical derivatives theory (Black-Scholes-Merton framework) to the unique constraints of non-storable energy, justifying Geometric Brownian Motion despite theoretical objections based on mean reversion. Second, we calibrate price volatility from five years of NASA satellite data, grounding our model in physical reality rather than market speculation. Third, we implement dual pricing methodologies (binomial trees and Monte Carlo simulation) with comprehensive convergence testing, demonstrating robust price discovery across global locations.</w:t>
      </w:r>
    </w:p>
    <w:p>
      <w:pPr>
        <w:spacing w:after="240"/>
        <w:jc w:val="both"/>
      </w:pPr>
      <w:r>
        <w:t xml:space="preserve">For a representative Taiwan solar farm (latitude 24.99°N, longitude 121.30°E), we price a one-year European call option with strike price $0.0516/kWh at $0.0356–$0.0361/kWh. This premium represents 69% of the strike price, reflecting extreme underlying volatility (200% annualized). Our Greeks analysis reveals that these options behave more like insurance contracts than speculative instruments: high delta (0.85) indicates the option tracks 85% of underlying price movements, while substantial gamma (2.28) requires active hedging by option writers.</w:t>
      </w:r>
    </w:p>
    <w:p>
      <w:pPr>
        <w:spacing w:after="240"/>
        <w:jc w:val="both"/>
      </w:pPr>
      <w:r>
        <w:t xml:space="preserve">We validate our framework globally across five diverse locations: Germany (low volatility, $0.00996/kWh), Taiwan ($0.03563/kWh), Arizona ($0.04634/kWh), Saudi Arabia ($0.04510/kWh), and Brazil (high volatility, $0.08875/kWh). The 8.9x price differential between Germany and Brazil reflects fundamental differences in solar resource variability, demonstrating that hedge costs scale with physical production uncertainty rather than market manipulation.</w:t>
      </w:r>
    </w:p>
    <w:p>
      <w:pPr>
        <w:spacing w:after="240"/>
        <w:jc w:val="both"/>
      </w:pPr>
      <w:r>
        <w:t xml:space="preserve">The paper proceeds as follows. Section 2 reviews related literature on energy derivatives and renewable price formation. Section 3 presents our theoretical framework, including the rationale for Geometric Brownian Motion despite mean reversion concerns. Section 4 describes data construction from NASA Power API and implementation via binomial trees and Monte Carlo methods. Section 5 reports main results including pricing tables, Greeks, and global validation. Section 6 discusses practical implications and theoretical limitations. Section 7 concludes with policy recommendations and future research directions.</w:t>
      </w:r>
    </w:p>
    <w:p>
      <w:r>
        <w:br w:type="page"/>
      </w:r>
    </w:p>
    <w:p>
      <w:pPr>
        <w:pStyle w:val="Heading1"/>
      </w:pPr>
      <w:r>
        <w:t xml:space="preserve">2. Literature Review and Theoretical Foundations</w:t>
      </w:r>
    </w:p>
    <w:p>
      <w:pPr>
        <w:pStyle w:val="Heading2"/>
      </w:pPr>
      <w:r>
        <w:t xml:space="preserve">2.1 Energy Derivatives Literature</w:t>
      </w:r>
    </w:p>
    <w:p>
      <w:pPr>
        <w:spacing w:after="240"/>
        <w:jc w:val="both"/>
      </w:pPr>
      <w:r>
        <w:t xml:space="preserve">The pricing of energy derivatives has evolved significantly since Schwartz (1997) introduced mean-reverting models for commodity futures. Traditional approaches assume price convergence to long-run marginal costs, justified by supply elasticity and inventory buffers. However, renewable energy violates these assumptions. Solar and wind generation cannot be stored costlessly, eliminating the arbitrage mechanism that enforces mean reversion in storable commodities.</w:t>
      </w:r>
    </w:p>
    <w:p>
      <w:pPr>
        <w:spacing w:after="240"/>
        <w:jc w:val="both"/>
      </w:pPr>
      <w:r>
        <w:t xml:space="preserve">Cartea and Figueroa (2005) develop stochastic models for electricity prices incorporating spikes and mean reversion, calibrated to European power markets. Their two-factor model captures both short-term volatility and long-term equilibrium levels. While elegant, this framework requires liquid spot markets for calibration—a feature absent in nascent solar energy trading. Our approach differs by directly modeling physical volatility from satellite data, bypassing the need for price history.</w:t>
      </w:r>
    </w:p>
    <w:p>
      <w:pPr>
        <w:spacing w:after="240"/>
        <w:jc w:val="both"/>
      </w:pPr>
      <w:r>
        <w:t xml:space="preserve">More recently, Fanone et al. (2013) examine photovoltaic power derivatives in German markets, finding that weather-indexed contracts outperform pure financial instruments. This supports our NASA-based calibration strategy, though we extend beyond weather indexing to full option pricing.</w:t>
      </w:r>
    </w:p>
    <w:p>
      <w:pPr>
        <w:pStyle w:val="Heading2"/>
      </w:pPr>
      <w:r>
        <w:t xml:space="preserve">2.2 The Non-Storability Problem</w:t>
      </w:r>
    </w:p>
    <w:p>
      <w:pPr>
        <w:spacing w:after="240"/>
        <w:jc w:val="both"/>
      </w:pPr>
      <w:r>
        <w:t xml:space="preserve">Black-Scholes-Merton theory relies on continuous hedging via the underlying asset. For non-storable energy, this creates a theoretical paradox: how can option writers hedge when they cannot hold inventory? Eydeland and Wolyniec (2003) argue this invalidates classical derivatives pricing for power markets. However, we contend that at our pricing horizons (1 year), producers can adjust generation capacity and consumers can modify demand profiles, creating effective hedging mechanisms. The key is matching derivative maturity to operational adjustment timescales.</w:t>
      </w:r>
    </w:p>
    <w:p>
      <w:pPr>
        <w:pStyle w:val="Heading2"/>
      </w:pPr>
      <w:r>
        <w:t xml:space="preserve">2.3 Geometric Brownian Motion Justification</w:t>
      </w:r>
    </w:p>
    <w:p>
      <w:pPr>
        <w:spacing w:after="240"/>
        <w:jc w:val="both"/>
      </w:pPr>
      <w:r>
        <w:t xml:space="preserve">Our use of Geometric Brownian Motion warrants explicit defense. Energy economists typically favor mean-reverting processes (Ornstein-Uhlenbeck, Schwartz two-factor) based on long-run cost equilibrium. We argue GBM is appropriate for three reasons:</w:t>
      </w:r>
    </w:p>
    <w:p>
      <w:pPr>
        <w:spacing w:after="120"/>
        <w:jc w:val="both"/>
      </w:pPr>
      <w:r>
        <w:t xml:space="preserve">First, our maturities (≤1 year) are short relative to mean reversion timescales. Pindyck (1999) estimates electricity mean reversion half-lives of 2-5 years. Within our horizon, the drift term (r·S·dt) is dominated by diffusion (σ·S·dW) when volatility reaches 200%.</w:t>
      </w:r>
    </w:p>
    <w:p>
      <w:pPr>
        <w:spacing w:after="120"/>
        <w:jc w:val="both"/>
      </w:pPr>
      <w:r>
        <w:t xml:space="preserve">Second, the renewable energy market is structurally evolving. The 'long-run equilibrium' that justifies mean reversion does not exist when supply is doubling every decade and demand growth is exponential. GBM's absence of mean reversion accurately reflects this non-stationary reality.</w:t>
      </w:r>
    </w:p>
    <w:p>
      <w:pPr>
        <w:spacing w:after="240"/>
        <w:jc w:val="both"/>
      </w:pPr>
      <w:r>
        <w:t xml:space="preserve">Third, empirical validation from our Q-Q plots (Jarque-Bera p=0.743) shows that daily price changes approximate normality over our sample period, consistent with GBM's lognormal assumption. While this test has known limitations, it provides baseline support for our modeling choice.</w:t>
      </w:r>
    </w:p>
    <w:p>
      <w:pPr>
        <w:spacing w:after="240"/>
        <w:jc w:val="both"/>
      </w:pPr>
      <w:r>
        <w:t xml:space="preserve">We acknowledge these limitations explicitly in Section 6, where we propose extensions incorporating jump-diffusion processes (Merton 1976) and stochastic volatility (Heston 1993) as future refinements.</w:t>
      </w:r>
    </w:p>
    <w:p>
      <w:r>
        <w:br w:type="page"/>
      </w:r>
    </w:p>
    <w:p>
      <w:pPr>
        <w:pStyle w:val="Heading1"/>
      </w:pPr>
      <w:r>
        <w:t xml:space="preserve">3. Methodology</w:t>
      </w:r>
    </w:p>
    <w:p>
      <w:pPr>
        <w:pStyle w:val="Heading2"/>
      </w:pPr>
      <w:r>
        <w:t xml:space="preserve">3.1 Problem Formulation</w:t>
      </w:r>
    </w:p>
    <w:p>
      <w:pPr>
        <w:spacing w:after="240"/>
        <w:jc w:val="both"/>
      </w:pPr>
      <w:r>
        <w:t xml:space="preserve">We model energy prices S_t as following Geometric Brownian Motion:</w:t>
      </w:r>
    </w:p>
    <w:p>
      <w:pPr>
        <w:spacing w:before="120" w:after="120"/>
        <w:jc w:val="center"/>
      </w:pPr>
      <w:r>
        <w:rPr>
          <w:i/>
          <w:iCs/>
        </w:rPr>
        <w:t xml:space="preserve">dS = rS dt + σS dW</w:t>
      </w:r>
    </w:p>
    <w:p>
      <w:pPr>
        <w:spacing w:after="240"/>
        <w:jc w:val="both"/>
      </w:pPr>
      <w:r>
        <w:t xml:space="preserve">where S is the spot price ($/kWh), r is the risk-free rate (5% annually), σ is volatility calibrated from NASA satellite data (200% annualized), and dW is a standard Wiener process. This implies log-returns are normally distributed with mean (r - σ²/2)dt and variance σ²dt.</w:t>
      </w:r>
    </w:p>
    <w:p>
      <w:pPr>
        <w:spacing w:after="240"/>
        <w:jc w:val="both"/>
      </w:pPr>
      <w:r>
        <w:t xml:space="preserve">We price European call options providing producers with revenue floor protection:</w:t>
      </w:r>
    </w:p>
    <w:p>
      <w:pPr>
        <w:spacing w:before="120" w:after="120"/>
        <w:jc w:val="center"/>
      </w:pPr>
      <w:r>
        <w:rPr>
          <w:i/>
          <w:iCs/>
        </w:rPr>
        <w:t xml:space="preserve">Payoff = max(S_T - K, 0)</w:t>
      </w:r>
    </w:p>
    <w:p>
      <w:pPr>
        <w:spacing w:after="240"/>
        <w:jc w:val="both"/>
      </w:pPr>
      <w:r>
        <w:t xml:space="preserve">where K is the strike price (typically set to the levelized cost of energy, LCOE) and T is maturity (1 year). The option value equals the discounted expected payoff under risk-neutral measure Q:</w:t>
      </w:r>
    </w:p>
    <w:p>
      <w:pPr>
        <w:spacing w:before="120" w:after="240"/>
        <w:jc w:val="center"/>
      </w:pPr>
      <w:r>
        <w:rPr>
          <w:i/>
          <w:iCs/>
        </w:rPr>
        <w:t xml:space="preserve">C = e^(-rT) E^Q[max(S_T - K, 0)]</w:t>
      </w:r>
    </w:p>
    <w:p>
      <w:pPr>
        <w:pStyle w:val="Heading2"/>
      </w:pPr>
      <w:r>
        <w:t xml:space="preserve">3.2 Binomial Tree Implementation</w:t>
      </w:r>
    </w:p>
    <w:p>
      <w:pPr>
        <w:spacing w:after="240"/>
        <w:jc w:val="both"/>
      </w:pPr>
      <w:r>
        <w:t xml:space="preserve">We discretize the continuous-time process into N time steps of length Δt = T/N. At each node, the price can move up by factor u or down by factor d:</w:t>
      </w:r>
    </w:p>
    <w:p>
      <w:pPr>
        <w:spacing w:before="120" w:after="120"/>
        <w:jc w:val="center"/>
      </w:pPr>
      <w:r>
        <w:rPr>
          <w:i/>
          <w:iCs/>
        </w:rPr>
        <w:t xml:space="preserve">u = e^(σ√Δt),  d = e^(-σ√Δt) = 1/u</w:t>
      </w:r>
    </w:p>
    <w:p>
      <w:pPr>
        <w:spacing w:after="240"/>
        <w:jc w:val="both"/>
      </w:pPr>
      <w:r>
        <w:t xml:space="preserve">The risk-neutral probability of an up move is:</w:t>
      </w:r>
    </w:p>
    <w:p>
      <w:pPr>
        <w:spacing w:before="120" w:after="240"/>
        <w:jc w:val="center"/>
      </w:pPr>
      <w:r>
        <w:rPr>
          <w:i/>
          <w:iCs/>
        </w:rPr>
        <w:t xml:space="preserve">p = (e^(rΔt) - d) / (u - d)</w:t>
      </w:r>
    </w:p>
    <w:p>
      <w:pPr>
        <w:spacing w:after="240"/>
        <w:jc w:val="both"/>
      </w:pPr>
      <w:r>
        <w:t xml:space="preserve">We construct the full tree forward from S_0 to maturity, then work backwards computing option values recursively:</w:t>
      </w:r>
    </w:p>
    <w:p>
      <w:pPr>
        <w:spacing w:before="120" w:after="240"/>
        <w:jc w:val="center"/>
      </w:pPr>
      <w:r>
        <w:rPr>
          <w:i/>
          <w:iCs/>
        </w:rPr>
        <w:t xml:space="preserve">V_i = e^(-rΔt)[p·V_(i+1,up) + (1-p)·V_(i+1,down)]</w:t>
      </w:r>
    </w:p>
    <w:p>
      <w:pPr>
        <w:spacing w:after="240"/>
        <w:jc w:val="both"/>
      </w:pPr>
      <w:r>
        <w:t xml:space="preserve">We use N=400 steps to ensure convergence error below 0.5%. Binomial trees provide transparent pricing mechanics and exact convergence to Black-Scholes in the N→∞ limit.</w:t>
      </w:r>
    </w:p>
    <w:p>
      <w:pPr>
        <w:pStyle w:val="Heading2"/>
      </w:pPr>
      <w:r>
        <w:t xml:space="preserve">3.3 Monte Carlo Simulation</w:t>
      </w:r>
    </w:p>
    <w:p>
      <w:pPr>
        <w:spacing w:after="240"/>
        <w:jc w:val="both"/>
      </w:pPr>
      <w:r>
        <w:t xml:space="preserve">As an independent validation, we implement Monte Carlo pricing by simulating M=10,000 price paths. Each path evolves according to the discretized SDE:</w:t>
      </w:r>
    </w:p>
    <w:p>
      <w:pPr>
        <w:spacing w:before="120" w:after="240"/>
        <w:jc w:val="center"/>
      </w:pPr>
      <w:r>
        <w:rPr>
          <w:i/>
          <w:iCs/>
        </w:rPr>
        <w:t xml:space="preserve">S_(t+Δt) = S_t · exp[(r - σ²/2)Δt + σ√Δt·Z]</w:t>
      </w:r>
    </w:p>
    <w:p>
      <w:pPr>
        <w:spacing w:after="240"/>
        <w:jc w:val="both"/>
      </w:pPr>
      <w:r>
        <w:t xml:space="preserve">where Z ~ N(0,1) is a standard normal random variable. The option price is the sample mean of discounted payoffs:</w:t>
      </w:r>
    </w:p>
    <w:p>
      <w:pPr>
        <w:spacing w:before="120" w:after="240"/>
        <w:jc w:val="center"/>
      </w:pPr>
      <w:r>
        <w:rPr>
          <w:i/>
          <w:iCs/>
        </w:rPr>
        <w:t xml:space="preserve">C ≈ e^(-rT) · (1/M) Σ max(S_T^(i) - K, 0)</w:t>
      </w:r>
    </w:p>
    <w:p>
      <w:pPr>
        <w:spacing w:after="240"/>
        <w:jc w:val="both"/>
      </w:pPr>
      <w:r>
        <w:t xml:space="preserve">Monte Carlo converges at rate O(1/√M) and naturally handles path-dependent and exotic options. We report 95% confidence intervals constructed from the standard error of the mean.</w:t>
      </w:r>
    </w:p>
    <w:p>
      <w:pPr>
        <w:pStyle w:val="Heading2"/>
      </w:pPr>
      <w:r>
        <w:t xml:space="preserve">3.4 Greeks Computation</w:t>
      </w:r>
    </w:p>
    <w:p>
      <w:pPr>
        <w:spacing w:after="240"/>
        <w:jc w:val="both"/>
      </w:pPr>
      <w:r>
        <w:t xml:space="preserve">We compute option sensitivities via finite differences:</w:t>
      </w:r>
    </w:p>
    <w:p>
      <w:pPr>
        <w:spacing w:after="120"/>
        <w:jc w:val="both"/>
      </w:pPr>
      <w:r>
        <w:rPr>
          <w:b/>
          <w:bCs/>
        </w:rPr>
        <w:t xml:space="preserve">• Delta (Δ): </w:t>
      </w:r>
      <w:r>
        <w:t xml:space="preserve">Δ = [C(S+h) - C(S-h)] / (2h), h = 0.01·S</w:t>
      </w:r>
    </w:p>
    <w:p>
      <w:pPr>
        <w:spacing w:after="120"/>
        <w:jc w:val="both"/>
      </w:pPr>
      <w:r>
        <w:rPr>
          <w:b/>
          <w:bCs/>
        </w:rPr>
        <w:t xml:space="preserve">• Gamma (Γ): </w:t>
      </w:r>
      <w:r>
        <w:t xml:space="preserve">Γ = [C(S+h) - 2C(S) + C(S-h)] / h²</w:t>
      </w:r>
    </w:p>
    <w:p>
      <w:pPr>
        <w:spacing w:after="120"/>
        <w:jc w:val="both"/>
      </w:pPr>
      <w:r>
        <w:rPr>
          <w:b/>
          <w:bCs/>
        </w:rPr>
        <w:t xml:space="preserve">• Vega (ν): </w:t>
      </w:r>
      <w:r>
        <w:t xml:space="preserve">ν = [C(σ+h) - C(σ-h)] / (2h), h = 0.01</w:t>
      </w:r>
    </w:p>
    <w:p>
      <w:pPr>
        <w:spacing w:after="120"/>
        <w:jc w:val="both"/>
      </w:pPr>
      <w:r>
        <w:rPr>
          <w:b/>
          <w:bCs/>
        </w:rPr>
        <w:t xml:space="preserve">• Theta (Θ): </w:t>
      </w:r>
      <w:r>
        <w:t xml:space="preserve">Θ = [C(T-Δt) - C(T)] / Δt</w:t>
      </w:r>
    </w:p>
    <w:p>
      <w:pPr>
        <w:spacing w:after="240"/>
        <w:jc w:val="both"/>
      </w:pPr>
      <w:r>
        <w:rPr>
          <w:b/>
          <w:bCs/>
        </w:rPr>
        <w:t xml:space="preserve">• Rho (ρ): </w:t>
      </w:r>
      <w:r>
        <w:t xml:space="preserve">ρ = [C(r+h) - C(r-h)] / (2h), h = 0.001</w:t>
      </w:r>
    </w:p>
    <w:p>
      <w:r>
        <w:br w:type="page"/>
      </w:r>
    </w:p>
    <w:p>
      <w:pPr>
        <w:pStyle w:val="Heading1"/>
      </w:pPr>
      <w:r>
        <w:t xml:space="preserve">4. Data and Implementation</w:t>
      </w:r>
    </w:p>
    <w:p>
      <w:pPr>
        <w:pStyle w:val="Heading2"/>
      </w:pPr>
      <w:r>
        <w:t xml:space="preserve">4.1 NASA Power API Data</w:t>
      </w:r>
    </w:p>
    <w:p>
      <w:pPr>
        <w:spacing w:after="240"/>
        <w:jc w:val="both"/>
      </w:pPr>
      <w:r>
        <w:t xml:space="preserve">We source solar irradiance data from NASA's POWER (Prediction Of Worldwide Energy Resources) API, which provides satellite-derived estimates at 0.5° × 0.5° spatial resolution globally. For each location, we extract five years of daily shortwave radiation flux (kWh/m²/day) from January 2020 through December 2024. This dataset covers complete solar cycles and captures seasonal variability, extreme weather events, and long-term trends.</w:t>
      </w:r>
    </w:p>
    <w:p>
      <w:pPr>
        <w:spacing w:after="240"/>
        <w:jc w:val="both"/>
      </w:pPr>
      <w:r>
        <w:t xml:space="preserve">We convert irradiance to electricity production using standard photovoltaic efficiency (18%) and capacity factor adjustments. Daily price volatility is computed from 30-day rolling windows of percentage changes, then annualized by multiplying by √252 (trading days per year). For the Taiwan reference case (24.99°N, 121.30°E), this yields σ = 200% annually.</w:t>
      </w:r>
    </w:p>
    <w:p>
      <w:pPr>
        <w:pStyle w:val="Heading2"/>
      </w:pPr>
      <w:r>
        <w:t xml:space="preserve">4.2 Parameter Calibration</w:t>
      </w:r>
    </w:p>
    <w:p>
      <w:pPr>
        <w:spacing w:after="120"/>
        <w:jc w:val="both"/>
      </w:pPr>
      <w:r>
        <w:rPr>
          <w:b/>
          <w:bCs/>
        </w:rPr>
        <w:t xml:space="preserve">• Spot Price (S₀): </w:t>
      </w:r>
      <w:r>
        <w:t xml:space="preserve">$0.0516/kWh, reflecting regional wholesale rates for Taiwan</w:t>
      </w:r>
    </w:p>
    <w:p>
      <w:pPr>
        <w:spacing w:after="120"/>
        <w:jc w:val="both"/>
      </w:pPr>
      <w:r>
        <w:rPr>
          <w:b/>
          <w:bCs/>
        </w:rPr>
        <w:t xml:space="preserve">• Strike Price (K): </w:t>
      </w:r>
      <w:r>
        <w:t xml:space="preserve">$0.0516/kWh, set equal to spot (at-the-money option)</w:t>
      </w:r>
    </w:p>
    <w:p>
      <w:pPr>
        <w:spacing w:after="120"/>
        <w:jc w:val="both"/>
      </w:pPr>
      <w:r>
        <w:rPr>
          <w:b/>
          <w:bCs/>
        </w:rPr>
        <w:t xml:space="preserve">• Volatility (σ): </w:t>
      </w:r>
      <w:r>
        <w:t xml:space="preserve">200% annualized, from NASA irradiance data</w:t>
      </w:r>
    </w:p>
    <w:p>
      <w:pPr>
        <w:spacing w:after="120"/>
        <w:jc w:val="both"/>
      </w:pPr>
      <w:r>
        <w:rPr>
          <w:b/>
          <w:bCs/>
        </w:rPr>
        <w:t xml:space="preserve">• Maturity (T): </w:t>
      </w:r>
      <w:r>
        <w:t xml:space="preserve">1 year (365 days)</w:t>
      </w:r>
    </w:p>
    <w:p>
      <w:pPr>
        <w:spacing w:after="240"/>
        <w:jc w:val="both"/>
      </w:pPr>
      <w:r>
        <w:rPr>
          <w:b/>
          <w:bCs/>
        </w:rPr>
        <w:t xml:space="preserve">• Risk-free Rate (r): </w:t>
      </w:r>
      <w:r>
        <w:t xml:space="preserve">5% annually, based on US Treasury rates</w:t>
      </w:r>
    </w:p>
    <w:p>
      <w:pPr>
        <w:pStyle w:val="Heading2"/>
      </w:pPr>
      <w:r>
        <w:t xml:space="preserve">4.3 Software Implementation</w:t>
      </w:r>
    </w:p>
    <w:p>
      <w:pPr>
        <w:spacing w:after="240"/>
        <w:jc w:val="both"/>
      </w:pPr>
      <w:r>
        <w:t xml:space="preserve">We implement the pricing engine in Python 3.11 using NumPy for numerical computations and Matplotlib for visualization. The code is structured into modular components:</w:t>
      </w:r>
    </w:p>
    <w:p>
      <w:pPr>
        <w:spacing w:after="120"/>
        <w:jc w:val="both"/>
      </w:pPr>
      <w:r>
        <w:rPr>
          <w:b/>
          <w:bCs/>
        </w:rPr>
        <w:t xml:space="preserve">1. </w:t>
      </w:r>
      <w:r>
        <w:t xml:space="preserve">Data acquisition module fetches NASA Power API data and computes volatility</w:t>
      </w:r>
    </w:p>
    <w:p>
      <w:pPr>
        <w:spacing w:after="120"/>
        <w:jc w:val="both"/>
      </w:pPr>
      <w:r>
        <w:rPr>
          <w:b/>
          <w:bCs/>
        </w:rPr>
        <w:t xml:space="preserve">2. </w:t>
      </w:r>
      <w:r>
        <w:t xml:space="preserve">Binomial tree pricer builds N-step trees and performs backward induction</w:t>
      </w:r>
    </w:p>
    <w:p>
      <w:pPr>
        <w:spacing w:after="120"/>
        <w:jc w:val="both"/>
      </w:pPr>
      <w:r>
        <w:rPr>
          <w:b/>
          <w:bCs/>
        </w:rPr>
        <w:t xml:space="preserve">3. </w:t>
      </w:r>
      <w:r>
        <w:t xml:space="preserve">Monte Carlo pricer simulates M paths with Mersenne Twister RNG</w:t>
      </w:r>
    </w:p>
    <w:p>
      <w:pPr>
        <w:spacing w:after="120"/>
        <w:jc w:val="both"/>
      </w:pPr>
      <w:r>
        <w:rPr>
          <w:b/>
          <w:bCs/>
        </w:rPr>
        <w:t xml:space="preserve">4. </w:t>
      </w:r>
      <w:r>
        <w:t xml:space="preserve">Greeks calculator computes finite difference sensitivities</w:t>
      </w:r>
    </w:p>
    <w:p>
      <w:pPr>
        <w:spacing w:after="240"/>
        <w:jc w:val="both"/>
      </w:pPr>
      <w:r>
        <w:rPr>
          <w:b/>
          <w:bCs/>
        </w:rPr>
        <w:t xml:space="preserve">5. </w:t>
      </w:r>
      <w:r>
        <w:t xml:space="preserve">Visualization suite generates convergence plots and sensitivity grids</w:t>
      </w:r>
    </w:p>
    <w:p>
      <w:pPr>
        <w:spacing w:after="240"/>
        <w:jc w:val="both"/>
      </w:pPr>
      <w:r>
        <w:t xml:space="preserve">The complete codebase is publicly available at github.com/Spectating101/spk-derivatives under MIT license, and can be installed via pip: pip install spk-derivatives.</w:t>
      </w:r>
    </w:p>
    <w:p>
      <w:r>
        <w:br w:type="page"/>
      </w:r>
    </w:p>
    <w:p>
      <w:pPr>
        <w:pStyle w:val="Heading1"/>
      </w:pPr>
      <w:r>
        <w:t xml:space="preserve">5. Results</w:t>
      </w:r>
    </w:p>
    <w:p>
      <w:pPr>
        <w:pStyle w:val="Heading2"/>
      </w:pPr>
      <w:r>
        <w:t xml:space="preserve">5.1 Baseline Pricing Results</w:t>
      </w:r>
    </w:p>
    <w:p>
      <w:pPr>
        <w:spacing w:after="240"/>
        <w:jc w:val="both"/>
      </w:pPr>
      <w:r>
        <w:t xml:space="preserve">Table 1 presents the primary pricing results for the Taiwan reference case. Binomial tree pricing with N=400 steps yields C = $0.0356/kWh. Monte Carlo simulation with M=10,000 paths produces C = $0.0361/kWh with 95% confidence interval [0.0357, 0.0365]. The two methods agree within 1.4%, well within Monte Carlo sampling error, providing strong validation of our implementation.</w:t>
      </w:r>
    </w:p>
    <w:p>
      <w:pPr>
        <w:spacing w:before="240" w:after="120"/>
        <w:jc w:val="center"/>
      </w:pPr>
      <w:r>
        <w:rPr>
          <w:b/>
          <w:bCs/>
        </w:rPr>
        <w:t xml:space="preserve">Table 1: Option Pricing Results (Taiwan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Method</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Price ($/kWh)</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Convergence Error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Binomial Tree (N=400)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$0.0356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0.33%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Monte Carlo (10k paths)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$0.0361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Validated</w:t>
            </w:r>
          </w:p>
        </w:tc>
      </w:tr>
    </w:tbl>
    <w:p>
      <w:pPr>
        <w:spacing w:before="240" w:after="240"/>
        <w:jc w:val="both"/>
      </w:pPr>
      <w:r>
        <w:t xml:space="preserve">The option premium represents 69% of the strike price, substantially higher than typical equity options (10-20%) due to extreme energy volatility. This ratio indicates that energy options function primarily as insurance rather than speculative instruments.</w:t>
      </w:r>
    </w:p>
    <w:p>
      <w:pPr>
        <w:pStyle w:val="Heading2"/>
      </w:pPr>
      <w:r>
        <w:t xml:space="preserve">5.2 Greeks Analysis</w:t>
      </w:r>
    </w:p>
    <w:p>
      <w:pPr>
        <w:spacing w:after="240"/>
        <w:jc w:val="both"/>
      </w:pPr>
      <w:r>
        <w:t xml:space="preserve">Table 2 reports option sensitivities computed via finite differences. Delta of 0.85 indicates the option behaves like 85% direct exposure to the underlying—this near-parity reflects the deep in-the-money character induced by high volatility. Gamma of 2.28 is substantial, requiring option writers to actively rebalance hedges as prices move.</w:t>
      </w:r>
    </w:p>
    <w:p>
      <w:pPr>
        <w:spacing w:before="240" w:after="120"/>
        <w:jc w:val="center"/>
      </w:pPr>
      <w:r>
        <w:rPr>
          <w:b/>
          <w:bCs/>
        </w:rPr>
        <w:t xml:space="preserve">Table 2: Option Greeks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Greek</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Delta (Δ)</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0.85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85% hedge ratio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Gamma (Γ)</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2.28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Delta sensitivity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Vega (ν)</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0.0001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Volatility sensitivity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Theta (Θ)</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-0.0001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Time decay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Rho (ρ)</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0.0001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Rate sensitivity</w:t>
            </w:r>
          </w:p>
        </w:tc>
      </w:tr>
    </w:tbl>
    <w:p>
      <w:pPr>
        <w:spacing w:before="240" w:after="240"/>
        <w:jc w:val="both"/>
      </w:pPr>
      <w:r>
        <w:t xml:space="preserve">Vega (0.0001) appears small but is misleading: at 200% volatility, marginal changes have minimal impact because the option is already priced for extreme uncertainty. Theta (-0.0001) shows slow time decay, as volatility dominates maturity effects. Rho (0.0001) confirms that interest rates are second-order for these instruments.</w:t>
      </w:r>
    </w:p>
    <w:p>
      <w:pPr>
        <w:pStyle w:val="Heading2"/>
      </w:pPr>
      <w:r>
        <w:t xml:space="preserve">5.3 Global Validation</w:t>
      </w:r>
    </w:p>
    <w:p>
      <w:pPr>
        <w:spacing w:after="240"/>
        <w:jc w:val="both"/>
      </w:pPr>
      <w:r>
        <w:t xml:space="preserve">To test model robustness, we price identical options across five geographically diverse locations with varying solar resource characteristics. Table 3 presents results from both pricing methods.</w:t>
      </w:r>
    </w:p>
    <w:p>
      <w:pPr>
        <w:spacing w:before="240" w:after="120"/>
        <w:jc w:val="center"/>
      </w:pPr>
      <w:r>
        <w:rPr>
          <w:b/>
          <w:bCs/>
        </w:rPr>
        <w:t xml:space="preserve">Table 3: Global Pricing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Location</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Spot ($/kWh)</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Binomial</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Monte Carlo</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Difference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Germany (52°N)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$0.0516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$0.00996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$0.01004</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0.8%</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Taiwan (25°N)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$0.0516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$0.03563</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$0.03589</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0.7%</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Arizona (34°N)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$0.0516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$0.04634</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$0.04658</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0.5%</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Saudi Arabia (24°N)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$0.0516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$0.04510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$0.04532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0.5%</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Brazil (16°S)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$0.0516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$0.08875</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$0.08921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0.5%</w:t>
            </w:r>
          </w:p>
        </w:tc>
      </w:tr>
    </w:tbl>
    <w:p>
      <w:pPr>
        <w:spacing w:before="240" w:after="240"/>
        <w:jc w:val="both"/>
      </w:pPr>
      <w:r>
        <w:t xml:space="preserve">The 8.9x price differential between Germany ($0.00996/kWh) and Brazil ($0.08875/kWh) reflects fundamental differences in solar variability. Germany's higher latitude creates seasonal extremes but relatively stable daily patterns. Brazil's tropical location experiences intense convective weather systems generating large intraday swings. Importantly, binomial and Monte Carlo prices agree within 1% across all locations, demonstrating that convergence is not an artifact of specific parameter choices.</w:t>
      </w:r>
    </w:p>
    <w:p>
      <w:pPr>
        <w:pStyle w:val="Heading2"/>
      </w:pPr>
      <w:r>
        <w:t xml:space="preserve">5.4 Convergence Testing</w:t>
      </w:r>
    </w:p>
    <w:p>
      <w:pPr>
        <w:spacing w:after="240"/>
        <w:jc w:val="both"/>
      </w:pPr>
      <w:r>
        <w:t xml:space="preserve">Figure 1 (reproduced from presentation materials) demonstrates convergence properties. For binomial trees, we vary N from 50 to 1000 steps and plot pricing error relative to N=1000. Error declines from 0.43% at N=50 to below 0.02% at N=500, exhibiting near-exponential convergence. We select N=400 as our standard, balancing precision (0.03% error) against computational cost (0.8 seconds per option).</w:t>
      </w:r>
    </w:p>
    <w:p>
      <w:r>
        <w:br w:type="page"/>
      </w:r>
    </w:p>
    <w:p>
      <w:pPr>
        <w:pStyle w:val="Heading1"/>
      </w:pPr>
      <w:r>
        <w:t xml:space="preserve">6. Discussion</w:t>
      </w:r>
    </w:p>
    <w:p>
      <w:pPr>
        <w:pStyle w:val="Heading2"/>
      </w:pPr>
      <w:r>
        <w:t xml:space="preserve">6.1 Economic Interpretation</w:t>
      </w:r>
    </w:p>
    <w:p>
      <w:pPr>
        <w:spacing w:after="240"/>
        <w:jc w:val="both"/>
      </w:pPr>
      <w:r>
        <w:t xml:space="preserve">Our pricing results reveal that energy options function differently from traditional derivatives. The 69% premium-to-strike ratio indicates these instruments are primarily insurance rather than speculation. A solar farm paying $0.0356/kWh premium for $0.0516/kWh floor protection achieves two objectives: (1) elimination of downside revenue risk from negative pricing events, and (2) participation in upside price spikes. The high delta (0.85) means they retain 85% of gains when prices rise above strike.</w:t>
      </w:r>
    </w:p>
    <w:p>
      <w:pPr>
        <w:spacing w:after="240"/>
        <w:jc w:val="both"/>
      </w:pPr>
      <w:r>
        <w:t xml:space="preserve">For producers, this creates a flattened risk-return profile. Without hedging, a Taiwan solar farm faces revenues ranging from $0.01/kWh (during curtailment) to $0.15/kWh (during scarcity), yielding extreme cash flow uncertainty. With options, the floor is guaranteed at $0.0516/kWh minus $0.0356/kWh premium = $0.016/kWh effective minimum, while retaining upside exposure.</w:t>
      </w:r>
    </w:p>
    <w:p>
      <w:pPr>
        <w:spacing w:after="240"/>
        <w:jc w:val="both"/>
      </w:pPr>
      <w:r>
        <w:t xml:space="preserve">From the consumer perspective, put options provide symmetric benefits. A cryptocurrency mining operation can lock maximum electricity costs while benefiting from supply gluts. The key insight is that both parties benefit when actual prices move significantly from the strike—options transfer risk from the underlier (producers and consumers) to specialized risk bearers (option writers).</w:t>
      </w:r>
    </w:p>
    <w:p>
      <w:pPr>
        <w:pStyle w:val="Heading2"/>
      </w:pPr>
      <w:r>
        <w:t xml:space="preserve">6.2 Model Limitations</w:t>
      </w:r>
    </w:p>
    <w:p>
      <w:pPr>
        <w:spacing w:after="240"/>
        <w:jc w:val="both"/>
      </w:pPr>
      <w:r>
        <w:t xml:space="preserve">We acknowledge five primary limitations of our framework, each representing a dimension for future research:</w:t>
      </w:r>
    </w:p>
    <w:p>
      <w:pPr>
        <w:spacing w:after="120"/>
        <w:jc w:val="both"/>
      </w:pPr>
      <w:r>
        <w:rPr>
          <w:b/>
          <w:bCs/>
        </w:rPr>
        <w:t xml:space="preserve">Mean Reversion: </w:t>
      </w:r>
      <w:r>
        <w:t xml:space="preserve">GBM assumes no reversion to long-run costs. While justified for our 1-year maturity, longer-dated options (2-5 years) likely require mean-reverting processes. The Schwartz two-factor model (Schwartz 1997) or Lucia-Schwartz model (Lucia &amp; Schwartz 2002) could capture equilibrium dynamics while retaining short-term volatility.</w:t>
      </w:r>
    </w:p>
    <w:p>
      <w:pPr>
        <w:spacing w:after="120"/>
        <w:jc w:val="both"/>
      </w:pPr>
      <w:r>
        <w:rPr>
          <w:b/>
          <w:bCs/>
        </w:rPr>
        <w:t xml:space="preserve">Jump Processes: </w:t>
      </w:r>
      <w:r>
        <w:t xml:space="preserve">Extreme weather events (hurricanes, heat waves) generate discontinuous price spikes not captured by continuous diffusion. Merton's jump-diffusion model (Merton 1976) could address this by adding a Poisson jump component to GBM. Calibrating jump intensity and magnitude from historical outage data would improve pricing accuracy for tail risks.</w:t>
      </w:r>
    </w:p>
    <w:p>
      <w:pPr>
        <w:spacing w:after="120"/>
        <w:jc w:val="both"/>
      </w:pPr>
      <w:r>
        <w:rPr>
          <w:b/>
          <w:bCs/>
        </w:rPr>
        <w:t xml:space="preserve">Intraday Seasonality: </w:t>
      </w:r>
      <w:r>
        <w:t xml:space="preserve">Solar generation follows deterministic diurnal patterns overlaid with stochastic weather noise. Our daily aggregation erases this structure. Modeling hourly prices with periodic drift terms would enable pricing of peak-hour derivatives, though at substantial computational cost.</w:t>
      </w:r>
    </w:p>
    <w:p>
      <w:pPr>
        <w:spacing w:after="120"/>
        <w:jc w:val="both"/>
      </w:pPr>
      <w:r>
        <w:rPr>
          <w:b/>
          <w:bCs/>
        </w:rPr>
        <w:t xml:space="preserve">Basis Risk: </w:t>
      </w:r>
      <w:r>
        <w:t xml:space="preserve">NASA satellite estimates ≠ actual farm output. Cloud cover, panel degradation, and inverter efficiency create systematic deviations. Options settled on physical delivery would require panel-level metering and smart contracts for verification. This operational complexity is addressable through blockchain-based verification systems.</w:t>
      </w:r>
    </w:p>
    <w:p>
      <w:pPr>
        <w:spacing w:after="240"/>
        <w:jc w:val="both"/>
      </w:pPr>
      <w:r>
        <w:rPr>
          <w:b/>
          <w:bCs/>
        </w:rPr>
        <w:t xml:space="preserve">Counterparty Risk: </w:t>
      </w:r>
      <w:r>
        <w:t xml:space="preserve">Option writers must post collateral and maintain hedges. In our framework, high delta (0.85) and gamma (2.28) create dynamic hedging demands. A clearinghouse model with margin requirements would be essential for market stability. We provide preliminary margin stress testing in the codebase demonstrating that 15% initial margin covers 99% of daily moves.</w:t>
      </w:r>
    </w:p>
    <w:p>
      <w:pPr>
        <w:pStyle w:val="Heading2"/>
      </w:pPr>
      <w:r>
        <w:t xml:space="preserve">6.3 Practical Implementation Challenges</w:t>
      </w:r>
    </w:p>
    <w:p>
      <w:pPr>
        <w:spacing w:after="240"/>
        <w:jc w:val="both"/>
      </w:pPr>
      <w:r>
        <w:t xml:space="preserve">Translating this framework to tradeable instruments requires addressing market microstructure. First, liquidity: solar energy markets are nascent with limited secondary trading. Designated market makers would need capital buffers to provide continuous two-way quotes. Second, standardization: contract specifications (strike intervals, maturities, settlement procedures) must balance customization with fungibility. Third, regulation: commodity derivatives fall under CFTC jurisdiction in the US, requiring exchange registration and compliance infrastructure.</w:t>
      </w:r>
    </w:p>
    <w:p>
      <w:pPr>
        <w:spacing w:after="240"/>
        <w:jc w:val="both"/>
      </w:pPr>
      <w:r>
        <w:t xml:space="preserve">Despite these challenges, the renewable energy sector has strong incentives to develop derivatives markets. Solar installations totaled 250 GW globally in 2023 (IEA 2024), representing $200+ billion in capital at risk. Even a modest 1% hedging rate would generate $2 billion in options premium annually, sufficient to support market infrastructure.</w:t>
      </w:r>
    </w:p>
    <w:p>
      <w:pPr>
        <w:pStyle w:val="Heading2"/>
      </w:pPr>
      <w:r>
        <w:t xml:space="preserve">6.4 Extensions and Future Work</w:t>
      </w:r>
    </w:p>
    <w:p>
      <w:pPr>
        <w:spacing w:after="240"/>
        <w:jc w:val="both"/>
      </w:pPr>
      <w:r>
        <w:t xml:space="preserve">Several extensions could enhance practical applicability:</w:t>
      </w:r>
    </w:p>
    <w:p>
      <w:pPr>
        <w:spacing w:after="120"/>
        <w:jc w:val="both"/>
      </w:pPr>
      <w:r>
        <w:rPr>
          <w:b/>
          <w:bCs/>
        </w:rPr>
        <w:t xml:space="preserve">Multi-Asset Portfolios: </w:t>
      </w:r>
      <w:r>
        <w:t xml:space="preserve">Solar-wind hybrid systems require basket options with correlation structure. Copula methods could model joint distributions while preserving marginal volatilities.</w:t>
      </w:r>
    </w:p>
    <w:p>
      <w:pPr>
        <w:spacing w:after="120"/>
        <w:jc w:val="both"/>
      </w:pPr>
      <w:r>
        <w:rPr>
          <w:b/>
          <w:bCs/>
        </w:rPr>
        <w:t xml:space="preserve">American Exercise: </w:t>
      </w:r>
      <w:r>
        <w:t xml:space="preserve">Early exercise flexibility is valuable when producers face liquidity constraints. Binomial trees naturally accommodate American options via backward induction with exercise optimization at each node.</w:t>
      </w:r>
    </w:p>
    <w:p>
      <w:pPr>
        <w:spacing w:after="120"/>
        <w:jc w:val="both"/>
      </w:pPr>
      <w:r>
        <w:rPr>
          <w:b/>
          <w:bCs/>
        </w:rPr>
        <w:t xml:space="preserve">Exotic Structures: </w:t>
      </w:r>
      <w:r>
        <w:t xml:space="preserve">Asian options (averaging underlying prices) could smooth settlement volatility. Barrier options (knock-in/knock-out at price thresholds) would reduce premium costs for producers accepting partial protection.</w:t>
      </w:r>
    </w:p>
    <w:p>
      <w:pPr>
        <w:spacing w:after="120"/>
        <w:jc w:val="both"/>
      </w:pPr>
      <w:r>
        <w:rPr>
          <w:b/>
          <w:bCs/>
        </w:rPr>
        <w:t xml:space="preserve">Real-Time Calibration: </w:t>
      </w:r>
      <w:r>
        <w:t xml:space="preserve">Streaming NASA data into GARCH models would enable daily volatility updates. This dynamic recalibration is essential for mark-to-market valuation in active markets.</w:t>
      </w:r>
    </w:p>
    <w:p>
      <w:pPr>
        <w:spacing w:after="240"/>
        <w:jc w:val="both"/>
      </w:pPr>
      <w:r>
        <w:rPr>
          <w:b/>
          <w:bCs/>
        </w:rPr>
        <w:t xml:space="preserve">Blockchain Settlement: </w:t>
      </w:r>
      <w:r>
        <w:t xml:space="preserve">Smart contracts on platforms like Ethereum could automate payoff calculations and collateral management. Oracles linking NASA API to blockchain would enable trustless settlement without centralized clearinghouses.</w:t>
      </w:r>
    </w:p>
    <w:p>
      <w:r>
        <w:br w:type="page"/>
      </w:r>
    </w:p>
    <w:p>
      <w:pPr>
        <w:pStyle w:val="Heading1"/>
      </w:pPr>
      <w:r>
        <w:t xml:space="preserve">7. Conclusion</w:t>
      </w:r>
    </w:p>
    <w:p>
      <w:pPr>
        <w:spacing w:after="240"/>
        <w:jc w:val="both"/>
      </w:pPr>
      <w:r>
        <w:t xml:space="preserve">We develop a quantitative framework for pricing non-storable energy derivatives, addressing a critical market gap in renewable finance. By calibrating volatility from NASA satellite irradiance data and implementing dual pricing methodologies (binomial trees and Monte Carlo simulation), we demonstrate robust option valuation across diverse global locations. For a representative Taiwan solar farm, we find option prices of $0.0356–$0.0361/kWh with convergence error below 1%, enabling producers to lock revenue floors at 69% of spot prices.</w:t>
      </w:r>
    </w:p>
    <w:p>
      <w:pPr>
        <w:spacing w:after="240"/>
        <w:jc w:val="both"/>
      </w:pPr>
      <w:r>
        <w:t xml:space="preserve">Our Greeks analysis reveals that energy options behave more like insurance contracts than speculative instruments: high delta (0.85) provides near-full upside participation while eliminating downside risk, and substantial gamma (2.28) requires active hedging by option writers. Global validation across five locations shows hedge costs ranging from $0.00996/kWh (Germany) to $0.08875/kWh (Brazil), with pricing differences reflecting physical solar resource variability rather than market inefficiencies.</w:t>
      </w:r>
    </w:p>
    <w:p>
      <w:pPr>
        <w:spacing w:after="240"/>
        <w:jc w:val="both"/>
      </w:pPr>
      <w:r>
        <w:t xml:space="preserve">While our Geometric Brownian Motion framework provides tractable pricing for short maturities, we acknowledge theoretical limitations including absence of mean reversion, jump processes, and intraday seasonality. Future research should extend our model to incorporate these features, develop clearinghouse margin requirements, and design blockchain-based settlement mechanisms for trustless execution.</w:t>
      </w:r>
    </w:p>
    <w:p>
      <w:pPr>
        <w:spacing w:after="240"/>
        <w:jc w:val="both"/>
      </w:pPr>
      <w:r>
        <w:t xml:space="preserve">The renewable energy transition hinges on managing volatility risks that threaten both producers and consumers. By transforming non-storable energy from an unhedgeable commodity into a derivative-capable asset class, this framework enables the financial infrastructure necessary for scaled renewable deployment. With global solar installations representing over $200 billion in annual capital, even modest derivative market penetration could provide substantial risk transfer capacity.</w:t>
      </w:r>
    </w:p>
    <w:p>
      <w:pPr>
        <w:spacing w:after="240"/>
        <w:jc w:val="both"/>
      </w:pPr>
      <w:r>
        <w:t xml:space="preserve">Our open-source implementation (github.com/Spectating101/spk-derivatives) provides practitioners with production-ready pricing tools, while our NASA-based calibration methodology establishes a physics-grounded alternative to purely financial volatility models. As renewable energy markets mature, derivatives will prove essential not merely for speculation, but for enabling the hedging infrastructure that makes trillion-dollar energy transitions financially viable.</w:t>
      </w:r>
    </w:p>
    <w:p>
      <w:r>
        <w:br w:type="page"/>
      </w:r>
    </w:p>
    <w:p>
      <w:pPr>
        <w:pStyle w:val="Heading1"/>
      </w:pPr>
      <w:r>
        <w:t xml:space="preserve">References</w:t>
      </w:r>
    </w:p>
    <w:p>
      <w:pPr>
        <w:spacing w:after="120"/>
        <w:jc w:val="both"/>
      </w:pPr>
      <w:r>
        <w:t xml:space="preserve">Black, F., &amp; Scholes, M. (1973). The pricing of options and corporate liabilities. Journal of Political Economy, 81(3), 637-654.</w:t>
      </w:r>
    </w:p>
    <w:p>
      <w:pPr>
        <w:spacing w:after="120"/>
        <w:jc w:val="both"/>
      </w:pPr>
      <w:r>
        <w:t xml:space="preserve">Cartea, Á., &amp; Figueroa, M. G. (2005). Pricing in electricity markets: A mean reverting jump diffusion model with seasonality. Applied Mathematical Finance, 12(4), 313-335.</w:t>
      </w:r>
    </w:p>
    <w:p>
      <w:pPr>
        <w:spacing w:after="120"/>
        <w:jc w:val="both"/>
      </w:pPr>
      <w:r>
        <w:t xml:space="preserve">Eydeland, A., &amp; Wolyniec, K. (2003). Energy and power risk management: New developments in modeling, pricing, and hedging. John Wiley &amp; Sons.</w:t>
      </w:r>
    </w:p>
    <w:p>
      <w:pPr>
        <w:spacing w:after="120"/>
        <w:jc w:val="both"/>
      </w:pPr>
      <w:r>
        <w:t xml:space="preserve">Fanone, E., Gamba, A., &amp; Prokopczuk, M. (2013). The case of negative day-ahead electricity prices. Energy Economics, 35, 22-34.</w:t>
      </w:r>
    </w:p>
    <w:p>
      <w:pPr>
        <w:spacing w:after="120"/>
        <w:jc w:val="both"/>
      </w:pPr>
      <w:r>
        <w:t xml:space="preserve">Heston, S. L. (1993). A closed-form solution for options with stochastic volatility with applications to bond and currency options. Review of Financial Studies, 6(2), 327-343.</w:t>
      </w:r>
    </w:p>
    <w:p>
      <w:pPr>
        <w:spacing w:after="120"/>
        <w:jc w:val="both"/>
      </w:pPr>
      <w:r>
        <w:t xml:space="preserve">International Energy Agency. (2024). Renewables 2024: Analysis and forecasts to 2030. IEA Publications.</w:t>
      </w:r>
    </w:p>
    <w:p>
      <w:pPr>
        <w:spacing w:after="120"/>
        <w:jc w:val="both"/>
      </w:pPr>
      <w:r>
        <w:t xml:space="preserve">Lucia, J. J., &amp; Schwartz, E. S. (2002). Electricity prices and power derivatives: Evidence from the Nordic Power Exchange. Review of Derivatives Research, 5(1), 5-50.</w:t>
      </w:r>
    </w:p>
    <w:p>
      <w:pPr>
        <w:spacing w:after="120"/>
        <w:jc w:val="both"/>
      </w:pPr>
      <w:r>
        <w:t xml:space="preserve">Merton, R. C. (1973). Theory of rational option pricing. Bell Journal of Economics and Management Science, 4(1), 141-183.</w:t>
      </w:r>
    </w:p>
    <w:p>
      <w:pPr>
        <w:spacing w:after="120"/>
        <w:jc w:val="both"/>
      </w:pPr>
      <w:r>
        <w:t xml:space="preserve">Merton, R. C. (1976). Option pricing when underlying stock returns are discontinuous. Journal of Financial Economics, 3(1-2), 125-144.</w:t>
      </w:r>
    </w:p>
    <w:p>
      <w:pPr>
        <w:spacing w:after="120"/>
        <w:jc w:val="both"/>
      </w:pPr>
      <w:r>
        <w:t xml:space="preserve">Pindyck, R. S. (1999). The long-run evolution of energy prices. Energy Journal, 20(2), 1-27.</w:t>
      </w:r>
    </w:p>
    <w:p>
      <w:pPr>
        <w:spacing w:after="120"/>
        <w:jc w:val="both"/>
      </w:pPr>
      <w:r>
        <w:t xml:space="preserve">Schwartz, E. S. (1997). The stochastic behavior of commodity prices: Implications for valuation and hedging. Journal of Finance, 52(3), 923-973.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2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2026-01-24T15:11:17.656Z</dcterms:created>
  <dcterms:modified xsi:type="dcterms:W3CDTF">2026-01-24T15:11:17.657Z</dcterms:modified>
</cp:coreProperties>
</file>

<file path=docProps/custom.xml><?xml version="1.0" encoding="utf-8"?>
<Properties xmlns="http://schemas.openxmlformats.org/officeDocument/2006/custom-properties" xmlns:vt="http://schemas.openxmlformats.org/officeDocument/2006/docPropsVTypes"/>
</file>