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sz w:val="44"/>
        </w:rPr>
        <w:t>ENERGY AS MONEY</w:t>
      </w:r>
    </w:p>
    <w:p>
      <w:pPr>
        <w:jc w:val="center"/>
      </w:pPr>
      <w:r>
        <w:rPr>
          <w:rFonts w:ascii="Times New Roman" w:hAnsi="Times New Roman" w:eastAsia="Times New Roman"/>
          <w:sz w:val="30"/>
        </w:rPr>
        <w:t>A Constraints-Based Blueprint for a Sound Energy-Backed Currency</w:t>
      </w:r>
    </w:p>
    <w:p/>
    <w:p/>
    <w:p/>
    <w:p/>
    <w:p>
      <w:pPr>
        <w:jc w:val="center"/>
      </w:pPr>
      <w:r>
        <w:rPr>
          <w:rFonts w:ascii="Times New Roman" w:hAnsi="Times New Roman" w:eastAsia="Times New Roman"/>
          <w:sz w:val="24"/>
        </w:rPr>
        <w:t>Christopher Ongko</w:t>
      </w:r>
    </w:p>
    <w:p>
      <w:pPr>
        <w:jc w:val="center"/>
      </w:pPr>
      <w:r>
        <w:rPr>
          <w:rFonts w:ascii="Times New Roman" w:hAnsi="Times New Roman" w:eastAsia="Times New Roman"/>
          <w:sz w:val="24"/>
        </w:rPr>
        <w:t>Student ID: 1133958</w:t>
      </w:r>
    </w:p>
    <w:p>
      <w:pPr>
        <w:jc w:val="center"/>
      </w:pPr>
      <w:r>
        <w:rPr>
          <w:rFonts w:ascii="Times New Roman" w:hAnsi="Times New Roman" w:eastAsia="Times New Roman"/>
          <w:sz w:val="24"/>
        </w:rPr>
        <w:t>Department of Finance, Yuan Ze University</w:t>
      </w:r>
    </w:p>
    <w:p>
      <w:pPr>
        <w:jc w:val="center"/>
      </w:pPr>
      <w:r>
        <w:rPr>
          <w:rFonts w:ascii="Times New Roman" w:hAnsi="Times New Roman" w:eastAsia="Times New Roman"/>
          <w:sz w:val="24"/>
        </w:rPr>
        <w:t>Master's Thesis - 2026</w:t>
      </w:r>
    </w:p>
    <w:p>
      <w:pPr>
        <w:jc w:val="center"/>
      </w:pPr>
      <w:r>
        <w:rPr>
          <w:rFonts w:ascii="Times New Roman" w:hAnsi="Times New Roman" w:eastAsia="Times New Roman"/>
          <w:sz w:val="24"/>
        </w:rPr>
        <w:t>Polished thesis spine / working draft</w:t>
      </w:r>
    </w:p>
    <w:p>
      <w:r>
        <w:br w:type="page"/>
      </w:r>
    </w:p>
    <w:p>
      <w:pPr>
        <w:pStyle w:val="Heading1"/>
      </w:pPr>
      <w:r>
        <w:t>Abstract</w:t>
      </w:r>
    </w:p>
    <w:p>
      <w:r>
        <w:rPr>
          <w:rFonts w:ascii="Times New Roman" w:hAnsi="Times New Roman" w:eastAsia="Times New Roman"/>
          <w:b w:val="0"/>
          <w:i w:val="0"/>
          <w:sz w:val="22"/>
        </w:rPr>
        <w:t xml:space="preserve">This thesis investigates one central question: </w:t>
      </w:r>
      <w:r>
        <w:rPr>
          <w:rFonts w:ascii="Times New Roman" w:hAnsi="Times New Roman" w:eastAsia="Times New Roman"/>
          <w:b/>
          <w:i w:val="0"/>
          <w:sz w:val="22"/>
        </w:rPr>
        <w:t>what binding constraints must define the issuer of an energy-backed currency for the currency to be credibly sound?</w:t>
      </w:r>
      <w:r>
        <w:rPr>
          <w:rFonts w:ascii="Times New Roman" w:hAnsi="Times New Roman" w:eastAsia="Times New Roman"/>
          <w:b w:val="0"/>
          <w:i w:val="0"/>
          <w:sz w:val="22"/>
        </w:rPr>
        <w:t xml:space="preserve"> By "credibly sound," the thesis means resistant to the major failure modes of prior monetary standards: discretionary over-issuance under fiat money, physical-custody fragility under gold, and coordination failure under passive energy anchoring.</w:t>
      </w:r>
    </w:p>
    <w:p>
      <w:r>
        <w:rPr>
          <w:rFonts w:ascii="Times New Roman" w:hAnsi="Times New Roman" w:eastAsia="Times New Roman"/>
          <w:b w:val="0"/>
          <w:i w:val="0"/>
          <w:sz w:val="22"/>
        </w:rPr>
        <w:t>The thesis develops the answer in four stages. First, it evaluates a designed energy-backed monetary standard against gold and fiat currency using seven conditions for commodity-style monetary credibility derived from Friedman, Hayek, Selgin, and Soddy: verifiable production cost floor, independent observability, scarcity and irreversibility, dispersion-proof enforcement, cash settlement without physical delivery, credibility under geographic dispersion, and physics-based price floor. Under this framework, the designed energy-backed standard satisfies all seven conditions. Gold satisfies two and a half. Fiat satisfies one. The result is not that raw energy alone is money, but that an energy-backed architecture using public satellite data and contractual enforcement can satisfy monetary-standard conditions that gold and fiat fail.</w:t>
      </w:r>
    </w:p>
    <w:p>
      <w:r>
        <w:rPr>
          <w:rFonts w:ascii="Times New Roman" w:hAnsi="Times New Roman" w:eastAsia="Times New Roman"/>
          <w:b w:val="0"/>
          <w:i w:val="0"/>
          <w:sz w:val="22"/>
        </w:rPr>
        <w:t>Second, the thesis tests whether energy has ever anchored monetary value in an observed market. Bitcoin provides the natural case because its issuance requires energy expenditure at scale. Using China's June 2021 mining ban as a natural experiment, the thesis finds that Bitcoin's energy-value relationship was strong under geographic mining concentration and weakened after mining dispersion. In the pre-ban period, the market-cap-to-cumulative-energy ratio predicts 30-day forward returns with beta = -0.206, p &lt; 0.001. After dispersion, the coefficient falls to beta = -0.080, with a structural break confirmed by a Chow test, F = 4.786, p = 0.0009. The key finding is not that every statistical relationship disappears after the ban, but that the rational coordination mechanism changes character: the pre-ban anchor is strongest in fearful markets, while the post-ban residual signal becomes sentiment-correlated. Passive energy anchoring is therefore empirically meaningful but institutionally fragile.</w:t>
      </w:r>
    </w:p>
    <w:p>
      <w:r>
        <w:rPr>
          <w:rFonts w:ascii="Times New Roman" w:hAnsi="Times New Roman" w:eastAsia="Times New Roman"/>
          <w:b w:val="0"/>
          <w:i w:val="0"/>
          <w:sz w:val="22"/>
        </w:rPr>
        <w:t>Third, the thesis examines the economic stakes. If energy can serve as monetary value under a credible architecture, then unharvested renewable energy can be interpreted as foregone monetary production. Using the IEA's estimate of the annual clean-energy finance gap in emerging and developing economies, the thesis develops an illustrative estimate of approximately $79 billion per year in foregone energy value under an energy-standard framework. This estimate is not treated as an audited empirical finding. Its purpose is to show that the opportunity cost is economically material and that renewable-energy underinvestment can be reframed as a monetary-recognition problem, not only as a climate-policy problem.</w:t>
      </w:r>
    </w:p>
    <w:p>
      <w:r>
        <w:rPr>
          <w:rFonts w:ascii="Times New Roman" w:hAnsi="Times New Roman" w:eastAsia="Times New Roman"/>
          <w:b w:val="0"/>
          <w:i w:val="0"/>
          <w:sz w:val="22"/>
        </w:rPr>
        <w:t xml:space="preserve">Fourth, and centrally, the thesis specifies the constraints required for a sound energy-backed currency. The central finding is that </w:t>
      </w:r>
      <w:r>
        <w:rPr>
          <w:rFonts w:ascii="Times New Roman" w:hAnsi="Times New Roman" w:eastAsia="Times New Roman"/>
          <w:b/>
          <w:i w:val="0"/>
          <w:sz w:val="22"/>
        </w:rPr>
        <w:t>four binding constraints are jointly necessary and individually insufficient</w:t>
      </w:r>
      <w:r>
        <w:rPr>
          <w:rFonts w:ascii="Times New Roman" w:hAnsi="Times New Roman" w:eastAsia="Times New Roman"/>
          <w:b w:val="0"/>
          <w:i w:val="0"/>
          <w:sz w:val="22"/>
        </w:rPr>
        <w:t>: oracle-gated issuance, rule-bound supply, algorithmically collateralised settlement, and timelocked governance. Oracle-gated issuance prevents minting without verified energy data. Rule-bound supply prevents discretionary monetary expansion. Algorithmically collateralised settlement prevents the system from degrading into bilateral credit. Timelocked governance prevents unilateral parameter changes that would recreate central-bank discretion. Removing any one constraint reopens a known monetary failure mode.</w:t>
      </w:r>
    </w:p>
    <w:p>
      <w:r>
        <w:rPr>
          <w:rFonts w:ascii="Times New Roman" w:hAnsi="Times New Roman" w:eastAsia="Times New Roman"/>
          <w:b w:val="0"/>
          <w:i w:val="0"/>
          <w:sz w:val="22"/>
        </w:rPr>
        <w:t>A Sepolia proof of concept demonstrates that this four-constraint architecture is technically buildable with current smart-contract infrastructure. The implementation includes source-verified contracts, a NASA POWER satellite-data keeper, and automated tests. The deployment is not presented as production-ready. It is presented as technical evidence that the constraints framework can be implemented, observed, and tested. The remaining steps toward real deployment - formal audit, multi-oracle aggregation, multi-party governance, legal treatment, and bounded pilots - are implementation and institutional questions beyond the thesis's central research claim.</w:t>
      </w:r>
    </w:p>
    <w:p>
      <w:r>
        <w:rPr>
          <w:rFonts w:ascii="Times New Roman" w:hAnsi="Times New Roman" w:eastAsia="Times New Roman"/>
          <w:b/>
          <w:i w:val="0"/>
          <w:sz w:val="22"/>
        </w:rPr>
        <w:t>Keywords:</w:t>
      </w:r>
      <w:r>
        <w:rPr>
          <w:rFonts w:ascii="Times New Roman" w:hAnsi="Times New Roman" w:eastAsia="Times New Roman"/>
          <w:b w:val="0"/>
          <w:i w:val="0"/>
          <w:sz w:val="22"/>
        </w:rPr>
        <w:t xml:space="preserve"> energy-backed currency; monetary standard; renewable energy finance; gold standard; commodity money; Bitcoin energy anchoring; smart contracts; oracle governance; synthetic commodity money</w:t>
      </w:r>
    </w:p>
    <w:p>
      <w:r>
        <w:rPr>
          <w:rFonts w:ascii="Times New Roman" w:hAnsi="Times New Roman" w:eastAsia="Times New Roman"/>
          <w:b/>
          <w:i w:val="0"/>
          <w:sz w:val="22"/>
        </w:rPr>
        <w:t>JEL Codes:</w:t>
      </w:r>
      <w:r>
        <w:rPr>
          <w:rFonts w:ascii="Times New Roman" w:hAnsi="Times New Roman" w:eastAsia="Times New Roman"/>
          <w:b w:val="0"/>
          <w:i w:val="0"/>
          <w:sz w:val="22"/>
        </w:rPr>
        <w:t xml:space="preserve"> E42; E52; G13; Q42; Q47</w:t>
      </w:r>
    </w:p>
    <w:p>
      <w:pPr>
        <w:pStyle w:val="Heading1"/>
      </w:pPr>
      <w:r>
        <w:t>Outline</w:t>
      </w:r>
    </w:p>
    <w:p>
      <w:pPr>
        <w:ind w:left="0"/>
      </w:pPr>
      <w:r>
        <w:rPr>
          <w:rFonts w:ascii="Times New Roman" w:hAnsi="Times New Roman" w:eastAsia="Times New Roman"/>
          <w:b/>
          <w:sz w:val="22"/>
        </w:rPr>
        <w:t>Chapter 1 - Introduction</w:t>
      </w:r>
    </w:p>
    <w:p>
      <w:pPr>
        <w:ind w:left="360"/>
      </w:pPr>
      <w:r>
        <w:rPr>
          <w:rFonts w:ascii="Times New Roman" w:hAnsi="Times New Roman" w:eastAsia="Times New Roman"/>
          <w:b w:val="0"/>
          <w:i w:val="0"/>
          <w:sz w:val="21"/>
        </w:rPr>
        <w:t>1.1 The Problem with Monetary Credibility</w:t>
      </w:r>
    </w:p>
    <w:p>
      <w:pPr>
        <w:ind w:left="360"/>
      </w:pPr>
      <w:r>
        <w:rPr>
          <w:rFonts w:ascii="Times New Roman" w:hAnsi="Times New Roman" w:eastAsia="Times New Roman"/>
          <w:b w:val="0"/>
          <w:i w:val="0"/>
          <w:sz w:val="21"/>
        </w:rPr>
        <w:t>1.2 Why Gold Is Not the Final Answer</w:t>
      </w:r>
    </w:p>
    <w:p>
      <w:pPr>
        <w:ind w:left="360"/>
      </w:pPr>
      <w:r>
        <w:rPr>
          <w:rFonts w:ascii="Times New Roman" w:hAnsi="Times New Roman" w:eastAsia="Times New Roman"/>
          <w:b w:val="0"/>
          <w:i w:val="0"/>
          <w:sz w:val="21"/>
        </w:rPr>
        <w:t>1.3 Why Energy Is a Candidate Monetary Base</w:t>
      </w:r>
    </w:p>
    <w:p>
      <w:pPr>
        <w:ind w:left="360"/>
      </w:pPr>
      <w:r>
        <w:rPr>
          <w:rFonts w:ascii="Times New Roman" w:hAnsi="Times New Roman" w:eastAsia="Times New Roman"/>
          <w:b w:val="0"/>
          <w:i w:val="0"/>
          <w:sz w:val="21"/>
        </w:rPr>
        <w:t>1.4 Why the Stakes Are Material</w:t>
      </w:r>
    </w:p>
    <w:p>
      <w:pPr>
        <w:ind w:left="360"/>
      </w:pPr>
      <w:r>
        <w:rPr>
          <w:rFonts w:ascii="Times New Roman" w:hAnsi="Times New Roman" w:eastAsia="Times New Roman"/>
          <w:b w:val="0"/>
          <w:i w:val="0"/>
          <w:sz w:val="21"/>
        </w:rPr>
        <w:t>1.5 Central Question and Contributions</w:t>
      </w:r>
    </w:p>
    <w:p>
      <w:pPr>
        <w:ind w:left="360"/>
      </w:pPr>
      <w:r>
        <w:rPr>
          <w:rFonts w:ascii="Times New Roman" w:hAnsi="Times New Roman" w:eastAsia="Times New Roman"/>
          <w:b w:val="0"/>
          <w:i w:val="0"/>
          <w:sz w:val="21"/>
        </w:rPr>
        <w:t>1.6 Scope</w:t>
      </w:r>
    </w:p>
    <w:p>
      <w:pPr>
        <w:ind w:left="0"/>
      </w:pPr>
      <w:r>
        <w:rPr>
          <w:rFonts w:ascii="Times New Roman" w:hAnsi="Times New Roman" w:eastAsia="Times New Roman"/>
          <w:b/>
          <w:sz w:val="22"/>
        </w:rPr>
        <w:t>Chapter 2 - Why Gold Failed and What Energy Offers Instead</w:t>
      </w:r>
    </w:p>
    <w:p>
      <w:pPr>
        <w:ind w:left="360"/>
      </w:pPr>
      <w:r>
        <w:rPr>
          <w:rFonts w:ascii="Times New Roman" w:hAnsi="Times New Roman" w:eastAsia="Times New Roman"/>
          <w:b w:val="0"/>
          <w:i w:val="0"/>
          <w:sz w:val="21"/>
        </w:rPr>
        <w:t>2.1 What Makes a Commodity-Style Monetary Standard Credible?</w:t>
      </w:r>
    </w:p>
    <w:p>
      <w:pPr>
        <w:ind w:left="360"/>
      </w:pPr>
      <w:r>
        <w:rPr>
          <w:rFonts w:ascii="Times New Roman" w:hAnsi="Times New Roman" w:eastAsia="Times New Roman"/>
          <w:b w:val="0"/>
          <w:i w:val="0"/>
          <w:sz w:val="21"/>
        </w:rPr>
        <w:t>2.2 Gold's Strength and Failure</w:t>
      </w:r>
    </w:p>
    <w:p>
      <w:pPr>
        <w:ind w:left="360"/>
      </w:pPr>
      <w:r>
        <w:rPr>
          <w:rFonts w:ascii="Times New Roman" w:hAnsi="Times New Roman" w:eastAsia="Times New Roman"/>
          <w:b w:val="0"/>
          <w:i w:val="0"/>
          <w:sz w:val="21"/>
        </w:rPr>
        <w:t>2.3 Seven-Condition Scorecard</w:t>
      </w:r>
    </w:p>
    <w:p>
      <w:pPr>
        <w:ind w:left="360"/>
      </w:pPr>
      <w:r>
        <w:rPr>
          <w:rFonts w:ascii="Times New Roman" w:hAnsi="Times New Roman" w:eastAsia="Times New Roman"/>
          <w:b w:val="0"/>
          <w:i w:val="0"/>
          <w:sz w:val="21"/>
        </w:rPr>
        <w:t>2.4 Why a Designed Energy-Backed Standard Satisfies the Conditions</w:t>
      </w:r>
    </w:p>
    <w:p>
      <w:pPr>
        <w:ind w:left="360"/>
      </w:pPr>
      <w:r>
        <w:rPr>
          <w:rFonts w:ascii="Times New Roman" w:hAnsi="Times New Roman" w:eastAsia="Times New Roman"/>
          <w:b w:val="0"/>
          <w:i w:val="0"/>
          <w:sz w:val="21"/>
        </w:rPr>
        <w:t>2.5 Why Energy Is Not Just Another Commodity</w:t>
      </w:r>
    </w:p>
    <w:p>
      <w:pPr>
        <w:ind w:left="360"/>
      </w:pPr>
      <w:r>
        <w:rPr>
          <w:rFonts w:ascii="Times New Roman" w:hAnsi="Times New Roman" w:eastAsia="Times New Roman"/>
          <w:b w:val="0"/>
          <w:i w:val="0"/>
          <w:sz w:val="21"/>
        </w:rPr>
        <w:t>2.6 Investigation Finding</w:t>
      </w:r>
    </w:p>
    <w:p>
      <w:pPr>
        <w:ind w:left="0"/>
      </w:pPr>
      <w:r>
        <w:rPr>
          <w:rFonts w:ascii="Times New Roman" w:hAnsi="Times New Roman" w:eastAsia="Times New Roman"/>
          <w:b/>
          <w:sz w:val="22"/>
        </w:rPr>
        <w:t>Chapter 3 - Empirical Evidence: Energy Has Anchored Monetary Value</w:t>
      </w:r>
    </w:p>
    <w:p>
      <w:pPr>
        <w:ind w:left="360"/>
      </w:pPr>
      <w:r>
        <w:rPr>
          <w:rFonts w:ascii="Times New Roman" w:hAnsi="Times New Roman" w:eastAsia="Times New Roman"/>
          <w:b w:val="0"/>
          <w:i w:val="0"/>
          <w:sz w:val="21"/>
        </w:rPr>
        <w:t>3.1 Bitcoin as the Natural Case</w:t>
      </w:r>
    </w:p>
    <w:p>
      <w:pPr>
        <w:ind w:left="360"/>
      </w:pPr>
      <w:r>
        <w:rPr>
          <w:rFonts w:ascii="Times New Roman" w:hAnsi="Times New Roman" w:eastAsia="Times New Roman"/>
          <w:b w:val="0"/>
          <w:i w:val="0"/>
          <w:sz w:val="21"/>
        </w:rPr>
        <w:t>3.2 Data and CEIR Construction</w:t>
      </w:r>
    </w:p>
    <w:p>
      <w:pPr>
        <w:ind w:left="360"/>
      </w:pPr>
      <w:r>
        <w:rPr>
          <w:rFonts w:ascii="Times New Roman" w:hAnsi="Times New Roman" w:eastAsia="Times New Roman"/>
          <w:b w:val="0"/>
          <w:i w:val="0"/>
          <w:sz w:val="21"/>
        </w:rPr>
        <w:t>3.3 Main Results</w:t>
      </w:r>
    </w:p>
    <w:p>
      <w:pPr>
        <w:ind w:left="360"/>
      </w:pPr>
      <w:r>
        <w:rPr>
          <w:rFonts w:ascii="Times New Roman" w:hAnsi="Times New Roman" w:eastAsia="Times New Roman"/>
          <w:b w:val="0"/>
          <w:i w:val="0"/>
          <w:sz w:val="21"/>
        </w:rPr>
        <w:t>3.4 Mechanism Inversion</w:t>
      </w:r>
    </w:p>
    <w:p>
      <w:pPr>
        <w:ind w:left="360"/>
      </w:pPr>
      <w:r>
        <w:rPr>
          <w:rFonts w:ascii="Times New Roman" w:hAnsi="Times New Roman" w:eastAsia="Times New Roman"/>
          <w:b w:val="0"/>
          <w:i w:val="0"/>
          <w:sz w:val="21"/>
        </w:rPr>
        <w:t>3.5 What Bitcoin Teaches</w:t>
      </w:r>
    </w:p>
    <w:p>
      <w:pPr>
        <w:ind w:left="360"/>
      </w:pPr>
      <w:r>
        <w:rPr>
          <w:rFonts w:ascii="Times New Roman" w:hAnsi="Times New Roman" w:eastAsia="Times New Roman"/>
          <w:b w:val="0"/>
          <w:i w:val="0"/>
          <w:sz w:val="21"/>
        </w:rPr>
        <w:t>3.6 Investigation Finding</w:t>
      </w:r>
    </w:p>
    <w:p>
      <w:pPr>
        <w:ind w:left="0"/>
      </w:pPr>
      <w:r>
        <w:rPr>
          <w:rFonts w:ascii="Times New Roman" w:hAnsi="Times New Roman" w:eastAsia="Times New Roman"/>
          <w:b/>
          <w:sz w:val="22"/>
        </w:rPr>
        <w:t>Chapter 4 - The Opportunity Cost of Unharvested Energy</w:t>
      </w:r>
    </w:p>
    <w:p>
      <w:pPr>
        <w:ind w:left="360"/>
      </w:pPr>
      <w:r>
        <w:rPr>
          <w:rFonts w:ascii="Times New Roman" w:hAnsi="Times New Roman" w:eastAsia="Times New Roman"/>
          <w:b w:val="0"/>
          <w:i w:val="0"/>
          <w:sz w:val="21"/>
        </w:rPr>
        <w:t>4.1 Conditional Reframing</w:t>
      </w:r>
    </w:p>
    <w:p>
      <w:pPr>
        <w:ind w:left="360"/>
      </w:pPr>
      <w:r>
        <w:rPr>
          <w:rFonts w:ascii="Times New Roman" w:hAnsi="Times New Roman" w:eastAsia="Times New Roman"/>
          <w:b w:val="0"/>
          <w:i w:val="0"/>
          <w:sz w:val="21"/>
        </w:rPr>
        <w:t>4.2 The Gold Analogy</w:t>
      </w:r>
    </w:p>
    <w:p>
      <w:pPr>
        <w:ind w:left="360"/>
      </w:pPr>
      <w:r>
        <w:rPr>
          <w:rFonts w:ascii="Times New Roman" w:hAnsi="Times New Roman" w:eastAsia="Times New Roman"/>
          <w:b w:val="0"/>
          <w:i w:val="0"/>
          <w:sz w:val="21"/>
        </w:rPr>
        <w:t>4.3 Renewable Finance as Monetary Recognition Failure</w:t>
      </w:r>
    </w:p>
    <w:p>
      <w:pPr>
        <w:ind w:left="360"/>
      </w:pPr>
      <w:r>
        <w:rPr>
          <w:rFonts w:ascii="Times New Roman" w:hAnsi="Times New Roman" w:eastAsia="Times New Roman"/>
          <w:b w:val="0"/>
          <w:i w:val="0"/>
          <w:sz w:val="21"/>
        </w:rPr>
        <w:t>4.4 Structured Estimate</w:t>
      </w:r>
    </w:p>
    <w:p>
      <w:pPr>
        <w:ind w:left="360"/>
      </w:pPr>
      <w:r>
        <w:rPr>
          <w:rFonts w:ascii="Times New Roman" w:hAnsi="Times New Roman" w:eastAsia="Times New Roman"/>
          <w:b w:val="0"/>
          <w:i w:val="0"/>
          <w:sz w:val="21"/>
        </w:rPr>
        <w:t>4.5 Policy Implications</w:t>
      </w:r>
    </w:p>
    <w:p>
      <w:pPr>
        <w:ind w:left="360"/>
      </w:pPr>
      <w:r>
        <w:rPr>
          <w:rFonts w:ascii="Times New Roman" w:hAnsi="Times New Roman" w:eastAsia="Times New Roman"/>
          <w:b w:val="0"/>
          <w:i w:val="0"/>
          <w:sz w:val="21"/>
        </w:rPr>
        <w:t>4.6 Investigation Finding</w:t>
      </w:r>
    </w:p>
    <w:p>
      <w:pPr>
        <w:ind w:left="0"/>
      </w:pPr>
      <w:r>
        <w:rPr>
          <w:rFonts w:ascii="Times New Roman" w:hAnsi="Times New Roman" w:eastAsia="Times New Roman"/>
          <w:b/>
          <w:sz w:val="22"/>
        </w:rPr>
        <w:t>Chapter 5 - The Constraints Framework</w:t>
      </w:r>
    </w:p>
    <w:p>
      <w:pPr>
        <w:ind w:left="360"/>
      </w:pPr>
      <w:r>
        <w:rPr>
          <w:rFonts w:ascii="Times New Roman" w:hAnsi="Times New Roman" w:eastAsia="Times New Roman"/>
          <w:b w:val="0"/>
          <w:i w:val="0"/>
          <w:sz w:val="21"/>
        </w:rPr>
        <w:t>5.1 Why Pricing Comes Before Architecture</w:t>
      </w:r>
    </w:p>
    <w:p>
      <w:pPr>
        <w:ind w:left="360"/>
      </w:pPr>
      <w:r>
        <w:rPr>
          <w:rFonts w:ascii="Times New Roman" w:hAnsi="Times New Roman" w:eastAsia="Times New Roman"/>
          <w:b w:val="0"/>
          <w:i w:val="0"/>
          <w:sz w:val="21"/>
        </w:rPr>
        <w:t>5.2 Pricing Energy-Backed Instruments Without a Liquid Market</w:t>
      </w:r>
    </w:p>
    <w:p>
      <w:pPr>
        <w:ind w:left="360"/>
      </w:pPr>
      <w:r>
        <w:rPr>
          <w:rFonts w:ascii="Times New Roman" w:hAnsi="Times New Roman" w:eastAsia="Times New Roman"/>
          <w:b w:val="0"/>
          <w:i w:val="0"/>
          <w:sz w:val="21"/>
        </w:rPr>
        <w:t>5.3 The Four Binding Constraints</w:t>
      </w:r>
    </w:p>
    <w:p>
      <w:pPr>
        <w:ind w:left="720"/>
      </w:pPr>
      <w:r>
        <w:rPr>
          <w:rFonts w:ascii="Times New Roman" w:hAnsi="Times New Roman" w:eastAsia="Times New Roman"/>
          <w:b w:val="0"/>
          <w:i w:val="0"/>
          <w:sz w:val="21"/>
        </w:rPr>
        <w:t>Constraint 1 - Oracle-gated issuance</w:t>
      </w:r>
    </w:p>
    <w:p>
      <w:pPr>
        <w:ind w:left="720"/>
      </w:pPr>
      <w:r>
        <w:rPr>
          <w:rFonts w:ascii="Times New Roman" w:hAnsi="Times New Roman" w:eastAsia="Times New Roman"/>
          <w:b w:val="0"/>
          <w:i w:val="0"/>
          <w:sz w:val="21"/>
        </w:rPr>
        <w:t>Constraint 2 - Rule-bound supply</w:t>
      </w:r>
    </w:p>
    <w:p>
      <w:pPr>
        <w:ind w:left="720"/>
      </w:pPr>
      <w:r>
        <w:rPr>
          <w:rFonts w:ascii="Times New Roman" w:hAnsi="Times New Roman" w:eastAsia="Times New Roman"/>
          <w:b w:val="0"/>
          <w:i w:val="0"/>
          <w:sz w:val="21"/>
        </w:rPr>
        <w:t>Constraint 3 - Algorithmically collateralised settlement</w:t>
      </w:r>
    </w:p>
    <w:p>
      <w:pPr>
        <w:ind w:left="720"/>
      </w:pPr>
      <w:r>
        <w:rPr>
          <w:rFonts w:ascii="Times New Roman" w:hAnsi="Times New Roman" w:eastAsia="Times New Roman"/>
          <w:b w:val="0"/>
          <w:i w:val="0"/>
          <w:sz w:val="21"/>
        </w:rPr>
        <w:t>Constraint 4 - Timelocked governance</w:t>
      </w:r>
    </w:p>
    <w:p>
      <w:pPr>
        <w:ind w:left="360"/>
      </w:pPr>
      <w:r>
        <w:rPr>
          <w:rFonts w:ascii="Times New Roman" w:hAnsi="Times New Roman" w:eastAsia="Times New Roman"/>
          <w:b w:val="0"/>
          <w:i w:val="0"/>
          <w:sz w:val="21"/>
        </w:rPr>
        <w:t>5.4 Joint Necessity</w:t>
      </w:r>
    </w:p>
    <w:p>
      <w:pPr>
        <w:ind w:left="360"/>
      </w:pPr>
      <w:r>
        <w:rPr>
          <w:rFonts w:ascii="Times New Roman" w:hAnsi="Times New Roman" w:eastAsia="Times New Roman"/>
          <w:b w:val="0"/>
          <w:i w:val="0"/>
          <w:sz w:val="21"/>
        </w:rPr>
        <w:t>5.5 Proof of Concept</w:t>
      </w:r>
    </w:p>
    <w:p>
      <w:pPr>
        <w:ind w:left="360"/>
      </w:pPr>
      <w:r>
        <w:rPr>
          <w:rFonts w:ascii="Times New Roman" w:hAnsi="Times New Roman" w:eastAsia="Times New Roman"/>
          <w:b w:val="0"/>
          <w:i w:val="0"/>
          <w:sz w:val="21"/>
        </w:rPr>
        <w:t>5.6 Investigation Finding</w:t>
      </w:r>
    </w:p>
    <w:p>
      <w:pPr>
        <w:ind w:left="0"/>
      </w:pPr>
      <w:r>
        <w:rPr>
          <w:rFonts w:ascii="Times New Roman" w:hAnsi="Times New Roman" w:eastAsia="Times New Roman"/>
          <w:b/>
          <w:sz w:val="22"/>
        </w:rPr>
        <w:t>Chapter 6 - Conclusions</w:t>
      </w:r>
    </w:p>
    <w:p>
      <w:pPr>
        <w:ind w:left="360"/>
      </w:pPr>
      <w:r>
        <w:rPr>
          <w:rFonts w:ascii="Times New Roman" w:hAnsi="Times New Roman" w:eastAsia="Times New Roman"/>
          <w:b w:val="0"/>
          <w:i w:val="0"/>
          <w:sz w:val="21"/>
        </w:rPr>
        <w:t>6.1 Summary of the Investigation</w:t>
      </w:r>
    </w:p>
    <w:p>
      <w:pPr>
        <w:ind w:left="360"/>
      </w:pPr>
      <w:r>
        <w:rPr>
          <w:rFonts w:ascii="Times New Roman" w:hAnsi="Times New Roman" w:eastAsia="Times New Roman"/>
          <w:b w:val="0"/>
          <w:i w:val="0"/>
          <w:sz w:val="21"/>
        </w:rPr>
        <w:t>6.2 Central Finding</w:t>
      </w:r>
    </w:p>
    <w:p>
      <w:pPr>
        <w:ind w:left="360"/>
      </w:pPr>
      <w:r>
        <w:rPr>
          <w:rFonts w:ascii="Times New Roman" w:hAnsi="Times New Roman" w:eastAsia="Times New Roman"/>
          <w:b w:val="0"/>
          <w:i w:val="0"/>
          <w:sz w:val="21"/>
        </w:rPr>
        <w:t>6.3 Limitations</w:t>
      </w:r>
    </w:p>
    <w:p>
      <w:pPr>
        <w:ind w:left="360"/>
      </w:pPr>
      <w:r>
        <w:rPr>
          <w:rFonts w:ascii="Times New Roman" w:hAnsi="Times New Roman" w:eastAsia="Times New Roman"/>
          <w:b w:val="0"/>
          <w:i w:val="0"/>
          <w:sz w:val="21"/>
        </w:rPr>
        <w:t>6.4 What Would Falsify the Thesis</w:t>
      </w:r>
    </w:p>
    <w:p>
      <w:pPr>
        <w:ind w:left="360"/>
      </w:pPr>
      <w:r>
        <w:rPr>
          <w:rFonts w:ascii="Times New Roman" w:hAnsi="Times New Roman" w:eastAsia="Times New Roman"/>
          <w:b w:val="0"/>
          <w:i w:val="0"/>
          <w:sz w:val="21"/>
        </w:rPr>
        <w:t>6.5 Future Work</w:t>
      </w:r>
    </w:p>
    <w:p>
      <w:pPr>
        <w:ind w:left="360"/>
      </w:pPr>
      <w:r>
        <w:rPr>
          <w:rFonts w:ascii="Times New Roman" w:hAnsi="Times New Roman" w:eastAsia="Times New Roman"/>
          <w:b w:val="0"/>
          <w:i w:val="0"/>
          <w:sz w:val="21"/>
        </w:rPr>
        <w:t>6.6 Closing Statement</w:t>
      </w:r>
    </w:p>
    <w:p>
      <w:r>
        <w:br w:type="page"/>
      </w:r>
    </w:p>
    <w:p>
      <w:pPr>
        <w:pStyle w:val="Heading1"/>
      </w:pPr>
      <w:r>
        <w:t>Chapter 1 - Introduction</w:t>
      </w:r>
    </w:p>
    <w:p>
      <w:pPr>
        <w:pStyle w:val="Heading2"/>
      </w:pPr>
      <w:r>
        <w:t>1.1 The Problem with Monetary Credibility</w:t>
      </w:r>
    </w:p>
    <w:p>
      <w:r>
        <w:rPr>
          <w:rFonts w:ascii="Times New Roman" w:hAnsi="Times New Roman" w:eastAsia="Times New Roman"/>
          <w:b w:val="0"/>
          <w:i w:val="0"/>
          <w:sz w:val="22"/>
        </w:rPr>
        <w:t>Money serves three classical functions: store of value, unit of account, and medium of exchange. Under fiat regimes, the store-of-value function depends primarily on institutional credibility rather than on an external production constraint. Fiat money can remain stable for long periods when institutional discipline is strong, but its issuance is ultimately discretionary. That discretion creates a persistent credibility problem: the issuer can always expand supply when political or economic pressure makes doing so convenient.</w:t>
      </w:r>
    </w:p>
    <w:p>
      <w:r>
        <w:rPr>
          <w:rFonts w:ascii="Times New Roman" w:hAnsi="Times New Roman" w:eastAsia="Times New Roman"/>
          <w:b w:val="0"/>
          <w:i w:val="0"/>
          <w:sz w:val="22"/>
        </w:rPr>
        <w:t>Commodity standards attempt to solve this problem by tying monetary issuance to an external object whose production is costly. Historically, gold played that role. Gold's appeal was not that it was perfect money, but that it was difficult to create. Its production cost imposed a constraint on monetary expansion that fiat systems lack.</w:t>
      </w:r>
    </w:p>
    <w:p>
      <w:r>
        <w:rPr>
          <w:rFonts w:ascii="Times New Roman" w:hAnsi="Times New Roman" w:eastAsia="Times New Roman"/>
          <w:b w:val="0"/>
          <w:i w:val="0"/>
          <w:sz w:val="22"/>
        </w:rPr>
        <w:t>The problem is that gold's constraint was physical and custodial. A gold standard required physical verification, physical custody, and physical redemption. Those features made it vulnerable to the exact failure mode that ended Bretton Woods: a geographically concentrated custodian could suspend convertibility when redemption pressure became politically and economically inconvenient.</w:t>
      </w:r>
    </w:p>
    <w:p>
      <w:r>
        <w:rPr>
          <w:rFonts w:ascii="Times New Roman" w:hAnsi="Times New Roman" w:eastAsia="Times New Roman"/>
          <w:b w:val="0"/>
          <w:i w:val="0"/>
          <w:sz w:val="22"/>
        </w:rPr>
        <w:t>This thesis asks whether a different monetary base can preserve gold's core virtue - external production constraint - while avoiding gold's core failures: physical-custody dependence, geographic concentration, and impractical settlement.</w:t>
      </w:r>
    </w:p>
    <w:p>
      <w:r>
        <w:rPr>
          <w:rFonts w:ascii="Times New Roman" w:hAnsi="Times New Roman" w:eastAsia="Times New Roman"/>
          <w:b w:val="0"/>
          <w:i w:val="0"/>
          <w:sz w:val="22"/>
        </w:rPr>
        <w:t>The candidate examined here is energy.</w:t>
      </w:r>
    </w:p>
    <w:p>
      <w:pPr>
        <w:pStyle w:val="Heading2"/>
      </w:pPr>
      <w:r>
        <w:t>1.2 Why Gold Is Not the Final Answer</w:t>
      </w:r>
    </w:p>
    <w:p>
      <w:r>
        <w:rPr>
          <w:rFonts w:ascii="Times New Roman" w:hAnsi="Times New Roman" w:eastAsia="Times New Roman"/>
          <w:b w:val="0"/>
          <w:i w:val="0"/>
          <w:sz w:val="22"/>
        </w:rPr>
        <w:t>The gold standard did not fail because commodity backing was conceptually meaningless. It failed because gold had specific limitations.</w:t>
      </w:r>
    </w:p>
    <w:p>
      <w:r>
        <w:rPr>
          <w:rFonts w:ascii="Times New Roman" w:hAnsi="Times New Roman" w:eastAsia="Times New Roman"/>
          <w:b w:val="0"/>
          <w:i w:val="0"/>
          <w:sz w:val="22"/>
        </w:rPr>
        <w:t>Gold is costly to produce, but difficult to verify without physical assay. It is scarce, but geographically concentrated. It can back monetary claims, but physical delivery does not scale efficiently across a global financial system. Under Bretton Woods, the United States became the concentrated custodian of the system. When foreign claims on dollars exceeded the political willingness to maintain gold convertibility, the peg failed.</w:t>
      </w:r>
    </w:p>
    <w:p>
      <w:r>
        <w:rPr>
          <w:rFonts w:ascii="Times New Roman" w:hAnsi="Times New Roman" w:eastAsia="Times New Roman"/>
          <w:b w:val="0"/>
          <w:i w:val="0"/>
          <w:sz w:val="22"/>
        </w:rPr>
        <w:t>The lesson is not simply "commodity money failed." A more precise lesson is that a commodity standard fails when its enforcement depends on concentrated custodians, physical redemption, and discretionary political commitment.</w:t>
      </w:r>
    </w:p>
    <w:p>
      <w:r>
        <w:rPr>
          <w:rFonts w:ascii="Times New Roman" w:hAnsi="Times New Roman" w:eastAsia="Times New Roman"/>
          <w:b w:val="0"/>
          <w:i w:val="0"/>
          <w:sz w:val="22"/>
        </w:rPr>
        <w:t>A modern commodity-style standard therefore needs a different architecture. It needs a production floor that is externally measurable, a settlement mechanism that does not require physical delivery, and enforcement rules that do not depend on a single sovereign custodian.</w:t>
      </w:r>
    </w:p>
    <w:p>
      <w:r>
        <w:rPr>
          <w:rFonts w:ascii="Times New Roman" w:hAnsi="Times New Roman" w:eastAsia="Times New Roman"/>
          <w:b w:val="0"/>
          <w:i w:val="0"/>
          <w:sz w:val="22"/>
        </w:rPr>
        <w:t>Energy is a plausible candidate because it is physically necessary, globally measurable, continuously produced, and capable of being linked to digital settlement.</w:t>
      </w:r>
    </w:p>
    <w:p>
      <w:pPr>
        <w:pStyle w:val="Heading2"/>
      </w:pPr>
      <w:r>
        <w:t>1.3 Why Energy Is a Candidate Monetary Base</w:t>
      </w:r>
    </w:p>
    <w:p>
      <w:r>
        <w:rPr>
          <w:rFonts w:ascii="Times New Roman" w:hAnsi="Times New Roman" w:eastAsia="Times New Roman"/>
          <w:b w:val="0"/>
          <w:i w:val="0"/>
          <w:sz w:val="22"/>
        </w:rPr>
        <w:t>Energy is not proposed here because it is fashionable or environmentally desirable. It is proposed because it has properties that directly address the failure modes of gold and fiat.</w:t>
      </w:r>
    </w:p>
    <w:p>
      <w:r>
        <w:rPr>
          <w:rFonts w:ascii="Times New Roman" w:hAnsi="Times New Roman" w:eastAsia="Times New Roman"/>
          <w:b w:val="0"/>
          <w:i w:val="0"/>
          <w:sz w:val="22"/>
        </w:rPr>
        <w:t>Energy is scarce in a physically meaningful sense. It cannot be created from nothing. Useful energy must be captured, converted, and delivered through real infrastructure. That process requires capital, land, equipment, maintenance, and time. Energy expenditure is irreversible.</w:t>
      </w:r>
    </w:p>
    <w:p>
      <w:r>
        <w:rPr>
          <w:rFonts w:ascii="Times New Roman" w:hAnsi="Times New Roman" w:eastAsia="Times New Roman"/>
          <w:b w:val="0"/>
          <w:i w:val="0"/>
          <w:sz w:val="22"/>
        </w:rPr>
        <w:t>Energy is also independently observable at global scale. Solar irradiance can be measured by satellite at any coordinate on Earth. Public satellite data does not eliminate all measurement problems, but it changes the verification problem. Unlike gold in a vault, renewable-energy potential and realized solar conditions can be independently audited without relying solely on a central custodian.</w:t>
      </w:r>
    </w:p>
    <w:p>
      <w:r>
        <w:rPr>
          <w:rFonts w:ascii="Times New Roman" w:hAnsi="Times New Roman" w:eastAsia="Times New Roman"/>
          <w:b w:val="0"/>
          <w:i w:val="0"/>
          <w:sz w:val="22"/>
        </w:rPr>
        <w:t>Energy also avoids the geographic concentration problem. A credible energy-backed architecture does not need all production to occur in one country or under one central bank. Energy producers can be distributed across Taiwan, Indonesia, Brazil, Germany, or any other location, while the settlement rule remains the same. The relevant enforcement is contractual, not geographic.</w:t>
      </w:r>
    </w:p>
    <w:p>
      <w:r>
        <w:rPr>
          <w:rFonts w:ascii="Times New Roman" w:hAnsi="Times New Roman" w:eastAsia="Times New Roman"/>
          <w:b w:val="0"/>
          <w:i w:val="0"/>
          <w:sz w:val="22"/>
        </w:rPr>
        <w:t>Finally, energy is useful in a way gold is not. Gold's monetary value includes a large conventional premium. Energy is the universal input to production. A monetary claim linked to energy is linked to the prerequisite of economic activity itself.</w:t>
      </w:r>
    </w:p>
    <w:p>
      <w:r>
        <w:rPr>
          <w:rFonts w:ascii="Times New Roman" w:hAnsi="Times New Roman" w:eastAsia="Times New Roman"/>
          <w:b w:val="0"/>
          <w:i w:val="0"/>
          <w:sz w:val="22"/>
        </w:rPr>
        <w:t>The full theoretical evaluation is developed in Chapter 2. The empirical motivation is developed in Chapter 3. The central design question is answered in Chapter 5.</w:t>
      </w:r>
    </w:p>
    <w:p>
      <w:pPr>
        <w:pStyle w:val="Heading2"/>
      </w:pPr>
      <w:r>
        <w:t>1.4 Why the Stakes Are Material</w:t>
      </w:r>
    </w:p>
    <w:p>
      <w:r>
        <w:rPr>
          <w:rFonts w:ascii="Times New Roman" w:hAnsi="Times New Roman" w:eastAsia="Times New Roman"/>
          <w:b w:val="0"/>
          <w:i w:val="0"/>
          <w:sz w:val="22"/>
        </w:rPr>
        <w:t>If energy can serve as monetary value under a credible architecture, then unharvested renewable energy is not merely an environmental loss. It is foregone monetary production under the framework investigated here.</w:t>
      </w:r>
    </w:p>
    <w:p>
      <w:r>
        <w:rPr>
          <w:rFonts w:ascii="Times New Roman" w:hAnsi="Times New Roman" w:eastAsia="Times New Roman"/>
          <w:b w:val="0"/>
          <w:i w:val="0"/>
          <w:sz w:val="22"/>
        </w:rPr>
        <w:t>The analogy is gold. Under a gold standard, a gold deposit represents latent monetary value. Leaving it unmined has an opportunity cost. Renewable energy differs because sunlight and wind do not wait in the ground. They arrive continuously and disappear if uncaptured. A solar day without panels is not deferred wealth; it is lost production.</w:t>
      </w:r>
    </w:p>
    <w:p>
      <w:r>
        <w:rPr>
          <w:rFonts w:ascii="Times New Roman" w:hAnsi="Times New Roman" w:eastAsia="Times New Roman"/>
          <w:b w:val="0"/>
          <w:i w:val="0"/>
          <w:sz w:val="22"/>
        </w:rPr>
        <w:t>The current monetary system does not recognize that loss as monetary. Renewable-energy projects are treated as power-generation assets with volatile revenue, not as monetary-issuance infrastructure. This matters because the renewable-energy finance gap remains large, especially in emerging and developing economies. Standard explanations focus on revenue volatility, currency risk, regulated tariffs, and counterparty risk. Those explanations are valid, but this thesis adds a monetary interpretation: current monetary architecture fails to recognize the monetary status of energy production.</w:t>
      </w:r>
    </w:p>
    <w:p>
      <w:r>
        <w:rPr>
          <w:rFonts w:ascii="Times New Roman" w:hAnsi="Times New Roman" w:eastAsia="Times New Roman"/>
          <w:b w:val="0"/>
          <w:i w:val="0"/>
          <w:sz w:val="22"/>
        </w:rPr>
        <w:t>Chapter 4 develops this implication carefully and conditionally. It does not claim that an energy standard already exists. It asks what follows if the theoretical and empirical premises of Chapters 2 and 3 are accepted.</w:t>
      </w:r>
    </w:p>
    <w:p>
      <w:pPr>
        <w:pStyle w:val="Heading2"/>
      </w:pPr>
      <w:r>
        <w:t>1.5 Central Question and Contributions</w:t>
      </w:r>
    </w:p>
    <w:p>
      <w:r>
        <w:rPr>
          <w:rFonts w:ascii="Times New Roman" w:hAnsi="Times New Roman" w:eastAsia="Times New Roman"/>
          <w:b w:val="0"/>
          <w:i w:val="0"/>
          <w:sz w:val="22"/>
        </w:rPr>
        <w:t>The central question of the thesis is:</w:t>
      </w:r>
    </w:p>
    <w:p>
      <w:r>
        <w:rPr>
          <w:rFonts w:ascii="Times New Roman" w:hAnsi="Times New Roman" w:eastAsia="Times New Roman"/>
          <w:b/>
          <w:i w:val="0"/>
          <w:sz w:val="22"/>
        </w:rPr>
        <w:t>What binding constraints must define the issuer of an energy-backed currency for the currency to be credibly sound, and can those constraints be implemented with current technology?</w:t>
      </w:r>
    </w:p>
    <w:p>
      <w:r>
        <w:rPr>
          <w:rFonts w:ascii="Times New Roman" w:hAnsi="Times New Roman" w:eastAsia="Times New Roman"/>
          <w:b w:val="0"/>
          <w:i w:val="0"/>
          <w:sz w:val="22"/>
        </w:rPr>
        <w:t>The thesis answers this question through four supporting investigations.</w:t>
      </w:r>
    </w:p>
    <w:p>
      <w:r>
        <w:rPr>
          <w:rFonts w:ascii="Times New Roman" w:hAnsi="Times New Roman" w:eastAsia="Times New Roman"/>
          <w:b w:val="0"/>
          <w:i w:val="0"/>
          <w:sz w:val="22"/>
        </w:rPr>
        <w:t>First, Chapter 2 asks whether a designed energy-backed standard satisfies the conditions of commodity-style monetary credibility better than gold and fiat.</w:t>
      </w:r>
    </w:p>
    <w:p>
      <w:r>
        <w:rPr>
          <w:rFonts w:ascii="Times New Roman" w:hAnsi="Times New Roman" w:eastAsia="Times New Roman"/>
          <w:b w:val="0"/>
          <w:i w:val="0"/>
          <w:sz w:val="22"/>
        </w:rPr>
        <w:t>Second, Chapter 3 asks whether energy expenditure has ever empirically anchored monetary value, using Bitcoin and China's mining ban as the primary case.</w:t>
      </w:r>
    </w:p>
    <w:p>
      <w:r>
        <w:rPr>
          <w:rFonts w:ascii="Times New Roman" w:hAnsi="Times New Roman" w:eastAsia="Times New Roman"/>
          <w:b w:val="0"/>
          <w:i w:val="0"/>
          <w:sz w:val="22"/>
        </w:rPr>
        <w:t>Third, Chapter 4 asks whether the stakes are economically material if energy is treated as monetary value.</w:t>
      </w:r>
    </w:p>
    <w:p>
      <w:r>
        <w:rPr>
          <w:rFonts w:ascii="Times New Roman" w:hAnsi="Times New Roman" w:eastAsia="Times New Roman"/>
          <w:b w:val="0"/>
          <w:i w:val="0"/>
          <w:sz w:val="22"/>
        </w:rPr>
        <w:t>Fourth, Chapter 5 asks what contractual constraints must bind the issuer of an energy-backed currency and whether those constraints can be implemented.</w:t>
      </w:r>
    </w:p>
    <w:p>
      <w:r>
        <w:rPr>
          <w:rFonts w:ascii="Times New Roman" w:hAnsi="Times New Roman" w:eastAsia="Times New Roman"/>
          <w:b w:val="0"/>
          <w:i w:val="0"/>
          <w:sz w:val="22"/>
        </w:rPr>
        <w:t>The central contribution is the constraints framework: a four-element architecture consisting of oracle-gated issuance, rule-bound supply, algorithmically collateralised settlement, and timelocked governance. These constraints are jointly necessary because each one blocks a distinct monetary failure mode. They are individually insufficient because none of them alone can make the currency sound.</w:t>
      </w:r>
    </w:p>
    <w:p>
      <w:r>
        <w:rPr>
          <w:rFonts w:ascii="Times New Roman" w:hAnsi="Times New Roman" w:eastAsia="Times New Roman"/>
          <w:b w:val="0"/>
          <w:i w:val="0"/>
          <w:sz w:val="22"/>
        </w:rPr>
        <w:t>The implementation is not the thesis's main contribution. It is evidence that the framework is buildable.</w:t>
      </w:r>
    </w:p>
    <w:p>
      <w:pPr>
        <w:pStyle w:val="Heading2"/>
      </w:pPr>
      <w:r>
        <w:t>1.6 Scope</w:t>
      </w:r>
    </w:p>
    <w:p>
      <w:r>
        <w:rPr>
          <w:rFonts w:ascii="Times New Roman" w:hAnsi="Times New Roman" w:eastAsia="Times New Roman"/>
          <w:b w:val="0"/>
          <w:i w:val="0"/>
          <w:sz w:val="22"/>
        </w:rPr>
        <w:t>This thesis does not argue for immediate policy adoption of an energy standard. It does not provide a transition roadmap from fiat to energy-backed money. It does not claim that the SolarPunk implementation is production-ready. It does not claim regulatory approval, market adoption, or institutional liquidity.</w:t>
      </w:r>
    </w:p>
    <w:p>
      <w:r>
        <w:rPr>
          <w:rFonts w:ascii="Times New Roman" w:hAnsi="Times New Roman" w:eastAsia="Times New Roman"/>
          <w:b w:val="0"/>
          <w:i w:val="0"/>
          <w:sz w:val="22"/>
        </w:rPr>
        <w:t>The thesis makes a narrower claim: an energy-backed currency can be theoretically defended, empirically motivated, priced using physical data, and specified through binding issuer constraints that are technically implementable today.</w:t>
      </w:r>
    </w:p>
    <w:p>
      <w:r>
        <w:rPr>
          <w:rFonts w:ascii="Times New Roman" w:hAnsi="Times New Roman" w:eastAsia="Times New Roman"/>
          <w:b w:val="0"/>
          <w:i w:val="0"/>
          <w:sz w:val="22"/>
        </w:rPr>
        <w:t>That is the contribution.</w:t>
      </w:r>
    </w:p>
    <w:p>
      <w:r>
        <w:br w:type="page"/>
      </w:r>
    </w:p>
    <w:p>
      <w:pPr>
        <w:pStyle w:val="Heading1"/>
      </w:pPr>
      <w:r>
        <w:t>Chapter 2 - Why Gold Failed and What Energy Offers Instead</w:t>
      </w:r>
    </w:p>
    <w:p>
      <w:r>
        <w:rPr>
          <w:rFonts w:ascii="Times New Roman" w:hAnsi="Times New Roman" w:eastAsia="Times New Roman"/>
          <w:b w:val="0"/>
          <w:i/>
          <w:sz w:val="22"/>
        </w:rPr>
        <w:t>Supporting investigation: is a designed energy-backed standard a defensible monetary architecture?</w:t>
      </w:r>
    </w:p>
    <w:p>
      <w:pPr>
        <w:pStyle w:val="Heading2"/>
      </w:pPr>
      <w:r>
        <w:t>2.1 What Makes a Commodity-Style Monetary Standard Credible?</w:t>
      </w:r>
    </w:p>
    <w:p>
      <w:r>
        <w:rPr>
          <w:rFonts w:ascii="Times New Roman" w:hAnsi="Times New Roman" w:eastAsia="Times New Roman"/>
          <w:b w:val="0"/>
          <w:i w:val="0"/>
          <w:sz w:val="22"/>
        </w:rPr>
        <w:t>A monetary standard is a commitment device. Its credibility depends on the mechanism that prevents the issuer from changing the rules when doing so becomes convenient.</w:t>
      </w:r>
    </w:p>
    <w:p>
      <w:r>
        <w:rPr>
          <w:rFonts w:ascii="Times New Roman" w:hAnsi="Times New Roman" w:eastAsia="Times New Roman"/>
          <w:b w:val="0"/>
          <w:i w:val="0"/>
          <w:sz w:val="22"/>
        </w:rPr>
        <w:t>This chapter evaluates three monetary architectures: a designed energy-backed standard, the historical gold standard, and fiat money. The comparison uses seven conditions for commodity-style monetary credibility. These conditions are derived from monetary economics literature on supply rules, commodity reserves, synthetic commodity money, and physical wealth.</w:t>
      </w:r>
    </w:p>
    <w:p>
      <w:r>
        <w:rPr>
          <w:rFonts w:ascii="Times New Roman" w:hAnsi="Times New Roman" w:eastAsia="Times New Roman"/>
          <w:b w:val="0"/>
          <w:i w:val="0"/>
          <w:sz w:val="22"/>
        </w:rPr>
        <w:t xml:space="preserve">The conditions are not presented as universal requirements for every possible monetary system. They are conditions for a </w:t>
      </w:r>
      <w:r>
        <w:rPr>
          <w:rFonts w:ascii="Times New Roman" w:hAnsi="Times New Roman" w:eastAsia="Times New Roman"/>
          <w:b/>
          <w:i w:val="0"/>
          <w:sz w:val="22"/>
        </w:rPr>
        <w:t>commodity-style monetary standard</w:t>
      </w:r>
      <w:r>
        <w:rPr>
          <w:rFonts w:ascii="Times New Roman" w:hAnsi="Times New Roman" w:eastAsia="Times New Roman"/>
          <w:b w:val="0"/>
          <w:i w:val="0"/>
          <w:sz w:val="22"/>
        </w:rPr>
        <w:t xml:space="preserve"> - that is, a system that claims credibility because issuance is tied to an external constraint.</w:t>
      </w:r>
    </w:p>
    <w:p>
      <w:r>
        <w:rPr>
          <w:rFonts w:ascii="Times New Roman" w:hAnsi="Times New Roman" w:eastAsia="Times New Roman"/>
          <w:b w:val="0"/>
          <w:i w:val="0"/>
          <w:sz w:val="22"/>
        </w:rPr>
        <w:t>The seven conditions are:</w:t>
      </w:r>
    </w:p>
    <w:p>
      <w:pPr>
        <w:pStyle w:val="ListNumber"/>
      </w:pPr>
      <w:r>
        <w:rPr>
          <w:rFonts w:ascii="Times New Roman" w:hAnsi="Times New Roman" w:eastAsia="Times New Roman"/>
          <w:b w:val="0"/>
          <w:i w:val="0"/>
          <w:sz w:val="22"/>
        </w:rPr>
        <w:t>Verifiable production cost floor.</w:t>
      </w:r>
    </w:p>
    <w:p>
      <w:pPr>
        <w:pStyle w:val="ListNumber"/>
      </w:pPr>
      <w:r>
        <w:rPr>
          <w:rFonts w:ascii="Times New Roman" w:hAnsi="Times New Roman" w:eastAsia="Times New Roman"/>
          <w:b w:val="0"/>
          <w:i w:val="0"/>
          <w:sz w:val="22"/>
        </w:rPr>
        <w:t>Independent observability.</w:t>
      </w:r>
    </w:p>
    <w:p>
      <w:pPr>
        <w:pStyle w:val="ListNumber"/>
      </w:pPr>
      <w:r>
        <w:rPr>
          <w:rFonts w:ascii="Times New Roman" w:hAnsi="Times New Roman" w:eastAsia="Times New Roman"/>
          <w:b w:val="0"/>
          <w:i w:val="0"/>
          <w:sz w:val="22"/>
        </w:rPr>
        <w:t>Scarcity and irreversibility.</w:t>
      </w:r>
    </w:p>
    <w:p>
      <w:pPr>
        <w:pStyle w:val="ListNumber"/>
      </w:pPr>
      <w:r>
        <w:rPr>
          <w:rFonts w:ascii="Times New Roman" w:hAnsi="Times New Roman" w:eastAsia="Times New Roman"/>
          <w:b w:val="0"/>
          <w:i w:val="0"/>
          <w:sz w:val="22"/>
        </w:rPr>
        <w:t>Dispersion-proof enforcement.</w:t>
      </w:r>
    </w:p>
    <w:p>
      <w:pPr>
        <w:pStyle w:val="ListNumber"/>
      </w:pPr>
      <w:r>
        <w:rPr>
          <w:rFonts w:ascii="Times New Roman" w:hAnsi="Times New Roman" w:eastAsia="Times New Roman"/>
          <w:b w:val="0"/>
          <w:i w:val="0"/>
          <w:sz w:val="22"/>
        </w:rPr>
        <w:t>Cash settlement without physical delivery.</w:t>
      </w:r>
    </w:p>
    <w:p>
      <w:pPr>
        <w:pStyle w:val="ListNumber"/>
      </w:pPr>
      <w:r>
        <w:rPr>
          <w:rFonts w:ascii="Times New Roman" w:hAnsi="Times New Roman" w:eastAsia="Times New Roman"/>
          <w:b w:val="0"/>
          <w:i w:val="0"/>
          <w:sz w:val="22"/>
        </w:rPr>
        <w:t>Credibility under geographic dispersion.</w:t>
      </w:r>
    </w:p>
    <w:p>
      <w:pPr>
        <w:pStyle w:val="ListNumber"/>
      </w:pPr>
      <w:r>
        <w:rPr>
          <w:rFonts w:ascii="Times New Roman" w:hAnsi="Times New Roman" w:eastAsia="Times New Roman"/>
          <w:b w:val="0"/>
          <w:i w:val="0"/>
          <w:sz w:val="22"/>
        </w:rPr>
        <w:t>Physics-based price floor.</w:t>
      </w:r>
    </w:p>
    <w:p>
      <w:r>
        <w:rPr>
          <w:rFonts w:ascii="Times New Roman" w:hAnsi="Times New Roman" w:eastAsia="Times New Roman"/>
          <w:b w:val="0"/>
          <w:i w:val="0"/>
          <w:sz w:val="22"/>
        </w:rPr>
        <w:t>The first, third, and seventh conditions capture the traditional logic of commodity money: production must be costly, irreversible, and grounded in physical scarcity. The second, fourth, fifth, and sixth conditions capture the weaknesses that caused historical commodity standards to fail: verification, custody, delivery, and dispersion.</w:t>
      </w:r>
    </w:p>
    <w:p>
      <w:r>
        <w:rPr>
          <w:rFonts w:ascii="Times New Roman" w:hAnsi="Times New Roman" w:eastAsia="Times New Roman"/>
          <w:b w:val="0"/>
          <w:i w:val="0"/>
          <w:sz w:val="22"/>
        </w:rPr>
        <w:t>The contribution of the chapter is not merely to claim that energy is valuable. It is to show that a designed energy-backed standard satisfies these credibility conditions more completely than gold or fiat.</w:t>
      </w:r>
    </w:p>
    <w:p>
      <w:pPr>
        <w:pStyle w:val="Heading2"/>
      </w:pPr>
      <w:r>
        <w:t>2.2 Gold's Strength and Failure</w:t>
      </w:r>
    </w:p>
    <w:p>
      <w:r>
        <w:rPr>
          <w:rFonts w:ascii="Times New Roman" w:hAnsi="Times New Roman" w:eastAsia="Times New Roman"/>
          <w:b w:val="0"/>
          <w:i w:val="0"/>
          <w:sz w:val="22"/>
        </w:rPr>
        <w:t>Gold satisfied the traditional commodity-money conditions relatively well. It had a real production cost. It could not be created at will. Its scarcity had geological foundations.</w:t>
      </w:r>
    </w:p>
    <w:p>
      <w:r>
        <w:rPr>
          <w:rFonts w:ascii="Times New Roman" w:hAnsi="Times New Roman" w:eastAsia="Times New Roman"/>
          <w:b w:val="0"/>
          <w:i w:val="0"/>
          <w:sz w:val="22"/>
        </w:rPr>
        <w:t>Gold failed on the institutional conditions. It required physical assay, physical custody, and concentrated reserve management. It could not be cash-settled at global scale without trusted intermediaries. Under Bretton Woods, this led to a concentrated custodial structure. The United States effectively became the settlement guarantor of the system. When redemption pressure rose, the system depended on discretionary political willingness to maintain convertibility.</w:t>
      </w:r>
    </w:p>
    <w:p>
      <w:r>
        <w:rPr>
          <w:rFonts w:ascii="Times New Roman" w:hAnsi="Times New Roman" w:eastAsia="Times New Roman"/>
          <w:b w:val="0"/>
          <w:i w:val="0"/>
          <w:sz w:val="22"/>
        </w:rPr>
        <w:t>The 1971 suspension of dollar-gold convertibility was therefore not an accidental failure. It revealed a structural weakness: gold's monetary credibility depended on a custodian that could choose not to honor the rule.</w:t>
      </w:r>
    </w:p>
    <w:p>
      <w:r>
        <w:rPr>
          <w:rFonts w:ascii="Times New Roman" w:hAnsi="Times New Roman" w:eastAsia="Times New Roman"/>
          <w:b w:val="0"/>
          <w:i w:val="0"/>
          <w:sz w:val="22"/>
        </w:rPr>
        <w:t>A sounder commodity-style standard must therefore preserve production constraint while eliminating the need for concentrated custody and physical redemption.</w:t>
      </w:r>
    </w:p>
    <w:p>
      <w:pPr>
        <w:pStyle w:val="Heading2"/>
      </w:pPr>
      <w:r>
        <w:t>2.3 Seven-Condition Scorecard</w:t>
      </w:r>
    </w:p>
    <w:p>
      <w:r>
        <w:rPr>
          <w:rFonts w:ascii="Times New Roman" w:hAnsi="Times New Roman" w:eastAsia="Times New Roman"/>
          <w:b w:val="0"/>
          <w:i w:val="0"/>
          <w:sz w:val="22"/>
        </w:rPr>
        <w:t xml:space="preserve">The table below evaluates the architectures, not raw commodities. The first column should be read as </w:t>
      </w:r>
      <w:r>
        <w:rPr>
          <w:rFonts w:ascii="Times New Roman" w:hAnsi="Times New Roman" w:eastAsia="Times New Roman"/>
          <w:b/>
          <w:i w:val="0"/>
          <w:sz w:val="22"/>
        </w:rPr>
        <w:t>designed energy-backed standard</w:t>
      </w:r>
      <w:r>
        <w:rPr>
          <w:rFonts w:ascii="Times New Roman" w:hAnsi="Times New Roman" w:eastAsia="Times New Roman"/>
          <w:b w:val="0"/>
          <w:i w:val="0"/>
          <w:sz w:val="22"/>
        </w:rPr>
        <w:t>, not "energy alone."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pPr>
            <w:r/>
            <w:r>
              <w:rPr>
                <w:rFonts w:ascii="Times New Roman" w:hAnsi="Times New Roman" w:eastAsia="Times New Roman"/>
                <w:b/>
                <w:sz w:val="19"/>
              </w:rPr>
              <w:t>Condition</w:t>
            </w:r>
          </w:p>
        </w:tc>
        <w:tc>
          <w:tcPr>
            <w:tcW w:type="dxa" w:w="2448"/>
            <w:vAlign w:val="center"/>
            <w:shd w:fill="D9EAF7"/>
          </w:tcPr>
          <w:p>
            <w:pPr>
              <w:spacing w:after="0"/>
            </w:pPr>
            <w:r/>
            <w:r>
              <w:rPr>
                <w:rFonts w:ascii="Times New Roman" w:hAnsi="Times New Roman" w:eastAsia="Times New Roman"/>
                <w:b/>
                <w:sz w:val="19"/>
              </w:rPr>
              <w:t>Energy-backed standard</w:t>
            </w:r>
          </w:p>
        </w:tc>
        <w:tc>
          <w:tcPr>
            <w:tcW w:type="dxa" w:w="2448"/>
            <w:vAlign w:val="center"/>
            <w:shd w:fill="D9EAF7"/>
          </w:tcPr>
          <w:p>
            <w:pPr>
              <w:spacing w:after="0"/>
            </w:pPr>
            <w:r/>
            <w:r>
              <w:rPr>
                <w:rFonts w:ascii="Times New Roman" w:hAnsi="Times New Roman" w:eastAsia="Times New Roman"/>
                <w:b/>
                <w:sz w:val="19"/>
              </w:rPr>
              <w:t>Gold standard</w:t>
            </w:r>
          </w:p>
        </w:tc>
        <w:tc>
          <w:tcPr>
            <w:tcW w:type="dxa" w:w="2448"/>
            <w:vAlign w:val="center"/>
            <w:shd w:fill="D9EAF7"/>
          </w:tcPr>
          <w:p>
            <w:pPr>
              <w:spacing w:after="0"/>
            </w:pPr>
            <w:r/>
            <w:r>
              <w:rPr>
                <w:rFonts w:ascii="Times New Roman" w:hAnsi="Times New Roman" w:eastAsia="Times New Roman"/>
                <w:b/>
                <w:sz w:val="19"/>
              </w:rPr>
              <w:t>Fiat</w:t>
            </w:r>
          </w:p>
        </w:tc>
      </w:tr>
      <w:tr>
        <w:tc>
          <w:tcPr>
            <w:tcW w:type="dxa" w:w="2448"/>
            <w:vAlign w:val="center"/>
          </w:tcPr>
          <w:p>
            <w:pPr>
              <w:spacing w:after="0"/>
            </w:pPr>
            <w:r/>
            <w:r>
              <w:rPr>
                <w:rFonts w:ascii="Times New Roman" w:hAnsi="Times New Roman" w:eastAsia="Times New Roman"/>
                <w:b w:val="0"/>
                <w:sz w:val="19"/>
              </w:rPr>
              <w:t>Production floor</w:t>
            </w:r>
          </w:p>
        </w:tc>
        <w:tc>
          <w:tcPr>
            <w:tcW w:type="dxa" w:w="2448"/>
            <w:vAlign w:val="center"/>
          </w:tcPr>
          <w:p>
            <w:pPr>
              <w:spacing w:after="0"/>
            </w:pPr>
            <w:r/>
            <w:r>
              <w:rPr>
                <w:rFonts w:ascii="Times New Roman" w:hAnsi="Times New Roman" w:eastAsia="Times New Roman"/>
                <w:b w:val="0"/>
                <w:sz w:val="19"/>
              </w:rPr>
              <w:t>Yes</w:t>
            </w:r>
          </w:p>
        </w:tc>
        <w:tc>
          <w:tcPr>
            <w:tcW w:type="dxa" w:w="2448"/>
            <w:vAlign w:val="center"/>
          </w:tcPr>
          <w:p>
            <w:pPr>
              <w:spacing w:after="0"/>
            </w:pPr>
            <w:r/>
            <w:r>
              <w:rPr>
                <w:rFonts w:ascii="Times New Roman" w:hAnsi="Times New Roman" w:eastAsia="Times New Roman"/>
                <w:b w:val="0"/>
                <w:sz w:val="19"/>
              </w:rPr>
              <w:t>Partial</w:t>
            </w:r>
          </w:p>
        </w:tc>
        <w:tc>
          <w:tcPr>
            <w:tcW w:type="dxa" w:w="2448"/>
            <w:vAlign w:val="center"/>
          </w:tcPr>
          <w:p>
            <w:pPr>
              <w:spacing w:after="0"/>
            </w:pPr>
            <w:r/>
            <w:r>
              <w:rPr>
                <w:rFonts w:ascii="Times New Roman" w:hAnsi="Times New Roman" w:eastAsia="Times New Roman"/>
                <w:b w:val="0"/>
                <w:sz w:val="19"/>
              </w:rPr>
              <w:t>No</w:t>
            </w:r>
          </w:p>
        </w:tc>
      </w:tr>
      <w:tr>
        <w:tc>
          <w:tcPr>
            <w:tcW w:type="dxa" w:w="2448"/>
            <w:vAlign w:val="center"/>
          </w:tcPr>
          <w:p>
            <w:pPr>
              <w:spacing w:after="0"/>
            </w:pPr>
            <w:r/>
            <w:r>
              <w:rPr>
                <w:rFonts w:ascii="Times New Roman" w:hAnsi="Times New Roman" w:eastAsia="Times New Roman"/>
                <w:b w:val="0"/>
                <w:sz w:val="19"/>
              </w:rPr>
              <w:t>Observability</w:t>
            </w:r>
          </w:p>
        </w:tc>
        <w:tc>
          <w:tcPr>
            <w:tcW w:type="dxa" w:w="2448"/>
            <w:vAlign w:val="center"/>
          </w:tcPr>
          <w:p>
            <w:pPr>
              <w:spacing w:after="0"/>
            </w:pPr>
            <w:r/>
            <w:r>
              <w:rPr>
                <w:rFonts w:ascii="Times New Roman" w:hAnsi="Times New Roman" w:eastAsia="Times New Roman"/>
                <w:b w:val="0"/>
                <w:sz w:val="19"/>
              </w:rPr>
              <w:t>Public energy data</w:t>
            </w:r>
          </w:p>
        </w:tc>
        <w:tc>
          <w:tcPr>
            <w:tcW w:type="dxa" w:w="2448"/>
            <w:vAlign w:val="center"/>
          </w:tcPr>
          <w:p>
            <w:pPr>
              <w:spacing w:after="0"/>
            </w:pPr>
            <w:r/>
            <w:r>
              <w:rPr>
                <w:rFonts w:ascii="Times New Roman" w:hAnsi="Times New Roman" w:eastAsia="Times New Roman"/>
                <w:b w:val="0"/>
                <w:sz w:val="19"/>
              </w:rPr>
              <w:t>Physical assay</w:t>
            </w:r>
          </w:p>
        </w:tc>
        <w:tc>
          <w:tcPr>
            <w:tcW w:type="dxa" w:w="2448"/>
            <w:vAlign w:val="center"/>
          </w:tcPr>
          <w:p>
            <w:pPr>
              <w:spacing w:after="0"/>
            </w:pPr>
            <w:r/>
            <w:r>
              <w:rPr>
                <w:rFonts w:ascii="Times New Roman" w:hAnsi="Times New Roman" w:eastAsia="Times New Roman"/>
                <w:b w:val="0"/>
                <w:sz w:val="19"/>
              </w:rPr>
              <w:t>Institutional reporting</w:t>
            </w:r>
          </w:p>
        </w:tc>
      </w:tr>
      <w:tr>
        <w:tc>
          <w:tcPr>
            <w:tcW w:type="dxa" w:w="2448"/>
            <w:vAlign w:val="center"/>
          </w:tcPr>
          <w:p>
            <w:pPr>
              <w:spacing w:after="0"/>
            </w:pPr>
            <w:r/>
            <w:r>
              <w:rPr>
                <w:rFonts w:ascii="Times New Roman" w:hAnsi="Times New Roman" w:eastAsia="Times New Roman"/>
                <w:b w:val="0"/>
                <w:sz w:val="19"/>
              </w:rPr>
              <w:t>Irreversibility</w:t>
            </w:r>
          </w:p>
        </w:tc>
        <w:tc>
          <w:tcPr>
            <w:tcW w:type="dxa" w:w="2448"/>
            <w:vAlign w:val="center"/>
          </w:tcPr>
          <w:p>
            <w:pPr>
              <w:spacing w:after="0"/>
            </w:pPr>
            <w:r/>
            <w:r>
              <w:rPr>
                <w:rFonts w:ascii="Times New Roman" w:hAnsi="Times New Roman" w:eastAsia="Times New Roman"/>
                <w:b w:val="0"/>
                <w:sz w:val="19"/>
              </w:rPr>
              <w:t>Energy capture cost</w:t>
            </w:r>
          </w:p>
        </w:tc>
        <w:tc>
          <w:tcPr>
            <w:tcW w:type="dxa" w:w="2448"/>
            <w:vAlign w:val="center"/>
          </w:tcPr>
          <w:p>
            <w:pPr>
              <w:spacing w:after="0"/>
            </w:pPr>
            <w:r/>
            <w:r>
              <w:rPr>
                <w:rFonts w:ascii="Times New Roman" w:hAnsi="Times New Roman" w:eastAsia="Times New Roman"/>
                <w:b w:val="0"/>
                <w:sz w:val="19"/>
              </w:rPr>
              <w:t>Mining cost</w:t>
            </w:r>
          </w:p>
        </w:tc>
        <w:tc>
          <w:tcPr>
            <w:tcW w:type="dxa" w:w="2448"/>
            <w:vAlign w:val="center"/>
          </w:tcPr>
          <w:p>
            <w:pPr>
              <w:spacing w:after="0"/>
            </w:pPr>
            <w:r/>
            <w:r>
              <w:rPr>
                <w:rFonts w:ascii="Times New Roman" w:hAnsi="Times New Roman" w:eastAsia="Times New Roman"/>
                <w:b w:val="0"/>
                <w:sz w:val="19"/>
              </w:rPr>
              <w:t>No external constraint</w:t>
            </w:r>
          </w:p>
        </w:tc>
      </w:tr>
      <w:tr>
        <w:tc>
          <w:tcPr>
            <w:tcW w:type="dxa" w:w="2448"/>
            <w:vAlign w:val="center"/>
          </w:tcPr>
          <w:p>
            <w:pPr>
              <w:spacing w:after="0"/>
            </w:pPr>
            <w:r/>
            <w:r>
              <w:rPr>
                <w:rFonts w:ascii="Times New Roman" w:hAnsi="Times New Roman" w:eastAsia="Times New Roman"/>
                <w:b w:val="0"/>
                <w:sz w:val="19"/>
              </w:rPr>
              <w:t>Enforcement</w:t>
            </w:r>
          </w:p>
        </w:tc>
        <w:tc>
          <w:tcPr>
            <w:tcW w:type="dxa" w:w="2448"/>
            <w:vAlign w:val="center"/>
          </w:tcPr>
          <w:p>
            <w:pPr>
              <w:spacing w:after="0"/>
            </w:pPr>
            <w:r/>
            <w:r>
              <w:rPr>
                <w:rFonts w:ascii="Times New Roman" w:hAnsi="Times New Roman" w:eastAsia="Times New Roman"/>
                <w:b w:val="0"/>
                <w:sz w:val="19"/>
              </w:rPr>
              <w:t>Smart-contract rule</w:t>
            </w:r>
          </w:p>
        </w:tc>
        <w:tc>
          <w:tcPr>
            <w:tcW w:type="dxa" w:w="2448"/>
            <w:vAlign w:val="center"/>
          </w:tcPr>
          <w:p>
            <w:pPr>
              <w:spacing w:after="0"/>
            </w:pPr>
            <w:r/>
            <w:r>
              <w:rPr>
                <w:rFonts w:ascii="Times New Roman" w:hAnsi="Times New Roman" w:eastAsia="Times New Roman"/>
                <w:b w:val="0"/>
                <w:sz w:val="19"/>
              </w:rPr>
              <w:t>Custodian promise</w:t>
            </w:r>
          </w:p>
        </w:tc>
        <w:tc>
          <w:tcPr>
            <w:tcW w:type="dxa" w:w="2448"/>
            <w:vAlign w:val="center"/>
          </w:tcPr>
          <w:p>
            <w:pPr>
              <w:spacing w:after="0"/>
            </w:pPr>
            <w:r/>
            <w:r>
              <w:rPr>
                <w:rFonts w:ascii="Times New Roman" w:hAnsi="Times New Roman" w:eastAsia="Times New Roman"/>
                <w:b w:val="0"/>
                <w:sz w:val="19"/>
              </w:rPr>
              <w:t>Policy discretion</w:t>
            </w:r>
          </w:p>
        </w:tc>
      </w:tr>
      <w:tr>
        <w:tc>
          <w:tcPr>
            <w:tcW w:type="dxa" w:w="2448"/>
            <w:vAlign w:val="center"/>
          </w:tcPr>
          <w:p>
            <w:pPr>
              <w:spacing w:after="0"/>
            </w:pPr>
            <w:r/>
            <w:r>
              <w:rPr>
                <w:rFonts w:ascii="Times New Roman" w:hAnsi="Times New Roman" w:eastAsia="Times New Roman"/>
                <w:b w:val="0"/>
                <w:sz w:val="19"/>
              </w:rPr>
              <w:t>Cash settlement</w:t>
            </w:r>
          </w:p>
        </w:tc>
        <w:tc>
          <w:tcPr>
            <w:tcW w:type="dxa" w:w="2448"/>
            <w:vAlign w:val="center"/>
          </w:tcPr>
          <w:p>
            <w:pPr>
              <w:spacing w:after="0"/>
            </w:pPr>
            <w:r/>
            <w:r>
              <w:rPr>
                <w:rFonts w:ascii="Times New Roman" w:hAnsi="Times New Roman" w:eastAsia="Times New Roman"/>
                <w:b w:val="0"/>
                <w:sz w:val="19"/>
              </w:rPr>
              <w:t>Native</w:t>
            </w:r>
          </w:p>
        </w:tc>
        <w:tc>
          <w:tcPr>
            <w:tcW w:type="dxa" w:w="2448"/>
            <w:vAlign w:val="center"/>
          </w:tcPr>
          <w:p>
            <w:pPr>
              <w:spacing w:after="0"/>
            </w:pPr>
            <w:r/>
            <w:r>
              <w:rPr>
                <w:rFonts w:ascii="Times New Roman" w:hAnsi="Times New Roman" w:eastAsia="Times New Roman"/>
                <w:b w:val="0"/>
                <w:sz w:val="19"/>
              </w:rPr>
              <w:t>Difficult</w:t>
            </w:r>
          </w:p>
        </w:tc>
        <w:tc>
          <w:tcPr>
            <w:tcW w:type="dxa" w:w="2448"/>
            <w:vAlign w:val="center"/>
          </w:tcPr>
          <w:p>
            <w:pPr>
              <w:spacing w:after="0"/>
            </w:pPr>
            <w:r/>
            <w:r>
              <w:rPr>
                <w:rFonts w:ascii="Times New Roman" w:hAnsi="Times New Roman" w:eastAsia="Times New Roman"/>
                <w:b w:val="0"/>
                <w:sz w:val="19"/>
              </w:rPr>
              <w:t>Native</w:t>
            </w:r>
          </w:p>
        </w:tc>
      </w:tr>
      <w:tr>
        <w:tc>
          <w:tcPr>
            <w:tcW w:type="dxa" w:w="2448"/>
            <w:vAlign w:val="center"/>
          </w:tcPr>
          <w:p>
            <w:pPr>
              <w:spacing w:after="0"/>
            </w:pPr>
            <w:r/>
            <w:r>
              <w:rPr>
                <w:rFonts w:ascii="Times New Roman" w:hAnsi="Times New Roman" w:eastAsia="Times New Roman"/>
                <w:b w:val="0"/>
                <w:sz w:val="19"/>
              </w:rPr>
              <w:t>Dispersion robustness</w:t>
            </w:r>
          </w:p>
        </w:tc>
        <w:tc>
          <w:tcPr>
            <w:tcW w:type="dxa" w:w="2448"/>
            <w:vAlign w:val="center"/>
          </w:tcPr>
          <w:p>
            <w:pPr>
              <w:spacing w:after="0"/>
            </w:pPr>
            <w:r/>
            <w:r>
              <w:rPr>
                <w:rFonts w:ascii="Times New Roman" w:hAnsi="Times New Roman" w:eastAsia="Times New Roman"/>
                <w:b w:val="0"/>
                <w:sz w:val="19"/>
              </w:rPr>
              <w:t>High</w:t>
            </w:r>
          </w:p>
        </w:tc>
        <w:tc>
          <w:tcPr>
            <w:tcW w:type="dxa" w:w="2448"/>
            <w:vAlign w:val="center"/>
          </w:tcPr>
          <w:p>
            <w:pPr>
              <w:spacing w:after="0"/>
            </w:pPr>
            <w:r/>
            <w:r>
              <w:rPr>
                <w:rFonts w:ascii="Times New Roman" w:hAnsi="Times New Roman" w:eastAsia="Times New Roman"/>
                <w:b w:val="0"/>
                <w:sz w:val="19"/>
              </w:rPr>
              <w:t>Low</w:t>
            </w:r>
          </w:p>
        </w:tc>
        <w:tc>
          <w:tcPr>
            <w:tcW w:type="dxa" w:w="2448"/>
            <w:vAlign w:val="center"/>
          </w:tcPr>
          <w:p>
            <w:pPr>
              <w:spacing w:after="0"/>
            </w:pPr>
            <w:r/>
            <w:r>
              <w:rPr>
                <w:rFonts w:ascii="Times New Roman" w:hAnsi="Times New Roman" w:eastAsia="Times New Roman"/>
                <w:b w:val="0"/>
                <w:sz w:val="19"/>
              </w:rPr>
              <w:t>Policy-dependent</w:t>
            </w:r>
          </w:p>
        </w:tc>
      </w:tr>
      <w:tr>
        <w:tc>
          <w:tcPr>
            <w:tcW w:type="dxa" w:w="2448"/>
            <w:vAlign w:val="center"/>
          </w:tcPr>
          <w:p>
            <w:pPr>
              <w:spacing w:after="0"/>
            </w:pPr>
            <w:r/>
            <w:r>
              <w:rPr>
                <w:rFonts w:ascii="Times New Roman" w:hAnsi="Times New Roman" w:eastAsia="Times New Roman"/>
                <w:b w:val="0"/>
                <w:sz w:val="19"/>
              </w:rPr>
              <w:t>Physical price floor</w:t>
            </w:r>
          </w:p>
        </w:tc>
        <w:tc>
          <w:tcPr>
            <w:tcW w:type="dxa" w:w="2448"/>
            <w:vAlign w:val="center"/>
          </w:tcPr>
          <w:p>
            <w:pPr>
              <w:spacing w:after="0"/>
            </w:pPr>
            <w:r/>
            <w:r>
              <w:rPr>
                <w:rFonts w:ascii="Times New Roman" w:hAnsi="Times New Roman" w:eastAsia="Times New Roman"/>
                <w:b w:val="0"/>
                <w:sz w:val="19"/>
              </w:rPr>
              <w:t>LCOE / energy physics</w:t>
            </w:r>
          </w:p>
        </w:tc>
        <w:tc>
          <w:tcPr>
            <w:tcW w:type="dxa" w:w="2448"/>
            <w:vAlign w:val="center"/>
          </w:tcPr>
          <w:p>
            <w:pPr>
              <w:spacing w:after="0"/>
            </w:pPr>
            <w:r/>
            <w:r>
              <w:rPr>
                <w:rFonts w:ascii="Times New Roman" w:hAnsi="Times New Roman" w:eastAsia="Times New Roman"/>
                <w:b w:val="0"/>
                <w:sz w:val="19"/>
              </w:rPr>
              <w:t>Geological scarcity</w:t>
            </w:r>
          </w:p>
        </w:tc>
        <w:tc>
          <w:tcPr>
            <w:tcW w:type="dxa" w:w="2448"/>
            <w:vAlign w:val="center"/>
          </w:tcPr>
          <w:p>
            <w:pPr>
              <w:spacing w:after="0"/>
            </w:pPr>
            <w:r/>
            <w:r>
              <w:rPr>
                <w:rFonts w:ascii="Times New Roman" w:hAnsi="Times New Roman" w:eastAsia="Times New Roman"/>
                <w:b w:val="0"/>
                <w:sz w:val="19"/>
              </w:rPr>
              <w:t>None</w:t>
            </w:r>
          </w:p>
        </w:tc>
      </w:tr>
      <w:tr>
        <w:tc>
          <w:tcPr>
            <w:tcW w:type="dxa" w:w="2448"/>
            <w:vAlign w:val="center"/>
            <w:shd w:fill="EAF2F8"/>
          </w:tcPr>
          <w:p>
            <w:pPr>
              <w:spacing w:after="0"/>
            </w:pPr>
            <w:r/>
            <w:r>
              <w:rPr>
                <w:rFonts w:ascii="Times New Roman" w:hAnsi="Times New Roman" w:eastAsia="Times New Roman"/>
                <w:b/>
                <w:sz w:val="19"/>
              </w:rPr>
              <w:t>Score</w:t>
            </w:r>
          </w:p>
        </w:tc>
        <w:tc>
          <w:tcPr>
            <w:tcW w:type="dxa" w:w="2448"/>
            <w:vAlign w:val="center"/>
          </w:tcPr>
          <w:p>
            <w:pPr>
              <w:spacing w:after="0"/>
            </w:pPr>
            <w:r/>
            <w:r>
              <w:rPr>
                <w:rFonts w:ascii="Times New Roman" w:hAnsi="Times New Roman" w:eastAsia="Times New Roman"/>
                <w:b w:val="0"/>
                <w:sz w:val="19"/>
              </w:rPr>
              <w:t>7 / 7</w:t>
            </w:r>
          </w:p>
        </w:tc>
        <w:tc>
          <w:tcPr>
            <w:tcW w:type="dxa" w:w="2448"/>
            <w:vAlign w:val="center"/>
          </w:tcPr>
          <w:p>
            <w:pPr>
              <w:spacing w:after="0"/>
            </w:pPr>
            <w:r/>
            <w:r>
              <w:rPr>
                <w:rFonts w:ascii="Times New Roman" w:hAnsi="Times New Roman" w:eastAsia="Times New Roman"/>
                <w:b w:val="0"/>
                <w:sz w:val="19"/>
              </w:rPr>
              <w:t>2.5 / 7</w:t>
            </w:r>
          </w:p>
        </w:tc>
        <w:tc>
          <w:tcPr>
            <w:tcW w:type="dxa" w:w="2448"/>
            <w:vAlign w:val="center"/>
          </w:tcPr>
          <w:p>
            <w:pPr>
              <w:spacing w:after="0"/>
            </w:pPr>
            <w:r/>
            <w:r>
              <w:rPr>
                <w:rFonts w:ascii="Times New Roman" w:hAnsi="Times New Roman" w:eastAsia="Times New Roman"/>
                <w:b w:val="0"/>
                <w:sz w:val="19"/>
              </w:rPr>
              <w:t>1 / 7</w:t>
            </w:r>
          </w:p>
        </w:tc>
      </w:tr>
    </w:tbl>
    <w:p/>
    <w:p>
      <w:r>
        <w:rPr>
          <w:rFonts w:ascii="Times New Roman" w:hAnsi="Times New Roman" w:eastAsia="Times New Roman"/>
          <w:b w:val="0"/>
          <w:i w:val="0"/>
          <w:sz w:val="22"/>
        </w:rPr>
        <w:t>The scorecard is an operational framework, not a universally accepted canonical test. Its purpose is to make the comparison explicit and falsifiable. A critic can disagree with a score, a condition, or the weighting, but the burden then becomes specific rather than rhetorical.</w:t>
      </w:r>
    </w:p>
    <w:p>
      <w:pPr>
        <w:pStyle w:val="Heading2"/>
      </w:pPr>
      <w:r>
        <w:t>2.4 Why a Designed Energy-Backed Standard Satisfies the Conditions</w:t>
      </w:r>
    </w:p>
    <w:p>
      <w:r>
        <w:rPr>
          <w:rFonts w:ascii="Times New Roman" w:hAnsi="Times New Roman" w:eastAsia="Times New Roman"/>
          <w:b w:val="0"/>
          <w:i w:val="0"/>
          <w:sz w:val="22"/>
        </w:rPr>
        <w:t>A designed energy-backed standard satisfies the production-floor condition because energy capture has measurable cost. For solar energy, the levelised cost of energy depends on irradiance, panel efficiency, installation cost, financing cost, and operating life. These are physical and financial inputs, not discretionary monetary choices.</w:t>
      </w:r>
    </w:p>
    <w:p>
      <w:r>
        <w:rPr>
          <w:rFonts w:ascii="Times New Roman" w:hAnsi="Times New Roman" w:eastAsia="Times New Roman"/>
          <w:b w:val="0"/>
          <w:i w:val="0"/>
          <w:sz w:val="22"/>
        </w:rPr>
        <w:t>It satisfies observability because solar irradiance and related energy conditions can be measured using public satellite data. This does not mean the data source is cryptographically perfect. It means the source is public, externally auditable, and resistant to local manipulation. Cryptographic tamper-resistance enters at the oracle-recording and settlement layer, not at the raw satellite-data layer itself.</w:t>
      </w:r>
    </w:p>
    <w:p>
      <w:r>
        <w:rPr>
          <w:rFonts w:ascii="Times New Roman" w:hAnsi="Times New Roman" w:eastAsia="Times New Roman"/>
          <w:b w:val="0"/>
          <w:i w:val="0"/>
          <w:sz w:val="22"/>
        </w:rPr>
        <w:t>It satisfies scarcity and irreversibility because useful energy requires irreversible conversion through real infrastructure. Renewable energy does not deplete the sun or wind, but the capture infrastructure is scarce and costly.</w:t>
      </w:r>
    </w:p>
    <w:p>
      <w:r>
        <w:rPr>
          <w:rFonts w:ascii="Times New Roman" w:hAnsi="Times New Roman" w:eastAsia="Times New Roman"/>
          <w:b w:val="0"/>
          <w:i w:val="0"/>
          <w:sz w:val="22"/>
        </w:rPr>
        <w:t>It satisfies dispersion-proof enforcement because contractual rules can operate independently of producer geography. A solar farm in Taiwan and a solar farm in Brazil can be governed by the same issuance rule if both are measured through a compatible oracle framework.</w:t>
      </w:r>
    </w:p>
    <w:p>
      <w:r>
        <w:rPr>
          <w:rFonts w:ascii="Times New Roman" w:hAnsi="Times New Roman" w:eastAsia="Times New Roman"/>
          <w:b w:val="0"/>
          <w:i w:val="0"/>
          <w:sz w:val="22"/>
        </w:rPr>
        <w:t>It satisfies cash settlement because the system does not require delivery of physical electricity across borders. Settlement occurs against verified energy data and financial collateral.</w:t>
      </w:r>
    </w:p>
    <w:p>
      <w:r>
        <w:rPr>
          <w:rFonts w:ascii="Times New Roman" w:hAnsi="Times New Roman" w:eastAsia="Times New Roman"/>
          <w:b w:val="0"/>
          <w:i w:val="0"/>
          <w:sz w:val="22"/>
        </w:rPr>
        <w:t>It satisfies credibility under geographic dispersion because the system does not require a Fort Knox, a central custodian, or a single sovereign redeemer. The rule is enforced through contract architecture.</w:t>
      </w:r>
    </w:p>
    <w:p>
      <w:r>
        <w:rPr>
          <w:rFonts w:ascii="Times New Roman" w:hAnsi="Times New Roman" w:eastAsia="Times New Roman"/>
          <w:b w:val="0"/>
          <w:i w:val="0"/>
          <w:sz w:val="22"/>
        </w:rPr>
        <w:t>It satisfies the physics-based price-floor condition because the value floor is tied to energy production cost and energy availability, not merely to convention.</w:t>
      </w:r>
    </w:p>
    <w:p>
      <w:pPr>
        <w:pStyle w:val="Heading2"/>
      </w:pPr>
      <w:r>
        <w:t>2.5 Why Energy Is Not Just Another Commodity</w:t>
      </w:r>
    </w:p>
    <w:p>
      <w:r>
        <w:rPr>
          <w:rFonts w:ascii="Times New Roman" w:hAnsi="Times New Roman" w:eastAsia="Times New Roman"/>
          <w:b w:val="0"/>
          <w:i w:val="0"/>
          <w:sz w:val="22"/>
        </w:rPr>
        <w:t>A common objection is that any commodity could be used in this argument. The thesis rejects that equivalence.</w:t>
      </w:r>
    </w:p>
    <w:p>
      <w:r>
        <w:rPr>
          <w:rFonts w:ascii="Times New Roman" w:hAnsi="Times New Roman" w:eastAsia="Times New Roman"/>
          <w:b w:val="0"/>
          <w:i w:val="0"/>
          <w:sz w:val="22"/>
        </w:rPr>
        <w:t>Energy is the universal input. Every productive process requires energy. Wheat, oil, copper, silicon, and gold are important, but they are not universal prerequisites in the same way.</w:t>
      </w:r>
    </w:p>
    <w:p>
      <w:r>
        <w:rPr>
          <w:rFonts w:ascii="Times New Roman" w:hAnsi="Times New Roman" w:eastAsia="Times New Roman"/>
          <w:b w:val="0"/>
          <w:i w:val="0"/>
          <w:sz w:val="22"/>
        </w:rPr>
        <w:t>Energy is also unusually observable. Solar irradiance can be measured globally using satellite systems. Most commodities require local reporting, physical inspection, or state-dependent reserve estimates.</w:t>
      </w:r>
    </w:p>
    <w:p>
      <w:r>
        <w:rPr>
          <w:rFonts w:ascii="Times New Roman" w:hAnsi="Times New Roman" w:eastAsia="Times New Roman"/>
          <w:b w:val="0"/>
          <w:i w:val="0"/>
          <w:sz w:val="22"/>
        </w:rPr>
        <w:t>Renewable energy also does not deplete in the same way as extractive commodities. A gold deposit shrinks when mined. A solar resource is continuously replenished. The scarcity is in capture capacity, not in the underlying flow.</w:t>
      </w:r>
    </w:p>
    <w:p>
      <w:r>
        <w:rPr>
          <w:rFonts w:ascii="Times New Roman" w:hAnsi="Times New Roman" w:eastAsia="Times New Roman"/>
          <w:b w:val="0"/>
          <w:i w:val="0"/>
          <w:sz w:val="22"/>
        </w:rPr>
        <w:t>For these reasons, energy is not merely another commodity candidate. It has a stronger claim to being a globally observable, physically grounded, and dispersion-compatible monetary base.</w:t>
      </w:r>
    </w:p>
    <w:p>
      <w:pPr>
        <w:pStyle w:val="Heading2"/>
      </w:pPr>
      <w:r>
        <w:t>2.6 Investigation Finding</w:t>
      </w:r>
    </w:p>
    <w:p>
      <w:r>
        <w:rPr>
          <w:rFonts w:ascii="Times New Roman" w:hAnsi="Times New Roman" w:eastAsia="Times New Roman"/>
          <w:b w:val="0"/>
          <w:i w:val="0"/>
          <w:sz w:val="22"/>
        </w:rPr>
        <w:t>Under the seven-condition framework developed here, the designed energy-backed standard satisfies all seven conditions for commodity-style monetary credibility. Gold satisfies some traditional scarcity conditions but fails on observability, settlement, and dispersion. Fiat is operationally convenient but lacks an external production constraint.</w:t>
      </w:r>
    </w:p>
    <w:p>
      <w:r>
        <w:rPr>
          <w:rFonts w:ascii="Times New Roman" w:hAnsi="Times New Roman" w:eastAsia="Times New Roman"/>
          <w:b w:val="0"/>
          <w:i w:val="0"/>
          <w:sz w:val="22"/>
        </w:rPr>
        <w:t>This finding does not prove that an energy-backed currency will be adopted. It establishes that the candidate architecture is theoretically defensible. Chapter 3 asks whether energy expenditure has ever empirically anchored monetary value in an observed market.</w:t>
      </w:r>
    </w:p>
    <w:p>
      <w:r>
        <w:br w:type="page"/>
      </w:r>
    </w:p>
    <w:p>
      <w:pPr>
        <w:pStyle w:val="Heading1"/>
      </w:pPr>
      <w:r>
        <w:t>Chapter 3 - Empirical Evidence: Energy Has Anchored Monetary Value</w:t>
      </w:r>
    </w:p>
    <w:p>
      <w:r>
        <w:rPr>
          <w:rFonts w:ascii="Times New Roman" w:hAnsi="Times New Roman" w:eastAsia="Times New Roman"/>
          <w:b w:val="0"/>
          <w:i/>
          <w:sz w:val="22"/>
        </w:rPr>
        <w:t>Supporting investigation: has energy expenditure ever anchored monetary value in practice?</w:t>
      </w:r>
    </w:p>
    <w:p>
      <w:pPr>
        <w:pStyle w:val="Heading2"/>
      </w:pPr>
      <w:r>
        <w:t>3.1 Bitcoin as the Natural Case</w:t>
      </w:r>
    </w:p>
    <w:p>
      <w:r>
        <w:rPr>
          <w:rFonts w:ascii="Times New Roman" w:hAnsi="Times New Roman" w:eastAsia="Times New Roman"/>
          <w:b w:val="0"/>
          <w:i w:val="0"/>
          <w:sz w:val="22"/>
        </w:rPr>
        <w:t>Bitcoin is the only large-scale monetary asset whose issuance explicitly requires energy expenditure. Each unit of proof-of-work security depends on computational work, and computational work requires electricity. This makes Bitcoin the closest historical case to an energy-linked monetary system.</w:t>
      </w:r>
    </w:p>
    <w:p>
      <w:r>
        <w:rPr>
          <w:rFonts w:ascii="Times New Roman" w:hAnsi="Times New Roman" w:eastAsia="Times New Roman"/>
          <w:b w:val="0"/>
          <w:i w:val="0"/>
          <w:sz w:val="22"/>
        </w:rPr>
        <w:t>China's June 2021 mining ban provides the key natural experiment. Before the ban, a large share of global Bitcoin mining was geographically concentrated in China. After the ban, mining dispersed across several jurisdictions. This shift provides a test of whether energy anchoring depends on shared cost conditions and geographic coordination.</w:t>
      </w:r>
    </w:p>
    <w:p>
      <w:r>
        <w:rPr>
          <w:rFonts w:ascii="Times New Roman" w:hAnsi="Times New Roman" w:eastAsia="Times New Roman"/>
          <w:b w:val="0"/>
          <w:i w:val="0"/>
          <w:sz w:val="22"/>
        </w:rPr>
        <w:t>If energy expenditure anchors Bitcoin value through a passive mining mechanism, the relationship should be stronger before dispersion and weaker afterward. The empirical results follow that pattern.</w:t>
      </w:r>
    </w:p>
    <w:p>
      <w:pPr>
        <w:pStyle w:val="Heading2"/>
      </w:pPr>
      <w:r>
        <w:t>3.2 Data and CEIR Construction</w:t>
      </w:r>
    </w:p>
    <w:p>
      <w:r>
        <w:rPr>
          <w:rFonts w:ascii="Times New Roman" w:hAnsi="Times New Roman" w:eastAsia="Times New Roman"/>
          <w:b w:val="0"/>
          <w:i w:val="0"/>
          <w:sz w:val="22"/>
        </w:rPr>
        <w:t xml:space="preserve">The key variable is the </w:t>
      </w:r>
      <w:r>
        <w:rPr>
          <w:rFonts w:ascii="Times New Roman" w:hAnsi="Times New Roman" w:eastAsia="Times New Roman"/>
          <w:b/>
          <w:i w:val="0"/>
          <w:sz w:val="22"/>
        </w:rPr>
        <w:t>Cumulative Energy Investment Ratio</w:t>
      </w:r>
      <w:r>
        <w:rPr>
          <w:rFonts w:ascii="Times New Roman" w:hAnsi="Times New Roman" w:eastAsia="Times New Roman"/>
          <w:b w:val="0"/>
          <w:i w:val="0"/>
          <w:sz w:val="22"/>
        </w:rPr>
        <w:t>, defined as:</w:t>
      </w:r>
    </w:p>
    <w:p>
      <w:r>
        <w:rPr>
          <w:rFonts w:ascii="Times New Roman" w:hAnsi="Times New Roman" w:eastAsia="Times New Roman"/>
          <w:b/>
          <w:i w:val="0"/>
          <w:sz w:val="22"/>
        </w:rPr>
        <w:t>CEIR_t = Market Capitalisation_t / Cumulative Energy Cost_t</w:t>
      </w:r>
    </w:p>
    <w:p>
      <w:r>
        <w:rPr>
          <w:rFonts w:ascii="Times New Roman" w:hAnsi="Times New Roman" w:eastAsia="Times New Roman"/>
          <w:b w:val="0"/>
          <w:i w:val="0"/>
          <w:sz w:val="22"/>
        </w:rPr>
        <w:t>This definition is important. CEIR measures market value relative to cumulative energy investment. A high CEIR means the market value has moved far above the energy-cost base. A low CEIR means market value is closer to the cumulative energy-cost floor.</w:t>
      </w:r>
    </w:p>
    <w:p>
      <w:r>
        <w:rPr>
          <w:rFonts w:ascii="Times New Roman" w:hAnsi="Times New Roman" w:eastAsia="Times New Roman"/>
          <w:b w:val="0"/>
          <w:i w:val="0"/>
          <w:sz w:val="22"/>
        </w:rPr>
        <w:t>Under this convention, the expected predictive coefficient is negative. When CEIR is high, subsequent returns should be lower because price has run ahead of the energy anchor. When CEIR is low, subsequent returns should be higher because price is closer to the production-cost floor and more likely to revert upward.</w:t>
      </w:r>
    </w:p>
    <w:p>
      <w:r>
        <w:rPr>
          <w:rFonts w:ascii="Times New Roman" w:hAnsi="Times New Roman" w:eastAsia="Times New Roman"/>
          <w:b w:val="0"/>
          <w:i w:val="0"/>
          <w:sz w:val="22"/>
        </w:rPr>
        <w:t>The sample uses daily Bitcoin price and market data, energy-consumption estimates, mining-geography weights, electricity-price estimates, sentiment controls, and a regime split around the China mining ban.</w:t>
      </w:r>
    </w:p>
    <w:p>
      <w:pPr>
        <w:pStyle w:val="Heading2"/>
      </w:pPr>
      <w:r>
        <w:t>3.3 Main Results</w:t>
      </w:r>
    </w:p>
    <w:p>
      <w:r>
        <w:rPr>
          <w:rFonts w:ascii="Times New Roman" w:hAnsi="Times New Roman" w:eastAsia="Times New Roman"/>
          <w:b w:val="0"/>
          <w:i w:val="0"/>
          <w:sz w:val="22"/>
        </w:rPr>
        <w:t>Before the China ban, CEIR predicts Bitcoin forward returns strongly. The preferred pre-ban specification gives:</w:t>
      </w:r>
    </w:p>
    <w:p>
      <w:r>
        <w:rPr>
          <w:rFonts w:ascii="Times New Roman" w:hAnsi="Times New Roman" w:eastAsia="Times New Roman"/>
          <w:b/>
          <w:i w:val="0"/>
          <w:sz w:val="22"/>
        </w:rPr>
        <w:t>beta = -0.206, SE = 0.042, p &lt; 0.001.</w:t>
      </w:r>
    </w:p>
    <w:p>
      <w:r>
        <w:rPr>
          <w:rFonts w:ascii="Times New Roman" w:hAnsi="Times New Roman" w:eastAsia="Times New Roman"/>
          <w:b w:val="0"/>
          <w:i w:val="0"/>
          <w:sz w:val="22"/>
        </w:rPr>
        <w:t>After mining dispersion, the coefficient falls to:</w:t>
      </w:r>
    </w:p>
    <w:p>
      <w:r>
        <w:rPr>
          <w:rFonts w:ascii="Times New Roman" w:hAnsi="Times New Roman" w:eastAsia="Times New Roman"/>
          <w:b/>
          <w:i w:val="0"/>
          <w:sz w:val="22"/>
        </w:rPr>
        <w:t>beta = -0.080, SE = 0.031, p = 0.011.</w:t>
      </w:r>
    </w:p>
    <w:p>
      <w:r>
        <w:rPr>
          <w:rFonts w:ascii="Times New Roman" w:hAnsi="Times New Roman" w:eastAsia="Times New Roman"/>
          <w:b w:val="0"/>
          <w:i w:val="0"/>
          <w:sz w:val="22"/>
        </w:rPr>
        <w:t>A Chow test confirms a structural break at the ban date:</w:t>
      </w:r>
    </w:p>
    <w:p>
      <w:r>
        <w:rPr>
          <w:rFonts w:ascii="Times New Roman" w:hAnsi="Times New Roman" w:eastAsia="Times New Roman"/>
          <w:b/>
          <w:i w:val="0"/>
          <w:sz w:val="22"/>
        </w:rPr>
        <w:t>F = 4.786, p = 0.0009.</w:t>
      </w:r>
    </w:p>
    <w:p>
      <w:r>
        <w:rPr>
          <w:rFonts w:ascii="Times New Roman" w:hAnsi="Times New Roman" w:eastAsia="Times New Roman"/>
          <w:b w:val="0"/>
          <w:i w:val="0"/>
          <w:sz w:val="22"/>
        </w:rPr>
        <w:t xml:space="preserve">The correct interpretation is not that every CEIR relationship disappears after the ban. The post-ban coefficient remains negative and statistically significant. The stronger claim is that the </w:t>
      </w:r>
      <w:r>
        <w:rPr>
          <w:rFonts w:ascii="Times New Roman" w:hAnsi="Times New Roman" w:eastAsia="Times New Roman"/>
          <w:b/>
          <w:i w:val="0"/>
          <w:sz w:val="22"/>
        </w:rPr>
        <w:t>rational coordination mechanism</w:t>
      </w:r>
      <w:r>
        <w:rPr>
          <w:rFonts w:ascii="Times New Roman" w:hAnsi="Times New Roman" w:eastAsia="Times New Roman"/>
          <w:b w:val="0"/>
          <w:i w:val="0"/>
          <w:sz w:val="22"/>
        </w:rPr>
        <w:t xml:space="preserve"> weakens and changes character after mining dispersion.</w:t>
      </w:r>
    </w:p>
    <w:p>
      <w:r>
        <w:rPr>
          <w:rFonts w:ascii="Times New Roman" w:hAnsi="Times New Roman" w:eastAsia="Times New Roman"/>
          <w:b w:val="0"/>
          <w:i w:val="0"/>
          <w:sz w:val="22"/>
        </w:rPr>
        <w:t>Pre-ban, a one-standard-deviation increase in CEIR predicts lower subsequent returns. Equivalently, low CEIR predicts higher future returns. This is consistent with a production-cost floor: when Bitcoin's market value falls closer to its cumulative energy base, subsequent returns rise as the market corrects.</w:t>
      </w:r>
    </w:p>
    <w:p>
      <w:r>
        <w:rPr>
          <w:rFonts w:ascii="Times New Roman" w:hAnsi="Times New Roman" w:eastAsia="Times New Roman"/>
          <w:b w:val="0"/>
          <w:i w:val="0"/>
          <w:sz w:val="22"/>
        </w:rPr>
        <w:t>Post-ban, the signal remains but is weaker. Its economic meaning also changes, as shown by the mechanism test.</w:t>
      </w:r>
    </w:p>
    <w:p>
      <w:pPr>
        <w:pStyle w:val="Heading2"/>
      </w:pPr>
      <w:r>
        <w:t>3.4 Mechanism Inversion</w:t>
      </w:r>
    </w:p>
    <w:p>
      <w:r>
        <w:rPr>
          <w:rFonts w:ascii="Times New Roman" w:hAnsi="Times New Roman" w:eastAsia="Times New Roman"/>
          <w:b w:val="0"/>
          <w:i w:val="0"/>
          <w:sz w:val="22"/>
        </w:rPr>
        <w:t>The mechanism test interacts CEIR with market sentiment.</w:t>
      </w:r>
    </w:p>
    <w:p>
      <w:r>
        <w:rPr>
          <w:rFonts w:ascii="Times New Roman" w:hAnsi="Times New Roman" w:eastAsia="Times New Roman"/>
          <w:b w:val="0"/>
          <w:i w:val="0"/>
          <w:sz w:val="22"/>
        </w:rPr>
        <w:t>Before the ban, the CEIR signal is stronger in fearful markets. This is consistent with rational, long-horizon, security-aware investors becoming more important when speculative sentiment is low. The pre-ban interaction pattern supports the interpretation that energy anchoring operated through a fundamental security-cost channel.</w:t>
      </w:r>
    </w:p>
    <w:p>
      <w:r>
        <w:rPr>
          <w:rFonts w:ascii="Times New Roman" w:hAnsi="Times New Roman" w:eastAsia="Times New Roman"/>
          <w:b w:val="0"/>
          <w:i w:val="0"/>
          <w:sz w:val="22"/>
        </w:rPr>
        <w:t>After the ban, the interaction inverts. The residual CEIR signal becomes stronger in greedy markets. This suggests that what remains after dispersion is less a rational energy anchor and more a sentiment-correlated residual relationship.</w:t>
      </w:r>
    </w:p>
    <w:p>
      <w:r>
        <w:rPr>
          <w:rFonts w:ascii="Times New Roman" w:hAnsi="Times New Roman" w:eastAsia="Times New Roman"/>
          <w:b w:val="0"/>
          <w:i w:val="0"/>
          <w:sz w:val="22"/>
        </w:rPr>
        <w:t>The bootstrap evidence supports the pre-ban finding. With 2,000 block-bootstrap replications, the pre-ban 95% confidence interval is [-0.371, -0.002], and 97.4% of draws produce beta &lt; 0.</w:t>
      </w:r>
    </w:p>
    <w:p>
      <w:r>
        <w:rPr>
          <w:rFonts w:ascii="Times New Roman" w:hAnsi="Times New Roman" w:eastAsia="Times New Roman"/>
          <w:b w:val="0"/>
          <w:i w:val="0"/>
          <w:sz w:val="22"/>
        </w:rPr>
        <w:t>The Kazakhstan falsification helps reject the explanation that cheap electricity alone caused the effect. Kazakhstan absorbed displaced mining capacity and had cheap power, but the energy-value relationship did not recover in the same way. This supports the interpretation that geographic coordination, not just electricity price, was the key passive enforcement mechanism.</w:t>
      </w:r>
    </w:p>
    <w:p>
      <w:pPr>
        <w:pStyle w:val="Heading2"/>
      </w:pPr>
      <w:r>
        <w:t>3.5 What Bitcoin Teaches</w:t>
      </w:r>
    </w:p>
    <w:p>
      <w:r>
        <w:rPr>
          <w:rFonts w:ascii="Times New Roman" w:hAnsi="Times New Roman" w:eastAsia="Times New Roman"/>
          <w:b w:val="0"/>
          <w:i w:val="0"/>
          <w:sz w:val="22"/>
        </w:rPr>
        <w:t>Bitcoin's energy anchoring was passive. It emerged from mining economics and geographic concentration rather than from an explicit monetary design.</w:t>
      </w:r>
    </w:p>
    <w:p>
      <w:r>
        <w:rPr>
          <w:rFonts w:ascii="Times New Roman" w:hAnsi="Times New Roman" w:eastAsia="Times New Roman"/>
          <w:b w:val="0"/>
          <w:i w:val="0"/>
          <w:sz w:val="22"/>
        </w:rPr>
        <w:t>That passivity made it fragile. When mining dispersed, the shared cost environment dissolved. The rational energy anchor weakened and changed character.</w:t>
      </w:r>
    </w:p>
    <w:p>
      <w:r>
        <w:rPr>
          <w:rFonts w:ascii="Times New Roman" w:hAnsi="Times New Roman" w:eastAsia="Times New Roman"/>
          <w:b w:val="0"/>
          <w:i w:val="0"/>
          <w:sz w:val="22"/>
        </w:rPr>
        <w:t>This is not evidence against energy-backed money. It is evidence against relying on emergent geographic coordination as the enforcement mechanism. A designed energy-backed currency must enforce the energy relationship contractually rather than hope that mining geography creates a shared floor.</w:t>
      </w:r>
    </w:p>
    <w:p>
      <w:pPr>
        <w:pStyle w:val="Heading2"/>
      </w:pPr>
      <w:r>
        <w:t>3.6 Investigation Finding</w:t>
      </w:r>
    </w:p>
    <w:p>
      <w:r>
        <w:rPr>
          <w:rFonts w:ascii="Times New Roman" w:hAnsi="Times New Roman" w:eastAsia="Times New Roman"/>
          <w:b w:val="0"/>
          <w:i w:val="0"/>
          <w:sz w:val="22"/>
        </w:rPr>
        <w:t>The investigation finds that energy expenditure has anchored monetary value in at least one observed case, but only under conditions of credible passive enforcement. Bitcoin's pre-ban regime shows strong energy anchoring. The post-ban regime shows attenuation and mechanism inversion.</w:t>
      </w:r>
    </w:p>
    <w:p>
      <w:r>
        <w:rPr>
          <w:rFonts w:ascii="Times New Roman" w:hAnsi="Times New Roman" w:eastAsia="Times New Roman"/>
          <w:b w:val="0"/>
          <w:i w:val="0"/>
          <w:sz w:val="22"/>
        </w:rPr>
        <w:t>The implication for the thesis is direct: a sound energy-backed currency cannot rely on passive energy anchoring. It must bind the issuer through explicit, geography-independent constraints. Chapter 5 specifies those constraints.</w:t>
      </w:r>
    </w:p>
    <w:p>
      <w:r>
        <w:br w:type="page"/>
      </w:r>
    </w:p>
    <w:p>
      <w:pPr>
        <w:pStyle w:val="Heading1"/>
      </w:pPr>
      <w:r>
        <w:t>Chapter 4 - The Opportunity Cost of Unharvested Energy</w:t>
      </w:r>
    </w:p>
    <w:p>
      <w:r>
        <w:rPr>
          <w:rFonts w:ascii="Times New Roman" w:hAnsi="Times New Roman" w:eastAsia="Times New Roman"/>
          <w:b w:val="0"/>
          <w:i/>
          <w:sz w:val="22"/>
        </w:rPr>
        <w:t>Supporting investigation: are the stakes materially large?</w:t>
      </w:r>
    </w:p>
    <w:p>
      <w:pPr>
        <w:pStyle w:val="Heading2"/>
      </w:pPr>
      <w:r>
        <w:t>4.1 Conditional Reframing</w:t>
      </w:r>
    </w:p>
    <w:p>
      <w:r>
        <w:rPr>
          <w:rFonts w:ascii="Times New Roman" w:hAnsi="Times New Roman" w:eastAsia="Times New Roman"/>
          <w:b w:val="0"/>
          <w:i w:val="0"/>
          <w:sz w:val="22"/>
        </w:rPr>
        <w:t>This chapter asks a conditional question. If the designed energy-backed standard in Chapter 2 is theoretically defensible, and if the Bitcoin evidence in Chapter 3 supports the idea that energy can anchor monetary value, then what does unharvested renewable energy represent?</w:t>
      </w:r>
    </w:p>
    <w:p>
      <w:r>
        <w:rPr>
          <w:rFonts w:ascii="Times New Roman" w:hAnsi="Times New Roman" w:eastAsia="Times New Roman"/>
          <w:b w:val="0"/>
          <w:i w:val="0"/>
          <w:sz w:val="22"/>
        </w:rPr>
        <w:t>Under that framework, unharvested renewable energy is not only an environmental loss. It is foregone monetary production.</w:t>
      </w:r>
    </w:p>
    <w:p>
      <w:r>
        <w:rPr>
          <w:rFonts w:ascii="Times New Roman" w:hAnsi="Times New Roman" w:eastAsia="Times New Roman"/>
          <w:b w:val="0"/>
          <w:i w:val="0"/>
          <w:sz w:val="22"/>
        </w:rPr>
        <w:t>This claim is conditional. The chapter does not argue that today's solar farms are literally currency mints under current law. It argues that under an energy-standard architecture, renewable-energy projects can be interpreted as monetary-issuance infrastructure.</w:t>
      </w:r>
    </w:p>
    <w:p>
      <w:pPr>
        <w:pStyle w:val="Heading2"/>
      </w:pPr>
      <w:r>
        <w:t>4.2 The Gold Analogy</w:t>
      </w:r>
    </w:p>
    <w:p>
      <w:r>
        <w:rPr>
          <w:rFonts w:ascii="Times New Roman" w:hAnsi="Times New Roman" w:eastAsia="Times New Roman"/>
          <w:b w:val="0"/>
          <w:i w:val="0"/>
          <w:sz w:val="22"/>
        </w:rPr>
        <w:t>Under a gold standard, unmined gold is latent monetary value. It can be financed, valued, and represented on balance sheets because the monetary system recognizes its status.</w:t>
      </w:r>
    </w:p>
    <w:p>
      <w:r>
        <w:rPr>
          <w:rFonts w:ascii="Times New Roman" w:hAnsi="Times New Roman" w:eastAsia="Times New Roman"/>
          <w:b w:val="0"/>
          <w:i w:val="0"/>
          <w:sz w:val="22"/>
        </w:rPr>
        <w:t>Renewable energy is different because it is a flow rather than a stock. Sunlight and wind arrive continuously and disappear if uncaptured. A solar day without panels cannot be mined later. The opportunity cost is therefore more severe than unmined gold. It is closer to gold falling into the ocean.</w:t>
      </w:r>
    </w:p>
    <w:p>
      <w:r>
        <w:rPr>
          <w:rFonts w:ascii="Times New Roman" w:hAnsi="Times New Roman" w:eastAsia="Times New Roman"/>
          <w:b w:val="0"/>
          <w:i w:val="0"/>
          <w:sz w:val="22"/>
        </w:rPr>
        <w:t>Under current monetary architecture, that loss is invisible. Under an energy-backed architecture, it becomes visible.</w:t>
      </w:r>
    </w:p>
    <w:p>
      <w:pPr>
        <w:pStyle w:val="Heading2"/>
      </w:pPr>
      <w:r>
        <w:t>4.3 Renewable Finance as Monetary Recognition Failure</w:t>
      </w:r>
    </w:p>
    <w:p>
      <w:r>
        <w:rPr>
          <w:rFonts w:ascii="Times New Roman" w:hAnsi="Times New Roman" w:eastAsia="Times New Roman"/>
          <w:b w:val="0"/>
          <w:i w:val="0"/>
          <w:sz w:val="22"/>
        </w:rPr>
        <w:t>The IEA estimates a large annual clean-energy finance gap in emerging and developing economies. Standard explanations focus on revenue volatility, regulated power prices, currency risk, and utility counterparty risk. These are valid.</w:t>
      </w:r>
    </w:p>
    <w:p>
      <w:r>
        <w:rPr>
          <w:rFonts w:ascii="Times New Roman" w:hAnsi="Times New Roman" w:eastAsia="Times New Roman"/>
          <w:b w:val="0"/>
          <w:i w:val="0"/>
          <w:sz w:val="22"/>
        </w:rPr>
        <w:t>This thesis adds a monetary interpretation. Current monetary systems assign no monetary status to unharvested renewable energy. A solar project can be technically viable and still financially invisible because its output is not recognized as monetary production.</w:t>
      </w:r>
    </w:p>
    <w:p>
      <w:r>
        <w:rPr>
          <w:rFonts w:ascii="Times New Roman" w:hAnsi="Times New Roman" w:eastAsia="Times New Roman"/>
          <w:b w:val="0"/>
          <w:i w:val="0"/>
          <w:sz w:val="22"/>
        </w:rPr>
        <w:t>The monetary framing does not replace climate-policy or project-finance explanations. It complements them. Its contribution is to show that the renewable finance gap can also be understood as a failure of monetary recognition.</w:t>
      </w:r>
    </w:p>
    <w:p>
      <w:pPr>
        <w:pStyle w:val="Heading2"/>
      </w:pPr>
      <w:r>
        <w:t>4.4 Structured Estimate</w:t>
      </w:r>
    </w:p>
    <w:p>
      <w:r>
        <w:rPr>
          <w:rFonts w:ascii="Times New Roman" w:hAnsi="Times New Roman" w:eastAsia="Times New Roman"/>
          <w:b w:val="0"/>
          <w:i w:val="0"/>
          <w:sz w:val="22"/>
        </w:rPr>
        <w:t>Using the IEA clean-energy finance gap and focusing on the solar and wind portion, the thesis develops an illustrative estimate of foregone production. The estimate implies roughly 1,180 TWh per year of unproduced energy and approximately $79 billion per year of foregone energy value under LCOE pricing.</w:t>
      </w:r>
    </w:p>
    <w:p>
      <w:r>
        <w:rPr>
          <w:rFonts w:ascii="Times New Roman" w:hAnsi="Times New Roman" w:eastAsia="Times New Roman"/>
          <w:b w:val="0"/>
          <w:i w:val="0"/>
          <w:sz w:val="22"/>
        </w:rPr>
        <w:t>This figure is not treated as audited fact. It depends on assumptions about installed cost, capacity factor, LCOE, and the share of the financing gap attributable to solar and wind. The purpose is to establish scale, not precision.</w:t>
      </w:r>
    </w:p>
    <w:p>
      <w:r>
        <w:rPr>
          <w:rFonts w:ascii="Times New Roman" w:hAnsi="Times New Roman" w:eastAsia="Times New Roman"/>
          <w:b w:val="0"/>
          <w:i w:val="0"/>
          <w:sz w:val="22"/>
        </w:rPr>
        <w:t>The estimate is large enough to matter. If the energy-standard framework is accepted, then the opportunity cost of unharvested renewables is economically material.</w:t>
      </w:r>
    </w:p>
    <w:p>
      <w:pPr>
        <w:pStyle w:val="Heading2"/>
      </w:pPr>
      <w:r>
        <w:t>4.5 Policy Implications</w:t>
      </w:r>
    </w:p>
    <w:p>
      <w:r>
        <w:rPr>
          <w:rFonts w:ascii="Times New Roman" w:hAnsi="Times New Roman" w:eastAsia="Times New Roman"/>
          <w:b w:val="0"/>
          <w:i w:val="0"/>
          <w:sz w:val="22"/>
        </w:rPr>
        <w:t>The policy implication is not "subsidize everything." It is that under an energy-standard architecture, renewable-energy projects can be understood as monetary-production infrastructure.</w:t>
      </w:r>
    </w:p>
    <w:p>
      <w:r>
        <w:rPr>
          <w:rFonts w:ascii="Times New Roman" w:hAnsi="Times New Roman" w:eastAsia="Times New Roman"/>
          <w:b w:val="0"/>
          <w:i w:val="0"/>
          <w:sz w:val="22"/>
        </w:rPr>
        <w:t>This changes the framing of finance. A solar project is not merely a borrower with volatile electricity revenue. It is a potential issuer of verified energy value. If that verified energy value can be priced, collateralized, and settled, then the financing problem changes.</w:t>
      </w:r>
    </w:p>
    <w:p>
      <w:r>
        <w:rPr>
          <w:rFonts w:ascii="Times New Roman" w:hAnsi="Times New Roman" w:eastAsia="Times New Roman"/>
          <w:b w:val="0"/>
          <w:i w:val="0"/>
          <w:sz w:val="22"/>
        </w:rPr>
        <w:t>The chapter's policy claim is therefore limited but important: monetary architecture affects what kinds of physical production become financially legible.</w:t>
      </w:r>
    </w:p>
    <w:p>
      <w:pPr>
        <w:pStyle w:val="Heading2"/>
      </w:pPr>
      <w:r>
        <w:t>4.6 Investigation Finding</w:t>
      </w:r>
    </w:p>
    <w:p>
      <w:r>
        <w:rPr>
          <w:rFonts w:ascii="Times New Roman" w:hAnsi="Times New Roman" w:eastAsia="Times New Roman"/>
          <w:b w:val="0"/>
          <w:i w:val="0"/>
          <w:sz w:val="22"/>
        </w:rPr>
        <w:t>This chapter finds that the stakes of the central question are material. Under the energy-standard framework, the renewable finance gap implies a large quantity of foregone monetary production.</w:t>
      </w:r>
    </w:p>
    <w:p>
      <w:r>
        <w:rPr>
          <w:rFonts w:ascii="Times New Roman" w:hAnsi="Times New Roman" w:eastAsia="Times New Roman"/>
          <w:b w:val="0"/>
          <w:i w:val="0"/>
          <w:sz w:val="22"/>
        </w:rPr>
        <w:t>The central contribution of the chapter is the reframing, not the exact dollar figure. It shows why the constraints framework developed in Chapter 5 matters beyond monetary theory.</w:t>
      </w:r>
    </w:p>
    <w:p>
      <w:r>
        <w:br w:type="page"/>
      </w:r>
    </w:p>
    <w:p>
      <w:pPr>
        <w:pStyle w:val="Heading1"/>
      </w:pPr>
      <w:r>
        <w:t>Chapter 5 - The Constraints Framework</w:t>
      </w:r>
    </w:p>
    <w:p>
      <w:r>
        <w:rPr>
          <w:rFonts w:ascii="Times New Roman" w:hAnsi="Times New Roman" w:eastAsia="Times New Roman"/>
          <w:b w:val="0"/>
          <w:i/>
          <w:sz w:val="22"/>
        </w:rPr>
        <w:t>Central investigation: what binding constraints must define the issuer of an energy-backed currency, and can they be built today?</w:t>
      </w:r>
    </w:p>
    <w:p>
      <w:pPr>
        <w:pStyle w:val="Heading2"/>
      </w:pPr>
      <w:r>
        <w:t>5.1 Why Pricing Comes Before Architecture</w:t>
      </w:r>
    </w:p>
    <w:p>
      <w:r>
        <w:rPr>
          <w:rFonts w:ascii="Times New Roman" w:hAnsi="Times New Roman" w:eastAsia="Times New Roman"/>
          <w:b w:val="0"/>
          <w:i w:val="0"/>
          <w:sz w:val="22"/>
        </w:rPr>
        <w:t>A currency linked to energy must answer a pricing question: how much is one unit of verified energy worth in currency terms?</w:t>
      </w:r>
    </w:p>
    <w:p>
      <w:r>
        <w:rPr>
          <w:rFonts w:ascii="Times New Roman" w:hAnsi="Times New Roman" w:eastAsia="Times New Roman"/>
          <w:b w:val="0"/>
          <w:i w:val="0"/>
          <w:sz w:val="22"/>
        </w:rPr>
        <w:t>In liquid financial markets, derivative pricing can use market-implied volatility. Renewable-energy instruments in emerging or distributed markets often lack liquid options markets. This creates a cold-start problem: the instruments needed to build the market cannot be priced using a market that does not yet exist.</w:t>
      </w:r>
    </w:p>
    <w:p>
      <w:r>
        <w:rPr>
          <w:rFonts w:ascii="Times New Roman" w:hAnsi="Times New Roman" w:eastAsia="Times New Roman"/>
          <w:b w:val="0"/>
          <w:i w:val="0"/>
          <w:sz w:val="22"/>
        </w:rPr>
        <w:t>This thesis solves the cold-start problem by using physical data rather than market-implied data. Solar irradiance is observed through satellite data. Its variation provides a physics-based volatility estimate.</w:t>
      </w:r>
    </w:p>
    <w:p>
      <w:pPr>
        <w:pStyle w:val="Heading2"/>
      </w:pPr>
      <w:r>
        <w:t>5.2 Pricing Energy-Backed Instruments Without a Liquid Market</w:t>
      </w:r>
    </w:p>
    <w:p>
      <w:r>
        <w:rPr>
          <w:rFonts w:ascii="Times New Roman" w:hAnsi="Times New Roman" w:eastAsia="Times New Roman"/>
          <w:b w:val="0"/>
          <w:i w:val="0"/>
          <w:sz w:val="22"/>
        </w:rPr>
        <w:t>For the Taiwan base case, NASA POWER irradiance data from 2019-2024 is filtered using a four-day rolling mean and a top-one-percent return trim. The resulting annualized operational volatility is:</w:t>
      </w:r>
    </w:p>
    <w:p>
      <w:r>
        <w:rPr>
          <w:rFonts w:ascii="Times New Roman" w:hAnsi="Times New Roman" w:eastAsia="Times New Roman"/>
          <w:b/>
          <w:i w:val="0"/>
          <w:sz w:val="22"/>
        </w:rPr>
        <w:t>sigma = 189.5%.</w:t>
      </w:r>
    </w:p>
    <w:p>
      <w:r>
        <w:rPr>
          <w:rFonts w:ascii="Times New Roman" w:hAnsi="Times New Roman" w:eastAsia="Times New Roman"/>
          <w:b w:val="0"/>
          <w:i w:val="0"/>
          <w:sz w:val="22"/>
        </w:rPr>
        <w:t>The Jarque-Bera test fails to reject log-normality at the quarterly horizon:</w:t>
      </w:r>
    </w:p>
    <w:p>
      <w:r>
        <w:rPr>
          <w:rFonts w:ascii="Times New Roman" w:hAnsi="Times New Roman" w:eastAsia="Times New Roman"/>
          <w:b/>
          <w:i w:val="0"/>
          <w:sz w:val="22"/>
        </w:rPr>
        <w:t>p = 0.349.</w:t>
      </w:r>
    </w:p>
    <w:p>
      <w:r>
        <w:rPr>
          <w:rFonts w:ascii="Times New Roman" w:hAnsi="Times New Roman" w:eastAsia="Times New Roman"/>
          <w:b w:val="0"/>
          <w:i w:val="0"/>
          <w:sz w:val="22"/>
        </w:rPr>
        <w:t>Using this volatility, binomial tree and Monte Carlo methods price an at-the-money quarterly call option on the energy-linked underlying.</w:t>
      </w:r>
    </w:p>
    <w:p>
      <w:r>
        <w:rPr>
          <w:rFonts w:ascii="Times New Roman" w:hAnsi="Times New Roman" w:eastAsia="Times New Roman"/>
          <w:b w:val="0"/>
          <w:i w:val="0"/>
          <w:sz w:val="22"/>
        </w:rPr>
        <w:t>The binomial result is:</w:t>
      </w:r>
    </w:p>
    <w:p>
      <w:r>
        <w:rPr>
          <w:rFonts w:ascii="Times New Roman" w:hAnsi="Times New Roman" w:eastAsia="Times New Roman"/>
          <w:b/>
          <w:i w:val="0"/>
          <w:sz w:val="22"/>
        </w:rPr>
        <w:t>$0.01917 per kWh.</w:t>
      </w:r>
    </w:p>
    <w:p>
      <w:r>
        <w:rPr>
          <w:rFonts w:ascii="Times New Roman" w:hAnsi="Times New Roman" w:eastAsia="Times New Roman"/>
          <w:b w:val="0"/>
          <w:i w:val="0"/>
          <w:sz w:val="22"/>
        </w:rPr>
        <w:t>The Monte Carlo result at 20,000 paths is:</w:t>
      </w:r>
    </w:p>
    <w:p>
      <w:r>
        <w:rPr>
          <w:rFonts w:ascii="Times New Roman" w:hAnsi="Times New Roman" w:eastAsia="Times New Roman"/>
          <w:b/>
          <w:i w:val="0"/>
          <w:sz w:val="22"/>
        </w:rPr>
        <w:t>$0.01957 per kWh.</w:t>
      </w:r>
    </w:p>
    <w:p>
      <w:r>
        <w:rPr>
          <w:rFonts w:ascii="Times New Roman" w:hAnsi="Times New Roman" w:eastAsia="Times New Roman"/>
          <w:b w:val="0"/>
          <w:i w:val="0"/>
          <w:sz w:val="22"/>
        </w:rPr>
        <w:t>The measured implementation gap is:</w:t>
      </w:r>
    </w:p>
    <w:p>
      <w:r>
        <w:rPr>
          <w:rFonts w:ascii="Times New Roman" w:hAnsi="Times New Roman" w:eastAsia="Times New Roman"/>
          <w:b/>
          <w:i w:val="0"/>
          <w:sz w:val="22"/>
        </w:rPr>
        <w:t>2.08%.</w:t>
      </w:r>
    </w:p>
    <w:p>
      <w:r>
        <w:rPr>
          <w:rFonts w:ascii="Times New Roman" w:hAnsi="Times New Roman" w:eastAsia="Times New Roman"/>
          <w:b w:val="0"/>
          <w:i w:val="0"/>
          <w:sz w:val="22"/>
        </w:rPr>
        <w:t>This 2.08% gap is reported transparently as the observed method divergence. It does not change the qualitative pricing conclusions. Higher path counts reduce simulation noise but do not alter the collar result, margin implications, or cross-location ranking.</w:t>
      </w:r>
    </w:p>
    <w:p>
      <w:r>
        <w:rPr>
          <w:rFonts w:ascii="Times New Roman" w:hAnsi="Times New Roman" w:eastAsia="Times New Roman"/>
          <w:b w:val="0"/>
          <w:i w:val="0"/>
          <w:sz w:val="22"/>
        </w:rPr>
        <w:t>The collar result is also important. A collar that buys a put at 0.9K and sells a call at 1.1K generates a net credit in the tested lognormal parameterization. In log space, the 1.1K call is closer to spot than the 0.9K put because log(1.1) is less than log(1 / 0.9). This asymmetry contributes to the call premium exceeding the put premium. The result is therefore structural within the modelled cases, not a threshold that appears only above a specific volatility level.</w:t>
      </w:r>
    </w:p>
    <w:p>
      <w:r>
        <w:rPr>
          <w:rFonts w:ascii="Times New Roman" w:hAnsi="Times New Roman" w:eastAsia="Times New Roman"/>
          <w:b w:val="0"/>
          <w:i w:val="0"/>
          <w:sz w:val="22"/>
        </w:rPr>
        <w:t>Cross-location validation shows that the framework works across high- and low-volatility solar markets, though the economic usefulness of the hedge is stronger in high-volatility markets.</w:t>
      </w:r>
    </w:p>
    <w:p>
      <w:pPr>
        <w:pStyle w:val="Heading2"/>
      </w:pPr>
      <w:r>
        <w:t>5.3 The Four Binding Constraints</w:t>
      </w:r>
    </w:p>
    <w:p>
      <w:r>
        <w:rPr>
          <w:rFonts w:ascii="Times New Roman" w:hAnsi="Times New Roman" w:eastAsia="Times New Roman"/>
          <w:b w:val="0"/>
          <w:i w:val="0"/>
          <w:sz w:val="22"/>
        </w:rPr>
        <w:t>The central finding of this thesis is that a sound energy-backed currency requires four constraints. They are jointly necessary and individually insufficient.</w:t>
      </w:r>
    </w:p>
    <w:p>
      <w:pPr>
        <w:pStyle w:val="Heading3"/>
      </w:pPr>
      <w:r>
        <w:t>Constraint 1 - Oracle-gated issuance</w:t>
      </w:r>
    </w:p>
    <w:p>
      <w:r>
        <w:rPr>
          <w:rFonts w:ascii="Times New Roman" w:hAnsi="Times New Roman" w:eastAsia="Times New Roman"/>
          <w:b w:val="0"/>
          <w:i w:val="0"/>
          <w:sz w:val="22"/>
        </w:rPr>
        <w:t>The issuer cannot mint without verified energy data.</w:t>
      </w:r>
    </w:p>
    <w:p>
      <w:r>
        <w:rPr>
          <w:rFonts w:ascii="Times New Roman" w:hAnsi="Times New Roman" w:eastAsia="Times New Roman"/>
          <w:b w:val="0"/>
          <w:i w:val="0"/>
          <w:sz w:val="22"/>
        </w:rPr>
        <w:t>The oracle connects external energy reality to the contract system. Without an oracle, the issuer's claim to energy backing becomes unverifiable. The system would depend on trust in the issuer, recreating a fiat-like failure mode.</w:t>
      </w:r>
    </w:p>
    <w:p>
      <w:r>
        <w:rPr>
          <w:rFonts w:ascii="Times New Roman" w:hAnsi="Times New Roman" w:eastAsia="Times New Roman"/>
          <w:b w:val="0"/>
          <w:i w:val="0"/>
          <w:sz w:val="22"/>
        </w:rPr>
        <w:t>Oracle-gated issuance therefore enforces independent observability. It makes energy backing a rule rather than a statement.</w:t>
      </w:r>
    </w:p>
    <w:p>
      <w:pPr>
        <w:pStyle w:val="Heading3"/>
      </w:pPr>
      <w:r>
        <w:t>Constraint 2 - Rule-bound supply</w:t>
      </w:r>
    </w:p>
    <w:p>
      <w:r>
        <w:rPr>
          <w:rFonts w:ascii="Times New Roman" w:hAnsi="Times New Roman" w:eastAsia="Times New Roman"/>
          <w:b w:val="0"/>
          <w:i w:val="0"/>
          <w:sz w:val="22"/>
        </w:rPr>
        <w:t>The issuer cannot adjust supply at discretion.</w:t>
      </w:r>
    </w:p>
    <w:p>
      <w:r>
        <w:rPr>
          <w:rFonts w:ascii="Times New Roman" w:hAnsi="Times New Roman" w:eastAsia="Times New Roman"/>
          <w:b w:val="0"/>
          <w:i w:val="0"/>
          <w:sz w:val="22"/>
        </w:rPr>
        <w:t>Gold's credibility came from the fact that no government could create gold at will. An energy-backed currency needs an equivalent constraint. Supply expansion must be tied to verified energy conditions and pre-specified rules.</w:t>
      </w:r>
    </w:p>
    <w:p>
      <w:r>
        <w:rPr>
          <w:rFonts w:ascii="Times New Roman" w:hAnsi="Times New Roman" w:eastAsia="Times New Roman"/>
          <w:b w:val="0"/>
          <w:i w:val="0"/>
          <w:sz w:val="22"/>
        </w:rPr>
        <w:t>A rule-bound supply mechanism prevents the issuer from using the energy label while behaving like a discretionary fiat issuer.</w:t>
      </w:r>
    </w:p>
    <w:p>
      <w:pPr>
        <w:pStyle w:val="Heading3"/>
      </w:pPr>
      <w:r>
        <w:t>Constraint 3 - Algorithmically collateralised settlement</w:t>
      </w:r>
    </w:p>
    <w:p>
      <w:r>
        <w:rPr>
          <w:rFonts w:ascii="Times New Roman" w:hAnsi="Times New Roman" w:eastAsia="Times New Roman"/>
          <w:b w:val="0"/>
          <w:i w:val="0"/>
          <w:sz w:val="22"/>
        </w:rPr>
        <w:t>The issuer cannot underwrite positions without collateral.</w:t>
      </w:r>
    </w:p>
    <w:p>
      <w:r>
        <w:rPr>
          <w:rFonts w:ascii="Times New Roman" w:hAnsi="Times New Roman" w:eastAsia="Times New Roman"/>
          <w:b w:val="0"/>
          <w:i w:val="0"/>
          <w:sz w:val="22"/>
        </w:rPr>
        <w:t>A priced energy instrument is not credible unless the buyer trusts settlement. If settlement depends on bilateral counterparty credit, the system reverts to private credit risk. A clearinghouse structure prevents this by requiring margin, monitoring collateral, and liquidating positions before insolvency.</w:t>
      </w:r>
    </w:p>
    <w:p>
      <w:r>
        <w:rPr>
          <w:rFonts w:ascii="Times New Roman" w:hAnsi="Times New Roman" w:eastAsia="Times New Roman"/>
          <w:b w:val="0"/>
          <w:i w:val="0"/>
          <w:sz w:val="22"/>
        </w:rPr>
        <w:t>This constraint turns priceable instruments into credible instruments.</w:t>
      </w:r>
    </w:p>
    <w:p>
      <w:pPr>
        <w:pStyle w:val="Heading3"/>
      </w:pPr>
      <w:r>
        <w:t>Constraint 4 - Timelocked governance</w:t>
      </w:r>
    </w:p>
    <w:p>
      <w:r>
        <w:rPr>
          <w:rFonts w:ascii="Times New Roman" w:hAnsi="Times New Roman" w:eastAsia="Times New Roman"/>
          <w:b w:val="0"/>
          <w:i w:val="0"/>
          <w:sz w:val="22"/>
        </w:rPr>
        <w:t>The issuer cannot change monetary parameters unilaterally.</w:t>
      </w:r>
    </w:p>
    <w:p>
      <w:r>
        <w:rPr>
          <w:rFonts w:ascii="Times New Roman" w:hAnsi="Times New Roman" w:eastAsia="Times New Roman"/>
          <w:b w:val="0"/>
          <w:i w:val="0"/>
          <w:sz w:val="22"/>
        </w:rPr>
        <w:t>The gold standard failed partly because convertibility could be suspended by sovereign decision. An energy-backed currency must prevent sudden rule changes. Timelocked governance does not make parameters immutable, but it makes changes observable before execution. Participants can exit, hedge, or object before rules change.</w:t>
      </w:r>
    </w:p>
    <w:p>
      <w:r>
        <w:rPr>
          <w:rFonts w:ascii="Times New Roman" w:hAnsi="Times New Roman" w:eastAsia="Times New Roman"/>
          <w:b w:val="0"/>
          <w:i w:val="0"/>
          <w:sz w:val="22"/>
        </w:rPr>
        <w:t>This constraint prevents the system from recreating the discretion it was designed to avoid.</w:t>
      </w:r>
    </w:p>
    <w:p>
      <w:pPr>
        <w:pStyle w:val="Heading2"/>
      </w:pPr>
      <w:r>
        <w:t>5.4 Joint Necessity</w:t>
      </w:r>
    </w:p>
    <w:p>
      <w:r>
        <w:rPr>
          <w:rFonts w:ascii="Times New Roman" w:hAnsi="Times New Roman" w:eastAsia="Times New Roman"/>
          <w:b w:val="0"/>
          <w:i w:val="0"/>
          <w:sz w:val="22"/>
        </w:rPr>
        <w:t>The four constraints interlock.</w:t>
      </w:r>
    </w:p>
    <w:p>
      <w:r>
        <w:rPr>
          <w:rFonts w:ascii="Times New Roman" w:hAnsi="Times New Roman" w:eastAsia="Times New Roman"/>
          <w:b w:val="0"/>
          <w:i w:val="0"/>
          <w:sz w:val="22"/>
        </w:rPr>
        <w:t>The oracle verifies energy data. The rule-bound supply mechanism uses that data to govern issuance. The clearinghouse enforces settlement against collateral. Timelocked governance prevents unilateral alteration of the first three rules.</w:t>
      </w:r>
    </w:p>
    <w:p>
      <w:r>
        <w:rPr>
          <w:rFonts w:ascii="Times New Roman" w:hAnsi="Times New Roman" w:eastAsia="Times New Roman"/>
          <w:b w:val="0"/>
          <w:i w:val="0"/>
          <w:sz w:val="22"/>
        </w:rPr>
        <w:t>Removing any one constraint reopens a known failure mode.</w:t>
      </w:r>
    </w:p>
    <w:p>
      <w:r>
        <w:rPr>
          <w:rFonts w:ascii="Times New Roman" w:hAnsi="Times New Roman" w:eastAsia="Times New Roman"/>
          <w:b w:val="0"/>
          <w:i w:val="0"/>
          <w:sz w:val="22"/>
        </w:rPr>
        <w:t>Without an oracle, energy backing is unverifiable. Without rule-bound supply, the issuer regains fiat discretion. Without collateralised settlement, the system becomes bilateral credit. Without timelocked governance, the rules can be changed overnight.</w:t>
      </w:r>
    </w:p>
    <w:p>
      <w:r>
        <w:rPr>
          <w:rFonts w:ascii="Times New Roman" w:hAnsi="Times New Roman" w:eastAsia="Times New Roman"/>
          <w:b w:val="0"/>
          <w:i w:val="0"/>
          <w:sz w:val="22"/>
        </w:rPr>
        <w:t>The four constraints are therefore not optional design features. They are the minimum viable architecture for sound energy-backed currency.</w:t>
      </w:r>
    </w:p>
    <w:p>
      <w:pPr>
        <w:pStyle w:val="Heading2"/>
      </w:pPr>
      <w:r>
        <w:t>5.5 Proof of Concept</w:t>
      </w:r>
    </w:p>
    <w:p>
      <w:r>
        <w:rPr>
          <w:rFonts w:ascii="Times New Roman" w:hAnsi="Times New Roman" w:eastAsia="Times New Roman"/>
          <w:b w:val="0"/>
          <w:i w:val="0"/>
          <w:sz w:val="22"/>
        </w:rPr>
        <w:t>A Sepolia proof of concept demonstrates that the four-constraint architecture is technically buildable with current smart-contract infrastructure.</w:t>
      </w:r>
    </w:p>
    <w:p>
      <w:r>
        <w:rPr>
          <w:rFonts w:ascii="Times New Roman" w:hAnsi="Times New Roman" w:eastAsia="Times New Roman"/>
          <w:b w:val="0"/>
          <w:i w:val="0"/>
          <w:sz w:val="22"/>
        </w:rPr>
        <w:t>The implementation includes source-verified contracts for the energy-backed currency, option/clearinghouse logic, treasury, stability pool, and oracle adapter. A NASA POWER keeper provides satellite-data updates for the prototype. Automated tests cover the major contract flows.</w:t>
      </w:r>
    </w:p>
    <w:p>
      <w:r>
        <w:rPr>
          <w:rFonts w:ascii="Times New Roman" w:hAnsi="Times New Roman" w:eastAsia="Times New Roman"/>
          <w:b w:val="0"/>
          <w:i w:val="0"/>
          <w:sz w:val="22"/>
        </w:rPr>
        <w:t>This proof of concept is not production-ready. It has not undergone a professional audit. The oracle architecture is not yet fully decentralized. Governance requires further multi-signer hardening. The deployment is therefore evidence of technical buildability, not evidence of market readiness.</w:t>
      </w:r>
    </w:p>
    <w:p>
      <w:r>
        <w:rPr>
          <w:rFonts w:ascii="Times New Roman" w:hAnsi="Times New Roman" w:eastAsia="Times New Roman"/>
          <w:b w:val="0"/>
          <w:i w:val="0"/>
          <w:sz w:val="22"/>
        </w:rPr>
        <w:t>That distinction is central. The thesis does not claim that the system can be used with real exposure today. It claims that the constraints framework can be instantiated, tested, and observed using current technology.</w:t>
      </w:r>
    </w:p>
    <w:p>
      <w:pPr>
        <w:pStyle w:val="Heading2"/>
      </w:pPr>
      <w:r>
        <w:t>5.6 Investigation Finding</w:t>
      </w:r>
    </w:p>
    <w:p>
      <w:r>
        <w:rPr>
          <w:rFonts w:ascii="Times New Roman" w:hAnsi="Times New Roman" w:eastAsia="Times New Roman"/>
          <w:b w:val="0"/>
          <w:i w:val="0"/>
          <w:sz w:val="22"/>
        </w:rPr>
        <w:t>This chapter answers the central research question.</w:t>
      </w:r>
    </w:p>
    <w:p>
      <w:r>
        <w:rPr>
          <w:rFonts w:ascii="Times New Roman" w:hAnsi="Times New Roman" w:eastAsia="Times New Roman"/>
          <w:b w:val="0"/>
          <w:i w:val="0"/>
          <w:sz w:val="22"/>
        </w:rPr>
        <w:t>A sound energy-backed currency requires four binding issuer constraints: oracle-gated issuance, rule-bound supply, algorithmically collateralised settlement, and timelocked governance. These constraints are jointly necessary because each blocks a different failure mode. They are individually insufficient because no single constraint can provide monetary credibility alone.</w:t>
      </w:r>
    </w:p>
    <w:p>
      <w:r>
        <w:rPr>
          <w:rFonts w:ascii="Times New Roman" w:hAnsi="Times New Roman" w:eastAsia="Times New Roman"/>
          <w:b w:val="0"/>
          <w:i w:val="0"/>
          <w:sz w:val="22"/>
        </w:rPr>
        <w:t>The Sepolia implementation demonstrates technical buildability. The remaining gates between testnet and production - professional audit, multi-oracle aggregation, multi-party governance, legal treatment, bounded pilots, and real counterparties - are implementation, governance, legal, and capital problems. They are serious, but they do not invalidate the internal coherence of the constraints framework.</w:t>
      </w:r>
    </w:p>
    <w:p>
      <w:r>
        <w:br w:type="page"/>
      </w:r>
    </w:p>
    <w:p>
      <w:pPr>
        <w:pStyle w:val="Heading1"/>
      </w:pPr>
      <w:r>
        <w:t>Chapter 6 - Conclusions</w:t>
      </w:r>
    </w:p>
    <w:p>
      <w:pPr>
        <w:pStyle w:val="Heading2"/>
      </w:pPr>
      <w:r>
        <w:t>6.1 Summary of the Investigation</w:t>
      </w:r>
    </w:p>
    <w:p>
      <w:r>
        <w:rPr>
          <w:rFonts w:ascii="Times New Roman" w:hAnsi="Times New Roman" w:eastAsia="Times New Roman"/>
          <w:b w:val="0"/>
          <w:i w:val="0"/>
          <w:sz w:val="22"/>
        </w:rPr>
        <w:t>This thesis began with a question: what binding constraints must define the issuer of an energy-backed currency for the currency to be credibly sound?</w:t>
      </w:r>
    </w:p>
    <w:p>
      <w:r>
        <w:rPr>
          <w:rFonts w:ascii="Times New Roman" w:hAnsi="Times New Roman" w:eastAsia="Times New Roman"/>
          <w:b w:val="0"/>
          <w:i w:val="0"/>
          <w:sz w:val="22"/>
        </w:rPr>
        <w:t>The answer is a four-constraint framework.</w:t>
      </w:r>
    </w:p>
    <w:p>
      <w:r>
        <w:rPr>
          <w:rFonts w:ascii="Times New Roman" w:hAnsi="Times New Roman" w:eastAsia="Times New Roman"/>
          <w:b w:val="0"/>
          <w:i w:val="0"/>
          <w:sz w:val="22"/>
        </w:rPr>
        <w:t>The supporting chapters establish why the question matters and why the answer is plausible. Chapter 2 shows that a designed energy-backed standard satisfies a seven-condition framework for commodity-style monetary credibility better than gold or fiat. Chapter 3 shows that energy expenditure has empirically anchored monetary value in Bitcoin, but only under passive concentration conditions that proved fragile. Chapter 4 shows that, under the energy-standard framework, unharvested renewable energy represents a material opportunity cost. Chapter 5 specifies the binding constraints required to turn that premise into a credible architecture.</w:t>
      </w:r>
    </w:p>
    <w:p>
      <w:pPr>
        <w:pStyle w:val="Heading2"/>
      </w:pPr>
      <w:r>
        <w:t>6.2 Central Finding</w:t>
      </w:r>
    </w:p>
    <w:p>
      <w:r>
        <w:rPr>
          <w:rFonts w:ascii="Times New Roman" w:hAnsi="Times New Roman" w:eastAsia="Times New Roman"/>
          <w:b w:val="0"/>
          <w:i w:val="0"/>
          <w:sz w:val="22"/>
        </w:rPr>
        <w:t>The central finding is:</w:t>
      </w:r>
    </w:p>
    <w:p>
      <w:r>
        <w:rPr>
          <w:rFonts w:ascii="Times New Roman" w:hAnsi="Times New Roman" w:eastAsia="Times New Roman"/>
          <w:b/>
          <w:i w:val="0"/>
          <w:sz w:val="22"/>
        </w:rPr>
        <w:t>A credible energy-backed currency is not defined by the fact that it references energy. It is defined by what its issuer is not allowed to do.</w:t>
      </w:r>
    </w:p>
    <w:p>
      <w:r>
        <w:rPr>
          <w:rFonts w:ascii="Times New Roman" w:hAnsi="Times New Roman" w:eastAsia="Times New Roman"/>
          <w:b w:val="0"/>
          <w:i w:val="0"/>
          <w:sz w:val="22"/>
        </w:rPr>
        <w:t>The issuer cannot mint without verified energy.</w:t>
      </w:r>
    </w:p>
    <w:p>
      <w:r>
        <w:rPr>
          <w:rFonts w:ascii="Times New Roman" w:hAnsi="Times New Roman" w:eastAsia="Times New Roman"/>
          <w:b w:val="0"/>
          <w:i w:val="0"/>
          <w:sz w:val="22"/>
        </w:rPr>
        <w:t>The issuer cannot adjust supply at discretion.</w:t>
      </w:r>
    </w:p>
    <w:p>
      <w:r>
        <w:rPr>
          <w:rFonts w:ascii="Times New Roman" w:hAnsi="Times New Roman" w:eastAsia="Times New Roman"/>
          <w:b w:val="0"/>
          <w:i w:val="0"/>
          <w:sz w:val="22"/>
        </w:rPr>
        <w:t>The issuer cannot underwrite settlement without collateral.</w:t>
      </w:r>
    </w:p>
    <w:p>
      <w:r>
        <w:rPr>
          <w:rFonts w:ascii="Times New Roman" w:hAnsi="Times New Roman" w:eastAsia="Times New Roman"/>
          <w:b w:val="0"/>
          <w:i w:val="0"/>
          <w:sz w:val="22"/>
        </w:rPr>
        <w:t>The issuer cannot change monetary parameters unilaterally.</w:t>
      </w:r>
    </w:p>
    <w:p>
      <w:r>
        <w:rPr>
          <w:rFonts w:ascii="Times New Roman" w:hAnsi="Times New Roman" w:eastAsia="Times New Roman"/>
          <w:b w:val="0"/>
          <w:i w:val="0"/>
          <w:sz w:val="22"/>
        </w:rPr>
        <w:t>These constraints distinguish a sound energy-backed currency from a marketing claim. Without them, "energy-backed" is only a label.</w:t>
      </w:r>
    </w:p>
    <w:p>
      <w:pPr>
        <w:pStyle w:val="Heading2"/>
      </w:pPr>
      <w:r>
        <w:t>6.3 Limitations</w:t>
      </w:r>
    </w:p>
    <w:p>
      <w:r>
        <w:rPr>
          <w:rFonts w:ascii="Times New Roman" w:hAnsi="Times New Roman" w:eastAsia="Times New Roman"/>
          <w:b w:val="0"/>
          <w:i w:val="0"/>
          <w:sz w:val="22"/>
        </w:rPr>
        <w:t>The seven-condition framework is constructed. It is grounded in monetary economics literature, but it is not a universally accepted canonical test. A different framework could score the systems differently.</w:t>
      </w:r>
    </w:p>
    <w:p>
      <w:r>
        <w:rPr>
          <w:rFonts w:ascii="Times New Roman" w:hAnsi="Times New Roman" w:eastAsia="Times New Roman"/>
          <w:b w:val="0"/>
          <w:i w:val="0"/>
          <w:sz w:val="22"/>
        </w:rPr>
        <w:t>The empirical evidence rests primarily on Bitcoin and China's mining ban. Bitcoin is the strongest available case because it is the only large-scale monetary asset requiring energy expenditure for issuance, but it is still only one case.</w:t>
      </w:r>
    </w:p>
    <w:p>
      <w:r>
        <w:rPr>
          <w:rFonts w:ascii="Times New Roman" w:hAnsi="Times New Roman" w:eastAsia="Times New Roman"/>
          <w:b w:val="0"/>
          <w:i w:val="0"/>
          <w:sz w:val="22"/>
        </w:rPr>
        <w:t>The renewable finance estimate is illustrative. The $79 billion figure depends on assumptions about capacity gaps, LCOE, capacity factors, and financing constraints. The claim is order-of-magnitude materiality, not audited precision.</w:t>
      </w:r>
    </w:p>
    <w:p>
      <w:r>
        <w:rPr>
          <w:rFonts w:ascii="Times New Roman" w:hAnsi="Times New Roman" w:eastAsia="Times New Roman"/>
          <w:b w:val="0"/>
          <w:i w:val="0"/>
          <w:sz w:val="22"/>
        </w:rPr>
        <w:t>The pricing framework assumes filtered quarterly log-normality. This is defensible for the thesis horizon but may not hold at shorter maturities or during extreme weather events.</w:t>
      </w:r>
    </w:p>
    <w:p>
      <w:r>
        <w:rPr>
          <w:rFonts w:ascii="Times New Roman" w:hAnsi="Times New Roman" w:eastAsia="Times New Roman"/>
          <w:b w:val="0"/>
          <w:i w:val="0"/>
          <w:sz w:val="22"/>
        </w:rPr>
        <w:t>The Sepolia deployment is not production-ready. It demonstrates technical buildability. It does not demonstrate audit completion, regulatory approval, live market adoption, or institutional solvency.</w:t>
      </w:r>
    </w:p>
    <w:p>
      <w:pPr>
        <w:pStyle w:val="Heading2"/>
      </w:pPr>
      <w:r>
        <w:t>6.4 What Would Falsify the Thesis</w:t>
      </w:r>
    </w:p>
    <w:p>
      <w:r>
        <w:rPr>
          <w:rFonts w:ascii="Times New Roman" w:hAnsi="Times New Roman" w:eastAsia="Times New Roman"/>
          <w:b w:val="0"/>
          <w:i w:val="0"/>
          <w:sz w:val="22"/>
        </w:rPr>
        <w:t>The thesis would be weakened or falsified if any of the following were shown.</w:t>
      </w:r>
    </w:p>
    <w:p>
      <w:r>
        <w:rPr>
          <w:rFonts w:ascii="Times New Roman" w:hAnsi="Times New Roman" w:eastAsia="Times New Roman"/>
          <w:b w:val="0"/>
          <w:i w:val="0"/>
          <w:sz w:val="22"/>
        </w:rPr>
        <w:t>First, if the seven-condition framework is rejected as irrelevant to commodity-style monetary credibility, then the theoretical comparison loses force.</w:t>
      </w:r>
    </w:p>
    <w:p>
      <w:r>
        <w:rPr>
          <w:rFonts w:ascii="Times New Roman" w:hAnsi="Times New Roman" w:eastAsia="Times New Roman"/>
          <w:b w:val="0"/>
          <w:i w:val="0"/>
          <w:sz w:val="22"/>
        </w:rPr>
        <w:t>Second, if energy-backed issuance cannot be reliably verified with public or externally auditable data, then the observability condition fails.</w:t>
      </w:r>
    </w:p>
    <w:p>
      <w:r>
        <w:rPr>
          <w:rFonts w:ascii="Times New Roman" w:hAnsi="Times New Roman" w:eastAsia="Times New Roman"/>
          <w:b w:val="0"/>
          <w:i w:val="0"/>
          <w:sz w:val="22"/>
        </w:rPr>
        <w:t>Third, if the Bitcoin energy-anchor result is shown to be entirely mechanical, spurious, or unrelated to mining concentration, then the empirical motivation weakens.</w:t>
      </w:r>
    </w:p>
    <w:p>
      <w:r>
        <w:rPr>
          <w:rFonts w:ascii="Times New Roman" w:hAnsi="Times New Roman" w:eastAsia="Times New Roman"/>
          <w:b w:val="0"/>
          <w:i w:val="0"/>
          <w:sz w:val="22"/>
        </w:rPr>
        <w:t>Fourth, if energy-backed instruments cannot be priced coherently without liquid markets, then the cold-start pricing claim fails.</w:t>
      </w:r>
    </w:p>
    <w:p>
      <w:r>
        <w:rPr>
          <w:rFonts w:ascii="Times New Roman" w:hAnsi="Times New Roman" w:eastAsia="Times New Roman"/>
          <w:b w:val="0"/>
          <w:i w:val="0"/>
          <w:sz w:val="22"/>
        </w:rPr>
        <w:t>Fifth, if the four constraints can be shown not to block the failure modes they are designed to block, then the central architectural contribution fails.</w:t>
      </w:r>
    </w:p>
    <w:p>
      <w:r>
        <w:rPr>
          <w:rFonts w:ascii="Times New Roman" w:hAnsi="Times New Roman" w:eastAsia="Times New Roman"/>
          <w:b w:val="0"/>
          <w:i w:val="0"/>
          <w:sz w:val="22"/>
        </w:rPr>
        <w:t>Sixth, if implementation requires assumptions that cannot be satisfied outside a toy environment, then the proof-of-concept result would not generalize.</w:t>
      </w:r>
    </w:p>
    <w:p>
      <w:r>
        <w:rPr>
          <w:rFonts w:ascii="Times New Roman" w:hAnsi="Times New Roman" w:eastAsia="Times New Roman"/>
          <w:b w:val="0"/>
          <w:i w:val="0"/>
          <w:sz w:val="22"/>
        </w:rPr>
        <w:t>These are the real vulnerabilities. Claims such as "no government has adopted this yet" or "the implementation is only on testnet" do not falsify the thesis, because the thesis does not claim adoption or production readiness.</w:t>
      </w:r>
    </w:p>
    <w:p>
      <w:pPr>
        <w:pStyle w:val="Heading2"/>
      </w:pPr>
      <w:r>
        <w:t>6.5 Future Work</w:t>
      </w:r>
    </w:p>
    <w:p>
      <w:r>
        <w:rPr>
          <w:rFonts w:ascii="Times New Roman" w:hAnsi="Times New Roman" w:eastAsia="Times New Roman"/>
          <w:b w:val="0"/>
          <w:i w:val="0"/>
          <w:sz w:val="22"/>
        </w:rPr>
        <w:t>The most important empirical extension is to test whether designed energy-backed instruments exhibit more stable value dynamics than fiat-linked or purely algorithmic instruments over time.</w:t>
      </w:r>
    </w:p>
    <w:p>
      <w:r>
        <w:rPr>
          <w:rFonts w:ascii="Times New Roman" w:hAnsi="Times New Roman" w:eastAsia="Times New Roman"/>
          <w:b w:val="0"/>
          <w:i w:val="0"/>
          <w:sz w:val="22"/>
        </w:rPr>
        <w:t>The most important technical extension is multi-oracle architecture. A production system requires multiple data sources, multiple keepers, dispute mechanisms, and robust monitoring.</w:t>
      </w:r>
    </w:p>
    <w:p>
      <w:r>
        <w:rPr>
          <w:rFonts w:ascii="Times New Roman" w:hAnsi="Times New Roman" w:eastAsia="Times New Roman"/>
          <w:b w:val="0"/>
          <w:i w:val="0"/>
          <w:sz w:val="22"/>
        </w:rPr>
        <w:t>The most important institutional extension is the transition problem. This thesis argues for the destination and specifies the constraints. It does not explain how an economy transitions from fiat to an energy-backed standard.</w:t>
      </w:r>
    </w:p>
    <w:p>
      <w:r>
        <w:rPr>
          <w:rFonts w:ascii="Times New Roman" w:hAnsi="Times New Roman" w:eastAsia="Times New Roman"/>
          <w:b w:val="0"/>
          <w:i w:val="0"/>
          <w:sz w:val="22"/>
        </w:rPr>
        <w:t>The most important market extension is bounded pilot deployment. A real pilot would test oracle reliability, settlement behavior, counterparty experience, and operational risk under controlled exposure.</w:t>
      </w:r>
    </w:p>
    <w:p>
      <w:pPr>
        <w:pStyle w:val="Heading2"/>
      </w:pPr>
      <w:r>
        <w:t>6.6 Closing Statement</w:t>
      </w:r>
    </w:p>
    <w:p>
      <w:r>
        <w:rPr>
          <w:rFonts w:ascii="Times New Roman" w:hAnsi="Times New Roman" w:eastAsia="Times New Roman"/>
          <w:b w:val="0"/>
          <w:i w:val="0"/>
          <w:sz w:val="22"/>
        </w:rPr>
        <w:t>Energy-backed money is not sound because energy is a fashionable asset. It is sound only if the issuer is bound by constraints that prevent the classic failure modes of money.</w:t>
      </w:r>
    </w:p>
    <w:p>
      <w:r>
        <w:rPr>
          <w:rFonts w:ascii="Times New Roman" w:hAnsi="Times New Roman" w:eastAsia="Times New Roman"/>
          <w:b w:val="0"/>
          <w:i w:val="0"/>
          <w:sz w:val="22"/>
        </w:rPr>
        <w:t>The thesis shows that those constraints can be defined. It shows why they matter. It shows that energy has already anchored monetary value under passive conditions. It shows that the instruments can be priced from physical data. And it shows that the architecture can be implemented as a testnet proof of concept.</w:t>
      </w:r>
    </w:p>
    <w:p>
      <w:r>
        <w:rPr>
          <w:rFonts w:ascii="Times New Roman" w:hAnsi="Times New Roman" w:eastAsia="Times New Roman"/>
          <w:b w:val="0"/>
          <w:i w:val="0"/>
          <w:sz w:val="22"/>
        </w:rPr>
        <w:t>The conclusion is therefore limited but strong:</w:t>
      </w:r>
    </w:p>
    <w:p>
      <w:r>
        <w:rPr>
          <w:rFonts w:ascii="Times New Roman" w:hAnsi="Times New Roman" w:eastAsia="Times New Roman"/>
          <w:b/>
          <w:i w:val="0"/>
          <w:sz w:val="22"/>
        </w:rPr>
        <w:t>A sound energy-backed currency is theoretically defensible, empirically motivated, financially priceable, and technically buildable - provided that its issuer is bound by oracle-gated issuance, rule-bound supply, algorithmically collateralised settlement, and timelocked governance.</w:t>
      </w:r>
    </w:p>
    <w:p>
      <w:r>
        <w:rPr>
          <w:rFonts w:ascii="Times New Roman" w:hAnsi="Times New Roman" w:eastAsia="Times New Roman"/>
          <w:b w:val="0"/>
          <w:i w:val="0"/>
          <w:sz w:val="22"/>
        </w:rPr>
        <w:t>That is the blueprint.</w:t>
      </w:r>
    </w:p>
    <w:sectPr w:rsidR="00FC693F" w:rsidRPr="0006063C" w:rsidSect="00034616">
      <w:footerReference w:type="default" r:id="rId9"/>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Energy as Money - Polished Thesis Spine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eastAsia="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pPr>
    <w:rPr>
      <w:rFonts w:asciiTheme="majorHAnsi" w:eastAsiaTheme="majorEastAsia" w:hAnsiTheme="majorHAnsi" w:cstheme="majorBidi" w:ascii="Times New Roman" w:hAnsi="Times New Roman" w:eastAsia="Times New Roman"/>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as Money: A Constraints-Based Blueprint for a Sound Energy-Backed Currency</dc:title>
  <dc:subject>Polished thesis spine / working draft</dc:subject>
  <dc:creator>Christopher Ongko</dc:creator>
  <cp:keywords>energy-backed currency, monetary standard, SolarPunk</cp:keywords>
  <dc:description>generated by python-docx</dc:description>
  <cp:lastModifiedBy/>
  <cp:revision>1</cp:revision>
  <dcterms:created xsi:type="dcterms:W3CDTF">2013-12-23T23:15:00Z</dcterms:created>
  <dcterms:modified xsi:type="dcterms:W3CDTF">2013-12-23T23:15:00Z</dcterms:modified>
  <cp:category/>
</cp:coreProperties>
</file>