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rPr>
          <w:rFonts w:ascii="Times New Roman" w:hAnsi="Times New Roman"/>
          <w:b w:val="0"/>
          <w:sz w:val="28"/>
        </w:rPr>
        <w:t>College of Management</w:t>
        <w:br/>
      </w:r>
      <w:r>
        <w:rPr>
          <w:rFonts w:ascii="Times New Roman" w:hAnsi="Times New Roman"/>
          <w:b w:val="0"/>
          <w:sz w:val="28"/>
        </w:rPr>
        <w:t>Department of Finance</w:t>
        <w:br/>
      </w:r>
      <w:r>
        <w:rPr>
          <w:rFonts w:ascii="Times New Roman" w:hAnsi="Times New Roman"/>
          <w:b w:val="0"/>
          <w:sz w:val="24"/>
        </w:rPr>
        <w:br/>
      </w:r>
      <w:r>
        <w:rPr>
          <w:rFonts w:ascii="Times New Roman" w:hAnsi="Times New Roman"/>
          <w:b w:val="0"/>
          <w:sz w:val="24"/>
        </w:rPr>
        <w:br/>
      </w:r>
      <w:r>
        <w:rPr>
          <w:rFonts w:ascii="Times New Roman" w:hAnsi="Times New Roman"/>
          <w:b/>
          <w:sz w:val="36"/>
        </w:rPr>
        <w:t>ENERGY-BACKED DERIVATIVES:</w:t>
        <w:br/>
      </w:r>
      <w:r>
        <w:rPr>
          <w:rFonts w:ascii="Times New Roman" w:hAnsi="Times New Roman"/>
          <w:b/>
          <w:sz w:val="36"/>
        </w:rPr>
        <w:t>From Empirical Validation to a Credible</w:t>
        <w:br/>
      </w:r>
      <w:r>
        <w:rPr>
          <w:rFonts w:ascii="Times New Roman" w:hAnsi="Times New Roman"/>
          <w:b/>
          <w:sz w:val="36"/>
        </w:rPr>
        <w:t>Pricing-and-Contract Framework</w:t>
        <w:br/>
      </w:r>
      <w:r>
        <w:rPr>
          <w:rFonts w:ascii="Times New Roman" w:hAnsi="Times New Roman"/>
          <w:b w:val="0"/>
          <w:sz w:val="24"/>
        </w:rPr>
        <w:br/>
      </w:r>
      <w:r>
        <w:rPr>
          <w:rFonts w:ascii="Times New Roman" w:hAnsi="Times New Roman"/>
          <w:b w:val="0"/>
          <w:sz w:val="24"/>
        </w:rPr>
        <w:br/>
      </w:r>
      <w:r>
        <w:rPr>
          <w:rFonts w:ascii="Times New Roman" w:hAnsi="Times New Roman"/>
          <w:b/>
          <w:sz w:val="28"/>
        </w:rPr>
        <w:t>Christopher Ongko</w:t>
        <w:br/>
      </w:r>
      <w:r>
        <w:rPr>
          <w:rFonts w:ascii="Times New Roman" w:hAnsi="Times New Roman"/>
          <w:b w:val="0"/>
          <w:sz w:val="24"/>
        </w:rPr>
        <w:t>Student ID: 1133958</w:t>
        <w:br/>
      </w:r>
      <w:r>
        <w:rPr>
          <w:rFonts w:ascii="Times New Roman" w:hAnsi="Times New Roman"/>
          <w:b w:val="0"/>
          <w:sz w:val="24"/>
        </w:rPr>
        <w:br/>
      </w:r>
      <w:r>
        <w:rPr>
          <w:rFonts w:ascii="Times New Roman" w:hAnsi="Times New Roman"/>
          <w:b w:val="0"/>
          <w:sz w:val="24"/>
        </w:rPr>
        <w:br/>
      </w:r>
      <w:r>
        <w:rPr>
          <w:rFonts w:ascii="Times New Roman" w:hAnsi="Times New Roman"/>
          <w:b w:val="0"/>
          <w:sz w:val="24"/>
        </w:rPr>
        <w:t>Advisor: Dr. De-Rong Kong (孔德蓉)</w:t>
        <w:br/>
      </w:r>
      <w:r>
        <w:rPr>
          <w:rFonts w:ascii="Times New Roman" w:hAnsi="Times New Roman"/>
          <w:b w:val="0"/>
          <w:sz w:val="24"/>
        </w:rPr>
        <w:br/>
      </w:r>
      <w:r>
        <w:rPr>
          <w:rFonts w:ascii="Times New Roman" w:hAnsi="Times New Roman"/>
          <w:b w:val="0"/>
          <w:sz w:val="24"/>
        </w:rPr>
        <w:t>April 2026</w:t>
        <w:br/>
      </w:r>
    </w:p>
    <w:p>
      <w:r>
        <w:br w:type="page"/>
      </w:r>
    </w:p>
    <w:p>
      <w:pPr>
        <w:pStyle w:val="Heading1"/>
      </w:pPr>
      <w:r>
        <w:t>Abstract</w:t>
      </w:r>
    </w:p>
    <w:p>
      <w:r>
        <w:rPr>
          <w:b w:val="0"/>
          <w:i w:val="0"/>
          <w:u w:val="none"/>
        </w:rPr>
        <w:t>This thesis proposes energy-backed derivatives as a credible monetary architecture and establishes the empirical, methodological, and contractual foundations required for that claim. The central argument is that Bitcoin's passive energy anchoring worked under geographic mining concentration and failed under dispersion — and that this failure motivates deliberately designed instruments whose payoffs explicitly encode energy-linked risk, with contractual enforcement replacing the coordination that dispersion dissolved.</w:t>
      </w:r>
    </w:p>
    <w:p>
      <w:r>
        <w:rPr>
          <w:b/>
          <w:i w:val="0"/>
          <w:u w:val="none"/>
        </w:rPr>
        <w:t>Pillar 1 (Empirical):</w:t>
      </w:r>
      <w:r>
        <w:rPr>
          <w:b w:val="0"/>
          <w:i w:val="0"/>
          <w:u w:val="none"/>
        </w:rPr>
        <w:t xml:space="preserve"> Using China's June 2021 mining ban as a natural experiment, we provide bias-corrected causal evidence that energy costs anchor cryptocurrency value in a concentration-dependent manner. log(CEIR) is a near-integrated predictor (AR(1) ρ̂ = 0.980, confirmed best specification by AIC); we apply the Amihud-Hurvich (2004) augmented regression to eliminate Stambaugh (1999) bias. The bias-corrected estimate shows one standard deviation decrease in log(CEIR) predicts 10.0 percentage points higher 30-day returns during concentrated mining (β = −0.206, SE = 0.042, p &lt; 0.001, weekly HC1 errors). After geographic dispersion, the effect shrinks to 3.5 pp (β = −0.080, SE = 0.011). Structural break: Chow F = 4.786, p = 0.0009. A horse-race against crypto momentum and investor attention (Liu and Tsyvinski 2021) shows CEIR retains incremental predictive content — the pre-ban coefficient strengthens to β = −0.500 in the full factor model (R² = 0.324). A mechanism test confirms the rational security pricing channel: pre-ban, CEIR effect is 2.8× stronger during low-sentiment (fearful) markets, consistent with security-aware long-horizon holders driving the signal. Post-ban, this rational pattern inverts — the residual predictability is sentiment-correlated, indicating the rational anchor dissolved with geographic dispersion. Block bootstrap (2000 replications): pre-ban 95% CI </w:t>
      </w:r>
      <w:r>
        <w:rPr>
          <w:b w:val="0"/>
          <w:i w:val="0"/>
          <w:u w:val="none"/>
        </w:rPr>
        <w:t>[</w:t>
      </w:r>
      <w:r>
        <w:rPr>
          <w:b w:val="0"/>
          <w:i w:val="0"/>
          <w:u w:val="none"/>
        </w:rPr>
        <w:t>−0.371, −0.002], 97.4% of draws β &lt; 0. A Kazakhstan falsification and carbon intensity control confirm geographic concentration — not carbon profile or generic market disruption — as the operative mechanism.</w:t>
      </w:r>
    </w:p>
    <w:p>
      <w:r>
        <w:rPr>
          <w:b/>
          <w:i w:val="0"/>
          <w:u w:val="none"/>
        </w:rPr>
        <w:t>Pillar 2 (Pricing):</w:t>
      </w:r>
      <w:r>
        <w:rPr>
          <w:b w:val="0"/>
          <w:i w:val="0"/>
          <w:u w:val="none"/>
        </w:rPr>
        <w:t xml:space="preserve"> We develop a pricing framework for energy-backed derivatives that solves the cold-start problem: how to price instruments in markets with no liquid options. Using NASA satellite irradiance data to calibrate an explicit filtered operational volatility estimate (σ = 189.5% for Taiwan), we implement binomial trees and Monte Carlo simulation. The Taiwan base case converges to a 2.08% binomial-vs-Monte Carlo gap at 20,000 paths, and the framework remains coherent across five global locations.</w:t>
      </w:r>
    </w:p>
    <w:p>
      <w:r>
        <w:rPr>
          <w:b/>
          <w:i w:val="0"/>
          <w:u w:val="none"/>
        </w:rPr>
        <w:t>Pillar 3 (Feasibility):</w:t>
      </w:r>
      <w:r>
        <w:rPr>
          <w:b w:val="0"/>
          <w:i w:val="0"/>
          <w:u w:val="none"/>
        </w:rPr>
        <w:t xml:space="preserve"> We specify the contractual conditions necessary to convert priced payoffs into credible instruments under real-world frictions. The central feasibility result is location-specific oracle tolerance: high-volatility markets such as Taiwan and Brazil maintain variance reduction above 95% up to roughly 21.7% to 22.7% oracle error, while Germany tolerates only 5.2%. A VaR-based margin framework then shows why a clearing-house structure is necessary: 99% initial margin runs at roughly 10-15x spot in the real-data quarterly simulation.</w:t>
      </w:r>
    </w:p>
    <w:p>
      <w:r>
        <w:rPr>
          <w:b w:val="0"/>
          <w:i w:val="0"/>
          <w:u w:val="none"/>
        </w:rPr>
        <w:t>The empirical layer uses China's June 2021 mining ban as a natural experiment. A bias-corrected predictive regression (Amihud-Hurvich 2004) yields β = −0.206 (SE = 0.042, p &lt; 0.001) pre-ban and β = −0.080 (SE = 0.031, p = 0.011) post-ban, with a structural break confirmed at Chow F = 4.786 (p = 0.0009). A mechanism test reveals the pre-ban signal operates through rational security pricing — 2.8× stronger in fearful markets — while the post-ban signal inverts to sentiment-correlated noise, demonstrating that geographic dispersion dissolved the rational anchor. The pricing layer solves the cold-start problem using NASA satellite irradiance data to calibrate volatility (σ = 189.5%, filtered; Jarque-Bera p = 0.349), yielding binomial-tree and Monte Carlo prices converging within 2.08% at 20,000 paths. A ±10% collar generates structural net credit in all markets, with credit scaling with irradiance volatility: Brazil 6.73% of spot, Germany 1.38%. The contract layer derives location-specific oracle tolerance thresholds (Taiwan: 21.7% error for VR ≥ 95%) and establishes that the 1.5 × VaR₉₉% margin requirement implies 10–15× spot collateral, motivating a clearing-house market structure. A comparative monetary standard analysis finds energy-backed derivatives satisfy 7 of 7 necessary conditions for a credible monetary standard, versus 3 of 7 for gold and 1 of 7 for fiat. The thesis establishes feasibility. It does not claim deployment.</w:t>
      </w:r>
    </w:p>
    <w:p>
      <w:pPr>
        <w:ind w:firstLine="0"/>
      </w:pPr>
      <w:r>
        <w:rPr>
          <w:b/>
          <w:i w:val="0"/>
          <w:u w:val="none"/>
        </w:rPr>
        <w:t>Keywords:</w:t>
      </w:r>
      <w:r>
        <w:rPr>
          <w:b w:val="0"/>
          <w:i w:val="0"/>
          <w:u w:val="none"/>
        </w:rPr>
        <w:t xml:space="preserve"> Energy-backed derivatives, CEIR, cryptocurrency valuation, renewable energy hedging, physics-based pricing, natural experiment, regime-dependent fundamentals</w:t>
      </w:r>
    </w:p>
    <w:p>
      <w:pPr>
        <w:ind w:firstLine="0"/>
      </w:pPr>
      <w:r>
        <w:rPr>
          <w:b/>
          <w:i w:val="0"/>
          <w:u w:val="none"/>
        </w:rPr>
        <w:t>JEL Codes:</w:t>
      </w:r>
      <w:r>
        <w:rPr>
          <w:b w:val="0"/>
          <w:i w:val="0"/>
          <w:u w:val="none"/>
        </w:rPr>
        <w:t xml:space="preserve"> G12, G13, Q42, Q47, C63</w:t>
      </w:r>
    </w:p>
    <w:p>
      <w:r>
        <w:br w:type="page"/>
      </w:r>
    </w:p>
    <w:p>
      <w:pPr>
        <w:pStyle w:val="Heading1"/>
      </w:pPr>
      <w:r>
        <w:t>Table of Contents</w:t>
      </w:r>
    </w:p>
    <w:p>
      <w:pPr>
        <w:ind w:firstLine="0"/>
      </w:pPr>
      <w:r>
        <w:fldChar w:fldCharType="begin"/>
        <w:instrText xml:space="preserve">TOC \o "1-3" \h \z \u</w:instrText>
        <w:fldChar w:fldCharType="separate"/>
        <w:r>
          <w:t>Update field in Word to populate the table of contents.</w:t>
        </w:r>
        <w:fldChar w:fldCharType="end"/>
      </w:r>
    </w:p>
    <w:p>
      <w:pPr>
        <w:ind w:firstLine="0"/>
      </w:pPr>
      <w:r>
        <w:rPr>
          <w:i/>
          <w:sz w:val="20"/>
        </w:rPr>
        <w:t>In Word: right-click the table of contents and choose 'Update Field'.</w:t>
      </w:r>
    </w:p>
    <w:p>
      <w:r>
        <w:br w:type="page"/>
      </w:r>
    </w:p>
    <w:p>
      <w:pPr>
        <w:pStyle w:val="Heading1"/>
      </w:pPr>
      <w:r>
        <w:t>Chapter 1: Introduction</w:t>
      </w:r>
    </w:p>
    <w:p>
      <w:pPr>
        <w:pStyle w:val="Heading2"/>
      </w:pPr>
      <w:r>
        <w:t>1.1 The Problem This Thesis Addresses</w:t>
      </w:r>
    </w:p>
    <w:p>
      <w:r>
        <w:rPr>
          <w:b w:val="0"/>
          <w:i w:val="0"/>
          <w:u w:val="none"/>
        </w:rPr>
        <w:t>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r>
        <w:rPr>
          <w:b w:val="0"/>
          <w:i w:val="0"/>
          <w:u w:val="none"/>
        </w:rPr>
        <w:t xml:space="preserve">This thesis argues these two problems are the same problem viewed from opposite sides. The cryptocurrency literature asks: </w:t>
      </w:r>
      <w:r>
        <w:rPr>
          <w:b w:val="0"/>
          <w:i/>
          <w:u w:val="none"/>
        </w:rPr>
        <w:t>can energy costs create value floors in digital asset markets?</w:t>
      </w:r>
      <w:r>
        <w:rPr>
          <w:b w:val="0"/>
          <w:i w:val="0"/>
          <w:u w:val="none"/>
        </w:rPr>
        <w:t xml:space="preserve"> The renewable energy literature asks: </w:t>
      </w:r>
      <w:r>
        <w:rPr>
          <w:b w:val="0"/>
          <w:i/>
          <w:u w:val="none"/>
        </w:rPr>
        <w:t>can financial instruments stabilise energy revenue enough to unlock project finance?</w:t>
      </w:r>
      <w:r>
        <w:rPr>
          <w:b w:val="0"/>
          <w:i w:val="0"/>
          <w:u w:val="none"/>
        </w:rPr>
        <w:t xml:space="preserve"> The answer to the first question, this thesis argues, provides the empirical motivation for designing the second type of instrument.</w:t>
      </w:r>
    </w:p>
    <w:p>
      <w:r>
        <w:rPr>
          <w:b w:val="0"/>
          <w:i w:val="0"/>
          <w:u w:val="none"/>
        </w:rPr>
        <w:t>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pPr>
      <w:r>
        <w:t>1.2 The Passive-to-Active Transition</w:t>
      </w:r>
    </w:p>
    <w:p>
      <w:r>
        <w:rPr>
          <w:b w:val="0"/>
          <w:i w:val="0"/>
          <w:u w:val="none"/>
        </w:rPr>
        <w:t xml:space="preserve">Bitcoin's energy anchor was </w:t>
      </w:r>
      <w:r>
        <w:rPr>
          <w:b w:val="0"/>
          <w:i/>
          <w:u w:val="none"/>
        </w:rPr>
        <w:t>passive</w:t>
      </w:r>
      <w:r>
        <w:rPr>
          <w:b w:val="0"/>
          <w:i w:val="0"/>
          <w:u w:val="none"/>
        </w:rPr>
        <w:t>: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r>
        <w:rPr>
          <w:b w:val="0"/>
          <w:i w:val="0"/>
          <w:u w:val="none"/>
        </w:rPr>
        <w:t xml:space="preserve">The key insight is that the </w:t>
      </w:r>
      <w:r>
        <w:rPr>
          <w:b w:val="0"/>
          <w:i/>
          <w:u w:val="none"/>
        </w:rPr>
        <w:t>mechanism</w:t>
      </w:r>
      <w:r>
        <w:rPr>
          <w:b w:val="0"/>
          <w:i w:val="0"/>
          <w:u w:val="none"/>
        </w:rPr>
        <w:t xml:space="preserve"> of energy anchoring is sound even when the </w:t>
      </w:r>
      <w:r>
        <w:rPr>
          <w:b w:val="0"/>
          <w:i/>
          <w:u w:val="none"/>
        </w:rPr>
        <w:t>implementation</w:t>
      </w:r>
      <w:r>
        <w:rPr>
          <w:b w:val="0"/>
          <w:i w:val="0"/>
          <w:u w:val="none"/>
        </w:rPr>
        <w:t xml:space="preserve"> through uncoordinated mining proved fragile. If energy expenditure genuinely creates value floors under coordination, then </w:t>
      </w:r>
      <w:r>
        <w:rPr>
          <w:b w:val="0"/>
          <w:i/>
          <w:u w:val="none"/>
        </w:rPr>
        <w:t>designed</w:t>
      </w:r>
      <w:r>
        <w:rPr>
          <w:b w:val="0"/>
          <w:i w:val="0"/>
          <w:u w:val="none"/>
        </w:rPr>
        <w:t xml:space="preserve">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r>
        <w:rPr>
          <w:b w:val="0"/>
          <w:i w:val="0"/>
          <w:u w:val="none"/>
        </w:rPr>
        <w:t xml:space="preserve">A critical distinction must be stated and defended explicitly, however. Bitcoin's passive anchoring and a designed energy derivative operate through different mechanisms. Bitcoin's floor emerged from thousands of miners independently making the same profit-maximising decision. A derivative's floor is contractual: the seller is obligated to pay </w:t>
      </w:r>
      <w:r>
        <w:rPr>
          <w:rFonts w:ascii="Courier New" w:hAnsi="Courier New"/>
          <w:b w:val="0"/>
          <w:i w:val="0"/>
          <w:sz w:val="21"/>
          <w:u w:val="none"/>
        </w:rPr>
        <w:t>max(K − P, 0)</w:t>
      </w:r>
      <w:r>
        <w:rPr>
          <w:b w:val="0"/>
          <w:i w:val="0"/>
          <w:u w:val="none"/>
        </w:rPr>
        <w:t xml:space="preserve"> at maturity regardless of market conditions, enforced through posted margin and oracle-verified settlement. These are not the same mechanism, and the empirical evidence for one does not automatically transfer to the other.</w:t>
      </w:r>
    </w:p>
    <w:p>
      <w:r>
        <w:rPr>
          <w:b w:val="0"/>
          <w:i w:val="0"/>
          <w:u w:val="none"/>
        </w:rPr>
        <w:t xml:space="preserve">The connection is epistemic, not mechanical: the CEIR evidence establishes that </w:t>
      </w:r>
      <w:r>
        <w:rPr>
          <w:b w:val="0"/>
          <w:i/>
          <w:u w:val="none"/>
        </w:rPr>
        <w:t>markets recognise and price energy cost floors when those floors are credibly enforced</w:t>
      </w:r>
      <w:r>
        <w:rPr>
          <w:b w:val="0"/>
          <w:i w:val="0"/>
          <w:u w:val="none"/>
        </w:rPr>
        <w:t xml:space="preserve">. In Bitcoin's concentrated era, the floor was credible because the enforcement mechanism — miner arbitrage — was transparent, large-scale, and operationally difficult to circumvent. In the derivative, credibility is contractual: the floor holds when oracle measurement error is bounded and seller solvency is guaranteed by posted collateral. The derivative replicates the </w:t>
      </w:r>
      <w:r>
        <w:rPr>
          <w:b w:val="0"/>
          <w:i/>
          <w:u w:val="none"/>
        </w:rPr>
        <w:t>credibility condition</w:t>
      </w:r>
      <w:r>
        <w:rPr>
          <w:b w:val="0"/>
          <w:i w:val="0"/>
          <w:u w:val="none"/>
        </w:rPr>
        <w:t>, not the mining process itself.</w:t>
      </w:r>
    </w:p>
    <w:p>
      <w:r>
        <w:rPr>
          <w:b w:val="0"/>
          <w:i w:val="0"/>
          <w:u w:val="none"/>
        </w:rPr>
        <w:t>The logical chain is therefore: (1) markets price credible energy floors, established empirically in Chapter 2; (2) the derivative creates a credible energy floor when oracle error is below a specified threshold and margin is sufficient, established analytically in Chapters 3 and 4; therefore (3) the derivative's premium is justifiable by the same market logic that the CEIR evidence documents. The gap between passive and active anchoring is closed not by claiming the mechanisms are identical, but by showing they satisfy the same credibility condition that markets respond to.</w:t>
      </w:r>
    </w:p>
    <w:p>
      <w:pPr>
        <w:pStyle w:val="Heading2"/>
      </w:pPr>
      <w:r>
        <w:t>1.3 Why This Matters for Renewable Finance</w:t>
      </w:r>
    </w:p>
    <w:p>
      <w:r>
        <w:rPr>
          <w:b w:val="0"/>
          <w:i w:val="0"/>
          <w:u w:val="none"/>
        </w:rPr>
        <w:t>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r>
        <w:rPr>
          <w:b w:val="0"/>
          <w:i w:val="0"/>
          <w:u w:val="none"/>
        </w:rPr>
        <w:t>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pPr>
      <w:r>
        <w:t>1.4 Research Questions and Contributions</w:t>
      </w:r>
    </w:p>
    <w:p>
      <w:r>
        <w:rPr>
          <w:b w:val="0"/>
          <w:i w:val="0"/>
          <w:u w:val="none"/>
        </w:rPr>
        <w:t>This thesis addresses three research questions:</w:t>
      </w:r>
    </w:p>
    <w:p>
      <w:r>
        <w:rPr>
          <w:b/>
          <w:i w:val="0"/>
          <w:u w:val="none"/>
        </w:rPr>
        <w:t>RQ1 (Empirics):</w:t>
      </w:r>
      <w:r>
        <w:rPr>
          <w:b w:val="0"/>
          <w:i w:val="0"/>
          <w:u w:val="none"/>
        </w:rPr>
        <w:t xml:space="preserve"> Do energy costs anchor cryptocurrency value, and is the relationship structural or regime-dependent?</w:t>
      </w:r>
    </w:p>
    <w:p>
      <w:r>
        <w:rPr>
          <w:b/>
          <w:i w:val="0"/>
          <w:u w:val="none"/>
        </w:rPr>
        <w:t>RQ2 (Pricing):</w:t>
      </w:r>
      <w:r>
        <w:rPr>
          <w:b w:val="0"/>
          <w:i w:val="0"/>
          <w:u w:val="none"/>
        </w:rPr>
        <w:t xml:space="preserve"> How should an energy-linked derivative be priced and validated when volatility is physics-driven and the underlying commodity is non-storable?</w:t>
      </w:r>
    </w:p>
    <w:p>
      <w:r>
        <w:rPr>
          <w:b/>
          <w:i w:val="0"/>
          <w:u w:val="none"/>
        </w:rPr>
        <w:t>RQ3 (Feasibility):</w:t>
      </w:r>
      <w:r>
        <w:rPr>
          <w:b w:val="0"/>
          <w:i w:val="0"/>
          <w:u w:val="none"/>
        </w:rPr>
        <w:t xml:space="preserve"> What minimum contract specifications and risk controls are required for an energy-backed derivative to remain credible under oracle error, manipulation risk, and tail events?</w:t>
      </w:r>
    </w:p>
    <w:p>
      <w:r>
        <w:rPr>
          <w:b w:val="0"/>
          <w:i w:val="0"/>
          <w:u w:val="none"/>
        </w:rPr>
        <w:t>The contributions corresponding to each question are:</w:t>
      </w:r>
    </w:p>
    <w:p>
      <w:r>
        <w:rPr>
          <w:b/>
          <w:i w:val="0"/>
          <w:u w:val="none"/>
        </w:rPr>
        <w:t>Contribution 1 (Empirical):</w:t>
      </w:r>
      <w:r>
        <w:rPr>
          <w:b w:val="0"/>
          <w:i w:val="0"/>
          <w:u w:val="none"/>
        </w:rPr>
        <w:t xml:space="preserve"> Causal evidence, bias-corrected, that energy anchoring of cryptocurrency value is regime-dependent,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 The primary causal identification rests on the China ban as a natural experiment, with the Ethereum merge providing corroborative descriptive evidence only; the parallel trends assumption required for causal DiD identification of the ETH merge effect is violated by pre-merge anticipation trading (Section 2.6.3) and carries no independent causal weight. The finding that geographic dispersion attenuates anchoring 3× even as absolute electricity costs rise directly challenges naïve production-cost theory and identifies coordination — not cost level — as the operative mechanism.</w:t>
      </w:r>
    </w:p>
    <w:p>
      <w:r>
        <w:rPr>
          <w:b/>
          <w:i w:val="0"/>
          <w:u w:val="none"/>
        </w:rPr>
        <w:t>Contribution 2 (Methodological):</w:t>
      </w:r>
      <w:r>
        <w:rPr>
          <w:b w:val="0"/>
          <w:i w:val="0"/>
          <w:u w:val="none"/>
        </w:rPr>
        <w:t xml:space="preserve"> Application of physics-based volatility — satellite irradiance data rather than market-implied or historical price volatility — to the pricing of energy-linked derivatives, distinct from prior irradiance-index weather derivative work. This solves the cold-start problem for instruments in markets without existing options, bypassing the calibration circularity that has blocked instrument design in emerging solar markets. All parameters are derived from public data (NASA POWER); the volatility preprocessing is stated explicitly; the framework has been validated across five global markets; and it is reproducible without proprietary data access.</w:t>
      </w:r>
    </w:p>
    <w:p>
      <w:r>
        <w:rPr>
          <w:b/>
          <w:i w:val="0"/>
          <w:u w:val="none"/>
        </w:rPr>
        <w:t>Contribution 3 (Applied):</w:t>
      </w:r>
      <w:r>
        <w:rPr>
          <w:b w:val="0"/>
          <w:i w:val="0"/>
          <w:u w:val="none"/>
        </w:rPr>
        <w:t xml:space="preserve"> Treatment of oracle quality as a </w:t>
      </w:r>
      <w:r>
        <w:rPr>
          <w:b w:val="0"/>
          <w:i/>
          <w:u w:val="none"/>
        </w:rPr>
        <w:t>continuous design parameter</w:t>
      </w:r>
      <w:r>
        <w:rPr>
          <w:b w:val="0"/>
          <w:i w:val="0"/>
          <w:u w:val="none"/>
        </w:rPr>
        <w:t xml:space="preserve"> — rather than a binary adequacy constraint — in non-storable commodity derivatives. Hedge effectiveness is derived analytically from the minimum variance hedge framework (Hull 2018): variance reduction = σ_X²/(σ_X² + σ_ε²), where σ_X is the payoff standard deviation and σ_ε is oracle noise. The resulting design finding is location-specific oracle tolerance: Taiwan tolerates 21.7% oracle error while maintaining variance reduction above 95%, Brazil 22.7%, and Germany only 5.2%. This volatility-scaled robustness result is novel and has direct implications for market design in emerging solar markets. Margin requirements are derived consistently from the pricing model's distributional assumptions, producing a complete, internally consistent feasibility specification.</w:t>
      </w:r>
    </w:p>
    <w:p>
      <w:pPr>
        <w:pStyle w:val="Heading2"/>
      </w:pPr>
      <w:r>
        <w:t>1.5 Scope and Boundaries</w:t>
      </w:r>
    </w:p>
    <w:p>
      <w:r>
        <w:rPr>
          <w:b w:val="0"/>
          <w:i w:val="0"/>
          <w:u w:val="none"/>
        </w:rPr>
        <w:t xml:space="preserve">This thesis establishes </w:t>
      </w:r>
      <w:r>
        <w:rPr>
          <w:b w:val="0"/>
          <w:i/>
          <w:u w:val="none"/>
        </w:rPr>
        <w:t>feasibility</w:t>
      </w:r>
      <w:r>
        <w:rPr>
          <w:b w:val="0"/>
          <w:i w:val="0"/>
          <w:u w:val="none"/>
        </w:rPr>
        <w:t xml:space="preserve"> — empirical, methodological, and contractual. It does not deliver a deployed protocol, a functioning token, or a market. The distinction matters for three reasons. First, deployment requires institutional partnerships, regulatory engagement, and liquidity bootstrapping that are explicitly outside the scope of academic research. Second, the feasibility case is a necessary precondition for responsible deployment claims; the existing literature on energy-backed assets has not established this case rigorously. Third, explicitly scoping to feasibility protects the academic contribution: deployment success depends on factors outside the researcher's control, while the empirical and methodological contributions stand independently.</w:t>
      </w:r>
    </w:p>
    <w:p>
      <w:r>
        <w:rPr>
          <w:b w:val="0"/>
          <w:i w:val="0"/>
          <w:u w:val="none"/>
        </w:rPr>
        <w:t>The SolarPunk Protocol referenced in related project materials represents one possible implementation of the framework developed here. It is treated throughout this thesis as illustrative of the instrument class, not as the subject of evaluation.</w:t>
      </w:r>
    </w:p>
    <w:p>
      <w:pPr>
        <w:pStyle w:val="Heading2"/>
      </w:pPr>
      <w:r>
        <w:t>1.6 Thesis Structure</w:t>
      </w:r>
    </w:p>
    <w:p>
      <w:r>
        <w:rPr>
          <w:b w:val="0"/>
          <w:i w:val="0"/>
          <w:u w:val="none"/>
        </w:rPr>
        <w:t>Chapter 2 establishes the empirical foundation by testing the energy anchoring hypothesis in cryptocurrency markets through natural experiments. Chapter 3 develops the pricing framework for energy-linked derivatives using physics-based volatility. Chapter 4 specifies the contract layer translating priced payoffs into credible instruments. Chapter 5 synthesises the three pillars and answers the research questions directly.</w:t>
      </w:r>
    </w:p>
    <w:p>
      <w:r>
        <w:br w:type="page"/>
      </w:r>
    </w:p>
    <w:p>
      <w:pPr>
        <w:pStyle w:val="Heading1"/>
      </w:pPr>
      <w:r>
        <w:t>Chapter 2: Empirical Foundation — Energy Anchoring in Cryptocurrency Markets</w:t>
      </w:r>
    </w:p>
    <w:p>
      <w:pPr>
        <w:pStyle w:val="Heading2"/>
      </w:pPr>
      <w:r>
        <w:t>2.1 Introduction</w:t>
      </w:r>
    </w:p>
    <w:p>
      <w:r>
        <w:rPr>
          <w:b w:val="0"/>
          <w:i w:val="0"/>
          <w:u w:val="none"/>
        </w:rPr>
        <w:t>The hypothesis that production costs anchor asset prices is well-established in commodity markets. Mining costs support gold prices; extraction costs inform oil price floors. The analogous claim for Bitcoin — that electricity expenditure creates a production cost floor — has theoretical appeal but limited causal evidence. Bitcoin mining approximates competitive conditions: homogeneous output, transparent costs, and free entry and exit. If energy costs create value floors, the mechanism operates through rational arbitrage by miners who accumulate when prices fall below production cost.</w:t>
      </w:r>
    </w:p>
    <w:p>
      <w:r>
        <w:rPr>
          <w:b w:val="0"/>
          <w:i w:val="0"/>
          <w:u w:val="none"/>
        </w:rPr>
        <w:t>This chapter tests the hypothesis using the Cumulative Energy Investment Ratio (CEIR), a novel valuation metric defined as the ratio of market capitalisation to cumulative historical energy expenditure. Two exogenous shocks provide the primary causal identification: the baseline period (2018–2021) tests the relationship during concentrated mining, and China's June 2021 mining ban provides exogenous geographic dispersion with a clean structural break. Ethereum's September 2022 proof-of-stake transition is examined as corroborative evidence; as Section 2.6.3 establishes, the parallel trends assumption required for causal DiD identification is violated by pre-merge anticipation trading, and the ETH analysis carries descriptive rather than causal weight. The causal case rests on the China ban experiment.</w:t>
      </w:r>
    </w:p>
    <w:p>
      <w:pPr>
        <w:pStyle w:val="Heading2"/>
      </w:pPr>
      <w:r>
        <w:t>2.2 Literature Review and Theoretical Positioning</w:t>
      </w:r>
    </w:p>
    <w:p>
      <w:pPr>
        <w:pStyle w:val="Heading3"/>
      </w:pPr>
      <w:r>
        <w:t>2.2.0 Prior Literature</w:t>
      </w:r>
    </w:p>
    <w:p>
      <w:r>
        <w:rPr>
          <w:b/>
          <w:i w:val="0"/>
          <w:u w:val="none"/>
        </w:rPr>
        <w:t>Cryptocurrency asset pricing.</w:t>
      </w:r>
      <w:r>
        <w:rPr>
          <w:b w:val="0"/>
          <w:i w:val="0"/>
          <w:u w:val="none"/>
        </w:rPr>
        <w:t xml:space="preserve"> 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r>
        <w:rPr>
          <w:b w:val="0"/>
          <w:i w:val="0"/>
          <w:u w:val="none"/>
        </w:rPr>
        <w:t>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Kapengut and Mizrach (2023) study the Ethereum proof-of-stake transition using an event study approach, documenting a significant mean return shift around the merge date, providing a useful complement to the DiD analysis in Section 2.6.3.</w:t>
      </w:r>
    </w:p>
    <w:p>
      <w:r>
        <w:rPr>
          <w:b w:val="0"/>
          <w:i w:val="0"/>
          <w:u w:val="none"/>
        </w:rPr>
        <w:t xml:space="preserve">None of these models generate the specific prediction tested here: that </w:t>
      </w:r>
      <w:r>
        <w:rPr>
          <w:b w:val="0"/>
          <w:i/>
          <w:u w:val="none"/>
        </w:rPr>
        <w:t>cumulative</w:t>
      </w:r>
      <w:r>
        <w:rPr>
          <w:b w:val="0"/>
          <w:i w:val="0"/>
          <w:u w:val="none"/>
        </w:rPr>
        <w:t xml:space="preserve"> energy investment creates identifiable predictive power, conditional on geographic concentration. The closest antecedent is Hayes (2017), who documents a contemporaneous correlation between marginal mining costs and Bitcoin prices, but does not test predictive power, does not address cumulation, and lacks exogenous variation. This paper is the first to (i) construct a stock-based energy valuation ratio, (ii) use two natural experiments to identify regime conditions, and (iii) test predictive regression performance under varying concentration levels.</w:t>
      </w:r>
    </w:p>
    <w:p>
      <w:r>
        <w:rPr>
          <w:b/>
          <w:i w:val="0"/>
          <w:u w:val="none"/>
        </w:rPr>
        <w:t>Commodity cost floors.</w:t>
      </w:r>
      <w:r>
        <w:rPr>
          <w:b w:val="0"/>
          <w:i w:val="0"/>
          <w:u w:val="none"/>
        </w:rPr>
        <w:t xml:space="preserve"> Brennan and Schwartz (1985) establish the theoretical conditions under which extraction costs bound commodity prices from below, showing that operating leverage creates convexity in the cost-to-price relationship. Casassus and Collin-Dufresne (2005) extend this to stochastic convenience yields. These models assume homogeneous producers sharing similar cost levels — the geographic concentration condition — which this thesis identifies as the critical enabling condition for the energy anchoring mechanism in cryptocurrency markets.</w:t>
      </w:r>
    </w:p>
    <w:p>
      <w:r>
        <w:rPr>
          <w:b/>
          <w:i w:val="0"/>
          <w:u w:val="none"/>
        </w:rPr>
        <w:t>Energy derivatives and weather risk.</w:t>
      </w:r>
      <w:r>
        <w:rPr>
          <w:b w:val="0"/>
          <w:i w:val="0"/>
          <w:u w:val="none"/>
        </w:rPr>
        <w:t xml:space="preserve"> 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 This thesis inherits the GBM criticism directly and responds by scoping the model to T ≤ 1 year, where the high-frequency noise (σ = 189%) dominates seasonal and mean-reverting terms. 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Chapter 3 follows their approach of grounding the volatility parameter in physical data rather than price-implied calibration.</w:t>
      </w:r>
    </w:p>
    <w:p>
      <w:pPr>
        <w:pStyle w:val="Heading2"/>
      </w:pPr>
      <w:r>
        <w:t>2.3 Theoretical Background</w:t>
      </w:r>
    </w:p>
    <w:p>
      <w:pPr>
        <w:pStyle w:val="Heading3"/>
      </w:pPr>
      <w:r>
        <w:t>2.3.1 Production Cost Theory Applied to Cryptocurrencies</w:t>
      </w:r>
    </w:p>
    <w:p>
      <w:r>
        <w:rPr>
          <w:b w:val="0"/>
          <w:i w:val="0"/>
          <w:u w:val="none"/>
        </w:rPr>
        <w:t>Marshall's (1890) treatment of long-run competitive equilibrium holds that prices gravitate toward marginal production costs under competition. Applied to Bitcoin, this predicts that miners facing similar electricity costs will engage in cost-based arbitrage, buying when prices fall below production cost and selling when they exceed it. Hayes (2017) provides early evidence that marginal mining costs influence Bitcoin prices. Gandal et al. (2021) document mining's role in price formation. However, these studies examine contemporaneous marginal costs rather than cumulative investment and do not address causality.</w:t>
      </w:r>
    </w:p>
    <w:p>
      <w:r>
        <w:rPr>
          <w:b w:val="0"/>
          <w:i w:val="0"/>
          <w:u w:val="none"/>
        </w:rPr>
        <w:t>The cumulative framing in CEIR requires a distinct theoretical justification from marginal cost, because cumulative costs are sunk — standard economics holds that rational actors ignore sunk costs in forward-looking decisions. Claiming that "Bitcoin is undervalued because miners spent a lot in the past" is a sunk cost fallacy if taken literally. The CEIR floor mechanism therefore does not operate through miner arbitrage against historical spending.</w:t>
      </w:r>
    </w:p>
    <w:p>
      <w:r>
        <w:rPr>
          <w:b w:val="0"/>
          <w:i w:val="0"/>
          <w:u w:val="none"/>
        </w:rPr>
        <w:t xml:space="preserve">The correct mechanism is </w:t>
      </w:r>
      <w:r>
        <w:rPr>
          <w:b w:val="0"/>
          <w:i/>
          <w:u w:val="none"/>
        </w:rPr>
        <w:t>attack cost pricing</w:t>
      </w:r>
      <w:r>
        <w:rPr>
          <w:b w:val="0"/>
          <w:i w:val="0"/>
          <w:u w:val="none"/>
        </w:rPr>
        <w:t>. A 51% attack — the only economically motivated threat to Bitcoin's security guarantee — requires the attacker to outpace the cumulative computational effort of all historical mining. This is not a sunk cost from the attacker's perspective: they must pay approximately the cumulative energy equivalent to defeat the chain. The security value of Bitcoin as a settlement layer is therefore economically grounded in the cost of historical proof-of-work because that is the cost to destroy it, not because it was spent. Security-sensitive market participants — long-term holders, institutional allocators, and payment-focused users — rationally price this security property, creating a floor on Bitcoin's value relative to its attack cost.</w:t>
      </w:r>
    </w:p>
    <w:p>
      <w:r>
        <w:rPr>
          <w:b w:val="0"/>
          <w:i w:val="0"/>
          <w:u w:val="none"/>
        </w:rPr>
        <w:t>CEIR measures whether the market is efficiently pricing this security guarantee. When CEIR is low (market capitalisation low relative to cumulative energy investment), the asset is priced below its proportionate attack cost — offering a security guarantee at a discount. When CEIR is high, the market is pricing the guarantee at a premium. The predictive regression tests whether deviations from this efficiency benchmark predict future returns: if security-aware actors correct underpricing, periods of low CEIR should precede positive returns. Crucially, this mechanism is coordination-dependent: if many security-sensitive actors share a similar valuation model (as is plausible under geographic concentration), they create the coordinated demand that drives price correction. Under dispersion, the heterogeneous cost structures and diverse holder bases reduce coordination, weakening the signal.</w:t>
      </w:r>
    </w:p>
    <w:p>
      <w:r>
        <w:rPr>
          <w:b w:val="0"/>
          <w:i w:val="0"/>
          <w:u w:val="none"/>
        </w:rPr>
        <w:t xml:space="preserve">This is theoretically distinct from Hayes (2017): marginal cost is a </w:t>
      </w:r>
      <w:r>
        <w:rPr>
          <w:b w:val="0"/>
          <w:i/>
          <w:u w:val="none"/>
        </w:rPr>
        <w:t>flow</w:t>
      </w:r>
      <w:r>
        <w:rPr>
          <w:b w:val="0"/>
          <w:i w:val="0"/>
          <w:u w:val="none"/>
        </w:rPr>
        <w:t xml:space="preserve"> (today's mining cost), CEIR is a </w:t>
      </w:r>
      <w:r>
        <w:rPr>
          <w:b w:val="0"/>
          <w:i/>
          <w:u w:val="none"/>
        </w:rPr>
        <w:t>stock</w:t>
      </w:r>
      <w:r>
        <w:rPr>
          <w:b w:val="0"/>
          <w:i w:val="0"/>
          <w:u w:val="none"/>
        </w:rPr>
        <w:t xml:space="preserve"> (the cumulative security investment). A rational security-pricing actor consults the stock.</w:t>
      </w:r>
    </w:p>
    <w:p>
      <w:pPr>
        <w:pStyle w:val="Heading3"/>
      </w:pPr>
      <w:r>
        <w:t>2.3.2 Why Geographic Concentration Matters</w:t>
      </w:r>
    </w:p>
    <w:p>
      <w:r>
        <w:rPr>
          <w:b w:val="0"/>
          <w:i w:val="0"/>
          <w:u w:val="none"/>
        </w:rPr>
        <w:t>The cost-based arbitrage mechanism requires that miners share broadly similar cost structures. When 70% of global mining operates in one country with subsidised electricity at $0.03–0.05 per kWh, a meaningful proportion of the network faces the same floor. When mining disperses across fifteen countries with prices from $0.03 to $0.12 per kWh, no single cost level anchors expectations. The high-cost miners cannot profitably accumulate below the low-cost miners' threshold, and low-cost miners face no natural floor because market prices remain above their costs in most states. Geographic concentration is therefore not merely a background feature: it is the enabling condition for the arbitrage mechanism.</w:t>
      </w:r>
    </w:p>
    <w:p>
      <w:r>
        <w:rPr>
          <w:b w:val="0"/>
          <w:i w:val="0"/>
          <w:u w:val="none"/>
        </w:rPr>
        <w:t>This generates the primary testable prediction: CEIR should predict returns during concentrated mining (Regime 1), but this predictive power should decline or disappear after dispersion (Regime 2). Crucially, the prediction is not that dispersion makes Bitcoin more expensive to produce — it does — but that higher costs without coordination fail to restore the anchor. The mechanism is coordination, not cost level. If the data show that CEIR loses predictive power after the ban despite rising electricity costs, the coordination mechanism is confirmed as the operative channel, ruling out a simpler "higher costs = higher floors" interpretation.</w:t>
      </w:r>
    </w:p>
    <w:p>
      <w:r>
        <w:rPr>
          <w:b/>
          <w:i w:val="0"/>
          <w:u w:val="none"/>
        </w:rPr>
        <w:t>Formal mechanism.</w:t>
      </w:r>
      <w:r>
        <w:rPr>
          <w:b w:val="0"/>
          <w:i w:val="0"/>
          <w:u w:val="none"/>
        </w:rPr>
        <w:t xml:space="preserve"> The concentration argument can be stated precisely. Suppose N miners each face electricity cost c_i, drawn from a distribution with support </w:t>
      </w:r>
      <w:r>
        <w:rPr>
          <w:b w:val="0"/>
          <w:i w:val="0"/>
          <w:u w:val="none"/>
        </w:rPr>
        <w:t>[</w:t>
      </w:r>
      <w:r>
        <w:rPr>
          <w:b w:val="0"/>
          <w:i w:val="0"/>
          <w:u w:val="none"/>
        </w:rPr>
        <w:t>c_lo, c_hi]. A miner accumulates Bitcoin when market price P falls below the security-value implied by CEIR (i.e., when the asset is trading at a discount to its attack-cost floor). The fraction of miners who accumulate at price P is F(P) = Pr(c_i &gt; P), which governs the aggregate buying pressure that corrects CEIR undervaluation. Under geographic concentration — miners clustered in similar electricity cost environments — the distribution of c_i is tight: c_hi − c_lo is small, and F(P) approximates a step function at a shared threshold c̄. The buying response to any CEIR undervaluation is large and coordinated. Under dispersion — miners across fifteen countries with costs ranging from $0.03 to $0.12/kWh — the distribution is wide: F(P) is a smooth ramp, generating a diffuse response. The return-predictive power of CEIR is proportional to the steepness of F(P), which equals 1/(c_hi − c_lo). Since HHI is inversely related to the spread of the cost distribution, β_CEIR ∝ HHI follows as a direct implication. A linear fit to the two anchor points (β = −0.206 at HHI = 0.42; β = −0.080 at HHI = 0.18) yields β_CEIR ≈ 0.014 − 0.525×HHI, implying a 1SD return effect of 10.0 pp at HHI = 0.42 and 3.9 pp at HHI = 0.18 — precisely matching the empirical results in Tables 2.2 and 2.3.</w:t>
      </w:r>
    </w:p>
    <w:p>
      <w:r>
        <w:rPr>
          <w:b w:val="0"/>
          <w:i w:val="0"/>
          <w:u w:val="none"/>
        </w:rPr>
        <w:t xml:space="preserve">A stronger test treats geographic concentration as a </w:t>
      </w:r>
      <w:r>
        <w:rPr>
          <w:b w:val="0"/>
          <w:i/>
          <w:u w:val="none"/>
        </w:rPr>
        <w:t>continuous moderator</w:t>
      </w:r>
      <w:r>
        <w:rPr>
          <w:b w:val="0"/>
          <w:i w:val="0"/>
          <w:u w:val="none"/>
        </w:rPr>
        <w:t xml:space="preserve"> rather than a binary regime switch. If HHI is the operative variable, an interaction term log(CEIR) × HHI_std should yield a negative coefficient: the CEIR effect should be amplified in proportion to current concentration. Section 2.6.2 reports this interaction analysis using monthly HHI values from Cambridge and post-ban estimates. The identification strategy follows the natural experiment logic of Angrist and Pischke (2009): the China ban is the exogenous shock that shifts HHI, and the interaction tests whether the pre- to post-ban coefficient change is proportional to the HHI shift, consistent with concentration as the mechanism rather than some correlated post-ban development.</w:t>
      </w:r>
    </w:p>
    <w:p>
      <w:pPr>
        <w:pStyle w:val="Heading3"/>
      </w:pPr>
      <w:r>
        <w:t>2.3.3 The Ethereum Merge: Corroborative Evidence</w:t>
      </w:r>
    </w:p>
    <w:p>
      <w:r>
        <w:rPr>
          <w:b w:val="0"/>
          <w:i w:val="0"/>
          <w:u w:val="none"/>
        </w:rPr>
        <w:t>Ethereum's proof-of-stake transition provides a corroborative angle on the energy-anchoring mechanism: the complete removal of energy requirements. If energy creates value floors through its role as a production cost, then eliminating it entirely should produce a detectable change in volatility dynamics relative to a control asset that retains energy dependence. Bitcoin serves as that control, since it retained proof-of-work throughout the period.</w:t>
      </w:r>
    </w:p>
    <w:p>
      <w:r>
        <w:rPr>
          <w:b w:val="0"/>
          <w:i w:val="0"/>
          <w:u w:val="none"/>
        </w:rPr>
        <w:t>A difference-in-differences design is the natural specification. However, the validity of any DiD rests on the parallel trends assumption — that ETH and BTC volatilities would have evolved in parallel absent the merge. While both assets respond to common macro and crypto factors, the parallel trends assumption is tested rather than assumed, and Section 2.6.3 reports that it fails: the ETH−BTC volatility gap widened sharply in the two months before the merge due to anticipation trading, contaminating any naive symmetric pre-period. This violation is not a minor econometric inconvenience; it means the estimated post-merge gap conflates the energy-removal effect with the reversal of pre-merge speculation, and the two cannot be separated cleanly.</w:t>
      </w:r>
    </w:p>
    <w:p>
      <w:r>
        <w:rPr>
          <w:b w:val="0"/>
          <w:i w:val="0"/>
          <w:u w:val="none"/>
        </w:rPr>
        <w:t xml:space="preserve">The ETH analysis is therefore framed throughout as </w:t>
      </w:r>
      <w:r>
        <w:rPr>
          <w:b w:val="0"/>
          <w:i/>
          <w:u w:val="none"/>
        </w:rPr>
        <w:t>corroborative and descriptive</w:t>
      </w:r>
      <w:r>
        <w:rPr>
          <w:b w:val="0"/>
          <w:i w:val="0"/>
          <w:u w:val="none"/>
        </w:rPr>
        <w:t xml:space="preserve">: consistent with the energy-anchoring mechanism, but not independently causal. The China ban results (Sections 2.6.1–2.6.2) carry the thesis's primary causal identification weight. The merge evidence is presented because it is informative — particularly the observation that traders priced the </w:t>
      </w:r>
      <w:r>
        <w:rPr>
          <w:b w:val="0"/>
          <w:i/>
          <w:u w:val="none"/>
        </w:rPr>
        <w:t>anticipation</w:t>
      </w:r>
      <w:r>
        <w:rPr>
          <w:b w:val="0"/>
          <w:i w:val="0"/>
          <w:u w:val="none"/>
        </w:rPr>
        <w:t xml:space="preserve"> of energy removal as an uncertainty-increasing event — but it is not cited as independent identification of a causal effect.</w:t>
      </w:r>
    </w:p>
    <w:p>
      <w:pPr>
        <w:pStyle w:val="Heading2"/>
      </w:pPr>
      <w:r>
        <w:t>2.4 Data and Construction</w:t>
      </w:r>
    </w:p>
    <w:p>
      <w:pPr>
        <w:pStyle w:val="Heading3"/>
      </w:pPr>
      <w:r>
        <w:t>2.4.1 Data Sources</w:t>
      </w:r>
    </w:p>
    <w:p>
      <w:pPr>
        <w:pStyle w:val="ListBullet"/>
        <w:ind w:left="0" w:firstLine="0"/>
      </w:pPr>
      <w:r>
        <w:rPr>
          <w:b/>
          <w:i w:val="0"/>
          <w:u w:val="none"/>
        </w:rPr>
        <w:t>Cryptocurrency prices and market capitalisation:</w:t>
      </w:r>
      <w:r>
        <w:rPr>
          <w:b w:val="0"/>
          <w:i w:val="0"/>
          <w:u w:val="none"/>
        </w:rPr>
        <w:t xml:space="preserve"> CoinGecko API, daily observations from January 2018 to April 2025 (Bitcoin: 2,620 observations; Ethereum: 2,340 observations).</w:t>
      </w:r>
    </w:p>
    <w:p>
      <w:pPr>
        <w:pStyle w:val="ListBullet"/>
        <w:ind w:left="0" w:firstLine="0"/>
      </w:pPr>
      <w:r>
        <w:rPr>
          <w:b/>
          <w:i w:val="0"/>
          <w:u w:val="none"/>
        </w:rPr>
        <w:t>Hash rate and energy consumption:</w:t>
      </w:r>
      <w:r>
        <w:rPr>
          <w:b w:val="0"/>
          <w:i w:val="0"/>
          <w:u w:val="none"/>
        </w:rPr>
        <w:t xml:space="preserve"> Cambridge Centre for Alternative Finance (CCAF) Bitcoin Electricity Consumption Index, monthly.</w:t>
      </w:r>
    </w:p>
    <w:p>
      <w:pPr>
        <w:pStyle w:val="ListBullet"/>
        <w:ind w:left="0" w:firstLine="0"/>
      </w:pPr>
      <w:r>
        <w:rPr>
          <w:b/>
          <w:i w:val="0"/>
          <w:u w:val="none"/>
        </w:rPr>
        <w:t>Mining geography:</w:t>
      </w:r>
      <w:r>
        <w:rPr>
          <w:b w:val="0"/>
          <w:i w:val="0"/>
          <w:u w:val="none"/>
        </w:rPr>
        <w:t xml:space="preserve"> CCAF country-level mining distribution, monthly shares.</w:t>
      </w:r>
    </w:p>
    <w:p>
      <w:pPr>
        <w:pStyle w:val="ListBullet"/>
        <w:ind w:left="0" w:firstLine="0"/>
      </w:pPr>
      <w:r>
        <w:rPr>
          <w:b/>
          <w:i w:val="0"/>
          <w:u w:val="none"/>
        </w:rPr>
        <w:t>Electricity prices:</w:t>
      </w:r>
      <w:r>
        <w:rPr>
          <w:b w:val="0"/>
          <w:i w:val="0"/>
          <w:u w:val="none"/>
        </w:rPr>
        <w:t xml:space="preserve"> IEA country-level commercial electricity prices, weighted by mining share.</w:t>
      </w:r>
    </w:p>
    <w:p>
      <w:pPr>
        <w:pStyle w:val="ListBullet"/>
        <w:ind w:left="0" w:firstLine="0"/>
      </w:pPr>
      <w:r>
        <w:rPr>
          <w:b/>
          <w:i w:val="0"/>
          <w:u w:val="none"/>
        </w:rPr>
        <w:t>Control variables:</w:t>
      </w:r>
      <w:r>
        <w:rPr>
          <w:b w:val="0"/>
          <w:i w:val="0"/>
          <w:u w:val="none"/>
        </w:rPr>
        <w:t xml:space="preserve"> Google Trends Bitcoin search volume (proxy for retail attention); CBOE VIX (global risk sentiment); Baker-Bloom-Davis Economic Policy Uncertainty index.</w:t>
      </w:r>
    </w:p>
    <w:p>
      <w:pPr>
        <w:pStyle w:val="ListBullet"/>
        <w:ind w:left="0" w:firstLine="0"/>
      </w:pPr>
      <w:r>
        <w:rPr>
          <w:b/>
          <w:i w:val="0"/>
          <w:u w:val="none"/>
        </w:rPr>
        <w:t>Ethereum energy data:</w:t>
      </w:r>
      <w:r>
        <w:rPr>
          <w:b w:val="0"/>
          <w:i w:val="0"/>
          <w:u w:val="none"/>
        </w:rPr>
        <w:t xml:space="preserve"> Cambridge Ethereum Energy Consumption Index, pre- and post-merge.</w:t>
      </w:r>
    </w:p>
    <w:p>
      <w:pPr>
        <w:pStyle w:val="Heading3"/>
      </w:pPr>
      <w:r>
        <w:t>2.4.2 CEIR Construction</w:t>
      </w:r>
    </w:p>
    <w:p>
      <w:r>
        <w:rPr>
          <w:b w:val="0"/>
          <w:i w:val="0"/>
          <w:u w:val="none"/>
        </w:rPr>
        <w:t>The Cumulative Energy Investment Ratio is defined as:</w:t>
      </w:r>
    </w:p>
    <w:p>
      <w:pPr>
        <w:pStyle w:val="CodeBlock"/>
      </w:pPr>
      <w:r>
        <w:rPr>
          <w:rFonts w:ascii="Courier New" w:hAnsi="Courier New"/>
          <w:sz w:val="21"/>
        </w:rPr>
        <w:t>CEIR_t = Market_Cap_t / Σ(s=0 to t) [Energy_consumed_s × Electricity_price_s]</w:t>
      </w:r>
    </w:p>
    <w:p>
      <w:r>
        <w:rPr>
          <w:b w:val="0"/>
          <w:i w:val="0"/>
          <w:u w:val="none"/>
        </w:rPr>
        <w:t>Where electricity price is a hash-rate-weighted average across mining countries in each period. The cumulative denominator compounds historical energy expenditure, reflecting the total value of work embedded in the chain at each point in time. Several construction choices merit justification.</w:t>
      </w:r>
    </w:p>
    <w:p>
      <w:r>
        <w:rPr>
          <w:b w:val="0"/>
          <w:i w:val="0"/>
          <w:u w:val="none"/>
        </w:rPr>
        <w:t>First, the use of cumulative rather than flow costs addresses the compounding nature of blockchain security. An alternative using monthly mining costs would conflate the valuation signal with temporary changes in hash rate or electricity prices.</w:t>
      </w:r>
    </w:p>
    <w:p>
      <w:r>
        <w:rPr>
          <w:b w:val="0"/>
          <w:i w:val="0"/>
          <w:u w:val="none"/>
        </w:rPr>
        <w:t>Second, country-weighted electricity prices reflect the actual cost structure of the network. Prior to China's ban, the China share averaged 62.8%, with concentrated exposure to subsidised industrial electricity at approximately $0.03–0.05 per kWh. This produced a network average of approximately $0.059 per kWh. Following the ban, dispersion to North America, Kazakhstan, and others pushed the weighted average to approximately $0.065 per kWh while simultaneously increasing variance.</w:t>
      </w:r>
    </w:p>
    <w:p>
      <w:r>
        <w:rPr>
          <w:b w:val="0"/>
          <w:i w:val="0"/>
          <w:u w:val="none"/>
        </w:rPr>
        <w:t>Third, CEIR is logged for regression analysis to address right skewness and to enable coefficient interpretation as semi-elasticities. In the pre-ban period, one standard deviation of log(CEIR) equals 0.483 log-points — corresponding to a raw CEIR ratio move from approximately 20 to 32, or equivalently, the market moving from pricing Bitcoin at 20× to 32× its cumulative energy investment. The regression coefficient therefore captures the return predictability of moving across this range of market-relative-to-energy valuation.</w:t>
      </w:r>
    </w:p>
    <w:p>
      <w:pPr>
        <w:pStyle w:val="Heading3"/>
      </w:pPr>
      <w:r>
        <w:t>2.4.3 Summary Statistics</w:t>
      </w:r>
    </w:p>
    <w:p>
      <w:pPr>
        <w:ind w:firstLine="0"/>
        <w:jc w:val="center"/>
      </w:pPr>
      <w:r>
        <w:rPr>
          <w:b w:val="0"/>
          <w:i w:val="0"/>
          <w:u w:val="none"/>
        </w:rPr>
        <w:t xml:space="preserve">Table 2.1 reports summary statistics by regime. The pre-ban period shows CEIR with mean 30.0 (SD 17.2), reflecting a range of market valuations relative to cumulative energy investment during the early growth years. The post-ban period shows remarkably similar CEIR levels (mean 29.2, SD 12.9), with lower variance — confirming that the structural break is not driven by a level shift in CEIR but by a change in how the market </w:t>
      </w:r>
      <w:r>
        <w:rPr>
          <w:b w:val="0"/>
          <w:i/>
          <w:u w:val="none"/>
        </w:rPr>
        <w:t>responds</w:t>
      </w:r>
      <w:r>
        <w:rPr>
          <w:b w:val="0"/>
          <w:i w:val="0"/>
          <w:u w:val="none"/>
        </w:rPr>
        <w:t xml:space="preserve"> to CEIR signals. This is the key identification point: same signal, different response. A simple narrative that "the market re-priced after China banned mining" would predict a CEIR level shift; the coordination mechanism predicts a response-function change. The data support the latter.</w:t>
      </w:r>
    </w:p>
    <w:p>
      <w:pPr>
        <w:ind w:firstLine="0"/>
        <w:jc w:val="center"/>
      </w:pPr>
      <w:r>
        <w:rPr>
          <w:b/>
          <w:i w:val="0"/>
          <w:u w:val="none"/>
        </w:rPr>
        <w:t>Table 2.1: Summary Statistics by Regime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b/>
                <w:i w:val="0"/>
                <w:u w:val="none"/>
              </w:rPr>
              <w:t>Variable</w:t>
            </w:r>
          </w:p>
        </w:tc>
        <w:tc>
          <w:tcPr>
            <w:tcW w:type="dxa" w:w="1872"/>
          </w:tcPr>
          <w:p>
            <w:pPr>
              <w:jc w:val="center"/>
            </w:pPr>
            <w:r/>
            <w:r>
              <w:rPr>
                <w:b/>
                <w:i w:val="0"/>
                <w:u w:val="none"/>
              </w:rPr>
              <w:t>Pre-Ban Mean</w:t>
            </w:r>
          </w:p>
        </w:tc>
        <w:tc>
          <w:tcPr>
            <w:tcW w:type="dxa" w:w="1872"/>
          </w:tcPr>
          <w:p>
            <w:pPr>
              <w:jc w:val="center"/>
            </w:pPr>
            <w:r/>
            <w:r>
              <w:rPr>
                <w:b/>
                <w:i w:val="0"/>
                <w:u w:val="none"/>
              </w:rPr>
              <w:t>Pre-Ban Std</w:t>
            </w:r>
          </w:p>
        </w:tc>
        <w:tc>
          <w:tcPr>
            <w:tcW w:type="dxa" w:w="1872"/>
          </w:tcPr>
          <w:p>
            <w:pPr>
              <w:jc w:val="center"/>
            </w:pPr>
            <w:r/>
            <w:r>
              <w:rPr>
                <w:b/>
                <w:i w:val="0"/>
                <w:u w:val="none"/>
              </w:rPr>
              <w:t>Post-Ban Mean</w:t>
            </w:r>
          </w:p>
        </w:tc>
        <w:tc>
          <w:tcPr>
            <w:tcW w:type="dxa" w:w="1872"/>
          </w:tcPr>
          <w:p>
            <w:pPr>
              <w:jc w:val="center"/>
            </w:pPr>
            <w:r/>
            <w:r>
              <w:rPr>
                <w:b/>
                <w:i w:val="0"/>
                <w:u w:val="none"/>
              </w:rPr>
              <w:t>Post-Ban Std</w:t>
            </w:r>
          </w:p>
        </w:tc>
      </w:tr>
      <w:tr>
        <w:tc>
          <w:tcPr>
            <w:tcW w:type="dxa" w:w="1872"/>
          </w:tcPr>
          <w:p>
            <w:r/>
            <w:r>
              <w:rPr>
                <w:b w:val="0"/>
                <w:i w:val="0"/>
                <w:u w:val="none"/>
              </w:rPr>
              <w:t>Bitcoin Price ($)</w:t>
            </w:r>
          </w:p>
        </w:tc>
        <w:tc>
          <w:tcPr>
            <w:tcW w:type="dxa" w:w="1872"/>
          </w:tcPr>
          <w:p>
            <w:r/>
            <w:r>
              <w:rPr>
                <w:b w:val="0"/>
                <w:i w:val="0"/>
                <w:u w:val="none"/>
              </w:rPr>
              <w:t>14,820</w:t>
            </w:r>
          </w:p>
        </w:tc>
        <w:tc>
          <w:tcPr>
            <w:tcW w:type="dxa" w:w="1872"/>
          </w:tcPr>
          <w:p>
            <w:r/>
            <w:r>
              <w:rPr>
                <w:b w:val="0"/>
                <w:i w:val="0"/>
                <w:u w:val="none"/>
              </w:rPr>
              <w:t>18,340</w:t>
            </w:r>
          </w:p>
        </w:tc>
        <w:tc>
          <w:tcPr>
            <w:tcW w:type="dxa" w:w="1872"/>
          </w:tcPr>
          <w:p>
            <w:r/>
            <w:r>
              <w:rPr>
                <w:b w:val="0"/>
                <w:i w:val="0"/>
                <w:u w:val="none"/>
              </w:rPr>
              <w:t>32,640</w:t>
            </w:r>
          </w:p>
        </w:tc>
        <w:tc>
          <w:tcPr>
            <w:tcW w:type="dxa" w:w="1872"/>
          </w:tcPr>
          <w:p>
            <w:r/>
            <w:r>
              <w:rPr>
                <w:b w:val="0"/>
                <w:i w:val="0"/>
                <w:u w:val="none"/>
              </w:rPr>
              <w:t>21,150</w:t>
            </w:r>
          </w:p>
        </w:tc>
      </w:tr>
      <w:tr>
        <w:tc>
          <w:tcPr>
            <w:tcW w:type="dxa" w:w="1872"/>
          </w:tcPr>
          <w:p>
            <w:r/>
            <w:r>
              <w:rPr>
                <w:b w:val="0"/>
                <w:i w:val="0"/>
                <w:u w:val="none"/>
              </w:rPr>
              <w:t>CEIR (raw ratio)</w:t>
            </w:r>
          </w:p>
        </w:tc>
        <w:tc>
          <w:tcPr>
            <w:tcW w:type="dxa" w:w="1872"/>
          </w:tcPr>
          <w:p>
            <w:r/>
            <w:r>
              <w:rPr>
                <w:b w:val="0"/>
                <w:i w:val="0"/>
                <w:u w:val="none"/>
              </w:rPr>
              <w:t>30.0</w:t>
            </w:r>
          </w:p>
        </w:tc>
        <w:tc>
          <w:tcPr>
            <w:tcW w:type="dxa" w:w="1872"/>
          </w:tcPr>
          <w:p>
            <w:r/>
            <w:r>
              <w:rPr>
                <w:b w:val="0"/>
                <w:i w:val="0"/>
                <w:u w:val="none"/>
              </w:rPr>
              <w:t>17.2</w:t>
            </w:r>
          </w:p>
        </w:tc>
        <w:tc>
          <w:tcPr>
            <w:tcW w:type="dxa" w:w="1872"/>
          </w:tcPr>
          <w:p>
            <w:r/>
            <w:r>
              <w:rPr>
                <w:b w:val="0"/>
                <w:i w:val="0"/>
                <w:u w:val="none"/>
              </w:rPr>
              <w:t>29.2</w:t>
            </w:r>
          </w:p>
        </w:tc>
        <w:tc>
          <w:tcPr>
            <w:tcW w:type="dxa" w:w="1872"/>
          </w:tcPr>
          <w:p>
            <w:r/>
            <w:r>
              <w:rPr>
                <w:b w:val="0"/>
                <w:i w:val="0"/>
                <w:u w:val="none"/>
              </w:rPr>
              <w:t>12.9</w:t>
            </w:r>
          </w:p>
        </w:tc>
      </w:tr>
      <w:tr>
        <w:tc>
          <w:tcPr>
            <w:tcW w:type="dxa" w:w="1872"/>
          </w:tcPr>
          <w:p>
            <w:r/>
            <w:r>
              <w:rPr>
                <w:b w:val="0"/>
                <w:i w:val="0"/>
                <w:u w:val="none"/>
              </w:rPr>
              <w:t>log(CEIR)</w:t>
            </w:r>
          </w:p>
        </w:tc>
        <w:tc>
          <w:tcPr>
            <w:tcW w:type="dxa" w:w="1872"/>
          </w:tcPr>
          <w:p>
            <w:r/>
            <w:r>
              <w:rPr>
                <w:b w:val="0"/>
                <w:i w:val="0"/>
                <w:u w:val="none"/>
              </w:rPr>
              <w:t>3.273</w:t>
            </w:r>
          </w:p>
        </w:tc>
        <w:tc>
          <w:tcPr>
            <w:tcW w:type="dxa" w:w="1872"/>
          </w:tcPr>
          <w:p>
            <w:r/>
            <w:r>
              <w:rPr>
                <w:b w:val="0"/>
                <w:i w:val="0"/>
                <w:u w:val="none"/>
              </w:rPr>
              <w:t>0.483</w:t>
            </w:r>
          </w:p>
        </w:tc>
        <w:tc>
          <w:tcPr>
            <w:tcW w:type="dxa" w:w="1872"/>
          </w:tcPr>
          <w:p>
            <w:r/>
            <w:r>
              <w:rPr>
                <w:b w:val="0"/>
                <w:i w:val="0"/>
                <w:u w:val="none"/>
              </w:rPr>
              <w:t>3.281</w:t>
            </w:r>
          </w:p>
        </w:tc>
        <w:tc>
          <w:tcPr>
            <w:tcW w:type="dxa" w:w="1872"/>
          </w:tcPr>
          <w:p>
            <w:r/>
            <w:r>
              <w:rPr>
                <w:b w:val="0"/>
                <w:i w:val="0"/>
                <w:u w:val="none"/>
              </w:rPr>
              <w:t>0.436</w:t>
            </w:r>
          </w:p>
        </w:tc>
      </w:tr>
      <w:tr>
        <w:tc>
          <w:tcPr>
            <w:tcW w:type="dxa" w:w="1872"/>
          </w:tcPr>
          <w:p>
            <w:r/>
            <w:r>
              <w:rPr>
                <w:b w:val="0"/>
                <w:i w:val="0"/>
                <w:u w:val="none"/>
              </w:rPr>
              <w:t>30-day Forward Return (%)</w:t>
            </w:r>
          </w:p>
        </w:tc>
        <w:tc>
          <w:tcPr>
            <w:tcW w:type="dxa" w:w="1872"/>
          </w:tcPr>
          <w:p>
            <w:r/>
            <w:r>
              <w:rPr>
                <w:b w:val="0"/>
                <w:i w:val="0"/>
                <w:u w:val="none"/>
              </w:rPr>
              <w:t>—</w:t>
            </w:r>
          </w:p>
        </w:tc>
        <w:tc>
          <w:tcPr>
            <w:tcW w:type="dxa" w:w="1872"/>
          </w:tcPr>
          <w:p>
            <w:r/>
            <w:r>
              <w:rPr>
                <w:b w:val="0"/>
                <w:i w:val="0"/>
                <w:u w:val="none"/>
              </w:rPr>
              <w:t>80.7 (ann.)</w:t>
            </w:r>
          </w:p>
        </w:tc>
        <w:tc>
          <w:tcPr>
            <w:tcW w:type="dxa" w:w="1872"/>
          </w:tcPr>
          <w:p>
            <w:r/>
            <w:r>
              <w:rPr>
                <w:b w:val="0"/>
                <w:i w:val="0"/>
                <w:u w:val="none"/>
              </w:rPr>
              <w:t>—</w:t>
            </w:r>
          </w:p>
        </w:tc>
        <w:tc>
          <w:tcPr>
            <w:tcW w:type="dxa" w:w="1872"/>
          </w:tcPr>
          <w:p>
            <w:r/>
            <w:r>
              <w:rPr>
                <w:b w:val="0"/>
                <w:i w:val="0"/>
                <w:u w:val="none"/>
              </w:rPr>
              <w:t>58.2 (ann.)</w:t>
            </w:r>
          </w:p>
        </w:tc>
      </w:tr>
      <w:tr>
        <w:tc>
          <w:tcPr>
            <w:tcW w:type="dxa" w:w="1872"/>
          </w:tcPr>
          <w:p>
            <w:r/>
            <w:r>
              <w:rPr>
                <w:b w:val="0"/>
                <w:i w:val="0"/>
                <w:u w:val="none"/>
              </w:rPr>
              <w:t>Mining HHI (geographic)</w:t>
            </w:r>
          </w:p>
        </w:tc>
        <w:tc>
          <w:tcPr>
            <w:tcW w:type="dxa" w:w="1872"/>
          </w:tcPr>
          <w:p>
            <w:r/>
            <w:r>
              <w:rPr>
                <w:b w:val="0"/>
                <w:i w:val="0"/>
                <w:u w:val="none"/>
              </w:rPr>
              <w:t>0.42</w:t>
            </w:r>
          </w:p>
        </w:tc>
        <w:tc>
          <w:tcPr>
            <w:tcW w:type="dxa" w:w="1872"/>
          </w:tcPr>
          <w:p>
            <w:r/>
            <w:r>
              <w:rPr>
                <w:b w:val="0"/>
                <w:i w:val="0"/>
                <w:u w:val="none"/>
              </w:rPr>
              <w:t>0.09</w:t>
            </w:r>
          </w:p>
        </w:tc>
        <w:tc>
          <w:tcPr>
            <w:tcW w:type="dxa" w:w="1872"/>
          </w:tcPr>
          <w:p>
            <w:r/>
            <w:r>
              <w:rPr>
                <w:b w:val="0"/>
                <w:i w:val="0"/>
                <w:u w:val="none"/>
              </w:rPr>
              <w:t>0.18</w:t>
            </w:r>
          </w:p>
        </w:tc>
        <w:tc>
          <w:tcPr>
            <w:tcW w:type="dxa" w:w="1872"/>
          </w:tcPr>
          <w:p>
            <w:r/>
            <w:r>
              <w:rPr>
                <w:b w:val="0"/>
                <w:i w:val="0"/>
                <w:u w:val="none"/>
              </w:rPr>
              <w:t>0.06</w:t>
            </w:r>
          </w:p>
        </w:tc>
      </w:tr>
      <w:tr>
        <w:tc>
          <w:tcPr>
            <w:tcW w:type="dxa" w:w="1872"/>
          </w:tcPr>
          <w:p>
            <w:r/>
            <w:r>
              <w:rPr>
                <w:b w:val="0"/>
                <w:i w:val="0"/>
                <w:u w:val="none"/>
              </w:rPr>
              <w:t>Weighted Electricity Cost ($/kWh)</w:t>
            </w:r>
          </w:p>
        </w:tc>
        <w:tc>
          <w:tcPr>
            <w:tcW w:type="dxa" w:w="1872"/>
          </w:tcPr>
          <w:p>
            <w:r/>
            <w:r>
              <w:rPr>
                <w:b w:val="0"/>
                <w:i w:val="0"/>
                <w:u w:val="none"/>
              </w:rPr>
              <w:t>0.059</w:t>
            </w:r>
          </w:p>
        </w:tc>
        <w:tc>
          <w:tcPr>
            <w:tcW w:type="dxa" w:w="1872"/>
          </w:tcPr>
          <w:p>
            <w:r/>
            <w:r>
              <w:rPr>
                <w:b w:val="0"/>
                <w:i w:val="0"/>
                <w:u w:val="none"/>
              </w:rPr>
              <w:t>0.008</w:t>
            </w:r>
          </w:p>
        </w:tc>
        <w:tc>
          <w:tcPr>
            <w:tcW w:type="dxa" w:w="1872"/>
          </w:tcPr>
          <w:p>
            <w:r/>
            <w:r>
              <w:rPr>
                <w:b w:val="0"/>
                <w:i w:val="0"/>
                <w:u w:val="none"/>
              </w:rPr>
              <w:t>0.065</w:t>
            </w:r>
          </w:p>
        </w:tc>
        <w:tc>
          <w:tcPr>
            <w:tcW w:type="dxa" w:w="1872"/>
          </w:tcPr>
          <w:p>
            <w:r/>
            <w:r>
              <w:rPr>
                <w:b w:val="0"/>
                <w:i w:val="0"/>
                <w:u w:val="none"/>
              </w:rPr>
              <w:t>0.014</w:t>
            </w:r>
          </w:p>
        </w:tc>
      </w:tr>
      <w:tr>
        <w:tc>
          <w:tcPr>
            <w:tcW w:type="dxa" w:w="1872"/>
          </w:tcPr>
          <w:p>
            <w:r/>
            <w:r>
              <w:rPr>
                <w:b w:val="0"/>
                <w:i w:val="0"/>
                <w:u w:val="none"/>
              </w:rPr>
              <w:t>Observations (weekly)</w:t>
            </w:r>
          </w:p>
        </w:tc>
        <w:tc>
          <w:tcPr>
            <w:tcW w:type="dxa" w:w="1872"/>
          </w:tcPr>
          <w:p>
            <w:r/>
            <w:r>
              <w:rPr>
                <w:b w:val="0"/>
                <w:i w:val="0"/>
                <w:u w:val="none"/>
              </w:rPr>
              <w:t>129</w:t>
            </w:r>
          </w:p>
        </w:tc>
        <w:tc>
          <w:tcPr>
            <w:tcW w:type="dxa" w:w="1872"/>
          </w:tcPr>
          <w:p>
            <w:r/>
            <w:r>
              <w:rPr>
                <w:b w:val="0"/>
                <w:i w:val="0"/>
                <w:u w:val="none"/>
              </w:rPr>
              <w:t>—</w:t>
            </w:r>
          </w:p>
        </w:tc>
        <w:tc>
          <w:tcPr>
            <w:tcW w:type="dxa" w:w="1872"/>
          </w:tcPr>
          <w:p>
            <w:r/>
            <w:r>
              <w:rPr>
                <w:b w:val="0"/>
                <w:i w:val="0"/>
                <w:u w:val="none"/>
              </w:rPr>
              <w:t>202</w:t>
            </w:r>
          </w:p>
        </w:tc>
        <w:tc>
          <w:tcPr>
            <w:tcW w:type="dxa" w:w="1872"/>
          </w:tcPr>
          <w:p>
            <w:r/>
            <w:r>
              <w:rPr>
                <w:b w:val="0"/>
                <w:i w:val="0"/>
                <w:u w:val="none"/>
              </w:rPr>
              <w:t>—</w:t>
            </w:r>
          </w:p>
        </w:tc>
      </w:tr>
    </w:tbl>
    <w:p/>
    <w:p>
      <w:pPr>
        <w:pStyle w:val="Heading2"/>
      </w:pPr>
      <w:r>
        <w:t>2.5 Econometric Strategy</w:t>
      </w:r>
    </w:p>
    <w:p>
      <w:pPr>
        <w:pStyle w:val="Heading3"/>
      </w:pPr>
      <w:r>
        <w:t>2.5.1 Primary Specification</w:t>
      </w:r>
    </w:p>
    <w:p>
      <w:r>
        <w:rPr>
          <w:b w:val="0"/>
          <w:i w:val="0"/>
          <w:u w:val="none"/>
        </w:rPr>
        <w:t>The primary regression tests whether log(CEIR) predicts forward returns:</w:t>
      </w:r>
    </w:p>
    <w:p>
      <w:pPr>
        <w:pStyle w:val="CodeBlock"/>
      </w:pPr>
      <w:r>
        <w:rPr>
          <w:rFonts w:ascii="Courier New" w:hAnsi="Courier New"/>
          <w:sz w:val="21"/>
        </w:rPr>
        <w:t>Return_{t+30d} = α + β·log(CEIR_t) + γ·Controls_t + ε_t</w:t>
      </w:r>
    </w:p>
    <w:p>
      <w:r>
        <w:rPr>
          <w:b w:val="0"/>
          <w:i w:val="0"/>
          <w:u w:val="none"/>
        </w:rPr>
        <w:t xml:space="preserve">Where controls include the Fear and Greed Index (retail sentiment proxy). To avoid the well-known overlap bias in predictive regressions using overlapping return windows with daily data, the primary specification uses </w:t>
      </w:r>
      <w:r>
        <w:rPr>
          <w:b/>
          <w:i w:val="0"/>
          <w:u w:val="none"/>
        </w:rPr>
        <w:t>weekly non-overlapping observations</w:t>
      </w:r>
      <w:r>
        <w:rPr>
          <w:b w:val="0"/>
          <w:i w:val="0"/>
          <w:u w:val="none"/>
        </w:rPr>
        <w:t xml:space="preserve"> sampled every seven days. Standard errors are heteroskedasticity-robust (HC1).</w:t>
      </w:r>
    </w:p>
    <w:p>
      <w:r>
        <w:rPr>
          <w:b/>
          <w:i w:val="0"/>
          <w:u w:val="none"/>
        </w:rPr>
        <w:t>Predictor stationarity and bias correction.</w:t>
      </w:r>
      <w:r>
        <w:rPr>
          <w:b w:val="0"/>
          <w:i w:val="0"/>
          <w:u w:val="none"/>
        </w:rPr>
        <w:t xml:space="preserve"> Before estimating, the time-series properties of log(CEIR) must be addressed. Augmented Dickey-Fuller testing yields ADF = −2.045 (p = 0.267), failing to reject a unit root. KPSS testing fails to reject stationarity (stat = 0.194, p = 0.100) but at the boundary of conventional significance, consistent with near-integration. AR(1) estimation yields ρ̂ = 0.980. log(CEIR) is highly persistent — near-integrated — creating Stambaugh (1999) finite-sample bias: when the predictor's innovation is correlated with return shocks, OLS coefficient estimates are biased and conventional t-statistics overstate significance.</w:t>
      </w:r>
    </w:p>
    <w:p>
      <w:r>
        <w:rPr>
          <w:b w:val="0"/>
          <w:i w:val="0"/>
          <w:u w:val="none"/>
        </w:rPr>
        <w:t>The primary specification applies the Amihud and Hurvich (2004) augmented regression to obtain bias-corrected inference. The AR(1) residual of log(CEIR) — denoted û_t — is included as an additional regressor:</w:t>
      </w:r>
    </w:p>
    <w:p>
      <w:pPr>
        <w:pStyle w:val="CodeBlock"/>
      </w:pPr>
      <w:r>
        <w:rPr>
          <w:rFonts w:ascii="Courier New" w:hAnsi="Courier New"/>
          <w:sz w:val="21"/>
        </w:rPr>
        <w:t>Return_{t+30d} = α + β·log(CEIR_t) + γ·Controls_t + δ·û_t + ε_t</w:t>
      </w:r>
    </w:p>
    <w:p>
      <w:r>
        <w:rPr>
          <w:b w:val="0"/>
          <w:i w:val="0"/>
          <w:u w:val="none"/>
        </w:rPr>
        <w:t>Including û_t absorbs the component of return shocks correlated with predictor innovations, eliminating the Stambaugh bias without discarding the level of log(CEIR) as the economically relevant predictor. The coefficient β on log(CEIR) is now bias-corrected and supports standard HC1 inference. Block bootstrap validation (2000 replications, block size = 8 weeks) confirms that the augmented regression removes the bias that inflated the unadjusted OLS t-statistics.</w:t>
      </w:r>
    </w:p>
    <w:p>
      <w:r>
        <w:rPr>
          <w:b w:val="0"/>
          <w:i w:val="0"/>
          <w:u w:val="none"/>
        </w:rPr>
        <w:t>This yields N = 124 pre-ban observations and N = 200 post-ban observations in the weekly sample. The AR(1) specification for log(CEIR) is confirmed by AIC/BIC model selection: AR(1) achieves AIC = −619.3, strictly dominating AR(2) (−617.7), AR(3) (−616.9), and ARMA(1,1) (−617.7) on the full weekly sample. The ρ̂ coefficient is stable across subsamples: 0.979 (pre-ban), 0.982 (post-ban), and 0.979 (full), confirming the near-integration characterisation and ruling out a structurally different persistence regime post-ban.</w:t>
      </w:r>
    </w:p>
    <w:p>
      <w:pPr>
        <w:pStyle w:val="Heading3"/>
      </w:pPr>
      <w:r>
        <w:t>2.5.2 Structural Break Analysis</w:t>
      </w:r>
    </w:p>
    <w:p>
      <w:r>
        <w:rPr>
          <w:b w:val="0"/>
          <w:i w:val="0"/>
          <w:u w:val="none"/>
        </w:rPr>
        <w:t>A Chow test assesses whether the CEIR-return relationship changes at the China ban date (June 21, 2021). Pre- and post-ban regressions are estimated separately, and the null of equal coefficients is tested via the Chow F-statistic. Additional robustness uses placebo break dates at six-month intervals to confirm the June 2021 break is not spurious.</w:t>
      </w:r>
    </w:p>
    <w:p>
      <w:pPr>
        <w:pStyle w:val="Heading3"/>
      </w:pPr>
      <w:r>
        <w:t>2.5.3 Difference-in-Differences</w:t>
      </w:r>
    </w:p>
    <w:p>
      <w:r>
        <w:rPr>
          <w:b w:val="0"/>
          <w:i w:val="0"/>
          <w:u w:val="none"/>
        </w:rPr>
        <w:t>For the Ethereum merge experiment, a difference-in-differences design uses Ethereum as the treatment and Bitcoin as the control:</w:t>
      </w:r>
    </w:p>
    <w:p>
      <w:pPr>
        <w:pStyle w:val="CodeBlock"/>
      </w:pPr>
      <w:r>
        <w:rPr>
          <w:rFonts w:ascii="Courier New" w:hAnsi="Courier New"/>
          <w:sz w:val="21"/>
        </w:rPr>
        <w:t>Volatility_{i,t} = α + β₁·Post_t + β₂·ETH_i + β₃·(Post_t × ETH_i) + ε_{i,t}</w:t>
      </w:r>
    </w:p>
    <w:p>
      <w:r>
        <w:rPr>
          <w:b w:val="0"/>
          <w:i w:val="0"/>
          <w:u w:val="none"/>
        </w:rPr>
        <w:t>Where Post_t is an indicator for the post-merge period and ETH_i identifies Ethereum observations. The coefficient β₃ captures the causal effect of energy removal on volatility, net of common market movements.</w:t>
      </w:r>
    </w:p>
    <w:p>
      <w:pPr>
        <w:pStyle w:val="Heading2"/>
      </w:pPr>
      <w:r>
        <w:t>2.6 Main Results</w:t>
      </w:r>
    </w:p>
    <w:p>
      <w:pPr>
        <w:pStyle w:val="Heading3"/>
      </w:pPr>
      <w:r>
        <w:t>2.6.1 Regime 1: Energy Anchoring Under Concentration (2018–2021)</w:t>
      </w:r>
    </w:p>
    <w:p>
      <w:pPr>
        <w:ind w:firstLine="0"/>
        <w:jc w:val="center"/>
      </w:pPr>
      <w:r>
        <w:rPr>
          <w:b w:val="0"/>
          <w:i w:val="0"/>
          <w:u w:val="none"/>
        </w:rPr>
        <w:t>Table 2.2 reports bias-corrected predictive regression results for the pre-ban period using the Amihud-Hurvich augmented specification. The preferred specification (column 2, with Fear and Greed control and AR(1) residual augmentation) yields β = −0.206, SE = 0.042, p &lt; 0.001. The effect is economically substantial: a one standard deviation decrease in log(CEIR) (SD = 0.485, pre-ban) corresponds to 10.0 percentage points higher 30-day forward returns, consistent with security-aware market participants correcting underpricing when CEIR deviates below its trend.</w:t>
      </w:r>
    </w:p>
    <w:p>
      <w:pPr>
        <w:ind w:firstLine="0"/>
        <w:jc w:val="center"/>
      </w:pPr>
      <w:r>
        <w:rPr>
          <w:b/>
          <w:i w:val="0"/>
          <w:u w:val="none"/>
        </w:rPr>
        <w:t>Table 2.2: Bias-Corrected CEIR Predicts Returns During Concentrated Mining (Pre-Ban, Weekly)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Variable</w:t>
            </w:r>
          </w:p>
        </w:tc>
        <w:tc>
          <w:tcPr>
            <w:tcW w:type="dxa" w:w="2340"/>
          </w:tcPr>
          <w:p>
            <w:pPr>
              <w:jc w:val="center"/>
            </w:pPr>
            <w:r/>
            <w:r>
              <w:rPr>
                <w:b/>
                <w:i w:val="0"/>
                <w:u w:val="none"/>
              </w:rPr>
              <w:t>(1)</w:t>
            </w:r>
          </w:p>
        </w:tc>
        <w:tc>
          <w:tcPr>
            <w:tcW w:type="dxa" w:w="2340"/>
          </w:tcPr>
          <w:p>
            <w:pPr>
              <w:jc w:val="center"/>
            </w:pPr>
            <w:r/>
            <w:r>
              <w:rPr>
                <w:b/>
                <w:i w:val="0"/>
                <w:u w:val="none"/>
              </w:rPr>
              <w:t>(2)</w:t>
            </w:r>
          </w:p>
        </w:tc>
        <w:tc>
          <w:tcPr>
            <w:tcW w:type="dxa" w:w="2340"/>
          </w:tcPr>
          <w:p>
            <w:pPr>
              <w:jc w:val="center"/>
            </w:pPr>
            <w:r/>
            <w:r>
              <w:rPr>
                <w:b/>
                <w:i w:val="0"/>
                <w:u w:val="none"/>
              </w:rPr>
              <w:t>(3)</w:t>
            </w:r>
          </w:p>
        </w:tc>
      </w:tr>
      <w:tr>
        <w:tc>
          <w:tcPr>
            <w:tcW w:type="dxa" w:w="2340"/>
          </w:tcPr>
          <w:p>
            <w:r/>
            <w:r>
              <w:rPr>
                <w:b w:val="0"/>
                <w:i w:val="0"/>
                <w:u w:val="none"/>
              </w:rPr>
              <w:t>log(CEIR)</w:t>
            </w:r>
          </w:p>
        </w:tc>
        <w:tc>
          <w:tcPr>
            <w:tcW w:type="dxa" w:w="2340"/>
          </w:tcPr>
          <w:p>
            <w:r/>
            <w:r>
              <w:rPr>
                <w:b w:val="0"/>
                <w:i w:val="0"/>
                <w:u w:val="none"/>
              </w:rPr>
              <w:t>−0.165***</w:t>
            </w:r>
          </w:p>
        </w:tc>
        <w:tc>
          <w:tcPr>
            <w:tcW w:type="dxa" w:w="2340"/>
          </w:tcPr>
          <w:p>
            <w:r/>
            <w:r>
              <w:rPr>
                <w:b w:val="0"/>
                <w:i w:val="0"/>
                <w:u w:val="none"/>
              </w:rPr>
              <w:t>−0.206***</w:t>
            </w:r>
          </w:p>
        </w:tc>
        <w:tc>
          <w:tcPr>
            <w:tcW w:type="dxa" w:w="2340"/>
          </w:tcPr>
          <w:p>
            <w:r/>
            <w:r>
              <w:rPr>
                <w:b w:val="0"/>
                <w:i w:val="0"/>
                <w:u w:val="none"/>
              </w:rPr>
              <w:t>−0.199***</w:t>
            </w:r>
          </w:p>
        </w:tc>
      </w:tr>
      <w:tr>
        <w:tc>
          <w:tcPr>
            <w:tcW w:type="dxa" w:w="2340"/>
          </w:tcPr>
          <w:p>
            <w:r/>
            <w:r>
              <w:rPr>
                <w:b w:val="0"/>
                <w:i w:val="0"/>
                <w:u w:val="none"/>
              </w:rPr>
            </w:r>
          </w:p>
        </w:tc>
        <w:tc>
          <w:tcPr>
            <w:tcW w:type="dxa" w:w="2340"/>
          </w:tcPr>
          <w:p>
            <w:r/>
            <w:r>
              <w:rPr>
                <w:b w:val="0"/>
                <w:i w:val="0"/>
                <w:u w:val="none"/>
              </w:rPr>
              <w:t>(0.044)</w:t>
            </w:r>
          </w:p>
        </w:tc>
        <w:tc>
          <w:tcPr>
            <w:tcW w:type="dxa" w:w="2340"/>
          </w:tcPr>
          <w:p>
            <w:r/>
            <w:r>
              <w:rPr>
                <w:b w:val="0"/>
                <w:i w:val="0"/>
                <w:u w:val="none"/>
              </w:rPr>
              <w:t>(0.042)</w:t>
            </w:r>
          </w:p>
        </w:tc>
        <w:tc>
          <w:tcPr>
            <w:tcW w:type="dxa" w:w="2340"/>
          </w:tcPr>
          <w:p>
            <w:r/>
            <w:r>
              <w:rPr>
                <w:b w:val="0"/>
                <w:i w:val="0"/>
                <w:u w:val="none"/>
              </w:rPr>
              <w:t>(0.043)</w:t>
            </w:r>
          </w:p>
        </w:tc>
      </w:tr>
      <w:tr>
        <w:tc>
          <w:tcPr>
            <w:tcW w:type="dxa" w:w="2340"/>
          </w:tcPr>
          <w:p>
            <w:r/>
            <w:r>
              <w:rPr>
                <w:b w:val="0"/>
                <w:i w:val="0"/>
                <w:u w:val="none"/>
              </w:rPr>
              <w:t>[</w:t>
            </w:r>
            <w:r>
              <w:rPr>
                <w:b w:val="0"/>
                <w:i w:val="0"/>
                <w:u w:val="none"/>
              </w:rPr>
              <w:t>log(CEIR)]²</w:t>
            </w:r>
          </w:p>
        </w:tc>
        <w:tc>
          <w:tcPr>
            <w:tcW w:type="dxa" w:w="2340"/>
          </w:tcPr>
          <w:p>
            <w:r/>
            <w:r>
              <w:rPr>
                <w:b w:val="0"/>
                <w:i w:val="0"/>
                <w:u w:val="none"/>
              </w:rPr>
            </w:r>
          </w:p>
        </w:tc>
        <w:tc>
          <w:tcPr>
            <w:tcW w:type="dxa" w:w="2340"/>
          </w:tcPr>
          <w:p>
            <w:r/>
            <w:r>
              <w:rPr>
                <w:b w:val="0"/>
                <w:i w:val="0"/>
                <w:u w:val="none"/>
              </w:rPr>
            </w:r>
          </w:p>
        </w:tc>
        <w:tc>
          <w:tcPr>
            <w:tcW w:type="dxa" w:w="2340"/>
          </w:tcPr>
          <w:p>
            <w:r/>
            <w:r>
              <w:rPr>
                <w:b w:val="0"/>
                <w:i w:val="0"/>
                <w:u w:val="none"/>
              </w:rPr>
              <w:t>0.029</w:t>
            </w:r>
          </w:p>
        </w:tc>
      </w:tr>
      <w:tr>
        <w:tc>
          <w:tcPr>
            <w:tcW w:type="dxa" w:w="2340"/>
          </w:tcPr>
          <w:p>
            <w:r/>
            <w:r>
              <w:rPr>
                <w:b w:val="0"/>
                <w:i w:val="0"/>
                <w:u w:val="none"/>
              </w:rPr>
            </w:r>
          </w:p>
        </w:tc>
        <w:tc>
          <w:tcPr>
            <w:tcW w:type="dxa" w:w="2340"/>
          </w:tcPr>
          <w:p>
            <w:r/>
            <w:r>
              <w:rPr>
                <w:b w:val="0"/>
                <w:i w:val="0"/>
                <w:u w:val="none"/>
              </w:rPr>
            </w:r>
          </w:p>
        </w:tc>
        <w:tc>
          <w:tcPr>
            <w:tcW w:type="dxa" w:w="2340"/>
          </w:tcPr>
          <w:p>
            <w:r/>
            <w:r>
              <w:rPr>
                <w:b w:val="0"/>
                <w:i w:val="0"/>
                <w:u w:val="none"/>
              </w:rPr>
            </w:r>
          </w:p>
        </w:tc>
        <w:tc>
          <w:tcPr>
            <w:tcW w:type="dxa" w:w="2340"/>
          </w:tcPr>
          <w:p>
            <w:r/>
            <w:r>
              <w:rPr>
                <w:b w:val="0"/>
                <w:i w:val="0"/>
                <w:u w:val="none"/>
              </w:rPr>
              <w:t>(0.031)</w:t>
            </w:r>
          </w:p>
        </w:tc>
      </w:tr>
      <w:tr>
        <w:tc>
          <w:tcPr>
            <w:tcW w:type="dxa" w:w="2340"/>
          </w:tcPr>
          <w:p>
            <w:r/>
            <w:r>
              <w:rPr>
                <w:b w:val="0"/>
                <w:i w:val="0"/>
                <w:u w:val="none"/>
              </w:rPr>
              <w:t>Fear &amp; Greed</w:t>
            </w:r>
          </w:p>
        </w:tc>
        <w:tc>
          <w:tcPr>
            <w:tcW w:type="dxa" w:w="2340"/>
          </w:tcPr>
          <w:p>
            <w:r/>
            <w:r>
              <w:rPr>
                <w:b w:val="0"/>
                <w:i w:val="0"/>
                <w:u w:val="none"/>
              </w:rPr>
            </w:r>
          </w:p>
        </w:tc>
        <w:tc>
          <w:tcPr>
            <w:tcW w:type="dxa" w:w="2340"/>
          </w:tcPr>
          <w:p>
            <w:r/>
            <w:r>
              <w:rPr>
                <w:b w:val="0"/>
                <w:i w:val="0"/>
                <w:u w:val="none"/>
              </w:rPr>
              <w:t>0.003***</w:t>
            </w:r>
          </w:p>
        </w:tc>
        <w:tc>
          <w:tcPr>
            <w:tcW w:type="dxa" w:w="2340"/>
          </w:tcPr>
          <w:p>
            <w:r/>
            <w:r>
              <w:rPr>
                <w:b w:val="0"/>
                <w:i w:val="0"/>
                <w:u w:val="none"/>
              </w:rPr>
              <w:t>0.003***</w:t>
            </w:r>
          </w:p>
        </w:tc>
      </w:tr>
      <w:tr>
        <w:tc>
          <w:tcPr>
            <w:tcW w:type="dxa" w:w="2340"/>
          </w:tcPr>
          <w:p>
            <w:r/>
            <w:r>
              <w:rPr>
                <w:b w:val="0"/>
                <w:i w:val="0"/>
                <w:u w:val="none"/>
              </w:rPr>
            </w:r>
          </w:p>
        </w:tc>
        <w:tc>
          <w:tcPr>
            <w:tcW w:type="dxa" w:w="2340"/>
          </w:tcPr>
          <w:p>
            <w:r/>
            <w:r>
              <w:rPr>
                <w:b w:val="0"/>
                <w:i w:val="0"/>
                <w:u w:val="none"/>
              </w:rPr>
            </w:r>
          </w:p>
        </w:tc>
        <w:tc>
          <w:tcPr>
            <w:tcW w:type="dxa" w:w="2340"/>
          </w:tcPr>
          <w:p>
            <w:r/>
            <w:r>
              <w:rPr>
                <w:b w:val="0"/>
                <w:i w:val="0"/>
                <w:u w:val="none"/>
              </w:rPr>
              <w:t>(0.001)</w:t>
            </w:r>
          </w:p>
        </w:tc>
        <w:tc>
          <w:tcPr>
            <w:tcW w:type="dxa" w:w="2340"/>
          </w:tcPr>
          <w:p>
            <w:r/>
            <w:r>
              <w:rPr>
                <w:b w:val="0"/>
                <w:i w:val="0"/>
                <w:u w:val="none"/>
              </w:rPr>
              <w:t>(0.001)</w:t>
            </w:r>
          </w:p>
        </w:tc>
      </w:tr>
      <w:tr>
        <w:tc>
          <w:tcPr>
            <w:tcW w:type="dxa" w:w="2340"/>
          </w:tcPr>
          <w:p>
            <w:r/>
            <w:r>
              <w:rPr>
                <w:b w:val="0"/>
                <w:i w:val="0"/>
                <w:u w:val="none"/>
              </w:rPr>
              <w:t>û (AR residual)</w:t>
            </w:r>
          </w:p>
        </w:tc>
        <w:tc>
          <w:tcPr>
            <w:tcW w:type="dxa" w:w="2340"/>
          </w:tcPr>
          <w:p>
            <w:r/>
            <w:r>
              <w:rPr>
                <w:b w:val="0"/>
                <w:i w:val="0"/>
                <w:u w:val="none"/>
              </w:rPr>
              <w:t>−0.162</w:t>
            </w:r>
          </w:p>
        </w:tc>
        <w:tc>
          <w:tcPr>
            <w:tcW w:type="dxa" w:w="2340"/>
          </w:tcPr>
          <w:p>
            <w:r/>
            <w:r>
              <w:rPr>
                <w:b w:val="0"/>
                <w:i w:val="0"/>
                <w:u w:val="none"/>
              </w:rPr>
              <w:t>−0.206**</w:t>
            </w:r>
          </w:p>
        </w:tc>
        <w:tc>
          <w:tcPr>
            <w:tcW w:type="dxa" w:w="2340"/>
          </w:tcPr>
          <w:p>
            <w:r/>
            <w:r>
              <w:rPr>
                <w:b w:val="0"/>
                <w:i w:val="0"/>
                <w:u w:val="none"/>
              </w:rPr>
              <w:t>−0.197**</w:t>
            </w:r>
          </w:p>
        </w:tc>
      </w:tr>
      <w:tr>
        <w:tc>
          <w:tcPr>
            <w:tcW w:type="dxa" w:w="2340"/>
          </w:tcPr>
          <w:p>
            <w:r/>
            <w:r>
              <w:rPr>
                <w:b w:val="0"/>
                <w:i w:val="0"/>
                <w:u w:val="none"/>
              </w:rPr>
            </w:r>
          </w:p>
        </w:tc>
        <w:tc>
          <w:tcPr>
            <w:tcW w:type="dxa" w:w="2340"/>
          </w:tcPr>
          <w:p>
            <w:r/>
            <w:r>
              <w:rPr>
                <w:b w:val="0"/>
                <w:i w:val="0"/>
                <w:u w:val="none"/>
              </w:rPr>
              <w:t>(0.168)</w:t>
            </w:r>
          </w:p>
        </w:tc>
        <w:tc>
          <w:tcPr>
            <w:tcW w:type="dxa" w:w="2340"/>
          </w:tcPr>
          <w:p>
            <w:r/>
            <w:r>
              <w:rPr>
                <w:b w:val="0"/>
                <w:i w:val="0"/>
                <w:u w:val="none"/>
              </w:rPr>
              <w:t>(0.102)</w:t>
            </w:r>
          </w:p>
        </w:tc>
        <w:tc>
          <w:tcPr>
            <w:tcW w:type="dxa" w:w="2340"/>
          </w:tcPr>
          <w:p>
            <w:r/>
            <w:r>
              <w:rPr>
                <w:b w:val="0"/>
                <w:i w:val="0"/>
                <w:u w:val="none"/>
              </w:rPr>
              <w:t>(0.105)</w:t>
            </w:r>
          </w:p>
        </w:tc>
      </w:tr>
      <w:tr>
        <w:tc>
          <w:tcPr>
            <w:tcW w:type="dxa" w:w="2340"/>
          </w:tcPr>
          <w:p>
            <w:r/>
            <w:r>
              <w:rPr>
                <w:b w:val="0"/>
                <w:i w:val="0"/>
                <w:u w:val="none"/>
              </w:rPr>
              <w:t>Observations</w:t>
            </w:r>
          </w:p>
        </w:tc>
        <w:tc>
          <w:tcPr>
            <w:tcW w:type="dxa" w:w="2340"/>
          </w:tcPr>
          <w:p>
            <w:r/>
            <w:r>
              <w:rPr>
                <w:b w:val="0"/>
                <w:i w:val="0"/>
                <w:u w:val="none"/>
              </w:rPr>
              <w:t>124</w:t>
            </w:r>
          </w:p>
        </w:tc>
        <w:tc>
          <w:tcPr>
            <w:tcW w:type="dxa" w:w="2340"/>
          </w:tcPr>
          <w:p>
            <w:r/>
            <w:r>
              <w:rPr>
                <w:b w:val="0"/>
                <w:i w:val="0"/>
                <w:u w:val="none"/>
              </w:rPr>
              <w:t>124</w:t>
            </w:r>
          </w:p>
        </w:tc>
        <w:tc>
          <w:tcPr>
            <w:tcW w:type="dxa" w:w="2340"/>
          </w:tcPr>
          <w:p>
            <w:r/>
            <w:r>
              <w:rPr>
                <w:b w:val="0"/>
                <w:i w:val="0"/>
                <w:u w:val="none"/>
              </w:rPr>
              <w:t>124</w:t>
            </w:r>
          </w:p>
        </w:tc>
      </w:tr>
      <w:tr>
        <w:tc>
          <w:tcPr>
            <w:tcW w:type="dxa" w:w="2340"/>
          </w:tcPr>
          <w:p>
            <w:r/>
            <w:r>
              <w:rPr>
                <w:b w:val="0"/>
                <w:i w:val="0"/>
                <w:u w:val="none"/>
              </w:rPr>
              <w:t>R²</w:t>
            </w:r>
          </w:p>
        </w:tc>
        <w:tc>
          <w:tcPr>
            <w:tcW w:type="dxa" w:w="2340"/>
          </w:tcPr>
          <w:p>
            <w:r/>
            <w:r>
              <w:rPr>
                <w:b w:val="0"/>
                <w:i w:val="0"/>
                <w:u w:val="none"/>
              </w:rPr>
              <w:t>0.051</w:t>
            </w:r>
          </w:p>
        </w:tc>
        <w:tc>
          <w:tcPr>
            <w:tcW w:type="dxa" w:w="2340"/>
          </w:tcPr>
          <w:p>
            <w:r/>
            <w:r>
              <w:rPr>
                <w:b w:val="0"/>
                <w:i w:val="0"/>
                <w:u w:val="none"/>
              </w:rPr>
              <w:t>0.167</w:t>
            </w:r>
          </w:p>
        </w:tc>
        <w:tc>
          <w:tcPr>
            <w:tcW w:type="dxa" w:w="2340"/>
          </w:tcPr>
          <w:p>
            <w:r/>
            <w:r>
              <w:rPr>
                <w:b w:val="0"/>
                <w:i w:val="0"/>
                <w:u w:val="none"/>
              </w:rPr>
              <w:t>0.170</w:t>
            </w:r>
          </w:p>
        </w:tc>
      </w:tr>
    </w:tbl>
    <w:p/>
    <w:p>
      <w:r>
        <w:rPr>
          <w:b w:val="0"/>
          <w:i/>
          <w:u w:val="none"/>
        </w:rPr>
        <w:t>Heteroskedasticity-robust (HC1) standard errors in parentheses. Amihud-Hurvich (2004) augmented regression: û is the lagged AR(1) residual of log(CEIR), absorbing predictor-return shock correlation to remove Stambaugh (1999) bias. Weekly non-overlapping sample. \</w:t>
      </w:r>
      <w:r>
        <w:rPr>
          <w:b w:val="0"/>
          <w:i w:val="0"/>
          <w:u w:val="none"/>
        </w:rPr>
        <w:t>**</w:t>
      </w:r>
      <w:r>
        <w:rPr>
          <w:b w:val="0"/>
          <w:i w:val="0"/>
          <w:u w:val="none"/>
        </w:rPr>
        <w:t xml:space="preserve"> p&lt;0.01, </w:t>
      </w:r>
      <w:r>
        <w:rPr>
          <w:b w:val="0"/>
          <w:i w:val="0"/>
          <w:u w:val="none"/>
        </w:rPr>
        <w:t>**</w:t>
      </w:r>
      <w:r>
        <w:rPr>
          <w:b w:val="0"/>
          <w:i w:val="0"/>
          <w:u w:val="none"/>
        </w:rPr>
        <w:t xml:space="preserve"> p&lt;0.05, </w:t>
      </w:r>
      <w:r>
        <w:rPr>
          <w:b w:val="0"/>
          <w:i w:val="0"/>
          <w:u w:val="none"/>
        </w:rPr>
        <w:t>*</w:t>
      </w:r>
      <w:r>
        <w:rPr>
          <w:b w:val="0"/>
          <w:i w:val="0"/>
          <w:u w:val="none"/>
        </w:rPr>
        <w:t xml:space="preserve"> p&lt;0.1*</w:t>
      </w:r>
    </w:p>
    <w:p>
      <w:r>
        <w:rPr>
          <w:b w:val="0"/>
          <w:i w:val="0"/>
          <w:u w:val="none"/>
        </w:rPr>
        <w:t xml:space="preserve">The squared log(CEIR) term (column 3) is insignificant (p = 0.735), ruling out a non-linear relationship. The unadjusted OLS levels regression yields a similar coefficient (β = −0.195, p &lt; 0.001) but overstates the t-statistic due to Stambaugh bias; the augmented specification is the credible estimate. Block bootstrap (2000 replications, block size = 8 weeks) yields a 95% confidence interval of </w:t>
      </w:r>
      <w:r>
        <w:rPr>
          <w:b w:val="0"/>
          <w:i w:val="0"/>
          <w:u w:val="none"/>
        </w:rPr>
        <w:t>[</w:t>
      </w:r>
      <w:r>
        <w:rPr>
          <w:b w:val="0"/>
          <w:i w:val="0"/>
          <w:u w:val="none"/>
        </w:rPr>
        <w:t>−0.371, −0.002], with 97.4% of bootstrap draws producing β &lt; 0.</w:t>
      </w:r>
    </w:p>
    <w:p>
      <w:r>
        <w:rPr>
          <w:b/>
          <w:i w:val="0"/>
          <w:u w:val="none"/>
        </w:rPr>
        <w:t>Horse-race against crypto factors.</w:t>
      </w:r>
      <w:r>
        <w:rPr>
          <w:b w:val="0"/>
          <w:i w:val="0"/>
          <w:u w:val="none"/>
        </w:rPr>
        <w:t xml:space="preserve"> Liu and Tsyvinski (2021) and Liu, Tsyvinski, and Wu (2022) document that crypto momentum and investor attention predict returns cross-sectionally. Table 2.8 tests whether CEIR has </w:t>
      </w:r>
      <w:r>
        <w:rPr>
          <w:b w:val="0"/>
          <w:i/>
          <w:u w:val="none"/>
        </w:rPr>
        <w:t>incremental</w:t>
      </w:r>
      <w:r>
        <w:rPr>
          <w:b w:val="0"/>
          <w:i w:val="0"/>
          <w:u w:val="none"/>
        </w:rPr>
        <w:t xml:space="preserve"> predictive power over these factors in the pre-ban weekly sample. Adding 12-week momentum and Google Trends attention simultaneously, the CEIR coefficient does not shrink — it expands to β = −0.308 (M5: CEIR + momentum, p &lt; 0.001) and β = −0.500 in the full horse-race (M7: CEIR + momentum + attention + Fear&amp;Greed, p &lt; 0.001, R² = 0.324). CEIR is not a proxy for momentum or attention; it carries information orthogonal to both established factors.</w:t>
      </w:r>
    </w:p>
    <w:p>
      <w:pPr>
        <w:ind w:firstLine="0"/>
        <w:jc w:val="center"/>
      </w:pPr>
      <w:r>
        <w:rPr>
          <w:b/>
          <w:i w:val="0"/>
          <w:u w:val="none"/>
        </w:rPr>
        <w:t>Table 2.8: Horse-Race — CEIR vs Crypto Factors (Pre-Ban Weekly, N = 117)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Model</w:t>
            </w:r>
          </w:p>
        </w:tc>
        <w:tc>
          <w:tcPr>
            <w:tcW w:type="dxa" w:w="2340"/>
          </w:tcPr>
          <w:p>
            <w:pPr>
              <w:jc w:val="center"/>
            </w:pPr>
            <w:r/>
            <w:r>
              <w:rPr>
                <w:b/>
                <w:i w:val="0"/>
                <w:u w:val="none"/>
              </w:rPr>
              <w:t>β_CEIR</w:t>
            </w:r>
          </w:p>
        </w:tc>
        <w:tc>
          <w:tcPr>
            <w:tcW w:type="dxa" w:w="2340"/>
          </w:tcPr>
          <w:p>
            <w:pPr>
              <w:jc w:val="center"/>
            </w:pPr>
            <w:r/>
            <w:r>
              <w:rPr>
                <w:b/>
                <w:i w:val="0"/>
                <w:u w:val="none"/>
              </w:rPr>
              <w:t>p</w:t>
            </w:r>
          </w:p>
        </w:tc>
        <w:tc>
          <w:tcPr>
            <w:tcW w:type="dxa" w:w="2340"/>
          </w:tcPr>
          <w:p>
            <w:pPr>
              <w:jc w:val="center"/>
            </w:pPr>
            <w:r/>
            <w:r>
              <w:rPr>
                <w:b/>
                <w:i w:val="0"/>
                <w:u w:val="none"/>
              </w:rPr>
              <w:t>R²</w:t>
            </w:r>
          </w:p>
        </w:tc>
      </w:tr>
      <w:tr>
        <w:tc>
          <w:tcPr>
            <w:tcW w:type="dxa" w:w="2340"/>
          </w:tcPr>
          <w:p>
            <w:r/>
            <w:r>
              <w:rPr>
                <w:b w:val="0"/>
                <w:i w:val="0"/>
                <w:u w:val="none"/>
              </w:rPr>
              <w:t>M1: CEIR alone</w:t>
            </w:r>
          </w:p>
        </w:tc>
        <w:tc>
          <w:tcPr>
            <w:tcW w:type="dxa" w:w="2340"/>
          </w:tcPr>
          <w:p>
            <w:r/>
            <w:r>
              <w:rPr>
                <w:b w:val="0"/>
                <w:i w:val="0"/>
                <w:u w:val="none"/>
              </w:rPr>
              <w:t>−0.117</w:t>
            </w:r>
          </w:p>
        </w:tc>
        <w:tc>
          <w:tcPr>
            <w:tcW w:type="dxa" w:w="2340"/>
          </w:tcPr>
          <w:p>
            <w:r/>
            <w:r>
              <w:rPr>
                <w:b w:val="0"/>
                <w:i w:val="0"/>
                <w:u w:val="none"/>
              </w:rPr>
              <w:t>0.003</w:t>
            </w:r>
          </w:p>
        </w:tc>
        <w:tc>
          <w:tcPr>
            <w:tcW w:type="dxa" w:w="2340"/>
          </w:tcPr>
          <w:p>
            <w:r/>
            <w:r>
              <w:rPr>
                <w:b w:val="0"/>
                <w:i w:val="0"/>
                <w:u w:val="none"/>
              </w:rPr>
              <w:t>0.050</w:t>
            </w:r>
          </w:p>
        </w:tc>
      </w:tr>
      <w:tr>
        <w:tc>
          <w:tcPr>
            <w:tcW w:type="dxa" w:w="2340"/>
          </w:tcPr>
          <w:p>
            <w:r/>
            <w:r>
              <w:rPr>
                <w:b w:val="0"/>
                <w:i w:val="0"/>
                <w:u w:val="none"/>
              </w:rPr>
              <w:t>M4: Momentum + Attention (no CEIR)</w:t>
            </w:r>
          </w:p>
        </w:tc>
        <w:tc>
          <w:tcPr>
            <w:tcW w:type="dxa" w:w="2340"/>
          </w:tcPr>
          <w:p>
            <w:r/>
            <w:r>
              <w:rPr>
                <w:b w:val="0"/>
                <w:i w:val="0"/>
                <w:u w:val="none"/>
              </w:rPr>
              <w:t>—</w:t>
            </w:r>
          </w:p>
        </w:tc>
        <w:tc>
          <w:tcPr>
            <w:tcW w:type="dxa" w:w="2340"/>
          </w:tcPr>
          <w:p>
            <w:r/>
            <w:r>
              <w:rPr>
                <w:b w:val="0"/>
                <w:i w:val="0"/>
                <w:u w:val="none"/>
              </w:rPr>
              <w:t>—</w:t>
            </w:r>
          </w:p>
        </w:tc>
        <w:tc>
          <w:tcPr>
            <w:tcW w:type="dxa" w:w="2340"/>
          </w:tcPr>
          <w:p>
            <w:r/>
            <w:r>
              <w:rPr>
                <w:b w:val="0"/>
                <w:i w:val="0"/>
                <w:u w:val="none"/>
              </w:rPr>
              <w:t>0.064</w:t>
            </w:r>
          </w:p>
        </w:tc>
      </w:tr>
      <w:tr>
        <w:tc>
          <w:tcPr>
            <w:tcW w:type="dxa" w:w="2340"/>
          </w:tcPr>
          <w:p>
            <w:r/>
            <w:r>
              <w:rPr>
                <w:b w:val="0"/>
                <w:i w:val="0"/>
                <w:u w:val="none"/>
              </w:rPr>
              <w:t>M5: CEIR + Momentum</w:t>
            </w:r>
          </w:p>
        </w:tc>
        <w:tc>
          <w:tcPr>
            <w:tcW w:type="dxa" w:w="2340"/>
          </w:tcPr>
          <w:p>
            <w:r/>
            <w:r>
              <w:rPr>
                <w:b w:val="0"/>
                <w:i w:val="0"/>
                <w:u w:val="none"/>
              </w:rPr>
              <w:t>−0.308***</w:t>
            </w:r>
          </w:p>
        </w:tc>
        <w:tc>
          <w:tcPr>
            <w:tcW w:type="dxa" w:w="2340"/>
          </w:tcPr>
          <w:p>
            <w:r/>
            <w:r>
              <w:rPr>
                <w:b w:val="0"/>
                <w:i w:val="0"/>
                <w:u w:val="none"/>
              </w:rPr>
              <w:t>&lt;0.001</w:t>
            </w:r>
          </w:p>
        </w:tc>
        <w:tc>
          <w:tcPr>
            <w:tcW w:type="dxa" w:w="2340"/>
          </w:tcPr>
          <w:p>
            <w:r/>
            <w:r>
              <w:rPr>
                <w:b w:val="0"/>
                <w:i w:val="0"/>
                <w:u w:val="none"/>
              </w:rPr>
              <w:t>0.248</w:t>
            </w:r>
          </w:p>
        </w:tc>
      </w:tr>
      <w:tr>
        <w:tc>
          <w:tcPr>
            <w:tcW w:type="dxa" w:w="2340"/>
          </w:tcPr>
          <w:p>
            <w:r/>
            <w:r>
              <w:rPr>
                <w:b w:val="0"/>
                <w:i w:val="0"/>
                <w:u w:val="none"/>
              </w:rPr>
              <w:t>M6: CEIR + Attention</w:t>
            </w:r>
          </w:p>
        </w:tc>
        <w:tc>
          <w:tcPr>
            <w:tcW w:type="dxa" w:w="2340"/>
          </w:tcPr>
          <w:p>
            <w:r/>
            <w:r>
              <w:rPr>
                <w:b w:val="0"/>
                <w:i w:val="0"/>
                <w:u w:val="none"/>
              </w:rPr>
              <w:t>−0.305***</w:t>
            </w:r>
          </w:p>
        </w:tc>
        <w:tc>
          <w:tcPr>
            <w:tcW w:type="dxa" w:w="2340"/>
          </w:tcPr>
          <w:p>
            <w:r/>
            <w:r>
              <w:rPr>
                <w:b w:val="0"/>
                <w:i w:val="0"/>
                <w:u w:val="none"/>
              </w:rPr>
              <w:t>&lt;0.001</w:t>
            </w:r>
          </w:p>
        </w:tc>
        <w:tc>
          <w:tcPr>
            <w:tcW w:type="dxa" w:w="2340"/>
          </w:tcPr>
          <w:p>
            <w:r/>
            <w:r>
              <w:rPr>
                <w:b w:val="0"/>
                <w:i w:val="0"/>
                <w:u w:val="none"/>
              </w:rPr>
              <w:t>0.119</w:t>
            </w:r>
          </w:p>
        </w:tc>
      </w:tr>
      <w:tr>
        <w:tc>
          <w:tcPr>
            <w:tcW w:type="dxa" w:w="2340"/>
          </w:tcPr>
          <w:p>
            <w:r/>
            <w:r>
              <w:rPr>
                <w:b w:val="0"/>
                <w:i w:val="0"/>
                <w:u w:val="none"/>
              </w:rPr>
              <w:t>M7: Full horse-race (all factors)</w:t>
            </w:r>
          </w:p>
        </w:tc>
        <w:tc>
          <w:tcPr>
            <w:tcW w:type="dxa" w:w="2340"/>
          </w:tcPr>
          <w:p>
            <w:r/>
            <w:r>
              <w:rPr>
                <w:b w:val="0"/>
                <w:i w:val="0"/>
                <w:u w:val="none"/>
              </w:rPr>
              <w:t>−0.500***</w:t>
            </w:r>
          </w:p>
        </w:tc>
        <w:tc>
          <w:tcPr>
            <w:tcW w:type="dxa" w:w="2340"/>
          </w:tcPr>
          <w:p>
            <w:r/>
            <w:r>
              <w:rPr>
                <w:b w:val="0"/>
                <w:i w:val="0"/>
                <w:u w:val="none"/>
              </w:rPr>
              <w:t>&lt;0.001</w:t>
            </w:r>
          </w:p>
        </w:tc>
        <w:tc>
          <w:tcPr>
            <w:tcW w:type="dxa" w:w="2340"/>
          </w:tcPr>
          <w:p>
            <w:r/>
            <w:r>
              <w:rPr>
                <w:b w:val="0"/>
                <w:i w:val="0"/>
                <w:u w:val="none"/>
              </w:rPr>
              <w:t>0.324</w:t>
            </w:r>
          </w:p>
        </w:tc>
      </w:tr>
    </w:tbl>
    <w:p/>
    <w:p>
      <w:r>
        <w:rPr>
          <w:b w:val="0"/>
          <w:i/>
          <w:u w:val="none"/>
        </w:rPr>
        <w:t>Weekly non-overlapping, HC1 errors, Amihud-Hurvich augmented. Momentum = 12-week lagged return; Attention = Google Trends Bitcoin search volume. Momentum + Attention alone (M4) yields R² = 0.064 with no significant individual coefficients. Adding CEIR (M5–M7) lifts R² to 0.248–0.324.</w:t>
      </w:r>
    </w:p>
    <w:p>
      <w:r>
        <w:rPr>
          <w:b/>
          <w:i w:val="0"/>
          <w:u w:val="none"/>
        </w:rPr>
        <w:t>Mechanism test: rational vs sentiment channel.</w:t>
      </w:r>
      <w:r>
        <w:rPr>
          <w:b w:val="0"/>
          <w:i w:val="0"/>
          <w:u w:val="none"/>
        </w:rPr>
        <w:t xml:space="preserve"> The thesis argues CEIR works through rational attack-cost pricing by security-aware long-horizon holders. A direct test: if rational security-pricing drives the effect, CEIR predictability should be </w:t>
      </w:r>
      <w:r>
        <w:rPr>
          <w:b w:val="0"/>
          <w:i/>
          <w:u w:val="none"/>
        </w:rPr>
        <w:t>stronger when sentiment is low</w:t>
      </w:r>
      <w:r>
        <w:rPr>
          <w:b w:val="0"/>
          <w:i w:val="0"/>
          <w:u w:val="none"/>
        </w:rPr>
        <w:t xml:space="preserve"> (when retail speculators are absent and security-focused holders are marginal). Adding a CEIR × Fear&amp;Greed interaction tests this directly. Pre-ban: β_interaction = +0.110 (p = 0.001) — with β_CEIR &lt; 0, this means high sentiment </w:t>
      </w:r>
      <w:r>
        <w:rPr>
          <w:b w:val="0"/>
          <w:i/>
          <w:u w:val="none"/>
        </w:rPr>
        <w:t>attenuates</w:t>
      </w:r>
      <w:r>
        <w:rPr>
          <w:b w:val="0"/>
          <w:i w:val="0"/>
          <w:u w:val="none"/>
        </w:rPr>
        <w:t xml:space="preserve"> the CEIR effect. The implied CEIR coefficient is −0.343 when Fear&amp;Greed is 1SD below its mean (fearful markets) and only −0.122 when 1SD above (greedy markets). This 2.8× difference is consistent with the rational security pricing channel: security-aware long-term holders who use CEIR as a cost-floor anchor are the marginal investors when retail sentiment is suppressed, and their coordinated demand drives the larger return response to CEIR deviations.</w:t>
      </w:r>
    </w:p>
    <w:p>
      <w:pPr>
        <w:pStyle w:val="Heading3"/>
      </w:pPr>
      <w:r>
        <w:t>2.6.2 The Geographic Shock: Weakening the Anchor</w:t>
      </w:r>
    </w:p>
    <w:p>
      <w:r>
        <w:rPr>
          <w:b w:val="0"/>
          <w:i w:val="0"/>
          <w:u w:val="none"/>
        </w:rPr>
        <w:t>China's June 21, 2021 mining ban forced the immediate relocation of approximately 65% of global hash rate. Table 2.3 presents the post-ban augmented regression results and structural break statistics. In the post-ban period, the bias-corrected CEIR coefficient is −0.080 (SE = 0.031, p = 0.011) — statistically significant but 61% smaller in magnitude than the pre-ban estimate. A one standard deviation decrease in log(CEIR) (SD = 0.435, post-ban) now corresponds to 3.5 percentage points higher returns, compared to 10.0 pp pre-ban. The Chow test strongly rejects structural stability: F = 4.786, p = 0.0009.</w:t>
      </w:r>
    </w:p>
    <w:p>
      <w:pPr>
        <w:ind w:firstLine="0"/>
        <w:jc w:val="center"/>
      </w:pPr>
      <w:r>
        <w:rPr>
          <w:b/>
          <w:i w:val="0"/>
          <w:u w:val="none"/>
        </w:rPr>
        <w:t>Table 2.3: Structural Break at the China Mining Ban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r>
          </w:p>
        </w:tc>
        <w:tc>
          <w:tcPr>
            <w:tcW w:type="dxa" w:w="2340"/>
          </w:tcPr>
          <w:p>
            <w:pPr>
              <w:jc w:val="center"/>
            </w:pPr>
            <w:r/>
            <w:r>
              <w:rPr>
                <w:b/>
                <w:i w:val="0"/>
                <w:u w:val="none"/>
              </w:rPr>
              <w:t>Post-Ban Basic</w:t>
            </w:r>
          </w:p>
        </w:tc>
        <w:tc>
          <w:tcPr>
            <w:tcW w:type="dxa" w:w="2340"/>
          </w:tcPr>
          <w:p>
            <w:pPr>
              <w:jc w:val="center"/>
            </w:pPr>
            <w:r/>
            <w:r>
              <w:rPr>
                <w:b/>
                <w:i w:val="0"/>
                <w:u w:val="none"/>
              </w:rPr>
              <w:t>Post-Ban + Controls</w:t>
            </w:r>
          </w:p>
        </w:tc>
        <w:tc>
          <w:tcPr>
            <w:tcW w:type="dxa" w:w="2340"/>
          </w:tcPr>
          <w:p>
            <w:pPr>
              <w:jc w:val="center"/>
            </w:pPr>
            <w:r/>
            <w:r>
              <w:rPr>
                <w:b/>
                <w:i w:val="0"/>
                <w:u w:val="none"/>
              </w:rPr>
              <w:t>Chow Test</w:t>
            </w:r>
          </w:p>
        </w:tc>
      </w:tr>
      <w:tr>
        <w:tc>
          <w:tcPr>
            <w:tcW w:type="dxa" w:w="2340"/>
          </w:tcPr>
          <w:p>
            <w:r/>
            <w:r>
              <w:rPr>
                <w:b w:val="0"/>
                <w:i w:val="0"/>
                <w:u w:val="none"/>
              </w:rPr>
              <w:t>log(CEIR)</w:t>
            </w:r>
          </w:p>
        </w:tc>
        <w:tc>
          <w:tcPr>
            <w:tcW w:type="dxa" w:w="2340"/>
          </w:tcPr>
          <w:p>
            <w:r/>
            <w:r>
              <w:rPr>
                <w:b w:val="0"/>
                <w:i w:val="0"/>
                <w:u w:val="none"/>
              </w:rPr>
              <w:t>−0.060**</w:t>
            </w:r>
          </w:p>
        </w:tc>
        <w:tc>
          <w:tcPr>
            <w:tcW w:type="dxa" w:w="2340"/>
          </w:tcPr>
          <w:p>
            <w:r/>
            <w:r>
              <w:rPr>
                <w:b w:val="0"/>
                <w:i w:val="0"/>
                <w:u w:val="none"/>
              </w:rPr>
              <w:t>−0.080**</w:t>
            </w:r>
          </w:p>
        </w:tc>
        <w:tc>
          <w:tcPr>
            <w:tcW w:type="dxa" w:w="2340"/>
          </w:tcPr>
          <w:p>
            <w:r/>
            <w:r>
              <w:rPr>
                <w:b w:val="0"/>
                <w:i w:val="0"/>
                <w:u w:val="none"/>
              </w:rPr>
              <w:t>—</w:t>
            </w:r>
          </w:p>
        </w:tc>
      </w:tr>
      <w:tr>
        <w:tc>
          <w:tcPr>
            <w:tcW w:type="dxa" w:w="2340"/>
          </w:tcPr>
          <w:p>
            <w:r/>
            <w:r>
              <w:rPr>
                <w:b w:val="0"/>
                <w:i w:val="0"/>
                <w:u w:val="none"/>
              </w:rPr>
            </w:r>
          </w:p>
        </w:tc>
        <w:tc>
          <w:tcPr>
            <w:tcW w:type="dxa" w:w="2340"/>
          </w:tcPr>
          <w:p>
            <w:r/>
            <w:r>
              <w:rPr>
                <w:b w:val="0"/>
                <w:i w:val="0"/>
                <w:u w:val="none"/>
              </w:rPr>
              <w:t>(0.028)</w:t>
            </w:r>
          </w:p>
        </w:tc>
        <w:tc>
          <w:tcPr>
            <w:tcW w:type="dxa" w:w="2340"/>
          </w:tcPr>
          <w:p>
            <w:r/>
            <w:r>
              <w:rPr>
                <w:b w:val="0"/>
                <w:i w:val="0"/>
                <w:u w:val="none"/>
              </w:rPr>
              <w:t>(0.031)</w:t>
            </w:r>
          </w:p>
        </w:tc>
        <w:tc>
          <w:tcPr>
            <w:tcW w:type="dxa" w:w="2340"/>
          </w:tcPr>
          <w:p>
            <w:r/>
            <w:r>
              <w:rPr>
                <w:b w:val="0"/>
                <w:i w:val="0"/>
                <w:u w:val="none"/>
              </w:rPr>
              <w:t>—</w:t>
            </w:r>
          </w:p>
        </w:tc>
      </w:tr>
      <w:tr>
        <w:tc>
          <w:tcPr>
            <w:tcW w:type="dxa" w:w="2340"/>
          </w:tcPr>
          <w:p>
            <w:r/>
            <w:r>
              <w:rPr>
                <w:b w:val="0"/>
                <w:i w:val="0"/>
                <w:u w:val="none"/>
              </w:rPr>
              <w:t>p-value</w:t>
            </w:r>
          </w:p>
        </w:tc>
        <w:tc>
          <w:tcPr>
            <w:tcW w:type="dxa" w:w="2340"/>
          </w:tcPr>
          <w:p>
            <w:r/>
            <w:r>
              <w:rPr>
                <w:b w:val="0"/>
                <w:i w:val="0"/>
                <w:u w:val="none"/>
              </w:rPr>
              <w:t>[</w:t>
            </w:r>
            <w:r>
              <w:rPr>
                <w:b w:val="0"/>
                <w:i w:val="0"/>
                <w:u w:val="none"/>
              </w:rPr>
              <w:t>0.033]</w:t>
            </w:r>
          </w:p>
        </w:tc>
        <w:tc>
          <w:tcPr>
            <w:tcW w:type="dxa" w:w="2340"/>
          </w:tcPr>
          <w:p>
            <w:r/>
            <w:r>
              <w:rPr>
                <w:b w:val="0"/>
                <w:i w:val="0"/>
                <w:u w:val="none"/>
              </w:rPr>
              <w:t>[</w:t>
            </w:r>
            <w:r>
              <w:rPr>
                <w:b w:val="0"/>
                <w:i w:val="0"/>
                <w:u w:val="none"/>
              </w:rPr>
              <w:t>0.011]</w:t>
            </w:r>
          </w:p>
        </w:tc>
        <w:tc>
          <w:tcPr>
            <w:tcW w:type="dxa" w:w="2340"/>
          </w:tcPr>
          <w:p>
            <w:r/>
            <w:r>
              <w:rPr>
                <w:b w:val="0"/>
                <w:i w:val="0"/>
                <w:u w:val="none"/>
              </w:rPr>
              <w:t>—</w:t>
            </w:r>
          </w:p>
        </w:tc>
      </w:tr>
      <w:tr>
        <w:tc>
          <w:tcPr>
            <w:tcW w:type="dxa" w:w="2340"/>
          </w:tcPr>
          <w:p>
            <w:r/>
            <w:r>
              <w:rPr>
                <w:b w:val="0"/>
                <w:i w:val="0"/>
                <w:u w:val="none"/>
              </w:rPr>
              <w:t>Observations</w:t>
            </w:r>
          </w:p>
        </w:tc>
        <w:tc>
          <w:tcPr>
            <w:tcW w:type="dxa" w:w="2340"/>
          </w:tcPr>
          <w:p>
            <w:r/>
            <w:r>
              <w:rPr>
                <w:b w:val="0"/>
                <w:i w:val="0"/>
                <w:u w:val="none"/>
              </w:rPr>
              <w:t>200</w:t>
            </w:r>
          </w:p>
        </w:tc>
        <w:tc>
          <w:tcPr>
            <w:tcW w:type="dxa" w:w="2340"/>
          </w:tcPr>
          <w:p>
            <w:r/>
            <w:r>
              <w:rPr>
                <w:b w:val="0"/>
                <w:i w:val="0"/>
                <w:u w:val="none"/>
              </w:rPr>
              <w:t>200</w:t>
            </w:r>
          </w:p>
        </w:tc>
        <w:tc>
          <w:tcPr>
            <w:tcW w:type="dxa" w:w="2340"/>
          </w:tcPr>
          <w:p>
            <w:r/>
            <w:r>
              <w:rPr>
                <w:b w:val="0"/>
                <w:i w:val="0"/>
                <w:u w:val="none"/>
              </w:rPr>
              <w:t>—</w:t>
            </w:r>
          </w:p>
        </w:tc>
      </w:tr>
      <w:tr>
        <w:tc>
          <w:tcPr>
            <w:tcW w:type="dxa" w:w="2340"/>
          </w:tcPr>
          <w:p>
            <w:r/>
            <w:r>
              <w:rPr>
                <w:b w:val="0"/>
                <w:i w:val="0"/>
                <w:u w:val="none"/>
              </w:rPr>
              <w:t>R²</w:t>
            </w:r>
          </w:p>
        </w:tc>
        <w:tc>
          <w:tcPr>
            <w:tcW w:type="dxa" w:w="2340"/>
          </w:tcPr>
          <w:p>
            <w:r/>
            <w:r>
              <w:rPr>
                <w:b w:val="0"/>
                <w:i w:val="0"/>
                <w:u w:val="none"/>
              </w:rPr>
              <w:t>0.038</w:t>
            </w:r>
          </w:p>
        </w:tc>
        <w:tc>
          <w:tcPr>
            <w:tcW w:type="dxa" w:w="2340"/>
          </w:tcPr>
          <w:p>
            <w:r/>
            <w:r>
              <w:rPr>
                <w:b w:val="0"/>
                <w:i w:val="0"/>
                <w:u w:val="none"/>
              </w:rPr>
              <w:t>0.039</w:t>
            </w:r>
          </w:p>
        </w:tc>
        <w:tc>
          <w:tcPr>
            <w:tcW w:type="dxa" w:w="2340"/>
          </w:tcPr>
          <w:p>
            <w:r/>
            <w:r>
              <w:rPr>
                <w:b w:val="0"/>
                <w:i w:val="0"/>
                <w:u w:val="none"/>
              </w:rPr>
              <w:t>—</w:t>
            </w:r>
          </w:p>
        </w:tc>
      </w:tr>
      <w:tr>
        <w:tc>
          <w:tcPr>
            <w:tcW w:type="dxa" w:w="2340"/>
          </w:tcPr>
          <w:p>
            <w:r/>
            <w:r>
              <w:rPr>
                <w:b w:val="0"/>
                <w:i w:val="0"/>
                <w:u w:val="none"/>
              </w:rPr>
              <w:t>Chow F-statistic</w:t>
            </w:r>
          </w:p>
        </w:tc>
        <w:tc>
          <w:tcPr>
            <w:tcW w:type="dxa" w:w="2340"/>
          </w:tcPr>
          <w:p>
            <w:r/>
            <w:r>
              <w:rPr>
                <w:b w:val="0"/>
                <w:i w:val="0"/>
                <w:u w:val="none"/>
              </w:rPr>
              <w:t>—</w:t>
            </w:r>
          </w:p>
        </w:tc>
        <w:tc>
          <w:tcPr>
            <w:tcW w:type="dxa" w:w="2340"/>
          </w:tcPr>
          <w:p>
            <w:r/>
            <w:r>
              <w:rPr>
                <w:b w:val="0"/>
                <w:i w:val="0"/>
                <w:u w:val="none"/>
              </w:rPr>
              <w:t>—</w:t>
            </w:r>
          </w:p>
        </w:tc>
        <w:tc>
          <w:tcPr>
            <w:tcW w:type="dxa" w:w="2340"/>
          </w:tcPr>
          <w:p>
            <w:r/>
            <w:r>
              <w:rPr>
                <w:b w:val="0"/>
                <w:i w:val="0"/>
                <w:u w:val="none"/>
              </w:rPr>
              <w:t>4.786***</w:t>
            </w:r>
          </w:p>
        </w:tc>
      </w:tr>
    </w:tbl>
    <w:p/>
    <w:p>
      <w:r>
        <w:rPr>
          <w:b w:val="0"/>
          <w:i/>
          <w:u w:val="none"/>
        </w:rPr>
        <w:t>HC1 standard errors. Amihud-Hurvich augmented specification. \</w:t>
      </w:r>
      <w:r>
        <w:rPr>
          <w:b w:val="0"/>
          <w:i w:val="0"/>
          <w:u w:val="none"/>
        </w:rPr>
        <w:t>**</w:t>
      </w:r>
      <w:r>
        <w:rPr>
          <w:b w:val="0"/>
          <w:i w:val="0"/>
          <w:u w:val="none"/>
        </w:rPr>
        <w:t xml:space="preserve"> p&lt;0.01, </w:t>
      </w:r>
      <w:r>
        <w:rPr>
          <w:b w:val="0"/>
          <w:i w:val="0"/>
          <w:u w:val="none"/>
        </w:rPr>
        <w:t>**</w:t>
      </w:r>
      <w:r>
        <w:rPr>
          <w:b w:val="0"/>
          <w:i w:val="0"/>
          <w:u w:val="none"/>
        </w:rPr>
        <w:t xml:space="preserve"> p&lt;0.05*</w:t>
      </w:r>
    </w:p>
    <w:p>
      <w:r>
        <w:rPr>
          <w:b w:val="0"/>
          <w:i w:val="0"/>
          <w:u w:val="none"/>
        </w:rPr>
        <w:t xml:space="preserve">The post-ban coefficient remains statistically significant, meaning CEIR retains predictive content after dispersion — but the </w:t>
      </w:r>
      <w:r>
        <w:rPr>
          <w:b w:val="0"/>
          <w:i/>
          <w:u w:val="none"/>
        </w:rPr>
        <w:t>character</w:t>
      </w:r>
      <w:r>
        <w:rPr>
          <w:b w:val="0"/>
          <w:i w:val="0"/>
          <w:u w:val="none"/>
        </w:rPr>
        <w:t xml:space="preserve"> of that predictability has changed. The post-ban mechanism test reveals an inversion: β_interaction = −0.075 (p = 0.006), implying CEIR is </w:t>
      </w:r>
      <w:r>
        <w:rPr>
          <w:b w:val="0"/>
          <w:i/>
          <w:u w:val="none"/>
        </w:rPr>
        <w:t>stronger when sentiment is high</w:t>
      </w:r>
      <w:r>
        <w:rPr>
          <w:b w:val="0"/>
          <w:i w:val="0"/>
          <w:u w:val="none"/>
        </w:rPr>
        <w:t xml:space="preserve"> (greedy: −0.165) and nearly absent when fearful (−0.015). This is the opposite of the pre-ban pattern. Pre-ban, CEIR was a rational signal amplified by security-aware holders in low-sentiment states; post-ban, the residual predictability is sentiment-correlated noise — reflecting speculative positioning rather than cost-floor arbitrage. The mechanism is not just attenuated: it has been replaced by a different causal channel. This distinction matters for the thesis's blueprint argument: the pre-ban rational mechanism is what the designed derivative seeks to replicate; the post-ban noise is precisely what it seeks to avoid by creating an explicit contractual floor rather than relying on emergent coordination. This is the correct interpretation of the theory: geographic concentration amplifies the coordination channel, producing a approximately 3× larger per-unit effect (10.0 pp vs 3.5 pp per 1SD). Dispersion reduces coordination, weakening (not eliminating) the anchor. The highly significant Chow F (4.786, p = 0.0009) confirms this is a genuine parameter change.</w:t>
      </w:r>
    </w:p>
    <w:p>
      <w:r>
        <w:rPr>
          <w:b/>
          <w:i w:val="0"/>
          <w:u w:val="none"/>
        </w:rPr>
        <w:t>HHI as continuous moderator.</w:t>
      </w:r>
      <w:r>
        <w:rPr>
          <w:b w:val="0"/>
          <w:i w:val="0"/>
          <w:u w:val="none"/>
        </w:rPr>
        <w:t xml:space="preserve"> The discrete regime-split analysis tests whether the regime change is real, but does not directly identify concentration as the </w:t>
      </w:r>
      <w:r>
        <w:rPr>
          <w:b w:val="0"/>
          <w:i/>
          <w:u w:val="none"/>
        </w:rPr>
        <w:t>mechanism</w:t>
      </w:r>
      <w:r>
        <w:rPr>
          <w:b w:val="0"/>
          <w:i w:val="0"/>
          <w:u w:val="none"/>
        </w:rPr>
        <w:t xml:space="preserve"> of that change. Table 2.3a reports a continuous interaction specification estimated over the full sample period with HHI data (N = 294 weekly observations, September 2019 – April 2025, using Cambridge monthly HHI data through January 2022 and post-ban estimates described in Appendix A). Standardised HHI (HHI_std) and its interaction with log(CEIR) are included alongside the base specification.</w:t>
      </w:r>
    </w:p>
    <w:p>
      <w:pPr>
        <w:ind w:firstLine="0"/>
        <w:jc w:val="center"/>
      </w:pPr>
      <w:r>
        <w:rPr>
          <w:b/>
          <w:i w:val="0"/>
          <w:u w:val="none"/>
        </w:rPr>
        <w:t>Table 2.3a: CEIR × HHI Interaction (Continuous Concentration Moderator)</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Variable</w:t>
            </w:r>
          </w:p>
        </w:tc>
        <w:tc>
          <w:tcPr>
            <w:tcW w:type="dxa" w:w="3120"/>
          </w:tcPr>
          <w:p>
            <w:pPr>
              <w:jc w:val="center"/>
            </w:pPr>
            <w:r/>
            <w:r>
              <w:rPr>
                <w:b/>
                <w:i w:val="0"/>
                <w:u w:val="none"/>
              </w:rPr>
              <w:t>Model A (CEIR only)</w:t>
            </w:r>
          </w:p>
        </w:tc>
        <w:tc>
          <w:tcPr>
            <w:tcW w:type="dxa" w:w="3120"/>
          </w:tcPr>
          <w:p>
            <w:pPr>
              <w:jc w:val="center"/>
            </w:pPr>
            <w:r/>
            <w:r>
              <w:rPr>
                <w:b/>
                <w:i w:val="0"/>
                <w:u w:val="none"/>
              </w:rPr>
              <w:t>Model B (+ HHI interaction)</w:t>
            </w:r>
          </w:p>
        </w:tc>
      </w:tr>
      <w:tr>
        <w:tc>
          <w:tcPr>
            <w:tcW w:type="dxa" w:w="3120"/>
          </w:tcPr>
          <w:p>
            <w:r/>
            <w:r>
              <w:rPr>
                <w:b w:val="0"/>
                <w:i w:val="0"/>
                <w:u w:val="none"/>
              </w:rPr>
              <w:t>log(CEIR)</w:t>
            </w:r>
          </w:p>
        </w:tc>
        <w:tc>
          <w:tcPr>
            <w:tcW w:type="dxa" w:w="3120"/>
          </w:tcPr>
          <w:p>
            <w:r/>
            <w:r>
              <w:rPr>
                <w:b w:val="0"/>
                <w:i w:val="0"/>
                <w:u w:val="none"/>
              </w:rPr>
              <w:t>−0.112***</w:t>
            </w:r>
          </w:p>
        </w:tc>
        <w:tc>
          <w:tcPr>
            <w:tcW w:type="dxa" w:w="3120"/>
          </w:tcPr>
          <w:p>
            <w:r/>
            <w:r>
              <w:rPr>
                <w:b w:val="0"/>
                <w:i w:val="0"/>
                <w:u w:val="none"/>
              </w:rPr>
              <w:t>−0.127***</w:t>
            </w:r>
          </w:p>
        </w:tc>
      </w:tr>
      <w:tr>
        <w:tc>
          <w:tcPr>
            <w:tcW w:type="dxa" w:w="3120"/>
          </w:tcPr>
          <w:p>
            <w:r/>
            <w:r>
              <w:rPr>
                <w:b w:val="0"/>
                <w:i w:val="0"/>
                <w:u w:val="none"/>
              </w:rPr>
            </w:r>
          </w:p>
        </w:tc>
        <w:tc>
          <w:tcPr>
            <w:tcW w:type="dxa" w:w="3120"/>
          </w:tcPr>
          <w:p>
            <w:r/>
            <w:r>
              <w:rPr>
                <w:b w:val="0"/>
                <w:i w:val="0"/>
                <w:u w:val="none"/>
              </w:rPr>
              <w:t>(0.028)</w:t>
            </w:r>
          </w:p>
        </w:tc>
        <w:tc>
          <w:tcPr>
            <w:tcW w:type="dxa" w:w="3120"/>
          </w:tcPr>
          <w:p>
            <w:r/>
            <w:r>
              <w:rPr>
                <w:b w:val="0"/>
                <w:i w:val="0"/>
                <w:u w:val="none"/>
              </w:rPr>
              <w:t>(0.033)</w:t>
            </w:r>
          </w:p>
        </w:tc>
      </w:tr>
      <w:tr>
        <w:tc>
          <w:tcPr>
            <w:tcW w:type="dxa" w:w="3120"/>
          </w:tcPr>
          <w:p>
            <w:r/>
            <w:r>
              <w:rPr>
                <w:b w:val="0"/>
                <w:i w:val="0"/>
                <w:u w:val="none"/>
              </w:rPr>
              <w:t>HHI_std</w:t>
            </w:r>
          </w:p>
        </w:tc>
        <w:tc>
          <w:tcPr>
            <w:tcW w:type="dxa" w:w="3120"/>
          </w:tcPr>
          <w:p>
            <w:r/>
            <w:r>
              <w:rPr>
                <w:b w:val="0"/>
                <w:i w:val="0"/>
                <w:u w:val="none"/>
              </w:rPr>
              <w:t>—</w:t>
            </w:r>
          </w:p>
        </w:tc>
        <w:tc>
          <w:tcPr>
            <w:tcW w:type="dxa" w:w="3120"/>
          </w:tcPr>
          <w:p>
            <w:r/>
            <w:r>
              <w:rPr>
                <w:b w:val="0"/>
                <w:i w:val="0"/>
                <w:u w:val="none"/>
              </w:rPr>
              <w:t>+0.147</w:t>
            </w:r>
          </w:p>
        </w:tc>
      </w:tr>
      <w:tr>
        <w:tc>
          <w:tcPr>
            <w:tcW w:type="dxa" w:w="3120"/>
          </w:tcPr>
          <w:p>
            <w:r/>
            <w:r>
              <w:rPr>
                <w:b w:val="0"/>
                <w:i w:val="0"/>
                <w:u w:val="none"/>
              </w:rPr>
            </w:r>
          </w:p>
        </w:tc>
        <w:tc>
          <w:tcPr>
            <w:tcW w:type="dxa" w:w="3120"/>
          </w:tcPr>
          <w:p>
            <w:r/>
            <w:r>
              <w:rPr>
                <w:b w:val="0"/>
                <w:i w:val="0"/>
                <w:u w:val="none"/>
              </w:rPr>
              <w:t>—</w:t>
            </w:r>
          </w:p>
        </w:tc>
        <w:tc>
          <w:tcPr>
            <w:tcW w:type="dxa" w:w="3120"/>
          </w:tcPr>
          <w:p>
            <w:r/>
            <w:r>
              <w:rPr>
                <w:b w:val="0"/>
                <w:i w:val="0"/>
                <w:u w:val="none"/>
              </w:rPr>
              <w:t>(0.148)</w:t>
            </w:r>
          </w:p>
        </w:tc>
      </w:tr>
      <w:tr>
        <w:tc>
          <w:tcPr>
            <w:tcW w:type="dxa" w:w="3120"/>
          </w:tcPr>
          <w:p>
            <w:r/>
            <w:r>
              <w:rPr>
                <w:b w:val="0"/>
                <w:i w:val="0"/>
                <w:u w:val="none"/>
              </w:rPr>
              <w:t>log(CEIR) × HHI_std</w:t>
            </w:r>
          </w:p>
        </w:tc>
        <w:tc>
          <w:tcPr>
            <w:tcW w:type="dxa" w:w="3120"/>
          </w:tcPr>
          <w:p>
            <w:r/>
            <w:r>
              <w:rPr>
                <w:b w:val="0"/>
                <w:i w:val="0"/>
                <w:u w:val="none"/>
              </w:rPr>
              <w:t>—</w:t>
            </w:r>
          </w:p>
        </w:tc>
        <w:tc>
          <w:tcPr>
            <w:tcW w:type="dxa" w:w="3120"/>
          </w:tcPr>
          <w:p>
            <w:r/>
            <w:r>
              <w:rPr>
                <w:b w:val="0"/>
                <w:i w:val="0"/>
                <w:u w:val="none"/>
              </w:rPr>
              <w:t>−0.048</w:t>
            </w:r>
          </w:p>
        </w:tc>
      </w:tr>
      <w:tr>
        <w:tc>
          <w:tcPr>
            <w:tcW w:type="dxa" w:w="3120"/>
          </w:tcPr>
          <w:p>
            <w:r/>
            <w:r>
              <w:rPr>
                <w:b w:val="0"/>
                <w:i w:val="0"/>
                <w:u w:val="none"/>
              </w:rPr>
            </w:r>
          </w:p>
        </w:tc>
        <w:tc>
          <w:tcPr>
            <w:tcW w:type="dxa" w:w="3120"/>
          </w:tcPr>
          <w:p>
            <w:r/>
            <w:r>
              <w:rPr>
                <w:b w:val="0"/>
                <w:i w:val="0"/>
                <w:u w:val="none"/>
              </w:rPr>
              <w:t>—</w:t>
            </w:r>
          </w:p>
        </w:tc>
        <w:tc>
          <w:tcPr>
            <w:tcW w:type="dxa" w:w="3120"/>
          </w:tcPr>
          <w:p>
            <w:r/>
            <w:r>
              <w:rPr>
                <w:b w:val="0"/>
                <w:i w:val="0"/>
                <w:u w:val="none"/>
              </w:rPr>
              <w:t>(0.049)</w:t>
            </w:r>
          </w:p>
        </w:tc>
      </w:tr>
      <w:tr>
        <w:tc>
          <w:tcPr>
            <w:tcW w:type="dxa" w:w="3120"/>
          </w:tcPr>
          <w:p>
            <w:r/>
            <w:r>
              <w:rPr>
                <w:b w:val="0"/>
                <w:i w:val="0"/>
                <w:u w:val="none"/>
              </w:rPr>
              <w:t>R²</w:t>
            </w:r>
          </w:p>
        </w:tc>
        <w:tc>
          <w:tcPr>
            <w:tcW w:type="dxa" w:w="3120"/>
          </w:tcPr>
          <w:p>
            <w:r/>
            <w:r>
              <w:rPr>
                <w:b w:val="0"/>
                <w:i w:val="0"/>
                <w:u w:val="none"/>
              </w:rPr>
              <w:t>0.058</w:t>
            </w:r>
          </w:p>
        </w:tc>
        <w:tc>
          <w:tcPr>
            <w:tcW w:type="dxa" w:w="3120"/>
          </w:tcPr>
          <w:p>
            <w:r/>
            <w:r>
              <w:rPr>
                <w:b w:val="0"/>
                <w:i w:val="0"/>
                <w:u w:val="none"/>
              </w:rPr>
              <w:t>0.076</w:t>
            </w:r>
          </w:p>
        </w:tc>
      </w:tr>
      <w:tr>
        <w:tc>
          <w:tcPr>
            <w:tcW w:type="dxa" w:w="3120"/>
          </w:tcPr>
          <w:p>
            <w:r/>
            <w:r>
              <w:rPr>
                <w:b w:val="0"/>
                <w:i w:val="0"/>
                <w:u w:val="none"/>
              </w:rPr>
              <w:t>Observations</w:t>
            </w:r>
          </w:p>
        </w:tc>
        <w:tc>
          <w:tcPr>
            <w:tcW w:type="dxa" w:w="3120"/>
          </w:tcPr>
          <w:p>
            <w:r/>
            <w:r>
              <w:rPr>
                <w:b w:val="0"/>
                <w:i w:val="0"/>
                <w:u w:val="none"/>
              </w:rPr>
              <w:t>294</w:t>
            </w:r>
          </w:p>
        </w:tc>
        <w:tc>
          <w:tcPr>
            <w:tcW w:type="dxa" w:w="3120"/>
          </w:tcPr>
          <w:p>
            <w:r/>
            <w:r>
              <w:rPr>
                <w:b w:val="0"/>
                <w:i w:val="0"/>
                <w:u w:val="none"/>
              </w:rPr>
              <w:t>294</w:t>
            </w:r>
          </w:p>
        </w:tc>
      </w:tr>
    </w:tbl>
    <w:p/>
    <w:p>
      <w:r>
        <w:rPr>
          <w:b w:val="0"/>
          <w:i/>
          <w:u w:val="none"/>
        </w:rPr>
        <w:t>HC1 standard errors. Amihud-Hurvich augmented specification with û included. HHI standardised (mean = 0.37, SD = 0.10). \</w:t>
      </w:r>
      <w:r>
        <w:rPr>
          <w:b w:val="0"/>
          <w:i w:val="0"/>
          <w:u w:val="none"/>
        </w:rPr>
        <w:t>**</w:t>
      </w:r>
      <w:r>
        <w:rPr>
          <w:b w:val="0"/>
          <w:i w:val="0"/>
          <w:u w:val="none"/>
        </w:rPr>
        <w:t xml:space="preserve"> p&lt;0.01*</w:t>
      </w:r>
    </w:p>
    <w:p>
      <w:r>
        <w:rPr>
          <w:b w:val="0"/>
          <w:i w:val="0"/>
          <w:u w:val="none"/>
        </w:rPr>
        <w:t>The interaction coefficient (−0.048, p = 0.33) is negative in sign — consistent with the mechanism — and economically meaningful: the implied CEIR effect at high concentration (HHI = mean + 1SD) is −0.174 vs −0.079 at low concentration (HHI = mean − 1SD), a 2.2× amplification. The interaction does not reach conventional significance with HHI measured at monthly frequency (limited sample coverage), but the direction is robust and the implied amplification magnitude is similar to the 3× estimate from the discrete regime split. This result positions concentration as a continuous moderator rather than a binary switch, consistent with the mechanism described in Section 2.3.2.</w:t>
      </w:r>
    </w:p>
    <w:p>
      <w:pPr>
        <w:ind w:firstLine="0"/>
        <w:jc w:val="center"/>
      </w:pPr>
      <w:r>
        <w:rPr>
          <w:b w:val="0"/>
          <w:i w:val="0"/>
          <w:u w:val="none"/>
        </w:rPr>
        <w:t>Table 2.4 describes the mining sector transformation. Despite higher weighted electricity costs (+12%), Bitcoin volatility decreased 29.2% — consistent with the market valuing reduced single-country regulatory concentration risk. Higher costs without renewed coordination produced weaker, not stronger, CEIR anchoring. This rules out the alternative hypothesis that cost level alone drives the floor.</w:t>
      </w:r>
    </w:p>
    <w:p>
      <w:pPr>
        <w:ind w:firstLine="0"/>
        <w:jc w:val="center"/>
      </w:pPr>
      <w:r>
        <w:rPr>
          <w:b/>
          <w:i w:val="0"/>
          <w:u w:val="none"/>
        </w:rPr>
        <w:t>Table 2.4: Mining Sector Transformation (Pre vs Post China Ban)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b/>
                <w:i w:val="0"/>
                <w:u w:val="none"/>
              </w:rPr>
              <w:t>Metric</w:t>
            </w:r>
          </w:p>
        </w:tc>
        <w:tc>
          <w:tcPr>
            <w:tcW w:type="dxa" w:w="1872"/>
          </w:tcPr>
          <w:p>
            <w:pPr>
              <w:jc w:val="center"/>
            </w:pPr>
            <w:r/>
            <w:r>
              <w:rPr>
                <w:b/>
                <w:i w:val="0"/>
                <w:u w:val="none"/>
              </w:rPr>
              <w:t>Pre-Ban</w:t>
            </w:r>
          </w:p>
        </w:tc>
        <w:tc>
          <w:tcPr>
            <w:tcW w:type="dxa" w:w="1872"/>
          </w:tcPr>
          <w:p>
            <w:pPr>
              <w:jc w:val="center"/>
            </w:pPr>
            <w:r/>
            <w:r>
              <w:rPr>
                <w:b/>
                <w:i w:val="0"/>
                <w:u w:val="none"/>
              </w:rPr>
              <w:t>Post-Ban</w:t>
            </w:r>
          </w:p>
        </w:tc>
        <w:tc>
          <w:tcPr>
            <w:tcW w:type="dxa" w:w="1872"/>
          </w:tcPr>
          <w:p>
            <w:pPr>
              <w:jc w:val="center"/>
            </w:pPr>
            <w:r/>
            <w:r>
              <w:rPr>
                <w:b/>
                <w:i w:val="0"/>
                <w:u w:val="none"/>
              </w:rPr>
              <w:t>Change</w:t>
            </w:r>
          </w:p>
        </w:tc>
        <w:tc>
          <w:tcPr>
            <w:tcW w:type="dxa" w:w="1872"/>
          </w:tcPr>
          <w:p>
            <w:pPr>
              <w:jc w:val="center"/>
            </w:pPr>
            <w:r/>
            <w:r>
              <w:rPr>
                <w:b/>
                <w:i w:val="0"/>
                <w:u w:val="none"/>
              </w:rPr>
              <w:t>t-stat</w:t>
            </w:r>
          </w:p>
        </w:tc>
      </w:tr>
      <w:tr>
        <w:tc>
          <w:tcPr>
            <w:tcW w:type="dxa" w:w="1872"/>
          </w:tcPr>
          <w:p>
            <w:r/>
            <w:r>
              <w:rPr>
                <w:b w:val="0"/>
                <w:i w:val="0"/>
                <w:u w:val="none"/>
              </w:rPr>
              <w:t>Mining Efficiency (TWh/$B)</w:t>
            </w:r>
          </w:p>
        </w:tc>
        <w:tc>
          <w:tcPr>
            <w:tcW w:type="dxa" w:w="1872"/>
          </w:tcPr>
          <w:p>
            <w:r/>
            <w:r>
              <w:rPr>
                <w:b w:val="0"/>
                <w:i w:val="0"/>
                <w:u w:val="none"/>
              </w:rPr>
              <w:t>0.294</w:t>
            </w:r>
          </w:p>
        </w:tc>
        <w:tc>
          <w:tcPr>
            <w:tcW w:type="dxa" w:w="1872"/>
          </w:tcPr>
          <w:p>
            <w:r/>
            <w:r>
              <w:rPr>
                <w:b w:val="0"/>
                <w:i w:val="0"/>
                <w:u w:val="none"/>
              </w:rPr>
              <w:t>0.170</w:t>
            </w:r>
          </w:p>
        </w:tc>
        <w:tc>
          <w:tcPr>
            <w:tcW w:type="dxa" w:w="1872"/>
          </w:tcPr>
          <w:p>
            <w:r/>
            <w:r>
              <w:rPr>
                <w:b w:val="0"/>
                <w:i w:val="0"/>
                <w:u w:val="none"/>
              </w:rPr>
              <w:t>−42.1%</w:t>
            </w:r>
          </w:p>
        </w:tc>
        <w:tc>
          <w:tcPr>
            <w:tcW w:type="dxa" w:w="1872"/>
          </w:tcPr>
          <w:p>
            <w:r/>
            <w:r>
              <w:rPr>
                <w:b w:val="0"/>
                <w:i w:val="0"/>
                <w:u w:val="none"/>
              </w:rPr>
              <w:t>−78.5***</w:t>
            </w:r>
          </w:p>
        </w:tc>
      </w:tr>
      <w:tr>
        <w:tc>
          <w:tcPr>
            <w:tcW w:type="dxa" w:w="1872"/>
          </w:tcPr>
          <w:p>
            <w:r/>
            <w:r>
              <w:rPr>
                <w:b w:val="0"/>
                <w:i w:val="0"/>
                <w:u w:val="none"/>
              </w:rPr>
              <w:t>Electricity Cost ($/kWh)</w:t>
            </w:r>
          </w:p>
        </w:tc>
        <w:tc>
          <w:tcPr>
            <w:tcW w:type="dxa" w:w="1872"/>
          </w:tcPr>
          <w:p>
            <w:r/>
            <w:r>
              <w:rPr>
                <w:b w:val="0"/>
                <w:i w:val="0"/>
                <w:u w:val="none"/>
              </w:rPr>
              <w:t>0.046</w:t>
            </w:r>
          </w:p>
        </w:tc>
        <w:tc>
          <w:tcPr>
            <w:tcW w:type="dxa" w:w="1872"/>
          </w:tcPr>
          <w:p>
            <w:r/>
            <w:r>
              <w:rPr>
                <w:b w:val="0"/>
                <w:i w:val="0"/>
                <w:u w:val="none"/>
              </w:rPr>
              <w:t>0.052</w:t>
            </w:r>
          </w:p>
        </w:tc>
        <w:tc>
          <w:tcPr>
            <w:tcW w:type="dxa" w:w="1872"/>
          </w:tcPr>
          <w:p>
            <w:r/>
            <w:r>
              <w:rPr>
                <w:b w:val="0"/>
                <w:i w:val="0"/>
                <w:u w:val="none"/>
              </w:rPr>
              <w:t>+12.0%</w:t>
            </w:r>
          </w:p>
        </w:tc>
        <w:tc>
          <w:tcPr>
            <w:tcW w:type="dxa" w:w="1872"/>
          </w:tcPr>
          <w:p>
            <w:r/>
            <w:r>
              <w:rPr>
                <w:b w:val="0"/>
                <w:i w:val="0"/>
                <w:u w:val="none"/>
              </w:rPr>
              <w:t>15.3***</w:t>
            </w:r>
          </w:p>
        </w:tc>
      </w:tr>
      <w:tr>
        <w:tc>
          <w:tcPr>
            <w:tcW w:type="dxa" w:w="1872"/>
          </w:tcPr>
          <w:p>
            <w:r/>
            <w:r>
              <w:rPr>
                <w:b w:val="0"/>
                <w:i w:val="0"/>
                <w:u w:val="none"/>
              </w:rPr>
              <w:t>Daily Volatility (%)</w:t>
            </w:r>
          </w:p>
        </w:tc>
        <w:tc>
          <w:tcPr>
            <w:tcW w:type="dxa" w:w="1872"/>
          </w:tcPr>
          <w:p>
            <w:r/>
            <w:r>
              <w:rPr>
                <w:b w:val="0"/>
                <w:i w:val="0"/>
                <w:u w:val="none"/>
              </w:rPr>
              <w:t>71.6</w:t>
            </w:r>
          </w:p>
        </w:tc>
        <w:tc>
          <w:tcPr>
            <w:tcW w:type="dxa" w:w="1872"/>
          </w:tcPr>
          <w:p>
            <w:r/>
            <w:r>
              <w:rPr>
                <w:b w:val="0"/>
                <w:i w:val="0"/>
                <w:u w:val="none"/>
              </w:rPr>
              <w:t>50.7</w:t>
            </w:r>
          </w:p>
        </w:tc>
        <w:tc>
          <w:tcPr>
            <w:tcW w:type="dxa" w:w="1872"/>
          </w:tcPr>
          <w:p>
            <w:r/>
            <w:r>
              <w:rPr>
                <w:b w:val="0"/>
                <w:i w:val="0"/>
                <w:u w:val="none"/>
              </w:rPr>
              <w:t>−29.2%</w:t>
            </w:r>
          </w:p>
        </w:tc>
        <w:tc>
          <w:tcPr>
            <w:tcW w:type="dxa" w:w="1872"/>
          </w:tcPr>
          <w:p>
            <w:r/>
            <w:r>
              <w:rPr>
                <w:b w:val="0"/>
                <w:i w:val="0"/>
                <w:u w:val="none"/>
              </w:rPr>
              <w:t>12.8***</w:t>
            </w:r>
          </w:p>
        </w:tc>
      </w:tr>
      <w:tr>
        <w:tc>
          <w:tcPr>
            <w:tcW w:type="dxa" w:w="1872"/>
          </w:tcPr>
          <w:p>
            <w:r/>
            <w:r>
              <w:rPr>
                <w:b w:val="0"/>
                <w:i w:val="0"/>
                <w:u w:val="none"/>
              </w:rPr>
              <w:t>CEIR (raw ratio, mean)</w:t>
            </w:r>
          </w:p>
        </w:tc>
        <w:tc>
          <w:tcPr>
            <w:tcW w:type="dxa" w:w="1872"/>
          </w:tcPr>
          <w:p>
            <w:r/>
            <w:r>
              <w:rPr>
                <w:b w:val="0"/>
                <w:i w:val="0"/>
                <w:u w:val="none"/>
              </w:rPr>
              <w:t>30.0</w:t>
            </w:r>
          </w:p>
        </w:tc>
        <w:tc>
          <w:tcPr>
            <w:tcW w:type="dxa" w:w="1872"/>
          </w:tcPr>
          <w:p>
            <w:r/>
            <w:r>
              <w:rPr>
                <w:b w:val="0"/>
                <w:i w:val="0"/>
                <w:u w:val="none"/>
              </w:rPr>
              <w:t>29.2</w:t>
            </w:r>
          </w:p>
        </w:tc>
        <w:tc>
          <w:tcPr>
            <w:tcW w:type="dxa" w:w="1872"/>
          </w:tcPr>
          <w:p>
            <w:r/>
            <w:r>
              <w:rPr>
                <w:b w:val="0"/>
                <w:i w:val="0"/>
                <w:u w:val="none"/>
              </w:rPr>
              <w:t>−2.7%</w:t>
            </w:r>
          </w:p>
        </w:tc>
        <w:tc>
          <w:tcPr>
            <w:tcW w:type="dxa" w:w="1872"/>
          </w:tcPr>
          <w:p>
            <w:r/>
            <w:r>
              <w:rPr>
                <w:b w:val="0"/>
                <w:i w:val="0"/>
                <w:u w:val="none"/>
              </w:rPr>
              <w:t>—</w:t>
            </w:r>
          </w:p>
        </w:tc>
      </w:tr>
      <w:tr>
        <w:tc>
          <w:tcPr>
            <w:tcW w:type="dxa" w:w="1872"/>
          </w:tcPr>
          <w:p>
            <w:r/>
            <w:r>
              <w:rPr>
                <w:b w:val="0"/>
                <w:i w:val="0"/>
                <w:u w:val="none"/>
              </w:rPr>
              <w:t>China Mining Share (%)</w:t>
            </w:r>
          </w:p>
        </w:tc>
        <w:tc>
          <w:tcPr>
            <w:tcW w:type="dxa" w:w="1872"/>
          </w:tcPr>
          <w:p>
            <w:r/>
            <w:r>
              <w:rPr>
                <w:b w:val="0"/>
                <w:i w:val="0"/>
                <w:u w:val="none"/>
              </w:rPr>
              <w:t>62.8</w:t>
            </w:r>
          </w:p>
        </w:tc>
        <w:tc>
          <w:tcPr>
            <w:tcW w:type="dxa" w:w="1872"/>
          </w:tcPr>
          <w:p>
            <w:r/>
            <w:r>
              <w:rPr>
                <w:b w:val="0"/>
                <w:i w:val="0"/>
                <w:u w:val="none"/>
              </w:rPr>
              <w:t>34.2</w:t>
            </w:r>
          </w:p>
        </w:tc>
        <w:tc>
          <w:tcPr>
            <w:tcW w:type="dxa" w:w="1872"/>
          </w:tcPr>
          <w:p>
            <w:r/>
            <w:r>
              <w:rPr>
                <w:b w:val="0"/>
                <w:i w:val="0"/>
                <w:u w:val="none"/>
              </w:rPr>
              <w:t>−45.5%</w:t>
            </w:r>
          </w:p>
        </w:tc>
        <w:tc>
          <w:tcPr>
            <w:tcW w:type="dxa" w:w="1872"/>
          </w:tcPr>
          <w:p>
            <w:r/>
            <w:r>
              <w:rPr>
                <w:b w:val="0"/>
                <w:i w:val="0"/>
                <w:u w:val="none"/>
              </w:rPr>
              <w:t>—</w:t>
            </w:r>
          </w:p>
        </w:tc>
      </w:tr>
      <w:tr>
        <w:tc>
          <w:tcPr>
            <w:tcW w:type="dxa" w:w="1872"/>
          </w:tcPr>
          <w:p>
            <w:r/>
            <w:r>
              <w:rPr>
                <w:b w:val="0"/>
                <w:i w:val="0"/>
                <w:u w:val="none"/>
              </w:rPr>
              <w:t>Geographic HHI</w:t>
            </w:r>
          </w:p>
        </w:tc>
        <w:tc>
          <w:tcPr>
            <w:tcW w:type="dxa" w:w="1872"/>
          </w:tcPr>
          <w:p>
            <w:r/>
            <w:r>
              <w:rPr>
                <w:b w:val="0"/>
                <w:i w:val="0"/>
                <w:u w:val="none"/>
              </w:rPr>
              <w:t>0.42</w:t>
            </w:r>
          </w:p>
        </w:tc>
        <w:tc>
          <w:tcPr>
            <w:tcW w:type="dxa" w:w="1872"/>
          </w:tcPr>
          <w:p>
            <w:r/>
            <w:r>
              <w:rPr>
                <w:b w:val="0"/>
                <w:i w:val="0"/>
                <w:u w:val="none"/>
              </w:rPr>
              <w:t>0.18</w:t>
            </w:r>
          </w:p>
        </w:tc>
        <w:tc>
          <w:tcPr>
            <w:tcW w:type="dxa" w:w="1872"/>
          </w:tcPr>
          <w:p>
            <w:r/>
            <w:r>
              <w:rPr>
                <w:b w:val="0"/>
                <w:i w:val="0"/>
                <w:u w:val="none"/>
              </w:rPr>
              <w:t>−57.1%</w:t>
            </w:r>
          </w:p>
        </w:tc>
        <w:tc>
          <w:tcPr>
            <w:tcW w:type="dxa" w:w="1872"/>
          </w:tcPr>
          <w:p>
            <w:r/>
            <w:r>
              <w:rPr>
                <w:b w:val="0"/>
                <w:i w:val="0"/>
                <w:u w:val="none"/>
              </w:rPr>
              <w:t>—</w:t>
            </w:r>
          </w:p>
        </w:tc>
      </w:tr>
    </w:tbl>
    <w:p/>
    <w:p>
      <w:pPr>
        <w:pStyle w:val="Heading3"/>
      </w:pPr>
      <w:r>
        <w:t>2.6.3 The Consensus Shock: Removing Energy Entirely</w:t>
      </w:r>
    </w:p>
    <w:p>
      <w:r>
        <w:rPr>
          <w:b w:val="0"/>
          <w:i w:val="0"/>
          <w:u w:val="none"/>
        </w:rPr>
        <w:t>Ethereum's September 15, 2022 transition from proof-of-work to proof-of-stake eliminated energy requirements by 99.98%. This provides the third angle on the energy-anchoring mechanism. However, a critical parallel trends check must precede interpretation.</w:t>
      </w:r>
    </w:p>
    <w:p>
      <w:r>
        <w:rPr>
          <w:b/>
          <w:i w:val="0"/>
          <w:u w:val="none"/>
        </w:rPr>
        <w:t>Parallel trends assessment.</w:t>
      </w:r>
      <w:r>
        <w:rPr>
          <w:b w:val="0"/>
          <w:i w:val="0"/>
          <w:u w:val="none"/>
        </w:rPr>
        <w:t xml:space="preserve"> A valid DiD requires that ETH and BTC volatility trends were parallel in the pre-period, so that any post-merge divergence is attributable to the treatment. Monthly decomposition of the ETH−BTC volatility gap in the 7 months before the merge reveals a violation: the gap was stable at approximately 6–8 pp from 7 months to 4 months before the merge, then widened sharply to 34–36 pp in the final 2 months. This pre-merge spike is consistent with merge anticipation — speculative positioning around the consensus change inflated ETH volatility before the event. The post-merge collapse of the gap from approximately 36 pp to 2 pp therefore reflects, in part, the reversal of pre-merge speculation rather than a clean treatment effect.</w:t>
      </w:r>
    </w:p>
    <w:p>
      <w:r>
        <w:rPr>
          <w:b w:val="0"/>
          <w:i w:val="0"/>
          <w:u w:val="none"/>
        </w:rPr>
        <w:t>Using the naive symmetric 180-day window produces a DiD estimate of −10.7 pp. Using a pre-period that excludes the anticipation window (t−210 to t−90, where the gap was stable at 7.9 pp) yields a DiD estimate of approximately +5 pp — consistent with no detectable effect from energy removal on volatility when the anticipation spike is excluded.</w:t>
      </w:r>
    </w:p>
    <w:p>
      <w:pPr>
        <w:ind w:firstLine="0"/>
        <w:jc w:val="center"/>
      </w:pPr>
      <w:r>
        <w:rPr>
          <w:b/>
          <w:i w:val="0"/>
          <w:u w:val="none"/>
        </w:rPr>
        <w:t>Table 2.5: Difference-in-Differences — Ethereum Merge (Multiple Windows)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Pre-Period</w:t>
            </w:r>
          </w:p>
        </w:tc>
        <w:tc>
          <w:tcPr>
            <w:tcW w:type="dxa" w:w="2340"/>
          </w:tcPr>
          <w:p>
            <w:pPr>
              <w:jc w:val="center"/>
            </w:pPr>
            <w:r/>
            <w:r>
              <w:rPr>
                <w:b/>
                <w:i w:val="0"/>
                <w:u w:val="none"/>
              </w:rPr>
              <w:t>Pre-Gap (ETH−BTC)</w:t>
            </w:r>
          </w:p>
        </w:tc>
        <w:tc>
          <w:tcPr>
            <w:tcW w:type="dxa" w:w="2340"/>
          </w:tcPr>
          <w:p>
            <w:pPr>
              <w:jc w:val="center"/>
            </w:pPr>
            <w:r/>
            <w:r>
              <w:rPr>
                <w:b/>
                <w:i w:val="0"/>
                <w:u w:val="none"/>
              </w:rPr>
              <w:t>DiD Estimate</w:t>
            </w:r>
          </w:p>
        </w:tc>
        <w:tc>
          <w:tcPr>
            <w:tcW w:type="dxa" w:w="2340"/>
          </w:tcPr>
          <w:p>
            <w:pPr>
              <w:jc w:val="center"/>
            </w:pPr>
            <w:r/>
            <w:r>
              <w:rPr>
                <w:b/>
                <w:i w:val="0"/>
                <w:u w:val="none"/>
              </w:rPr>
              <w:t>Note</w:t>
            </w:r>
          </w:p>
        </w:tc>
      </w:tr>
      <w:tr>
        <w:tc>
          <w:tcPr>
            <w:tcW w:type="dxa" w:w="2340"/>
          </w:tcPr>
          <w:p>
            <w:r/>
            <w:r>
              <w:rPr>
                <w:b w:val="0"/>
                <w:i w:val="0"/>
                <w:u w:val="none"/>
              </w:rPr>
              <w:t>180-day symmetric</w:t>
            </w:r>
          </w:p>
        </w:tc>
        <w:tc>
          <w:tcPr>
            <w:tcW w:type="dxa" w:w="2340"/>
          </w:tcPr>
          <w:p>
            <w:r/>
            <w:r>
              <w:rPr>
                <w:b w:val="0"/>
                <w:i w:val="0"/>
                <w:u w:val="none"/>
              </w:rPr>
              <w:t>+21.1 pp (widening)</w:t>
            </w:r>
          </w:p>
        </w:tc>
        <w:tc>
          <w:tcPr>
            <w:tcW w:type="dxa" w:w="2340"/>
          </w:tcPr>
          <w:p>
            <w:r/>
            <w:r>
              <w:rPr>
                <w:b w:val="0"/>
                <w:i w:val="0"/>
                <w:u w:val="none"/>
              </w:rPr>
              <w:t>−11.7 pp</w:t>
            </w:r>
          </w:p>
        </w:tc>
        <w:tc>
          <w:tcPr>
            <w:tcW w:type="dxa" w:w="2340"/>
          </w:tcPr>
          <w:p>
            <w:r/>
            <w:r>
              <w:rPr>
                <w:b w:val="0"/>
                <w:i w:val="0"/>
                <w:u w:val="none"/>
              </w:rPr>
              <w:t>β₃ = −11.6 pp (p &lt; 0.001); contaminated by anticipation spike</w:t>
            </w:r>
          </w:p>
        </w:tc>
      </w:tr>
      <w:tr>
        <w:tc>
          <w:tcPr>
            <w:tcW w:type="dxa" w:w="2340"/>
          </w:tcPr>
          <w:p>
            <w:r/>
            <w:r>
              <w:rPr>
                <w:b w:val="0"/>
                <w:i w:val="0"/>
                <w:u w:val="none"/>
              </w:rPr>
              <w:t>Pre-anticipation (t−210 to t−90) vs post (t+30 to t+210)</w:t>
            </w:r>
          </w:p>
        </w:tc>
        <w:tc>
          <w:tcPr>
            <w:tcW w:type="dxa" w:w="2340"/>
          </w:tcPr>
          <w:p>
            <w:r/>
            <w:r>
              <w:rPr>
                <w:b w:val="0"/>
                <w:i w:val="0"/>
                <w:u w:val="none"/>
              </w:rPr>
              <w:t>+8.4 pp (stable)</w:t>
            </w:r>
          </w:p>
        </w:tc>
        <w:tc>
          <w:tcPr>
            <w:tcW w:type="dxa" w:w="2340"/>
          </w:tcPr>
          <w:p>
            <w:r/>
            <w:r>
              <w:rPr>
                <w:b w:val="0"/>
                <w:i w:val="0"/>
                <w:u w:val="none"/>
              </w:rPr>
              <w:t>−0.8 pp</w:t>
            </w:r>
          </w:p>
        </w:tc>
        <w:tc>
          <w:tcPr>
            <w:tcW w:type="dxa" w:w="2340"/>
          </w:tcPr>
          <w:p>
            <w:r/>
            <w:r>
              <w:rPr>
                <w:b w:val="0"/>
                <w:i w:val="0"/>
                <w:u w:val="none"/>
              </w:rPr>
              <w:t>β₃ = −0.8 pp (p = 0.738); no significant effect when anticipation excluded</w:t>
            </w:r>
          </w:p>
        </w:tc>
      </w:tr>
      <w:tr>
        <w:tc>
          <w:tcPr>
            <w:tcW w:type="dxa" w:w="2340"/>
          </w:tcPr>
          <w:p>
            <w:r/>
            <w:r>
              <w:rPr>
                <w:b w:val="0"/>
                <w:i w:val="0"/>
                <w:u w:val="none"/>
              </w:rPr>
              <w:t>Placebo (6 months early)</w:t>
            </w:r>
          </w:p>
        </w:tc>
        <w:tc>
          <w:tcPr>
            <w:tcW w:type="dxa" w:w="2340"/>
          </w:tcPr>
          <w:p>
            <w:r/>
            <w:r>
              <w:rPr>
                <w:b w:val="0"/>
                <w:i w:val="0"/>
                <w:u w:val="none"/>
              </w:rPr>
              <w:t>+12.0 pp</w:t>
            </w:r>
          </w:p>
        </w:tc>
        <w:tc>
          <w:tcPr>
            <w:tcW w:type="dxa" w:w="2340"/>
          </w:tcPr>
          <w:p>
            <w:r/>
            <w:r>
              <w:rPr>
                <w:b w:val="0"/>
                <w:i w:val="0"/>
                <w:u w:val="none"/>
              </w:rPr>
              <w:t>−13.1 pp</w:t>
            </w:r>
          </w:p>
        </w:tc>
        <w:tc>
          <w:tcPr>
            <w:tcW w:type="dxa" w:w="2340"/>
          </w:tcPr>
          <w:p>
            <w:r/>
            <w:r>
              <w:rPr>
                <w:b w:val="0"/>
                <w:i w:val="0"/>
                <w:u w:val="none"/>
              </w:rPr>
              <w:t>β₃ = −13.1 pp (p &lt; 0.001); significant placebo confirms contamination</w:t>
            </w:r>
          </w:p>
        </w:tc>
      </w:tr>
    </w:tbl>
    <w:p/>
    <w:p>
      <w:r>
        <w:rPr>
          <w:b w:val="0"/>
          <w:i/>
          <w:u w:val="none"/>
        </w:rPr>
        <w:t>Parallel trends violated in 180-day specification. Monthly ETH−BTC gap: stable at 4–8 pp from t−7 to t−5 months; spikes to 37.9 pp at t−3 months (anticipation trading). Pre-anticipation baseline preferred; causal interpretation not supported.</w:t>
      </w:r>
    </w:p>
    <w:p>
      <w:r>
        <w:rPr>
          <w:b w:val="0"/>
          <w:i w:val="0"/>
          <w:u w:val="none"/>
        </w:rPr>
        <w:t>The ETH merge experiment does not provide clean causal identification of an energy-removal effect on volatility. The parallel trends assumption fails. What the data do reveal — consistently across all windows — is that the ETH−BTC gap was compressed post-merge relative to the anticipation-driven peak, and that market participants reacted to the pending consensus change with elevated speculative volatility before the event. This is itself consistent with energy backing being valued: traders treated the upcoming removal of energy requirements as an uncertainty-increasing event, bidding up ETH volatility in anticipation.</w:t>
      </w:r>
    </w:p>
    <w:p>
      <w:r>
        <w:rPr>
          <w:b w:val="0"/>
          <w:i w:val="0"/>
          <w:u w:val="none"/>
        </w:rPr>
        <w:t>The ETH evidence is therefore treated as corroborative and descriptive — consistent with the energy-anchoring mechanism — rather than as a third causal identification source. The China ban results (Sections 2.6.1–2.6.2) carry the primary causal weight.</w:t>
      </w:r>
    </w:p>
    <w:p>
      <w:pPr>
        <w:pStyle w:val="Heading2"/>
      </w:pPr>
      <w:r>
        <w:t>2.7 Robustness</w:t>
      </w:r>
    </w:p>
    <w:p>
      <w:r>
        <w:rPr>
          <w:b w:val="0"/>
          <w:i w:val="0"/>
          <w:u w:val="none"/>
        </w:rPr>
        <w:t>Robustness checks use alternative return horizons (14-, 60-, and 90-day forward), alternative CEIR construction (moving average variants at 14, 30, and 60 days), sample exclusions (COVID period, 2019 start date), and HAC standard errors on the full daily sample. The pre-ban bias-corrected CEIR coefficient remains negative and significant (p &lt; 0.05) across all specifications.</w:t>
      </w:r>
    </w:p>
    <w:p>
      <w:r>
        <w:rPr>
          <w:b/>
          <w:i w:val="0"/>
          <w:u w:val="none"/>
        </w:rPr>
        <w:t>Placebo Chow tests.</w:t>
      </w:r>
      <w:r>
        <w:rPr>
          <w:b w:val="0"/>
          <w:i w:val="0"/>
          <w:u w:val="none"/>
        </w:rPr>
        <w:t xml:space="preserve"> Chow tests at six-month intervals from December 2019 through December 2024 confirm that the structural break is concentrated at the China ban date. All three pre-ban placebo dates (December 2019, June 2020, December 2020) yield F-statistics below 2.2 with p-values above 0.07, consistent with no structural break in that period. The June 2021 break date produces F = 4.638 (p = 0.0012), the highest F-statistic among pre-ban and near-ban dates. Post-2023 dates return to insignificance (F &lt; 2.4, p &gt; 0.05), confirming the break is not a persistent feature of the post-ban period but specifically tied to the regime transition.</w:t>
      </w:r>
    </w:p>
    <w:p>
      <w:r>
        <w:rPr>
          <w:b/>
          <w:i w:val="0"/>
          <w:u w:val="none"/>
        </w:rPr>
        <w:t>Block bootstrap.</w:t>
      </w:r>
      <w:r>
        <w:rPr>
          <w:b w:val="0"/>
          <w:i w:val="0"/>
          <w:u w:val="none"/>
        </w:rPr>
        <w:t xml:space="preserve"> 2000 block bootstrap replications (block size = 8 weeks) yield pre-ban 95% CI </w:t>
      </w:r>
      <w:r>
        <w:rPr>
          <w:b w:val="0"/>
          <w:i w:val="0"/>
          <w:u w:val="none"/>
        </w:rPr>
        <w:t>[</w:t>
      </w:r>
      <w:r>
        <w:rPr>
          <w:b w:val="0"/>
          <w:i w:val="0"/>
          <w:u w:val="none"/>
        </w:rPr>
        <w:t xml:space="preserve">−0.371, −0.002] and post-ban 95% CI </w:t>
      </w:r>
      <w:r>
        <w:rPr>
          <w:b w:val="0"/>
          <w:i w:val="0"/>
          <w:u w:val="none"/>
        </w:rPr>
        <w:t>[</w:t>
      </w:r>
      <w:r>
        <w:rPr>
          <w:b w:val="0"/>
          <w:i w:val="0"/>
          <w:u w:val="none"/>
        </w:rPr>
        <w:t>−0.210, 0.026]. The pre-ban interval excludes zero; 97.4% of pre-ban bootstrap draws produce β &lt; 0. The post-ban interval includes zero, consistent with the weaker but still positive directional signal documented in Table 2.3.</w:t>
      </w:r>
    </w:p>
    <w:p>
      <w:r>
        <w:rPr>
          <w:b/>
          <w:i w:val="0"/>
          <w:u w:val="none"/>
        </w:rPr>
        <w:t>Alternative sentiment proxy (Google Trends).</w:t>
      </w:r>
      <w:r>
        <w:rPr>
          <w:b w:val="0"/>
          <w:i w:val="0"/>
          <w:u w:val="none"/>
        </w:rPr>
        <w:t xml:space="preserve"> The Fear and Greed Index is a composite retail sentiment measure available only from 2018. As a robustness check, it is replaced with the monthly Google Trends search volume for "Bitcoin" — a documented attention proxy (Liu and Tsyvinski 2021, Panagiotidis et al. 2019). Table 2.6 reports the results. The pre-ban CEIR coefficient is −0.298 (SE = 0.062, p &lt; 0.001, N = 124), larger in magnitude than the baseline −0.206, confirming that the result is not an artefact of the specific sentiment control. The post-ban coefficient under Google Trends is −0.075 (SE = 0.043, p = 0.079), marginally less significant than the baseline −0.080 (p = 0.011), reflecting Google Trends' coarser monthly frequency.</w:t>
      </w:r>
    </w:p>
    <w:p>
      <w:pPr>
        <w:ind w:firstLine="0"/>
        <w:jc w:val="center"/>
      </w:pPr>
      <w:r>
        <w:rPr>
          <w:b/>
          <w:i w:val="0"/>
          <w:u w:val="none"/>
        </w:rPr>
        <w:t>Table 2.6: Sentiment Proxy Robustness (Pre-Ban and Post-Ban CEIR Coefficient)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b/>
                <w:i w:val="0"/>
                <w:u w:val="none"/>
              </w:rPr>
              <w:t>Sentiment Proxy</w:t>
            </w:r>
          </w:p>
        </w:tc>
        <w:tc>
          <w:tcPr>
            <w:tcW w:type="dxa" w:w="1337"/>
          </w:tcPr>
          <w:p>
            <w:pPr>
              <w:jc w:val="center"/>
            </w:pPr>
            <w:r/>
            <w:r>
              <w:rPr>
                <w:b/>
                <w:i w:val="0"/>
                <w:u w:val="none"/>
              </w:rPr>
              <w:t>Pre-Ban β</w:t>
            </w:r>
          </w:p>
        </w:tc>
        <w:tc>
          <w:tcPr>
            <w:tcW w:type="dxa" w:w="1337"/>
          </w:tcPr>
          <w:p>
            <w:pPr>
              <w:jc w:val="center"/>
            </w:pPr>
            <w:r/>
            <w:r>
              <w:rPr>
                <w:b/>
                <w:i w:val="0"/>
                <w:u w:val="none"/>
              </w:rPr>
              <w:t>SE</w:t>
            </w:r>
          </w:p>
        </w:tc>
        <w:tc>
          <w:tcPr>
            <w:tcW w:type="dxa" w:w="1337"/>
          </w:tcPr>
          <w:p>
            <w:pPr>
              <w:jc w:val="center"/>
            </w:pPr>
            <w:r/>
            <w:r>
              <w:rPr>
                <w:b/>
                <w:i w:val="0"/>
                <w:u w:val="none"/>
              </w:rPr>
              <w:t>p</w:t>
            </w:r>
          </w:p>
        </w:tc>
        <w:tc>
          <w:tcPr>
            <w:tcW w:type="dxa" w:w="1337"/>
          </w:tcPr>
          <w:p>
            <w:pPr>
              <w:jc w:val="center"/>
            </w:pPr>
            <w:r/>
            <w:r>
              <w:rPr>
                <w:b/>
                <w:i w:val="0"/>
                <w:u w:val="none"/>
              </w:rPr>
              <w:t>Post-Ban β</w:t>
            </w:r>
          </w:p>
        </w:tc>
        <w:tc>
          <w:tcPr>
            <w:tcW w:type="dxa" w:w="1337"/>
          </w:tcPr>
          <w:p>
            <w:pPr>
              <w:jc w:val="center"/>
            </w:pPr>
            <w:r/>
            <w:r>
              <w:rPr>
                <w:b/>
                <w:i w:val="0"/>
                <w:u w:val="none"/>
              </w:rPr>
              <w:t>SE</w:t>
            </w:r>
          </w:p>
        </w:tc>
        <w:tc>
          <w:tcPr>
            <w:tcW w:type="dxa" w:w="1337"/>
          </w:tcPr>
          <w:p>
            <w:pPr>
              <w:jc w:val="center"/>
            </w:pPr>
            <w:r/>
            <w:r>
              <w:rPr>
                <w:b/>
                <w:i w:val="0"/>
                <w:u w:val="none"/>
              </w:rPr>
              <w:t>p</w:t>
            </w:r>
          </w:p>
        </w:tc>
      </w:tr>
      <w:tr>
        <w:tc>
          <w:tcPr>
            <w:tcW w:type="dxa" w:w="1337"/>
          </w:tcPr>
          <w:p>
            <w:r/>
            <w:r>
              <w:rPr>
                <w:b w:val="0"/>
                <w:i w:val="0"/>
                <w:u w:val="none"/>
              </w:rPr>
              <w:t>Fear &amp; Greed Index (baseline)</w:t>
            </w:r>
          </w:p>
        </w:tc>
        <w:tc>
          <w:tcPr>
            <w:tcW w:type="dxa" w:w="1337"/>
          </w:tcPr>
          <w:p>
            <w:r/>
            <w:r>
              <w:rPr>
                <w:b w:val="0"/>
                <w:i w:val="0"/>
                <w:u w:val="none"/>
              </w:rPr>
              <w:t>−0.206</w:t>
            </w:r>
          </w:p>
        </w:tc>
        <w:tc>
          <w:tcPr>
            <w:tcW w:type="dxa" w:w="1337"/>
          </w:tcPr>
          <w:p>
            <w:r/>
            <w:r>
              <w:rPr>
                <w:b w:val="0"/>
                <w:i w:val="0"/>
                <w:u w:val="none"/>
              </w:rPr>
              <w:t>0.042</w:t>
            </w:r>
          </w:p>
        </w:tc>
        <w:tc>
          <w:tcPr>
            <w:tcW w:type="dxa" w:w="1337"/>
          </w:tcPr>
          <w:p>
            <w:r/>
            <w:r>
              <w:rPr>
                <w:b w:val="0"/>
                <w:i w:val="0"/>
                <w:u w:val="none"/>
              </w:rPr>
              <w:t>&lt;0.001</w:t>
            </w:r>
          </w:p>
        </w:tc>
        <w:tc>
          <w:tcPr>
            <w:tcW w:type="dxa" w:w="1337"/>
          </w:tcPr>
          <w:p>
            <w:r/>
            <w:r>
              <w:rPr>
                <w:b w:val="0"/>
                <w:i w:val="0"/>
                <w:u w:val="none"/>
              </w:rPr>
              <w:t>−0.080</w:t>
            </w:r>
          </w:p>
        </w:tc>
        <w:tc>
          <w:tcPr>
            <w:tcW w:type="dxa" w:w="1337"/>
          </w:tcPr>
          <w:p>
            <w:r/>
            <w:r>
              <w:rPr>
                <w:b w:val="0"/>
                <w:i w:val="0"/>
                <w:u w:val="none"/>
              </w:rPr>
              <w:t>0.031</w:t>
            </w:r>
          </w:p>
        </w:tc>
        <w:tc>
          <w:tcPr>
            <w:tcW w:type="dxa" w:w="1337"/>
          </w:tcPr>
          <w:p>
            <w:r/>
            <w:r>
              <w:rPr>
                <w:b w:val="0"/>
                <w:i w:val="0"/>
                <w:u w:val="none"/>
              </w:rPr>
              <w:t>0.011</w:t>
            </w:r>
          </w:p>
        </w:tc>
      </w:tr>
      <w:tr>
        <w:tc>
          <w:tcPr>
            <w:tcW w:type="dxa" w:w="1337"/>
          </w:tcPr>
          <w:p>
            <w:r/>
            <w:r>
              <w:rPr>
                <w:b w:val="0"/>
                <w:i w:val="0"/>
                <w:u w:val="none"/>
              </w:rPr>
              <w:t>Google Trends: Bitcoin</w:t>
            </w:r>
          </w:p>
        </w:tc>
        <w:tc>
          <w:tcPr>
            <w:tcW w:type="dxa" w:w="1337"/>
          </w:tcPr>
          <w:p>
            <w:r/>
            <w:r>
              <w:rPr>
                <w:b w:val="0"/>
                <w:i w:val="0"/>
                <w:u w:val="none"/>
              </w:rPr>
              <w:t>−0.298</w:t>
            </w:r>
          </w:p>
        </w:tc>
        <w:tc>
          <w:tcPr>
            <w:tcW w:type="dxa" w:w="1337"/>
          </w:tcPr>
          <w:p>
            <w:r/>
            <w:r>
              <w:rPr>
                <w:b w:val="0"/>
                <w:i w:val="0"/>
                <w:u w:val="none"/>
              </w:rPr>
              <w:t>0.062</w:t>
            </w:r>
          </w:p>
        </w:tc>
        <w:tc>
          <w:tcPr>
            <w:tcW w:type="dxa" w:w="1337"/>
          </w:tcPr>
          <w:p>
            <w:r/>
            <w:r>
              <w:rPr>
                <w:b w:val="0"/>
                <w:i w:val="0"/>
                <w:u w:val="none"/>
              </w:rPr>
              <w:t>&lt;0.001</w:t>
            </w:r>
          </w:p>
        </w:tc>
        <w:tc>
          <w:tcPr>
            <w:tcW w:type="dxa" w:w="1337"/>
          </w:tcPr>
          <w:p>
            <w:r/>
            <w:r>
              <w:rPr>
                <w:b w:val="0"/>
                <w:i w:val="0"/>
                <w:u w:val="none"/>
              </w:rPr>
              <w:t>−0.075</w:t>
            </w:r>
          </w:p>
        </w:tc>
        <w:tc>
          <w:tcPr>
            <w:tcW w:type="dxa" w:w="1337"/>
          </w:tcPr>
          <w:p>
            <w:r/>
            <w:r>
              <w:rPr>
                <w:b w:val="0"/>
                <w:i w:val="0"/>
                <w:u w:val="none"/>
              </w:rPr>
              <w:t>0.043</w:t>
            </w:r>
          </w:p>
        </w:tc>
        <w:tc>
          <w:tcPr>
            <w:tcW w:type="dxa" w:w="1337"/>
          </w:tcPr>
          <w:p>
            <w:r/>
            <w:r>
              <w:rPr>
                <w:b w:val="0"/>
                <w:i w:val="0"/>
                <w:u w:val="none"/>
              </w:rPr>
              <w:t>0.079</w:t>
            </w:r>
          </w:p>
        </w:tc>
      </w:tr>
    </w:tbl>
    <w:p/>
    <w:p>
      <w:r>
        <w:rPr>
          <w:b w:val="0"/>
          <w:i/>
          <w:u w:val="none"/>
        </w:rPr>
        <w:t>N = 124 (pre-ban), N = 200 (post-ban), weekly non-overlapping, HC1 errors, Amihud-Hurvich augmented specification.</w:t>
      </w:r>
    </w:p>
    <w:p>
      <w:r>
        <w:rPr>
          <w:b/>
          <w:i w:val="0"/>
          <w:u w:val="none"/>
        </w:rPr>
        <w:t>Rolling 52-week coefficient.</w:t>
      </w:r>
      <w:r>
        <w:rPr>
          <w:b w:val="0"/>
          <w:i w:val="0"/>
          <w:u w:val="none"/>
        </w:rPr>
        <w:t xml:space="preserve"> To examine the temporal evolution of CEIR predictability continuously rather than in two discrete regimes, a rolling 52-week window estimates the Amihud-Hurvich-corrected CEIR coefficient at each weekly observation point. Figure 2.1 (see </w:t>
      </w:r>
      <w:r>
        <w:rPr>
          <w:rFonts w:ascii="Courier New" w:hAnsi="Courier New"/>
          <w:b w:val="0"/>
          <w:i w:val="0"/>
          <w:sz w:val="21"/>
          <w:u w:val="none"/>
        </w:rPr>
        <w:t>rolling_ceir_coefficient.csv</w:t>
      </w:r>
      <w:r>
        <w:rPr>
          <w:b w:val="0"/>
          <w:i w:val="0"/>
          <w:u w:val="none"/>
        </w:rPr>
        <w:t>) plots this sequence. Over the pre-ban period, 84.9% of 52-week windows yield β &lt; 0. Post-ban, 93.0% of windows yield β &lt; 0 — consistent with CEIR predictability persisting after the regime shift, as reported in Table 2.3. The coefficient oscillates substantially week-to-week, as expected at the 52-week window scale (N ≈ 52 per estimate), but the directional dominance is consistent across both regimes. Selected coefficient estimates at year-end dates confirm the pattern: pre-ban 2020 (β = +0.09, driven by the COVID crash distortion); post-ban 2021H2 (β = −0.20, immediately post-ban); end-2021 (β = −1.02, during the crypto winter entry); and 2023 (β = −0.90). The 52-week rolling plot documents that CEIR's predictive content does not simply collapse after the regime break — it persists but at a lower average magnitude, consistent with the mechanism interpretation in Section 2.8.</w:t>
      </w:r>
    </w:p>
    <w:p>
      <w:r>
        <w:rPr>
          <w:b/>
          <w:i w:val="0"/>
          <w:u w:val="none"/>
        </w:rPr>
        <w:t>Regression discontinuity at the ban date.</w:t>
      </w:r>
      <w:r>
        <w:rPr>
          <w:b w:val="0"/>
          <w:i w:val="0"/>
          <w:u w:val="none"/>
        </w:rPr>
        <w:t xml:space="preserve"> A sharp regression discontinuity design provides a complementary identification strategy that does not rely on the full-sample split (Calonico, Cattaneo, and Titiunik 2014). Using a local linear estimator centred at June 21, 2021, the RD estimates the discontinuous jump in 30-day forward returns at the ban date. Table 2.7 reports results across four bandwidths.</w:t>
      </w:r>
    </w:p>
    <w:p>
      <w:pPr>
        <w:ind w:firstLine="0"/>
        <w:jc w:val="center"/>
      </w:pPr>
      <w:r>
        <w:rPr>
          <w:b/>
          <w:i w:val="0"/>
          <w:u w:val="none"/>
        </w:rPr>
        <w:t>Table 2.7: Sharp RD — Effect of China Ban on 30-Day Forward Returns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b/>
                <w:i w:val="0"/>
                <w:u w:val="none"/>
              </w:rPr>
              <w:t>Bandwidth</w:t>
            </w:r>
          </w:p>
        </w:tc>
        <w:tc>
          <w:tcPr>
            <w:tcW w:type="dxa" w:w="1872"/>
          </w:tcPr>
          <w:p>
            <w:pPr>
              <w:jc w:val="center"/>
            </w:pPr>
            <w:r/>
            <w:r>
              <w:rPr>
                <w:b/>
                <w:i w:val="0"/>
                <w:u w:val="none"/>
              </w:rPr>
              <w:t>RD Estimate</w:t>
            </w:r>
          </w:p>
        </w:tc>
        <w:tc>
          <w:tcPr>
            <w:tcW w:type="dxa" w:w="1872"/>
          </w:tcPr>
          <w:p>
            <w:pPr>
              <w:jc w:val="center"/>
            </w:pPr>
            <w:r/>
            <w:r>
              <w:rPr>
                <w:b/>
                <w:i w:val="0"/>
                <w:u w:val="none"/>
              </w:rPr>
              <w:t>SE</w:t>
            </w:r>
          </w:p>
        </w:tc>
        <w:tc>
          <w:tcPr>
            <w:tcW w:type="dxa" w:w="1872"/>
          </w:tcPr>
          <w:p>
            <w:pPr>
              <w:jc w:val="center"/>
            </w:pPr>
            <w:r/>
            <w:r>
              <w:rPr>
                <w:b/>
                <w:i w:val="0"/>
                <w:u w:val="none"/>
              </w:rPr>
              <w:t>p</w:t>
            </w:r>
          </w:p>
        </w:tc>
        <w:tc>
          <w:tcPr>
            <w:tcW w:type="dxa" w:w="1872"/>
          </w:tcPr>
          <w:p>
            <w:pPr>
              <w:jc w:val="center"/>
            </w:pPr>
            <w:r/>
            <w:r>
              <w:rPr>
                <w:b/>
                <w:i w:val="0"/>
                <w:u w:val="none"/>
              </w:rPr>
              <w:t>N</w:t>
            </w:r>
          </w:p>
        </w:tc>
      </w:tr>
      <w:tr>
        <w:tc>
          <w:tcPr>
            <w:tcW w:type="dxa" w:w="1872"/>
          </w:tcPr>
          <w:p>
            <w:r/>
            <w:r>
              <w:rPr>
                <w:b w:val="0"/>
                <w:i w:val="0"/>
                <w:u w:val="none"/>
              </w:rPr>
              <w:t>60 days</w:t>
            </w:r>
          </w:p>
        </w:tc>
        <w:tc>
          <w:tcPr>
            <w:tcW w:type="dxa" w:w="1872"/>
          </w:tcPr>
          <w:p>
            <w:r/>
            <w:r>
              <w:rPr>
                <w:b w:val="0"/>
                <w:i w:val="0"/>
                <w:u w:val="none"/>
              </w:rPr>
              <w:t>+0.264</w:t>
            </w:r>
          </w:p>
        </w:tc>
        <w:tc>
          <w:tcPr>
            <w:tcW w:type="dxa" w:w="1872"/>
          </w:tcPr>
          <w:p>
            <w:r/>
            <w:r>
              <w:rPr>
                <w:b w:val="0"/>
                <w:i w:val="0"/>
                <w:u w:val="none"/>
              </w:rPr>
              <w:t>0.054</w:t>
            </w:r>
          </w:p>
        </w:tc>
        <w:tc>
          <w:tcPr>
            <w:tcW w:type="dxa" w:w="1872"/>
          </w:tcPr>
          <w:p>
            <w:r/>
            <w:r>
              <w:rPr>
                <w:b w:val="0"/>
                <w:i w:val="0"/>
                <w:u w:val="none"/>
              </w:rPr>
              <w:t>&lt;0.001</w:t>
            </w:r>
          </w:p>
        </w:tc>
        <w:tc>
          <w:tcPr>
            <w:tcW w:type="dxa" w:w="1872"/>
          </w:tcPr>
          <w:p>
            <w:r/>
            <w:r>
              <w:rPr>
                <w:b w:val="0"/>
                <w:i w:val="0"/>
                <w:u w:val="none"/>
              </w:rPr>
              <w:t>121</w:t>
            </w:r>
          </w:p>
        </w:tc>
      </w:tr>
      <w:tr>
        <w:tc>
          <w:tcPr>
            <w:tcW w:type="dxa" w:w="1872"/>
          </w:tcPr>
          <w:p>
            <w:r/>
            <w:r>
              <w:rPr>
                <w:b w:val="0"/>
                <w:i w:val="0"/>
                <w:u w:val="none"/>
              </w:rPr>
              <w:t>90 days</w:t>
            </w:r>
          </w:p>
        </w:tc>
        <w:tc>
          <w:tcPr>
            <w:tcW w:type="dxa" w:w="1872"/>
          </w:tcPr>
          <w:p>
            <w:r/>
            <w:r>
              <w:rPr>
                <w:b w:val="0"/>
                <w:i w:val="0"/>
                <w:u w:val="none"/>
              </w:rPr>
              <w:t>+0.410</w:t>
            </w:r>
          </w:p>
        </w:tc>
        <w:tc>
          <w:tcPr>
            <w:tcW w:type="dxa" w:w="1872"/>
          </w:tcPr>
          <w:p>
            <w:r/>
            <w:r>
              <w:rPr>
                <w:b w:val="0"/>
                <w:i w:val="0"/>
                <w:u w:val="none"/>
              </w:rPr>
              <w:t>0.046</w:t>
            </w:r>
          </w:p>
        </w:tc>
        <w:tc>
          <w:tcPr>
            <w:tcW w:type="dxa" w:w="1872"/>
          </w:tcPr>
          <w:p>
            <w:r/>
            <w:r>
              <w:rPr>
                <w:b w:val="0"/>
                <w:i w:val="0"/>
                <w:u w:val="none"/>
              </w:rPr>
              <w:t>&lt;0.001</w:t>
            </w:r>
          </w:p>
        </w:tc>
        <w:tc>
          <w:tcPr>
            <w:tcW w:type="dxa" w:w="1872"/>
          </w:tcPr>
          <w:p>
            <w:r/>
            <w:r>
              <w:rPr>
                <w:b w:val="0"/>
                <w:i w:val="0"/>
                <w:u w:val="none"/>
              </w:rPr>
              <w:t>181</w:t>
            </w:r>
          </w:p>
        </w:tc>
      </w:tr>
      <w:tr>
        <w:tc>
          <w:tcPr>
            <w:tcW w:type="dxa" w:w="1872"/>
          </w:tcPr>
          <w:p>
            <w:r/>
            <w:r>
              <w:rPr>
                <w:b w:val="0"/>
                <w:i w:val="0"/>
                <w:u w:val="none"/>
              </w:rPr>
              <w:t>120 days</w:t>
            </w:r>
          </w:p>
        </w:tc>
        <w:tc>
          <w:tcPr>
            <w:tcW w:type="dxa" w:w="1872"/>
          </w:tcPr>
          <w:p>
            <w:r/>
            <w:r>
              <w:rPr>
                <w:b w:val="0"/>
                <w:i w:val="0"/>
                <w:u w:val="none"/>
              </w:rPr>
              <w:t>+0.437</w:t>
            </w:r>
          </w:p>
        </w:tc>
        <w:tc>
          <w:tcPr>
            <w:tcW w:type="dxa" w:w="1872"/>
          </w:tcPr>
          <w:p>
            <w:r/>
            <w:r>
              <w:rPr>
                <w:b w:val="0"/>
                <w:i w:val="0"/>
                <w:u w:val="none"/>
              </w:rPr>
              <w:t>0.041</w:t>
            </w:r>
          </w:p>
        </w:tc>
        <w:tc>
          <w:tcPr>
            <w:tcW w:type="dxa" w:w="1872"/>
          </w:tcPr>
          <w:p>
            <w:r/>
            <w:r>
              <w:rPr>
                <w:b w:val="0"/>
                <w:i w:val="0"/>
                <w:u w:val="none"/>
              </w:rPr>
              <w:t>&lt;0.001</w:t>
            </w:r>
          </w:p>
        </w:tc>
        <w:tc>
          <w:tcPr>
            <w:tcW w:type="dxa" w:w="1872"/>
          </w:tcPr>
          <w:p>
            <w:r/>
            <w:r>
              <w:rPr>
                <w:b w:val="0"/>
                <w:i w:val="0"/>
                <w:u w:val="none"/>
              </w:rPr>
              <w:t>241</w:t>
            </w:r>
          </w:p>
        </w:tc>
      </w:tr>
      <w:tr>
        <w:tc>
          <w:tcPr>
            <w:tcW w:type="dxa" w:w="1872"/>
          </w:tcPr>
          <w:p>
            <w:r/>
            <w:r>
              <w:rPr>
                <w:b w:val="0"/>
                <w:i w:val="0"/>
                <w:u w:val="none"/>
              </w:rPr>
              <w:t>180 days</w:t>
            </w:r>
          </w:p>
        </w:tc>
        <w:tc>
          <w:tcPr>
            <w:tcW w:type="dxa" w:w="1872"/>
          </w:tcPr>
          <w:p>
            <w:r/>
            <w:r>
              <w:rPr>
                <w:b w:val="0"/>
                <w:i w:val="0"/>
                <w:u w:val="none"/>
              </w:rPr>
              <w:t>+0.586</w:t>
            </w:r>
          </w:p>
        </w:tc>
        <w:tc>
          <w:tcPr>
            <w:tcW w:type="dxa" w:w="1872"/>
          </w:tcPr>
          <w:p>
            <w:r/>
            <w:r>
              <w:rPr>
                <w:b w:val="0"/>
                <w:i w:val="0"/>
                <w:u w:val="none"/>
              </w:rPr>
              <w:t>0.037</w:t>
            </w:r>
          </w:p>
        </w:tc>
        <w:tc>
          <w:tcPr>
            <w:tcW w:type="dxa" w:w="1872"/>
          </w:tcPr>
          <w:p>
            <w:r/>
            <w:r>
              <w:rPr>
                <w:b w:val="0"/>
                <w:i w:val="0"/>
                <w:u w:val="none"/>
              </w:rPr>
              <w:t>&lt;0.001</w:t>
            </w:r>
          </w:p>
        </w:tc>
        <w:tc>
          <w:tcPr>
            <w:tcW w:type="dxa" w:w="1872"/>
          </w:tcPr>
          <w:p>
            <w:r/>
            <w:r>
              <w:rPr>
                <w:b w:val="0"/>
                <w:i w:val="0"/>
                <w:u w:val="none"/>
              </w:rPr>
              <w:t>361</w:t>
            </w:r>
          </w:p>
        </w:tc>
      </w:tr>
    </w:tbl>
    <w:p/>
    <w:p>
      <w:r>
        <w:rPr>
          <w:b w:val="0"/>
          <w:i/>
          <w:u w:val="none"/>
        </w:rPr>
        <w:t>Local linear RD. Dependent variable: 30-day forward return. Bandwidth selection as shown; all use the same June 21, 2021 cutoff.</w:t>
      </w:r>
    </w:p>
    <w:p>
      <w:r>
        <w:rPr>
          <w:b w:val="0"/>
          <w:i w:val="0"/>
          <w:u w:val="none"/>
        </w:rPr>
        <w:t>The RD estimates a large and significant upward jump in forward returns at the ban date (40–60 pp at the 90–180 day bandwidths), consistent with a market revaluation event at the geographic shock. A separate RD on the CEIR coefficient itself (estimated via subsample regressions on either side of the cutoff) finds a significant discontinuous shift at the 60- and 90-day bandwidths (Δβ ≈ −0.82, p = 0.0005 at 90 days), providing direct RD evidence that the predictive relationship changed at the ban date — not merely before vs after. The 120-day bandwidth estimate is insignificant (p = 0.75), likely because a 120-day window on each side incorporates too much pre-ban and post-ban variation to isolate the local discontinuity. The RD evidence reinforces the Chow test conclusion that June 2021 marks a genuine structural break.</w:t>
      </w:r>
    </w:p>
    <w:p>
      <w:r>
        <w:rPr>
          <w:b/>
          <w:i w:val="0"/>
          <w:u w:val="none"/>
        </w:rPr>
        <w:t>Kazakhstan confounding event check.</w:t>
      </w:r>
      <w:r>
        <w:rPr>
          <w:b w:val="0"/>
          <w:i w:val="0"/>
          <w:u w:val="none"/>
        </w:rPr>
        <w:t xml:space="preserve"> The January 2022 internet blackout and power rationing in Kazakhstan — which forced approximately 13% of global hash rate offline within days — provides a useful contrast with the China ban. A Chow test at January 5, 2022 yields F = 6.592 (p = 0.0001), highly significant. However, the concurrent HHI shift was negligible: HHI moved from 0.232 to approximately 0.225 (Δ = −0.007), compared with the China ban's Δ = −0.187. This dissociation is informative. The significant Chow break at January 2022 despite minimal HHI change is consistent with the 2022 crypto market correction (Bitcoin fell 60%+ during H1 2022, driven by macro tightening and the Terra/LUNA collapse in May 2022) producing a regime change in return dynamics independent of any geographic concentration shift. The key point: a large macro shock (crypto winter) can generate a significant Chow break in the return model </w:t>
      </w:r>
      <w:r>
        <w:rPr>
          <w:b w:val="0"/>
          <w:i/>
          <w:u w:val="none"/>
        </w:rPr>
        <w:t>without</w:t>
      </w:r>
      <w:r>
        <w:rPr>
          <w:b w:val="0"/>
          <w:i w:val="0"/>
          <w:u w:val="none"/>
        </w:rPr>
        <w:t xml:space="preserve"> affecting the CEIR-HHI relationship. The China ban is distinct — it produced both a significant Chow break and a large HHI shift. This contrast confirms that the China ban Chow break is driven by the geographic concentration mechanism, not by generic market disruption: the Kazakhstan episode shows that market disruptions alone, in the absence of an HHI shock, produce a structurally different break pattern. This constitutes a falsification test for the mechanism interpretation.</w:t>
      </w:r>
    </w:p>
    <w:p>
      <w:r>
        <w:rPr>
          <w:b/>
          <w:i w:val="0"/>
          <w:u w:val="none"/>
        </w:rPr>
        <w:t>Carbon intensity control.</w:t>
      </w:r>
      <w:r>
        <w:rPr>
          <w:b w:val="0"/>
          <w:i w:val="0"/>
          <w:u w:val="none"/>
        </w:rPr>
        <w:t xml:space="preserve"> Mining geography correlates with carbon intensity: China's coal-heavy grid (581 gCO₂/kWh) was replaced post-ban by the US (386 gCO₂/kWh) and Kazakhstan (665 gCO₂/kWh). If investors priced ESG risk, carbon intensity may proxy for regulatory discount rather than CEIR, conflating the two. Pre-ban regression adding weighted carbon intensity (computed from Cambridge geography × IEA country emissions, gCO₂/kWh) yields β_CEIR = −0.342 (p &lt; 0.001) with β_carbon = −0.00524 (p = 0.008, N = 94). Post-ban: β_CEIR = −0.094 (p &lt; 0.001), β_carbon = +0.00204 (p = 0.338, N = 201). The CEIR coefficient survives carbon control in both periods — ruling out the alternative that CEIR is proxying for carbon-related ESG discounts. The pre-ban carbon coefficient is significant and negative (higher carbon → lower future returns), consistent with a regulatory risk discount on high-carbon mining, but this channel operates independently of the CEIR mechanism. The post-ban carbon coefficient is insignificant, consistent with geographic diversification reducing the salience of single-country carbon exposure. Note: the pre-ban N falls from 124 to 94 due to Cambridge coverage gaps for carbon weighting; the larger coefficient (−0.342 vs baseline −0.206) partly reflects the different sample.</w:t>
      </w:r>
    </w:p>
    <w:p>
      <w:r>
        <w:rPr>
          <w:b/>
          <w:i w:val="0"/>
          <w:u w:val="none"/>
        </w:rPr>
        <w:t>Post-ban sub-period analysis (daily OLS).</w:t>
      </w:r>
      <w:r>
        <w:rPr>
          <w:b w:val="0"/>
          <w:i w:val="0"/>
          <w:u w:val="none"/>
        </w:rPr>
        <w:t xml:space="preserve"> The post-ban CEIR coefficient's persistence (β = −0.080, p = 0.011) raises the question of whether residual coordination — US miners sharing similar regulatory and energy cost environments — gradually fades after 2021. Daily OLS regressions (HC1, CEIR-only specification for comparability across sub-periods) by sub-period yield: 2021H2 β = −1.094 (p &lt; 0.001, N = 194), 2022 β = −0.110 (p &lt; 0.001, N = 365), 2023+ β = −0.105 (p &lt; 0.001, N = 848). The sharp drop from 2021H2 to 2022 likely reflects the reordering of mining geography immediately after the ban — when US mining dominance was new and coordination comparatively high — rather than continued gradual decay. By 2022, the coefficient stabilises at a lower level consistent with the dispersed-but-not-zero coordination in the post-ban equilibrium. This pattern supports the interpretation that the remaining post-ban predictability reflects a persistent but attenuated coordination mechanism, not a temporary artefact.</w:t>
      </w:r>
    </w:p>
    <w:p>
      <w:pPr>
        <w:pStyle w:val="Heading2"/>
      </w:pPr>
      <w:r>
        <w:t>2.8 Implications</w:t>
      </w:r>
    </w:p>
    <w:p>
      <w:r>
        <w:rPr>
          <w:b w:val="0"/>
          <w:i w:val="0"/>
          <w:u w:val="none"/>
        </w:rPr>
        <w:t>The results establish three empirical facts with implications for the remainder of the thesis:</w:t>
      </w:r>
    </w:p>
    <w:p>
      <w:r>
        <w:rPr>
          <w:b/>
          <w:i w:val="0"/>
          <w:u w:val="none"/>
        </w:rPr>
        <w:t>Fact 1:</w:t>
      </w:r>
      <w:r>
        <w:rPr>
          <w:b w:val="0"/>
          <w:i w:val="0"/>
          <w:u w:val="none"/>
        </w:rPr>
        <w:t xml:space="preserve"> Energy anchoring is real and survives bias correction. The pre-ban CEIR results are robust to Stambaugh (1999) bias via Amihud-Hurvich (2004) augmented regression (β = −0.206, p &lt; 0.001), confirmed by block bootstrap with 97.4% of draws producing β &lt; 0. The China ban natural experiment provides credible causal identification.</w:t>
      </w:r>
    </w:p>
    <w:p>
      <w:r>
        <w:rPr>
          <w:b/>
          <w:i w:val="0"/>
          <w:u w:val="none"/>
        </w:rPr>
        <w:t>Fact 2:</w:t>
      </w:r>
      <w:r>
        <w:rPr>
          <w:b w:val="0"/>
          <w:i w:val="0"/>
          <w:u w:val="none"/>
        </w:rPr>
        <w:t xml:space="preserve"> Energy anchoring is coordination-dependent. Geographic concentration amplifies the mechanism approximately 3× (10.0 pp vs 3.5 pp per 1SD effect). Dispersion attenuates but does not eliminate the signal. Cost level alone is insufficient — the HHI drop from 0.42 to 0.18 is the operative variable, not the 12% rise in weighted electricity prices post-ban. The continuous HHI interaction (Table 2.3a) corroborates this: a 1SD increase in HHI amplifies the CEIR coefficient by an estimated 0.048 units (38%), consistent with concentration as a continuous moderator of the mechanism rather than a binary switch. Rolling coefficient analysis (Section 2.7) confirms the attenuation is not a statistical artefact of the regime split: 93% of post-ban 52-week windows yield β &lt; 0, compared to 85% pre-ban — the relationship persists but at reduced per-unit magnitude. Post-ban sub-period analysis further shows the coefficient stabilised quickly (at approximately −0.10) after an initial reordering period in 2021H2, consistent with a new lower-coordination equilibrium rather than continued decay.</w:t>
      </w:r>
    </w:p>
    <w:p>
      <w:r>
        <w:rPr>
          <w:b/>
          <w:i w:val="0"/>
          <w:u w:val="none"/>
        </w:rPr>
        <w:t>Fact 3:</w:t>
      </w:r>
      <w:r>
        <w:rPr>
          <w:b w:val="0"/>
          <w:i w:val="0"/>
          <w:u w:val="none"/>
        </w:rPr>
        <w:t xml:space="preserve"> The Ethereum merge is corroborative, not causal. Parallel trends are violated due to pre-merge anticipation spiking ETH vol. The ETH evidence is consistent with the energy-anchoring mechanism but cannot be treated as independent causal identification.</w:t>
      </w:r>
    </w:p>
    <w:p>
      <w:r>
        <w:rPr>
          <w:b w:val="0"/>
          <w:i w:val="0"/>
          <w:u w:val="none"/>
        </w:rPr>
        <w:t xml:space="preserve">These facts motivate the transition from passive to active anchoring. Bitcoin's passive mechanism relied on uncoordinated but structurally aligned incentives that dissolved with regulatory shock. Active anchoring — deliberately designed instruments whose payoffs explicitly encode energy-linked risk — can replicate the </w:t>
      </w:r>
      <w:r>
        <w:rPr>
          <w:b w:val="0"/>
          <w:i/>
          <w:u w:val="none"/>
        </w:rPr>
        <w:t>credibility condition</w:t>
      </w:r>
      <w:r>
        <w:rPr>
          <w:b w:val="0"/>
          <w:i w:val="0"/>
          <w:u w:val="none"/>
        </w:rPr>
        <w:t xml:space="preserve"> that made Bitcoin's floor functional, without depending on geographic concentration to supply that credibility.</w:t>
      </w:r>
    </w:p>
    <w:p>
      <w:r>
        <w:rPr>
          <w:b w:val="0"/>
          <w:i w:val="0"/>
          <w:u w:val="none"/>
        </w:rPr>
        <w:t>The credibility condition, made explicit: in the pre-ban regime, market participants believed the energy floor was real because large-scale miner arbitrage enforced it visibly and continuously. In a designed derivative, that same credibility must come from contractual enforcement: oracle-verified settlement, posted margin, and automated liquidation. Chapters 3 and 4 establish these conditions analytically. The empirical contribution of Chapter 2 is to confirm that once such a credible floor exists — by whatever mechanism — markets do in fact price it. The two halves of the thesis are therefore connected not by mechanism identity but by the common requirement of credibility.</w:t>
      </w:r>
    </w:p>
    <w:p>
      <w:r>
        <w:br w:type="page"/>
      </w:r>
    </w:p>
    <w:p>
      <w:pPr>
        <w:pStyle w:val="Heading1"/>
      </w:pPr>
      <w:r>
        <w:t>Chapter 3: Pricing Framework — Energy-Linked Derivatives</w:t>
      </w:r>
    </w:p>
    <w:p>
      <w:pPr>
        <w:pStyle w:val="Heading2"/>
      </w:pPr>
      <w:r>
        <w:t>3.1 The Cold-Start Problem</w:t>
      </w:r>
    </w:p>
    <w:p>
      <w:r>
        <w:rPr>
          <w:b w:val="0"/>
          <w:i w:val="0"/>
          <w:u w:val="none"/>
        </w:rPr>
        <w:t xml:space="preserve">The empirical findings in Chapter 2 establish both the motivation and the design requirement for energy-backed derivatives. The motivation is that markets price credible energy floors when enforcement is transparent and large-scale — established causally through the China ban experiment. The design requirement follows directly: for a designed instrument to command the same market recognition, its floor must be </w:t>
      </w:r>
      <w:r>
        <w:rPr>
          <w:b w:val="0"/>
          <w:i/>
          <w:u w:val="none"/>
        </w:rPr>
        <w:t>credibly enforced</w:t>
      </w:r>
      <w:r>
        <w:rPr>
          <w:b w:val="0"/>
          <w:i w:val="0"/>
          <w:u w:val="none"/>
        </w:rPr>
        <w:t>, which means it must be accurately priced and reliably settled. A poorly priced instrument — one whose premium is unjustifiable from first principles — cannot satisfy the credibility condition Chapter 2 identified as necessary, regardless of how well the contract is specified. Rigorous pricing is therefore not an academic exercise adjacent to the feasibility case; it is a load-bearing component of it.</w:t>
      </w:r>
    </w:p>
    <w:p>
      <w:r>
        <w:rPr>
          <w:b w:val="0"/>
          <w:i w:val="0"/>
          <w:u w:val="none"/>
        </w:rPr>
        <w:t>The practical obstacle is immediate: standard derivative pricing relies on market-implied volatility, calibrated from liquid options markets. No such market exists for distributed solar or wind energy production in emerging economies. This is not a minor data gap; it is the fundamental barrier to instrument design in these markets.</w:t>
      </w:r>
    </w:p>
    <w:p>
      <w:r>
        <w:rPr>
          <w:b w:val="0"/>
          <w:i w:val="0"/>
          <w:u w:val="none"/>
        </w:rPr>
        <w:t xml:space="preserve">This chapter solves the cold-start problem by replacing market-implied volatility with </w:t>
      </w:r>
      <w:r>
        <w:rPr>
          <w:b w:val="0"/>
          <w:i/>
          <w:u w:val="none"/>
        </w:rPr>
        <w:t>physics-based volatility</w:t>
      </w:r>
      <w:r>
        <w:rPr>
          <w:b w:val="0"/>
          <w:i w:val="0"/>
          <w:u w:val="none"/>
        </w:rPr>
        <w:t xml:space="preserve"> calibrated directly from satellite irradiance data. The intuition is straightforward: if the underlying risk in a solar energy derivative is weather-driven production variation, then the volatility parameter in the pricing model should reflect actual physical variation in irradiance, not the price-discovered expectations of a market that does not exist.</w:t>
      </w:r>
    </w:p>
    <w:p>
      <w:r>
        <w:rPr>
          <w:b w:val="0"/>
          <w:i w:val="0"/>
          <w:u w:val="none"/>
        </w:rPr>
        <w:t xml:space="preserve">This approach places the instrument in the weather derivatives literature established by Cao and Wei (2004), who demonstrate that non-tradeable underlying assets (temperature indices, irradiance) require the volatility input to come from physical measurement rather than market calibration. The key distinction from standard weather derivatives is that solar energy output is a </w:t>
      </w:r>
      <w:r>
        <w:rPr>
          <w:b w:val="0"/>
          <w:i/>
          <w:u w:val="none"/>
        </w:rPr>
        <w:t>continuous</w:t>
      </w:r>
      <w:r>
        <w:rPr>
          <w:b w:val="0"/>
          <w:i w:val="0"/>
          <w:u w:val="none"/>
        </w:rPr>
        <w:t xml:space="preserve"> function of irradiance measurable via satellite, allowing the volatility to be calibrated from a global, publicly available, tamper-resistant data source (NASA POWER) rather than from local ground stations with coverage gaps. This global availability is what makes the cold-start approach viable across emerging markets — the primary contribution relative to the Cao-Wei framework.</w:t>
      </w:r>
    </w:p>
    <w:p>
      <w:pPr>
        <w:pStyle w:val="Heading2"/>
      </w:pPr>
      <w:r>
        <w:t>3.2 Model Setup</w:t>
      </w:r>
    </w:p>
    <w:p>
      <w:pPr>
        <w:pStyle w:val="Heading3"/>
      </w:pPr>
      <w:r>
        <w:t>3.2.1 GBM Justification for Energy Derivatives at Thesis Horizon</w:t>
      </w:r>
    </w:p>
    <w:p>
      <w:r>
        <w:rPr>
          <w:b w:val="0"/>
          <w:i w:val="0"/>
          <w:u w:val="none"/>
        </w:rPr>
        <w:t xml:space="preserve">The standard objection to GBM for electricity prices is well-founded at long horizons: spot electricity prices exhibit mean reversion, seasonality, and jump behaviour that GBM cannot capture (Schwartz 1997, Lucia and Schwartz 2002). This is not disputed. The relevant question is whether these properties matter </w:t>
      </w:r>
      <w:r>
        <w:rPr>
          <w:b w:val="0"/>
          <w:i/>
          <w:u w:val="none"/>
        </w:rPr>
        <w:t>at the horizon and for the purpose</w:t>
      </w:r>
      <w:r>
        <w:rPr>
          <w:b w:val="0"/>
          <w:i w:val="0"/>
          <w:u w:val="none"/>
        </w:rPr>
        <w:t xml:space="preserve"> of this thesis.</w:t>
      </w:r>
    </w:p>
    <w:p>
      <w:r>
        <w:rPr>
          <w:b w:val="0"/>
          <w:i w:val="0"/>
          <w:u w:val="none"/>
        </w:rPr>
        <w:t>Three arguments justify GBM for T ≤ 1 year in this context.</w:t>
      </w:r>
    </w:p>
    <w:p>
      <w:r>
        <w:rPr>
          <w:b/>
          <w:i w:val="0"/>
          <w:u w:val="none"/>
        </w:rPr>
        <w:t>First, empirical:</w:t>
      </w:r>
      <w:r>
        <w:rPr>
          <w:b w:val="0"/>
          <w:i w:val="0"/>
          <w:u w:val="none"/>
        </w:rPr>
        <w:t xml:space="preserve"> The Jarque-Bera test on the filtered NASA POWER irradiance-return series used for calibration (Taiwan, 2019–2024; 4-day rolling mean with the top 1% of absolute log returns trimmed) yields p = 0.349, failing to reject normality at conventional levels. Log-normality is a necessary implication of GBM. If the filtered operational-volatility series — which drives the pricing calibration — produces approximately log-normal returns, the GBM assumption is consistent with the data generating process relevant to quarterly hedging at this location and horizon.</w:t>
      </w:r>
    </w:p>
    <w:p>
      <w:r>
        <w:rPr>
          <w:b/>
          <w:i w:val="0"/>
          <w:u w:val="none"/>
        </w:rPr>
        <w:t>Second, dominance of high-frequency noise:</w:t>
      </w:r>
      <w:r>
        <w:rPr>
          <w:b w:val="0"/>
          <w:i w:val="0"/>
          <w:u w:val="none"/>
        </w:rPr>
        <w:t xml:space="preserve"> At quarterly horizons (T = 0.25 years), the variance from high-frequency weather-driven irradiance noise dwarfs the variance from seasonal drift. With σ = 189% annualised, a three-month GBM trajectory has a standard deviation of 189% × √0.25 = 94.5% — roughly doubling or halving the underlying value with equal probability. Mean reversion at the annual scale is economically negligible against this magnitude of short-term noise. The mean-reverting component becomes relevant only at T &gt; 2 years, where the seasonal cycle completes and the drift term begins to dominate.</w:t>
      </w:r>
    </w:p>
    <w:p>
      <w:r>
        <w:rPr>
          <w:b/>
          <w:i w:val="0"/>
          <w:u w:val="none"/>
        </w:rPr>
        <w:t>Third, the purpose is pricing, not simulation:</w:t>
      </w:r>
      <w:r>
        <w:rPr>
          <w:b w:val="0"/>
          <w:i w:val="0"/>
          <w:u w:val="none"/>
        </w:rPr>
        <w:t xml:space="preserve"> The GBM framework is used to price a European option, not to simulate realistic electricity price paths for operational planning. Option pricing under GBM requires only that the risk-neutral dynamics are approximately log-normal at maturity — a weaker condition than requiring the full price path to be realistic. At T = 0.25 years with the observed log-normality of irradiance returns, this condition is satisfied.</w:t>
      </w:r>
    </w:p>
    <w:p>
      <w:r>
        <w:rPr>
          <w:b/>
          <w:i w:val="0"/>
          <w:u w:val="none"/>
        </w:rPr>
        <w:t>A fourth point on conservatism:</w:t>
      </w:r>
      <w:r>
        <w:rPr>
          <w:b w:val="0"/>
          <w:i w:val="0"/>
          <w:u w:val="none"/>
        </w:rPr>
        <w:t xml:space="preserve"> Comparing GBM prices to the Schwartz (1997) one-factor Ornstein-Uhlenbeck model across maturities reveals that GBM </w:t>
      </w:r>
      <w:r>
        <w:rPr>
          <w:b w:val="0"/>
          <w:i/>
          <w:u w:val="none"/>
        </w:rPr>
        <w:t>overprices</w:t>
      </w:r>
      <w:r>
        <w:rPr>
          <w:b w:val="0"/>
          <w:i w:val="0"/>
          <w:u w:val="none"/>
        </w:rPr>
        <w:t xml:space="preserve"> the option relative to mean-reverting dynamics at all horizons — making GBM a conservative upper bound from the seller's perspective. At T = 0.25 years with κ = 1.5 (an 8-month mean-reversion half-life within the empirical energy literature range), the OU effective volatility is σ_eff = 1.89 × √</w:t>
      </w:r>
      <w:r>
        <w:rPr>
          <w:b w:val="0"/>
          <w:i w:val="0"/>
          <w:u w:val="none"/>
        </w:rPr>
        <w:t>[</w:t>
      </w:r>
      <w:r>
        <w:rPr>
          <w:b w:val="0"/>
          <w:i w:val="0"/>
          <w:u w:val="none"/>
        </w:rPr>
        <w:t xml:space="preserve">(1−e^{−0.75})/0.75] = 1.59, producing a price 15% below GBM ($0.01629 vs $0.01918). At T = 1 year, σ_eff = 1.06, giving a 37% lower OU price. This conservatism property is practically valuable: sellers pricing at GBM are charging a premium that exceeds the mean-reverting fair value, providing a natural buffer for mean-reversion risk. For buyers seeking a revenue floor, the GBM price is an upper bound on what the instrument should rationally cost — any mean reversion in the underlying makes the option worth less, so GBM prices represent the most cautious buyer-side benchmark. </w:t>
      </w:r>
      <w:r>
        <w:rPr>
          <w:b/>
          <w:i w:val="0"/>
          <w:u w:val="none"/>
        </w:rPr>
        <w:t>Table 3.2a</w:t>
      </w:r>
      <w:r>
        <w:rPr>
          <w:b w:val="0"/>
          <w:i w:val="0"/>
          <w:u w:val="none"/>
        </w:rPr>
        <w:t xml:space="preserve"> in Section 3.7.3 quantifies this across maturities.</w:t>
      </w:r>
    </w:p>
    <w:p>
      <w:r>
        <w:rPr>
          <w:b w:val="0"/>
          <w:i w:val="0"/>
          <w:u w:val="none"/>
        </w:rPr>
        <w:t>We state explicitly that production-grade instruments at T &gt; 1 year should use Schwartz (1997) mean-reverting dynamics or seasonal extensions (Lucia and Schwartz 2002). The GBM framework here is scoped to its justifiable domain.</w:t>
      </w:r>
    </w:p>
    <w:p>
      <w:r>
        <w:rPr>
          <w:b w:val="0"/>
          <w:i w:val="0"/>
          <w:u w:val="none"/>
        </w:rPr>
        <w:t>The price process under the risk-neutral measure is:</w:t>
      </w:r>
    </w:p>
    <w:p>
      <w:pPr>
        <w:pStyle w:val="CodeBlock"/>
      </w:pPr>
      <w:r>
        <w:rPr>
          <w:rFonts w:ascii="Courier New" w:hAnsi="Courier New"/>
          <w:sz w:val="21"/>
        </w:rPr>
        <w:t>dS = r·S·dt + σ·S·dW_t</w:t>
        <w:br/>
      </w:r>
      <w:r>
        <w:rPr>
          <w:rFonts w:ascii="Courier New" w:hAnsi="Courier New"/>
          <w:sz w:val="21"/>
        </w:rPr>
        <w:br/>
      </w:r>
      <w:r>
        <w:rPr>
          <w:rFonts w:ascii="Courier New" w:hAnsi="Courier New"/>
          <w:sz w:val="21"/>
        </w:rPr>
        <w:t>S_t = S_0 · exp((r - σ²/2)·t + σ·W_t)</w:t>
      </w:r>
    </w:p>
    <w:p>
      <w:r>
        <w:rPr>
          <w:b w:val="0"/>
          <w:i w:val="0"/>
          <w:u w:val="none"/>
        </w:rPr>
        <w:t>Where S denotes the spot price of energy ($/kWh), r is the risk-free rate, σ is volatility calibrated from irradiance data, and W_t is a standard Brownian motion.</w:t>
      </w:r>
    </w:p>
    <w:p>
      <w:pPr>
        <w:pStyle w:val="Heading3"/>
      </w:pPr>
      <w:r>
        <w:t>3.2.2 Parameter Calibration</w:t>
      </w:r>
    </w:p>
    <w:p>
      <w:r>
        <w:rPr>
          <w:b/>
          <w:i w:val="0"/>
          <w:u w:val="none"/>
        </w:rPr>
        <w:t>Spot price (S₀):</w:t>
      </w:r>
      <w:r>
        <w:rPr>
          <w:b w:val="0"/>
          <w:i w:val="0"/>
          <w:u w:val="none"/>
        </w:rPr>
        <w:t xml:space="preserve"> The current electricity spot price, set to the LCOE of solar installation in each location. For Taiwan (primary case): S₀ = $0.0525/kWh, sourced from Bureau of Energy Taiwan solar LCOE estimates. For cross-location validation, LCOE values are benchmarked against IRENA's global renewable power generation cost data (IRENA 2024), which reports a global weighted-average solar PV LCOE of $0.043/kWh in 2023, ranging from $0.025/kWh in Germany's large-scale installations to $0.095/kWh in Brazil's distributed generation context — consistent with the parameter set used in Table 3.4.</w:t>
      </w:r>
    </w:p>
    <w:p>
      <w:r>
        <w:rPr>
          <w:b/>
          <w:i w:val="0"/>
          <w:u w:val="none"/>
        </w:rPr>
        <w:t>Volatility (σ):</w:t>
      </w:r>
      <w:r>
        <w:rPr>
          <w:b w:val="0"/>
          <w:i w:val="0"/>
          <w:u w:val="none"/>
        </w:rPr>
        <w:t xml:space="preserve"> Annualised standard deviation of log-changes in a filtered NASA POWER irradiance series from coordinates 23.5°N, 120.9°E (central Taiwan), 2019–2024. Specifically, daily irradiance is smoothed with a 4-day rolling mean and the top 1% of absolute log returns are trimmed before annualisation. This yields σ = 189.5% and Jarque-Bera p = 0.349. Raw daily irradiance returns are substantially noisier; the thesis therefore interprets 189.5% as a filtered operational volatility estimate for quarterly hedging rather than as a raw irradiance fact.</w:t>
      </w:r>
    </w:p>
    <w:p>
      <w:r>
        <w:rPr>
          <w:b w:val="0"/>
          <w:i w:val="0"/>
          <w:u w:val="none"/>
        </w:rPr>
        <w:t>The appropriate volatility input here is irradiance volatility, not electricity spot price volatility. Using electricity spot price volatility would create a calibration circularity: the instrument is designed for markets without a liquid electricity options market, and historical spot price volatility in such markets either does not exist or reflects regulated pricing that masks the true physical risk. Irradiance, by contrast, is the primary physical input driving generation uncertainty — the revenue risk that producers seek to hedge. Satellite-measured irradiance volatility is therefore the correct economic object: it measures the uncertainty in the asset that the option is written on. The practical difference is that irradiance volatility is higher and more stable across locations than electricity price volatility, which includes grid congestion and regulatory noise unrelated to generation risk.</w:t>
      </w:r>
    </w:p>
    <w:p>
      <w:r>
        <w:rPr>
          <w:b/>
          <w:i w:val="0"/>
          <w:u w:val="none"/>
        </w:rPr>
        <w:t>Risk-free rate (r):</w:t>
      </w:r>
      <w:r>
        <w:rPr>
          <w:b w:val="0"/>
          <w:i w:val="0"/>
          <w:u w:val="none"/>
        </w:rPr>
        <w:t xml:space="preserve"> 2.5%, corresponding to the Taiwan 1-year government bond yield.</w:t>
      </w:r>
    </w:p>
    <w:p>
      <w:r>
        <w:rPr>
          <w:b/>
          <w:i w:val="0"/>
          <w:u w:val="none"/>
        </w:rPr>
        <w:t>Strike (K):</w:t>
      </w:r>
      <w:r>
        <w:rPr>
          <w:b w:val="0"/>
          <w:i w:val="0"/>
          <w:u w:val="none"/>
        </w:rPr>
        <w:t xml:space="preserve"> Set to each location's LCOE, representing the producer's break-even price. Using LCOE as strike creates an at-the-money call option that pays when realised prices exceed the break-even threshold — a revenue floor instrument.</w:t>
      </w:r>
    </w:p>
    <w:p>
      <w:r>
        <w:rPr>
          <w:b/>
          <w:i w:val="0"/>
          <w:u w:val="none"/>
        </w:rPr>
        <w:t>Maturity (T):</w:t>
      </w:r>
      <w:r>
        <w:rPr>
          <w:b w:val="0"/>
          <w:i w:val="0"/>
          <w:u w:val="none"/>
        </w:rPr>
        <w:t xml:space="preserve"> Quarterly (T = 0.25 years), matching typical settlement windows in energy contracts.</w:t>
      </w:r>
    </w:p>
    <w:p>
      <w:pPr>
        <w:ind w:firstLine="0"/>
        <w:jc w:val="center"/>
      </w:pPr>
      <w:r>
        <w:rPr>
          <w:b/>
          <w:i w:val="0"/>
          <w:u w:val="none"/>
        </w:rPr>
        <w:t>Table 3.1: Parameter Set for Primary Taiwan Case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Parameter</w:t>
            </w:r>
          </w:p>
        </w:tc>
        <w:tc>
          <w:tcPr>
            <w:tcW w:type="dxa" w:w="3120"/>
          </w:tcPr>
          <w:p>
            <w:pPr>
              <w:jc w:val="center"/>
            </w:pPr>
            <w:r/>
            <w:r>
              <w:rPr>
                <w:b/>
                <w:i w:val="0"/>
                <w:u w:val="none"/>
              </w:rPr>
              <w:t>Value</w:t>
            </w:r>
          </w:p>
        </w:tc>
        <w:tc>
          <w:tcPr>
            <w:tcW w:type="dxa" w:w="3120"/>
          </w:tcPr>
          <w:p>
            <w:pPr>
              <w:jc w:val="center"/>
            </w:pPr>
            <w:r/>
            <w:r>
              <w:rPr>
                <w:b/>
                <w:i w:val="0"/>
                <w:u w:val="none"/>
              </w:rPr>
              <w:t>Source</w:t>
            </w:r>
          </w:p>
        </w:tc>
      </w:tr>
      <w:tr>
        <w:tc>
          <w:tcPr>
            <w:tcW w:type="dxa" w:w="3120"/>
          </w:tcPr>
          <w:p>
            <w:r/>
            <w:r>
              <w:rPr>
                <w:b w:val="0"/>
                <w:i w:val="0"/>
                <w:u w:val="none"/>
              </w:rPr>
              <w:t>S₀ (spot price, $/kWh)</w:t>
            </w:r>
          </w:p>
        </w:tc>
        <w:tc>
          <w:tcPr>
            <w:tcW w:type="dxa" w:w="3120"/>
          </w:tcPr>
          <w:p>
            <w:r/>
            <w:r>
              <w:rPr>
                <w:b w:val="0"/>
                <w:i w:val="0"/>
                <w:u w:val="none"/>
              </w:rPr>
              <w:t>0.0525</w:t>
            </w:r>
          </w:p>
        </w:tc>
        <w:tc>
          <w:tcPr>
            <w:tcW w:type="dxa" w:w="3120"/>
          </w:tcPr>
          <w:p>
            <w:r/>
            <w:r>
              <w:rPr>
                <w:b w:val="0"/>
                <w:i w:val="0"/>
                <w:u w:val="none"/>
              </w:rPr>
              <w:t>Bureau of Energy Taiwan, LCOE estimate</w:t>
            </w:r>
          </w:p>
        </w:tc>
      </w:tr>
      <w:tr>
        <w:tc>
          <w:tcPr>
            <w:tcW w:type="dxa" w:w="3120"/>
          </w:tcPr>
          <w:p>
            <w:r/>
            <w:r>
              <w:rPr>
                <w:b w:val="0"/>
                <w:i w:val="0"/>
                <w:u w:val="none"/>
              </w:rPr>
              <w:t>K (strike, $/kWh)</w:t>
            </w:r>
          </w:p>
        </w:tc>
        <w:tc>
          <w:tcPr>
            <w:tcW w:type="dxa" w:w="3120"/>
          </w:tcPr>
          <w:p>
            <w:r/>
            <w:r>
              <w:rPr>
                <w:b w:val="0"/>
                <w:i w:val="0"/>
                <w:u w:val="none"/>
              </w:rPr>
              <w:t>0.0525</w:t>
            </w:r>
          </w:p>
        </w:tc>
        <w:tc>
          <w:tcPr>
            <w:tcW w:type="dxa" w:w="3120"/>
          </w:tcPr>
          <w:p>
            <w:r/>
            <w:r>
              <w:rPr>
                <w:b w:val="0"/>
                <w:i w:val="0"/>
                <w:u w:val="none"/>
              </w:rPr>
              <w:t>Same as S₀ (at-the-money)</w:t>
            </w:r>
          </w:p>
        </w:tc>
      </w:tr>
      <w:tr>
        <w:tc>
          <w:tcPr>
            <w:tcW w:type="dxa" w:w="3120"/>
          </w:tcPr>
          <w:p>
            <w:r/>
            <w:r>
              <w:rPr>
                <w:b w:val="0"/>
                <w:i w:val="0"/>
                <w:u w:val="none"/>
              </w:rPr>
              <w:t>σ (volatility)</w:t>
            </w:r>
          </w:p>
        </w:tc>
        <w:tc>
          <w:tcPr>
            <w:tcW w:type="dxa" w:w="3120"/>
          </w:tcPr>
          <w:p>
            <w:r/>
            <w:r>
              <w:rPr>
                <w:b w:val="0"/>
                <w:i w:val="0"/>
                <w:u w:val="none"/>
              </w:rPr>
              <w:t>189.5%</w:t>
            </w:r>
          </w:p>
        </w:tc>
        <w:tc>
          <w:tcPr>
            <w:tcW w:type="dxa" w:w="3120"/>
          </w:tcPr>
          <w:p>
            <w:r/>
            <w:r>
              <w:rPr>
                <w:b w:val="0"/>
                <w:i w:val="0"/>
                <w:u w:val="none"/>
              </w:rPr>
              <w:t>NASA POWER irradiance, 2019–2024, explicit filtered preprocessing</w:t>
            </w:r>
          </w:p>
        </w:tc>
      </w:tr>
      <w:tr>
        <w:tc>
          <w:tcPr>
            <w:tcW w:type="dxa" w:w="3120"/>
          </w:tcPr>
          <w:p>
            <w:r/>
            <w:r>
              <w:rPr>
                <w:b w:val="0"/>
                <w:i w:val="0"/>
                <w:u w:val="none"/>
              </w:rPr>
              <w:t>r (risk-free rate)</w:t>
            </w:r>
          </w:p>
        </w:tc>
        <w:tc>
          <w:tcPr>
            <w:tcW w:type="dxa" w:w="3120"/>
          </w:tcPr>
          <w:p>
            <w:r/>
            <w:r>
              <w:rPr>
                <w:b w:val="0"/>
                <w:i w:val="0"/>
                <w:u w:val="none"/>
              </w:rPr>
              <w:t>2.5%</w:t>
            </w:r>
          </w:p>
        </w:tc>
        <w:tc>
          <w:tcPr>
            <w:tcW w:type="dxa" w:w="3120"/>
          </w:tcPr>
          <w:p>
            <w:r/>
            <w:r>
              <w:rPr>
                <w:b w:val="0"/>
                <w:i w:val="0"/>
                <w:u w:val="none"/>
              </w:rPr>
              <w:t>Taiwan 1-year government bond</w:t>
            </w:r>
          </w:p>
        </w:tc>
      </w:tr>
      <w:tr>
        <w:tc>
          <w:tcPr>
            <w:tcW w:type="dxa" w:w="3120"/>
          </w:tcPr>
          <w:p>
            <w:r/>
            <w:r>
              <w:rPr>
                <w:b w:val="0"/>
                <w:i w:val="0"/>
                <w:u w:val="none"/>
              </w:rPr>
              <w:t>T (maturity, years)</w:t>
            </w:r>
          </w:p>
        </w:tc>
        <w:tc>
          <w:tcPr>
            <w:tcW w:type="dxa" w:w="3120"/>
          </w:tcPr>
          <w:p>
            <w:r/>
            <w:r>
              <w:rPr>
                <w:b w:val="0"/>
                <w:i w:val="0"/>
                <w:u w:val="none"/>
              </w:rPr>
              <w:t>0.25</w:t>
            </w:r>
          </w:p>
        </w:tc>
        <w:tc>
          <w:tcPr>
            <w:tcW w:type="dxa" w:w="3120"/>
          </w:tcPr>
          <w:p>
            <w:r/>
            <w:r>
              <w:rPr>
                <w:b w:val="0"/>
                <w:i w:val="0"/>
                <w:u w:val="none"/>
              </w:rPr>
              <w:t>Quarterly settlement convention</w:t>
            </w:r>
          </w:p>
        </w:tc>
      </w:tr>
      <w:tr>
        <w:tc>
          <w:tcPr>
            <w:tcW w:type="dxa" w:w="3120"/>
          </w:tcPr>
          <w:p>
            <w:r/>
            <w:r>
              <w:rPr>
                <w:b w:val="0"/>
                <w:i w:val="0"/>
                <w:u w:val="none"/>
              </w:rPr>
              <w:t>N (binomial steps)</w:t>
            </w:r>
          </w:p>
        </w:tc>
        <w:tc>
          <w:tcPr>
            <w:tcW w:type="dxa" w:w="3120"/>
          </w:tcPr>
          <w:p>
            <w:r/>
            <w:r>
              <w:rPr>
                <w:b w:val="0"/>
                <w:i w:val="0"/>
                <w:u w:val="none"/>
              </w:rPr>
              <w:t>400</w:t>
            </w:r>
          </w:p>
        </w:tc>
        <w:tc>
          <w:tcPr>
            <w:tcW w:type="dxa" w:w="3120"/>
          </w:tcPr>
          <w:p>
            <w:r/>
            <w:r>
              <w:rPr>
                <w:b w:val="0"/>
                <w:i w:val="0"/>
                <w:u w:val="none"/>
              </w:rPr>
              <w:t>Convergence-verified</w:t>
            </w:r>
          </w:p>
        </w:tc>
      </w:tr>
      <w:tr>
        <w:tc>
          <w:tcPr>
            <w:tcW w:type="dxa" w:w="3120"/>
          </w:tcPr>
          <w:p>
            <w:r/>
            <w:r>
              <w:rPr>
                <w:b w:val="0"/>
                <w:i w:val="0"/>
                <w:u w:val="none"/>
              </w:rPr>
              <w:t>Paths (Monte Carlo)</w:t>
            </w:r>
          </w:p>
        </w:tc>
        <w:tc>
          <w:tcPr>
            <w:tcW w:type="dxa" w:w="3120"/>
          </w:tcPr>
          <w:p>
            <w:r/>
            <w:r>
              <w:rPr>
                <w:b w:val="0"/>
                <w:i w:val="0"/>
                <w:u w:val="none"/>
              </w:rPr>
              <w:t>20,000</w:t>
            </w:r>
          </w:p>
        </w:tc>
        <w:tc>
          <w:tcPr>
            <w:tcW w:type="dxa" w:w="3120"/>
          </w:tcPr>
          <w:p>
            <w:r/>
            <w:r>
              <w:rPr>
                <w:b w:val="0"/>
                <w:i w:val="0"/>
                <w:u w:val="none"/>
              </w:rPr>
              <w:t>Taiwan base-case convergence check (2.08% gap)</w:t>
            </w:r>
          </w:p>
        </w:tc>
      </w:tr>
    </w:tbl>
    <w:p/>
    <w:p>
      <w:pPr>
        <w:pStyle w:val="Heading2"/>
      </w:pPr>
      <w:r>
        <w:t>3.3 Binomial Tree Implementation</w:t>
      </w:r>
    </w:p>
    <w:p>
      <w:r>
        <w:rPr>
          <w:b w:val="0"/>
          <w:i w:val="0"/>
          <w:u w:val="none"/>
        </w:rPr>
        <w:t>The binomial model discretises the GBM process into a recombining lattice with up and down factors:</w:t>
      </w:r>
    </w:p>
    <w:p>
      <w:pPr>
        <w:pStyle w:val="CodeBlock"/>
      </w:pPr>
      <w:r>
        <w:rPr>
          <w:rFonts w:ascii="Courier New" w:hAnsi="Courier New"/>
          <w:sz w:val="21"/>
        </w:rPr>
        <w:t>u = exp(σ · √Δt)</w:t>
        <w:br/>
      </w:r>
      <w:r>
        <w:rPr>
          <w:rFonts w:ascii="Courier New" w:hAnsi="Courier New"/>
          <w:sz w:val="21"/>
        </w:rPr>
        <w:t>d = 1/u</w:t>
        <w:br/>
      </w:r>
      <w:r>
        <w:rPr>
          <w:rFonts w:ascii="Courier New" w:hAnsi="Courier New"/>
          <w:sz w:val="21"/>
        </w:rPr>
        <w:t>p = (exp(r · Δt) − d) / (u − d)   [risk-neutral probability]</w:t>
        <w:br/>
      </w:r>
      <w:r>
        <w:rPr>
          <w:rFonts w:ascii="Courier New" w:hAnsi="Courier New"/>
          <w:sz w:val="21"/>
        </w:rPr>
        <w:t>Δt = T/N</w:t>
      </w:r>
    </w:p>
    <w:p>
      <w:r>
        <w:rPr>
          <w:b w:val="0"/>
          <w:i w:val="0"/>
          <w:u w:val="none"/>
        </w:rPr>
        <w:t>Terminal payoffs for a European call option:</w:t>
      </w:r>
    </w:p>
    <w:p>
      <w:pPr>
        <w:pStyle w:val="CodeBlock"/>
      </w:pPr>
      <w:r>
        <w:rPr>
          <w:rFonts w:ascii="Courier New" w:hAnsi="Courier New"/>
          <w:sz w:val="21"/>
        </w:rPr>
        <w:t>V(N, j) = max(S(N, j) − K, 0)   for j = 0, 1, ..., N</w:t>
      </w:r>
    </w:p>
    <w:p>
      <w:r>
        <w:rPr>
          <w:b w:val="0"/>
          <w:i w:val="0"/>
          <w:u w:val="none"/>
        </w:rPr>
        <w:t>Backward induction yields the option price at each node:</w:t>
      </w:r>
    </w:p>
    <w:p>
      <w:pPr>
        <w:pStyle w:val="CodeBlock"/>
      </w:pPr>
      <w:r>
        <w:rPr>
          <w:rFonts w:ascii="Courier New" w:hAnsi="Courier New"/>
          <w:sz w:val="21"/>
        </w:rPr>
        <w:t>V(t, j) = exp(−r · Δt) · [p · V(t+1, j+1) + (1−p) · V(t+1, j)]</w:t>
      </w:r>
    </w:p>
    <w:p>
      <w:r>
        <w:rPr>
          <w:b w:val="0"/>
          <w:i w:val="0"/>
          <w:u w:val="none"/>
        </w:rPr>
        <w:t>Convergence to the Black-Scholes limit is verified by increasing N from 50 to 1,200 steps. Table 3.2 reports the convergence path: the price stabilises at $0.01918/kWh at N = 400 steps, with negligible change beyond that threshold. All subsequent results use N = 400.</w:t>
      </w:r>
    </w:p>
    <w:p>
      <w:pPr>
        <w:ind w:firstLine="0"/>
        <w:jc w:val="center"/>
      </w:pPr>
      <w:r>
        <w:rPr>
          <w:b/>
          <w:i w:val="0"/>
          <w:u w:val="none"/>
        </w:rPr>
        <w:t>Table 3.2: Binomial Tree Convergence (Taiwan Parameters)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Steps (N)</w:t>
            </w:r>
          </w:p>
        </w:tc>
        <w:tc>
          <w:tcPr>
            <w:tcW w:type="dxa" w:w="3120"/>
          </w:tcPr>
          <w:p>
            <w:pPr>
              <w:jc w:val="center"/>
            </w:pPr>
            <w:r/>
            <w:r>
              <w:rPr>
                <w:b/>
                <w:i w:val="0"/>
                <w:u w:val="none"/>
              </w:rPr>
              <w:t>Option Price ($/kWh)</w:t>
            </w:r>
          </w:p>
        </w:tc>
        <w:tc>
          <w:tcPr>
            <w:tcW w:type="dxa" w:w="3120"/>
          </w:tcPr>
          <w:p>
            <w:pPr>
              <w:jc w:val="center"/>
            </w:pPr>
            <w:r/>
            <w:r>
              <w:rPr>
                <w:b/>
                <w:i w:val="0"/>
                <w:u w:val="none"/>
              </w:rPr>
              <w:t>Change from Previous</w:t>
            </w:r>
          </w:p>
        </w:tc>
      </w:tr>
      <w:tr>
        <w:tc>
          <w:tcPr>
            <w:tcW w:type="dxa" w:w="3120"/>
          </w:tcPr>
          <w:p>
            <w:r/>
            <w:r>
              <w:rPr>
                <w:b w:val="0"/>
                <w:i w:val="0"/>
                <w:u w:val="none"/>
              </w:rPr>
              <w:t>50</w:t>
            </w:r>
          </w:p>
        </w:tc>
        <w:tc>
          <w:tcPr>
            <w:tcW w:type="dxa" w:w="3120"/>
          </w:tcPr>
          <w:p>
            <w:r/>
            <w:r>
              <w:rPr>
                <w:b w:val="0"/>
                <w:i w:val="0"/>
                <w:u w:val="none"/>
              </w:rPr>
              <w:t>0.01909</w:t>
            </w:r>
          </w:p>
        </w:tc>
        <w:tc>
          <w:tcPr>
            <w:tcW w:type="dxa" w:w="3120"/>
          </w:tcPr>
          <w:p>
            <w:r/>
            <w:r>
              <w:rPr>
                <w:b w:val="0"/>
                <w:i w:val="0"/>
                <w:u w:val="none"/>
              </w:rPr>
              <w:t>—</w:t>
            </w:r>
          </w:p>
        </w:tc>
      </w:tr>
      <w:tr>
        <w:tc>
          <w:tcPr>
            <w:tcW w:type="dxa" w:w="3120"/>
          </w:tcPr>
          <w:p>
            <w:r/>
            <w:r>
              <w:rPr>
                <w:b w:val="0"/>
                <w:i w:val="0"/>
                <w:u w:val="none"/>
              </w:rPr>
              <w:t>100</w:t>
            </w:r>
          </w:p>
        </w:tc>
        <w:tc>
          <w:tcPr>
            <w:tcW w:type="dxa" w:w="3120"/>
          </w:tcPr>
          <w:p>
            <w:r/>
            <w:r>
              <w:rPr>
                <w:b w:val="0"/>
                <w:i w:val="0"/>
                <w:u w:val="none"/>
              </w:rPr>
              <w:t>0.01914</w:t>
            </w:r>
          </w:p>
        </w:tc>
        <w:tc>
          <w:tcPr>
            <w:tcW w:type="dxa" w:w="3120"/>
          </w:tcPr>
          <w:p>
            <w:r/>
            <w:r>
              <w:rPr>
                <w:b w:val="0"/>
                <w:i w:val="0"/>
                <w:u w:val="none"/>
              </w:rPr>
              <w:t>+0.027%</w:t>
            </w:r>
          </w:p>
        </w:tc>
      </w:tr>
      <w:tr>
        <w:tc>
          <w:tcPr>
            <w:tcW w:type="dxa" w:w="3120"/>
          </w:tcPr>
          <w:p>
            <w:r/>
            <w:r>
              <w:rPr>
                <w:b w:val="0"/>
                <w:i w:val="0"/>
                <w:u w:val="none"/>
              </w:rPr>
              <w:t>200</w:t>
            </w:r>
          </w:p>
        </w:tc>
        <w:tc>
          <w:tcPr>
            <w:tcW w:type="dxa" w:w="3120"/>
          </w:tcPr>
          <w:p>
            <w:r/>
            <w:r>
              <w:rPr>
                <w:b w:val="0"/>
                <w:i w:val="0"/>
                <w:u w:val="none"/>
              </w:rPr>
              <w:t>0.01916</w:t>
            </w:r>
          </w:p>
        </w:tc>
        <w:tc>
          <w:tcPr>
            <w:tcW w:type="dxa" w:w="3120"/>
          </w:tcPr>
          <w:p>
            <w:r/>
            <w:r>
              <w:rPr>
                <w:b w:val="0"/>
                <w:i w:val="0"/>
                <w:u w:val="none"/>
              </w:rPr>
              <w:t>+0.010%</w:t>
            </w:r>
          </w:p>
        </w:tc>
      </w:tr>
      <w:tr>
        <w:tc>
          <w:tcPr>
            <w:tcW w:type="dxa" w:w="3120"/>
          </w:tcPr>
          <w:p>
            <w:r/>
            <w:r>
              <w:rPr>
                <w:b w:val="0"/>
                <w:i w:val="0"/>
                <w:u w:val="none"/>
              </w:rPr>
              <w:t>400</w:t>
            </w:r>
          </w:p>
        </w:tc>
        <w:tc>
          <w:tcPr>
            <w:tcW w:type="dxa" w:w="3120"/>
          </w:tcPr>
          <w:p>
            <w:r/>
            <w:r>
              <w:rPr>
                <w:b w:val="0"/>
                <w:i w:val="0"/>
                <w:u w:val="none"/>
              </w:rPr>
              <w:t>0.01917</w:t>
            </w:r>
          </w:p>
        </w:tc>
        <w:tc>
          <w:tcPr>
            <w:tcW w:type="dxa" w:w="3120"/>
          </w:tcPr>
          <w:p>
            <w:r/>
            <w:r>
              <w:rPr>
                <w:b w:val="0"/>
                <w:i w:val="0"/>
                <w:u w:val="none"/>
              </w:rPr>
              <w:t>+0.005%</w:t>
            </w:r>
          </w:p>
        </w:tc>
      </w:tr>
      <w:tr>
        <w:tc>
          <w:tcPr>
            <w:tcW w:type="dxa" w:w="3120"/>
          </w:tcPr>
          <w:p>
            <w:r/>
            <w:r>
              <w:rPr>
                <w:b w:val="0"/>
                <w:i w:val="0"/>
                <w:u w:val="none"/>
              </w:rPr>
              <w:t>800</w:t>
            </w:r>
          </w:p>
        </w:tc>
        <w:tc>
          <w:tcPr>
            <w:tcW w:type="dxa" w:w="3120"/>
          </w:tcPr>
          <w:p>
            <w:r/>
            <w:r>
              <w:rPr>
                <w:b w:val="0"/>
                <w:i w:val="0"/>
                <w:u w:val="none"/>
              </w:rPr>
              <w:t>0.01919</w:t>
            </w:r>
          </w:p>
        </w:tc>
        <w:tc>
          <w:tcPr>
            <w:tcW w:type="dxa" w:w="3120"/>
          </w:tcPr>
          <w:p>
            <w:r/>
            <w:r>
              <w:rPr>
                <w:b w:val="0"/>
                <w:i w:val="0"/>
                <w:u w:val="none"/>
              </w:rPr>
              <w:t>+0.010%</w:t>
            </w:r>
          </w:p>
        </w:tc>
      </w:tr>
      <w:tr>
        <w:tc>
          <w:tcPr>
            <w:tcW w:type="dxa" w:w="3120"/>
          </w:tcPr>
          <w:p>
            <w:r/>
            <w:r>
              <w:rPr>
                <w:b w:val="0"/>
                <w:i w:val="0"/>
                <w:u w:val="none"/>
              </w:rPr>
              <w:t>1,200</w:t>
            </w:r>
          </w:p>
        </w:tc>
        <w:tc>
          <w:tcPr>
            <w:tcW w:type="dxa" w:w="3120"/>
          </w:tcPr>
          <w:p>
            <w:r/>
            <w:r>
              <w:rPr>
                <w:b w:val="0"/>
                <w:i w:val="0"/>
                <w:u w:val="none"/>
              </w:rPr>
              <w:t>0.01921</w:t>
            </w:r>
          </w:p>
        </w:tc>
        <w:tc>
          <w:tcPr>
            <w:tcW w:type="dxa" w:w="3120"/>
          </w:tcPr>
          <w:p>
            <w:r/>
            <w:r>
              <w:rPr>
                <w:b w:val="0"/>
                <w:i w:val="0"/>
                <w:u w:val="none"/>
              </w:rPr>
              <w:t>+0.010%</w:t>
            </w:r>
          </w:p>
        </w:tc>
      </w:tr>
    </w:tbl>
    <w:p/>
    <w:p>
      <w:pPr>
        <w:pStyle w:val="Heading2"/>
      </w:pPr>
      <w:r>
        <w:t>3.4 Monte Carlo Validation</w:t>
      </w:r>
    </w:p>
    <w:p>
      <w:r>
        <w:rPr>
          <w:b w:val="0"/>
          <w:i w:val="0"/>
          <w:u w:val="none"/>
        </w:rPr>
        <w:t>Monte Carlo simulation provides an independent pricing estimate. Under the risk-neutral measure, terminal asset prices are drawn from:</w:t>
      </w:r>
    </w:p>
    <w:p>
      <w:pPr>
        <w:pStyle w:val="CodeBlock"/>
      </w:pPr>
      <w:r>
        <w:rPr>
          <w:rFonts w:ascii="Courier New" w:hAnsi="Courier New"/>
          <w:sz w:val="21"/>
        </w:rPr>
        <w:t>S_T = S_0 · exp((r − σ²/2) · T + σ · √T · Z),   Z ~ N(0,1)</w:t>
      </w:r>
    </w:p>
    <w:p>
      <w:r>
        <w:rPr>
          <w:b w:val="0"/>
          <w:i w:val="0"/>
          <w:u w:val="none"/>
        </w:rPr>
        <w:t>10,000 simulated paths yield a price estimate with 95% confidence interval. The critical validation is agreement between the two independent methods: systematic discrepancy would indicate a coding error or model inconsistency; agreement confirms that both methods correctly implement the same underlying model.</w:t>
      </w:r>
    </w:p>
    <w:p>
      <w:r>
        <w:rPr>
          <w:b w:val="0"/>
          <w:i w:val="0"/>
          <w:u w:val="none"/>
        </w:rPr>
        <w:t xml:space="preserve">For the Taiwan base case, the 10,000-path Monte Carlo run produces $0.02025/kWh (95% CI: </w:t>
      </w:r>
      <w:r>
        <w:rPr>
          <w:b w:val="0"/>
          <w:i w:val="0"/>
          <w:u w:val="none"/>
        </w:rPr>
        <w:t>[</w:t>
      </w:r>
      <w:r>
        <w:rPr>
          <w:b w:val="0"/>
          <w:i w:val="0"/>
          <w:u w:val="none"/>
        </w:rPr>
        <w:t>$0.01938, $0.02113]) against the binomial result of $0.01917/kWh — a 5.6% difference. Increasing the simulation to 20,000 paths reduces the reported Taiwan divergence to 2.08%, confirming that the gap is simulation variance rather than a systematic model inconsistency. The honest convergence claim is therefore not a blanket "&lt;1.4%" result but a Taiwan base-case gap of 2.08% at 20,000 paths, with the other locations ranging from 0.93% to 2.15%.</w:t>
      </w:r>
    </w:p>
    <w:p>
      <w:pPr>
        <w:pStyle w:val="Heading2"/>
      </w:pPr>
      <w:r>
        <w:t>3.5 Risk Parameters (Greeks)</w:t>
      </w:r>
    </w:p>
    <w:p>
      <w:r>
        <w:rPr>
          <w:b w:val="0"/>
          <w:i w:val="0"/>
          <w:u w:val="none"/>
        </w:rPr>
        <w:t>Risk management of energy-backed derivatives requires understanding how option value responds to changes in underlying parameters. Table 3.3 reports the five Greeks computed via central-difference finite differences.</w:t>
      </w:r>
    </w:p>
    <w:p>
      <w:pPr>
        <w:ind w:firstLine="0"/>
        <w:jc w:val="center"/>
      </w:pPr>
      <w:r>
        <w:rPr>
          <w:b/>
          <w:i w:val="0"/>
          <w:u w:val="none"/>
        </w:rPr>
        <w:t>Table 3.3: Option Greeks — Taiwan Base Case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Greek</w:t>
            </w:r>
          </w:p>
        </w:tc>
        <w:tc>
          <w:tcPr>
            <w:tcW w:type="dxa" w:w="2340"/>
          </w:tcPr>
          <w:p>
            <w:pPr>
              <w:jc w:val="center"/>
            </w:pPr>
            <w:r/>
            <w:r>
              <w:rPr>
                <w:b/>
                <w:i w:val="0"/>
                <w:u w:val="none"/>
              </w:rPr>
              <w:t>Symbol</w:t>
            </w:r>
          </w:p>
        </w:tc>
        <w:tc>
          <w:tcPr>
            <w:tcW w:type="dxa" w:w="2340"/>
          </w:tcPr>
          <w:p>
            <w:pPr>
              <w:jc w:val="center"/>
            </w:pPr>
            <w:r/>
            <w:r>
              <w:rPr>
                <w:b/>
                <w:i w:val="0"/>
                <w:u w:val="none"/>
              </w:rPr>
              <w:t>Value</w:t>
            </w:r>
          </w:p>
        </w:tc>
        <w:tc>
          <w:tcPr>
            <w:tcW w:type="dxa" w:w="2340"/>
          </w:tcPr>
          <w:p>
            <w:pPr>
              <w:jc w:val="center"/>
            </w:pPr>
            <w:r/>
            <w:r>
              <w:rPr>
                <w:b/>
                <w:i w:val="0"/>
                <w:u w:val="none"/>
              </w:rPr>
              <w:t>Interpretation</w:t>
            </w:r>
          </w:p>
        </w:tc>
      </w:tr>
      <w:tr>
        <w:tc>
          <w:tcPr>
            <w:tcW w:type="dxa" w:w="2340"/>
          </w:tcPr>
          <w:p>
            <w:r/>
            <w:r>
              <w:rPr>
                <w:b w:val="0"/>
                <w:i w:val="0"/>
                <w:u w:val="none"/>
              </w:rPr>
              <w:t>Delta</w:t>
            </w:r>
          </w:p>
        </w:tc>
        <w:tc>
          <w:tcPr>
            <w:tcW w:type="dxa" w:w="2340"/>
          </w:tcPr>
          <w:p>
            <w:r/>
            <w:r>
              <w:rPr>
                <w:b w:val="0"/>
                <w:i w:val="0"/>
                <w:u w:val="none"/>
              </w:rPr>
              <w:t>Δ = ∂V/∂S</w:t>
            </w:r>
          </w:p>
        </w:tc>
        <w:tc>
          <w:tcPr>
            <w:tcW w:type="dxa" w:w="2340"/>
          </w:tcPr>
          <w:p>
            <w:r/>
            <w:r>
              <w:rPr>
                <w:b w:val="0"/>
                <w:i w:val="0"/>
                <w:u w:val="none"/>
              </w:rPr>
              <w:t>0.58</w:t>
            </w:r>
          </w:p>
        </w:tc>
        <w:tc>
          <w:tcPr>
            <w:tcW w:type="dxa" w:w="2340"/>
          </w:tcPr>
          <w:p>
            <w:r/>
            <w:r>
              <w:rPr>
                <w:b w:val="0"/>
                <w:i w:val="0"/>
                <w:u w:val="none"/>
              </w:rPr>
              <w:t>Hold 0.58 kWh spot per option for delta-neutral hedge</w:t>
            </w:r>
          </w:p>
        </w:tc>
      </w:tr>
      <w:tr>
        <w:tc>
          <w:tcPr>
            <w:tcW w:type="dxa" w:w="2340"/>
          </w:tcPr>
          <w:p>
            <w:r/>
            <w:r>
              <w:rPr>
                <w:b w:val="0"/>
                <w:i w:val="0"/>
                <w:u w:val="none"/>
              </w:rPr>
              <w:t>Gamma</w:t>
            </w:r>
          </w:p>
        </w:tc>
        <w:tc>
          <w:tcPr>
            <w:tcW w:type="dxa" w:w="2340"/>
          </w:tcPr>
          <w:p>
            <w:r/>
            <w:r>
              <w:rPr>
                <w:b w:val="0"/>
                <w:i w:val="0"/>
                <w:u w:val="none"/>
              </w:rPr>
              <w:t>Γ = ∂²V/∂S²</w:t>
            </w:r>
          </w:p>
        </w:tc>
        <w:tc>
          <w:tcPr>
            <w:tcW w:type="dxa" w:w="2340"/>
          </w:tcPr>
          <w:p>
            <w:r/>
            <w:r>
              <w:rPr>
                <w:b w:val="0"/>
                <w:i w:val="0"/>
                <w:u w:val="none"/>
              </w:rPr>
              <w:t>4.23</w:t>
            </w:r>
          </w:p>
        </w:tc>
        <w:tc>
          <w:tcPr>
            <w:tcW w:type="dxa" w:w="2340"/>
          </w:tcPr>
          <w:p>
            <w:r/>
            <w:r>
              <w:rPr>
                <w:b w:val="0"/>
                <w:i w:val="0"/>
                <w:u w:val="none"/>
              </w:rPr>
              <w:t>Delta changes rapidly; frequent rebalancing required</w:t>
            </w:r>
          </w:p>
        </w:tc>
      </w:tr>
      <w:tr>
        <w:tc>
          <w:tcPr>
            <w:tcW w:type="dxa" w:w="2340"/>
          </w:tcPr>
          <w:p>
            <w:r/>
            <w:r>
              <w:rPr>
                <w:b w:val="0"/>
                <w:i w:val="0"/>
                <w:u w:val="none"/>
              </w:rPr>
              <w:t>Vega</w:t>
            </w:r>
          </w:p>
        </w:tc>
        <w:tc>
          <w:tcPr>
            <w:tcW w:type="dxa" w:w="2340"/>
          </w:tcPr>
          <w:p>
            <w:r/>
            <w:r>
              <w:rPr>
                <w:b w:val="0"/>
                <w:i w:val="0"/>
                <w:u w:val="none"/>
              </w:rPr>
              <w:t>ν = ∂V/∂σ</w:t>
            </w:r>
          </w:p>
        </w:tc>
        <w:tc>
          <w:tcPr>
            <w:tcW w:type="dxa" w:w="2340"/>
          </w:tcPr>
          <w:p>
            <w:r/>
            <w:r>
              <w:rPr>
                <w:b w:val="0"/>
                <w:i w:val="0"/>
                <w:u w:val="none"/>
              </w:rPr>
              <w:t>0.0189</w:t>
            </w:r>
          </w:p>
        </w:tc>
        <w:tc>
          <w:tcPr>
            <w:tcW w:type="dxa" w:w="2340"/>
          </w:tcPr>
          <w:p>
            <w:r/>
            <w:r>
              <w:rPr>
                <w:b w:val="0"/>
                <w:i w:val="0"/>
                <w:u w:val="none"/>
              </w:rPr>
              <w:t>High volatility sensitivity dominates other risk exposures</w:t>
            </w:r>
          </w:p>
        </w:tc>
      </w:tr>
      <w:tr>
        <w:tc>
          <w:tcPr>
            <w:tcW w:type="dxa" w:w="2340"/>
          </w:tcPr>
          <w:p>
            <w:r/>
            <w:r>
              <w:rPr>
                <w:b w:val="0"/>
                <w:i w:val="0"/>
                <w:u w:val="none"/>
              </w:rPr>
              <w:t>Theta</w:t>
            </w:r>
          </w:p>
        </w:tc>
        <w:tc>
          <w:tcPr>
            <w:tcW w:type="dxa" w:w="2340"/>
          </w:tcPr>
          <w:p>
            <w:r/>
            <w:r>
              <w:rPr>
                <w:b w:val="0"/>
                <w:i w:val="0"/>
                <w:u w:val="none"/>
              </w:rPr>
              <w:t>θ = ∂V/∂T</w:t>
            </w:r>
          </w:p>
        </w:tc>
        <w:tc>
          <w:tcPr>
            <w:tcW w:type="dxa" w:w="2340"/>
          </w:tcPr>
          <w:p>
            <w:r/>
            <w:r>
              <w:rPr>
                <w:b w:val="0"/>
                <w:i w:val="0"/>
                <w:u w:val="none"/>
              </w:rPr>
              <w:t>−0.0024</w:t>
            </w:r>
          </w:p>
        </w:tc>
        <w:tc>
          <w:tcPr>
            <w:tcW w:type="dxa" w:w="2340"/>
          </w:tcPr>
          <w:p>
            <w:r/>
            <w:r>
              <w:rPr>
                <w:b w:val="0"/>
                <w:i w:val="0"/>
                <w:u w:val="none"/>
              </w:rPr>
              <w:t>Slow time decay; volatility dominates over time</w:t>
            </w:r>
          </w:p>
        </w:tc>
      </w:tr>
      <w:tr>
        <w:tc>
          <w:tcPr>
            <w:tcW w:type="dxa" w:w="2340"/>
          </w:tcPr>
          <w:p>
            <w:r/>
            <w:r>
              <w:rPr>
                <w:b w:val="0"/>
                <w:i w:val="0"/>
                <w:u w:val="none"/>
              </w:rPr>
              <w:t>Rho</w:t>
            </w:r>
          </w:p>
        </w:tc>
        <w:tc>
          <w:tcPr>
            <w:tcW w:type="dxa" w:w="2340"/>
          </w:tcPr>
          <w:p>
            <w:r/>
            <w:r>
              <w:rPr>
                <w:b w:val="0"/>
                <w:i w:val="0"/>
                <w:u w:val="none"/>
              </w:rPr>
              <w:t>ρ = ∂V/∂r</w:t>
            </w:r>
          </w:p>
        </w:tc>
        <w:tc>
          <w:tcPr>
            <w:tcW w:type="dxa" w:w="2340"/>
          </w:tcPr>
          <w:p>
            <w:r/>
            <w:r>
              <w:rPr>
                <w:b w:val="0"/>
                <w:i w:val="0"/>
                <w:u w:val="none"/>
              </w:rPr>
              <w:t>0.0089</w:t>
            </w:r>
          </w:p>
        </w:tc>
        <w:tc>
          <w:tcPr>
            <w:tcW w:type="dxa" w:w="2340"/>
          </w:tcPr>
          <w:p>
            <w:r/>
            <w:r>
              <w:rPr>
                <w:b w:val="0"/>
                <w:i w:val="0"/>
                <w:u w:val="none"/>
              </w:rPr>
              <w:t>Minimal rate sensitivity</w:t>
            </w:r>
          </w:p>
        </w:tc>
      </w:tr>
    </w:tbl>
    <w:p/>
    <w:p>
      <w:r>
        <w:rPr>
          <w:b w:val="0"/>
          <w:i w:val="0"/>
          <w:u w:val="none"/>
        </w:rPr>
        <w:t>The dominant risk exposure is Vega: at σ = 189%, a 10 percentage point change in volatility changes option value by approximately $0.0019/kWh — roughly 10% of the base option price. This reflects the physics-based volatility being the primary uncertainty in the model, since spot prices and rates are comparatively stable in the markets targeted. Delta of 0.58 indicates a near-at-the-money option; the high Gamma (4.23) signals that rebalancing a delta hedge would require frequent adjustment if the instrument is actively managed.</w:t>
      </w:r>
    </w:p>
    <w:p>
      <w:pPr>
        <w:pStyle w:val="Heading2"/>
      </w:pPr>
      <w:r>
        <w:t>3.6 Global Validation</w:t>
      </w:r>
    </w:p>
    <w:p>
      <w:r>
        <w:rPr>
          <w:b w:val="0"/>
          <w:i w:val="0"/>
          <w:u w:val="none"/>
        </w:rPr>
        <w:t>To verify that the methodology is not calibrated specifically to Taiwan's parameters but generalises across solar markets, we apply the framework to four additional locations with differing spot prices, irradiance volatilities, and market conditions. Each location uses its own LCOE as the at-the-money strike.</w:t>
      </w:r>
    </w:p>
    <w:p>
      <w:pPr>
        <w:ind w:firstLine="0"/>
        <w:jc w:val="center"/>
      </w:pPr>
      <w:r>
        <w:rPr>
          <w:b/>
          <w:i w:val="0"/>
          <w:u w:val="none"/>
        </w:rPr>
        <w:t>Table 3.4: Cross-Location Pricing Validation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i w:val="0"/>
                <w:u w:val="none"/>
              </w:rPr>
              <w:t>Location</w:t>
            </w:r>
          </w:p>
        </w:tc>
        <w:tc>
          <w:tcPr>
            <w:tcW w:type="dxa" w:w="1560"/>
          </w:tcPr>
          <w:p>
            <w:pPr>
              <w:jc w:val="center"/>
            </w:pPr>
            <w:r/>
            <w:r>
              <w:rPr>
                <w:b/>
                <w:i w:val="0"/>
                <w:u w:val="none"/>
              </w:rPr>
              <w:t>S₀ ($/kWh)</w:t>
            </w:r>
          </w:p>
        </w:tc>
        <w:tc>
          <w:tcPr>
            <w:tcW w:type="dxa" w:w="1560"/>
          </w:tcPr>
          <w:p>
            <w:pPr>
              <w:jc w:val="center"/>
            </w:pPr>
            <w:r/>
            <w:r>
              <w:rPr>
                <w:b/>
                <w:i w:val="0"/>
                <w:u w:val="none"/>
              </w:rPr>
              <w:t>σ (%)</w:t>
            </w:r>
          </w:p>
        </w:tc>
        <w:tc>
          <w:tcPr>
            <w:tcW w:type="dxa" w:w="1560"/>
          </w:tcPr>
          <w:p>
            <w:pPr>
              <w:jc w:val="center"/>
            </w:pPr>
            <w:r/>
            <w:r>
              <w:rPr>
                <w:b/>
                <w:i w:val="0"/>
                <w:u w:val="none"/>
              </w:rPr>
              <w:t>Binomial</w:t>
            </w:r>
          </w:p>
        </w:tc>
        <w:tc>
          <w:tcPr>
            <w:tcW w:type="dxa" w:w="1560"/>
          </w:tcPr>
          <w:p>
            <w:pPr>
              <w:jc w:val="center"/>
            </w:pPr>
            <w:r/>
            <w:r>
              <w:rPr>
                <w:b/>
                <w:i w:val="0"/>
                <w:u w:val="none"/>
              </w:rPr>
              <w:t>Monte Carlo</w:t>
            </w:r>
          </w:p>
        </w:tc>
        <w:tc>
          <w:tcPr>
            <w:tcW w:type="dxa" w:w="1560"/>
          </w:tcPr>
          <w:p>
            <w:pPr>
              <w:jc w:val="center"/>
            </w:pPr>
            <w:r/>
            <w:r>
              <w:rPr>
                <w:b/>
                <w:i w:val="0"/>
                <w:u w:val="none"/>
              </w:rPr>
              <w:t>% Difference</w:t>
            </w:r>
          </w:p>
        </w:tc>
      </w:tr>
      <w:tr>
        <w:tc>
          <w:tcPr>
            <w:tcW w:type="dxa" w:w="1560"/>
          </w:tcPr>
          <w:p>
            <w:r/>
            <w:r>
              <w:rPr>
                <w:b w:val="0"/>
                <w:i w:val="0"/>
                <w:u w:val="none"/>
              </w:rPr>
              <w:t>Germany</w:t>
            </w:r>
          </w:p>
        </w:tc>
        <w:tc>
          <w:tcPr>
            <w:tcW w:type="dxa" w:w="1560"/>
          </w:tcPr>
          <w:p>
            <w:r/>
            <w:r>
              <w:rPr>
                <w:b w:val="0"/>
                <w:i w:val="0"/>
                <w:u w:val="none"/>
              </w:rPr>
              <w:t>0.0250</w:t>
            </w:r>
          </w:p>
        </w:tc>
        <w:tc>
          <w:tcPr>
            <w:tcW w:type="dxa" w:w="1560"/>
          </w:tcPr>
          <w:p>
            <w:r/>
            <w:r>
              <w:rPr>
                <w:b w:val="0"/>
                <w:i w:val="0"/>
                <w:u w:val="none"/>
              </w:rPr>
              <w:t>45%</w:t>
            </w:r>
          </w:p>
        </w:tc>
        <w:tc>
          <w:tcPr>
            <w:tcW w:type="dxa" w:w="1560"/>
          </w:tcPr>
          <w:p>
            <w:r/>
            <w:r>
              <w:rPr>
                <w:b w:val="0"/>
                <w:i w:val="0"/>
                <w:u w:val="none"/>
              </w:rPr>
              <w:t>0.00234</w:t>
            </w:r>
          </w:p>
        </w:tc>
        <w:tc>
          <w:tcPr>
            <w:tcW w:type="dxa" w:w="1560"/>
          </w:tcPr>
          <w:p>
            <w:r/>
            <w:r>
              <w:rPr>
                <w:b w:val="0"/>
                <w:i w:val="0"/>
                <w:u w:val="none"/>
              </w:rPr>
              <w:t>0.00236</w:t>
            </w:r>
          </w:p>
        </w:tc>
        <w:tc>
          <w:tcPr>
            <w:tcW w:type="dxa" w:w="1560"/>
          </w:tcPr>
          <w:p>
            <w:r/>
            <w:r>
              <w:rPr>
                <w:b w:val="0"/>
                <w:i w:val="0"/>
                <w:u w:val="none"/>
              </w:rPr>
              <w:t>0.93%</w:t>
            </w:r>
          </w:p>
        </w:tc>
      </w:tr>
      <w:tr>
        <w:tc>
          <w:tcPr>
            <w:tcW w:type="dxa" w:w="1560"/>
          </w:tcPr>
          <w:p>
            <w:r/>
            <w:r>
              <w:rPr>
                <w:b w:val="0"/>
                <w:i w:val="0"/>
                <w:u w:val="none"/>
              </w:rPr>
              <w:t>Taiwan</w:t>
            </w:r>
          </w:p>
        </w:tc>
        <w:tc>
          <w:tcPr>
            <w:tcW w:type="dxa" w:w="1560"/>
          </w:tcPr>
          <w:p>
            <w:r/>
            <w:r>
              <w:rPr>
                <w:b w:val="0"/>
                <w:i w:val="0"/>
                <w:u w:val="none"/>
              </w:rPr>
              <w:t>0.0525</w:t>
            </w:r>
          </w:p>
        </w:tc>
        <w:tc>
          <w:tcPr>
            <w:tcW w:type="dxa" w:w="1560"/>
          </w:tcPr>
          <w:p>
            <w:r/>
            <w:r>
              <w:rPr>
                <w:b w:val="0"/>
                <w:i w:val="0"/>
                <w:u w:val="none"/>
              </w:rPr>
              <w:t>189%</w:t>
            </w:r>
          </w:p>
        </w:tc>
        <w:tc>
          <w:tcPr>
            <w:tcW w:type="dxa" w:w="1560"/>
          </w:tcPr>
          <w:p>
            <w:r/>
            <w:r>
              <w:rPr>
                <w:b w:val="0"/>
                <w:i w:val="0"/>
                <w:u w:val="none"/>
              </w:rPr>
              <w:t>0.01917</w:t>
            </w:r>
          </w:p>
        </w:tc>
        <w:tc>
          <w:tcPr>
            <w:tcW w:type="dxa" w:w="1560"/>
          </w:tcPr>
          <w:p>
            <w:r/>
            <w:r>
              <w:rPr>
                <w:b w:val="0"/>
                <w:i w:val="0"/>
                <w:u w:val="none"/>
              </w:rPr>
              <w:t>0.01957</w:t>
            </w:r>
          </w:p>
        </w:tc>
        <w:tc>
          <w:tcPr>
            <w:tcW w:type="dxa" w:w="1560"/>
          </w:tcPr>
          <w:p>
            <w:r/>
            <w:r>
              <w:rPr>
                <w:b w:val="0"/>
                <w:i w:val="0"/>
                <w:u w:val="none"/>
              </w:rPr>
              <w:t>2.08%</w:t>
            </w:r>
          </w:p>
        </w:tc>
      </w:tr>
      <w:tr>
        <w:tc>
          <w:tcPr>
            <w:tcW w:type="dxa" w:w="1560"/>
          </w:tcPr>
          <w:p>
            <w:r/>
            <w:r>
              <w:rPr>
                <w:b w:val="0"/>
                <w:i w:val="0"/>
                <w:u w:val="none"/>
              </w:rPr>
              <w:t>Saudi Arabia</w:t>
            </w:r>
          </w:p>
        </w:tc>
        <w:tc>
          <w:tcPr>
            <w:tcW w:type="dxa" w:w="1560"/>
          </w:tcPr>
          <w:p>
            <w:r/>
            <w:r>
              <w:rPr>
                <w:b w:val="0"/>
                <w:i w:val="0"/>
                <w:u w:val="none"/>
              </w:rPr>
              <w:t>0.0550</w:t>
            </w:r>
          </w:p>
        </w:tc>
        <w:tc>
          <w:tcPr>
            <w:tcW w:type="dxa" w:w="1560"/>
          </w:tcPr>
          <w:p>
            <w:r/>
            <w:r>
              <w:rPr>
                <w:b w:val="0"/>
                <w:i w:val="0"/>
                <w:u w:val="none"/>
              </w:rPr>
              <w:t>172%</w:t>
            </w:r>
          </w:p>
        </w:tc>
        <w:tc>
          <w:tcPr>
            <w:tcW w:type="dxa" w:w="1560"/>
          </w:tcPr>
          <w:p>
            <w:r/>
            <w:r>
              <w:rPr>
                <w:b w:val="0"/>
                <w:i w:val="0"/>
                <w:u w:val="none"/>
              </w:rPr>
              <w:t>0.01841</w:t>
            </w:r>
          </w:p>
        </w:tc>
        <w:tc>
          <w:tcPr>
            <w:tcW w:type="dxa" w:w="1560"/>
          </w:tcPr>
          <w:p>
            <w:r/>
            <w:r>
              <w:rPr>
                <w:b w:val="0"/>
                <w:i w:val="0"/>
                <w:u w:val="none"/>
              </w:rPr>
              <w:t>0.01876</w:t>
            </w:r>
          </w:p>
        </w:tc>
        <w:tc>
          <w:tcPr>
            <w:tcW w:type="dxa" w:w="1560"/>
          </w:tcPr>
          <w:p>
            <w:r/>
            <w:r>
              <w:rPr>
                <w:b w:val="0"/>
                <w:i w:val="0"/>
                <w:u w:val="none"/>
              </w:rPr>
              <w:t>1.89%</w:t>
            </w:r>
          </w:p>
        </w:tc>
      </w:tr>
      <w:tr>
        <w:tc>
          <w:tcPr>
            <w:tcW w:type="dxa" w:w="1560"/>
          </w:tcPr>
          <w:p>
            <w:r/>
            <w:r>
              <w:rPr>
                <w:b w:val="0"/>
                <w:i w:val="0"/>
                <w:u w:val="none"/>
              </w:rPr>
              <w:t>Arizona, USA</w:t>
            </w:r>
          </w:p>
        </w:tc>
        <w:tc>
          <w:tcPr>
            <w:tcW w:type="dxa" w:w="1560"/>
          </w:tcPr>
          <w:p>
            <w:r/>
            <w:r>
              <w:rPr>
                <w:b w:val="0"/>
                <w:i w:val="0"/>
                <w:u w:val="none"/>
              </w:rPr>
              <w:t>0.0580</w:t>
            </w:r>
          </w:p>
        </w:tc>
        <w:tc>
          <w:tcPr>
            <w:tcW w:type="dxa" w:w="1560"/>
          </w:tcPr>
          <w:p>
            <w:r/>
            <w:r>
              <w:rPr>
                <w:b w:val="0"/>
                <w:i w:val="0"/>
                <w:u w:val="none"/>
              </w:rPr>
              <w:t>165%</w:t>
            </w:r>
          </w:p>
        </w:tc>
        <w:tc>
          <w:tcPr>
            <w:tcW w:type="dxa" w:w="1560"/>
          </w:tcPr>
          <w:p>
            <w:r/>
            <w:r>
              <w:rPr>
                <w:b w:val="0"/>
                <w:i w:val="0"/>
                <w:u w:val="none"/>
              </w:rPr>
              <w:t>0.01877</w:t>
            </w:r>
          </w:p>
        </w:tc>
        <w:tc>
          <w:tcPr>
            <w:tcW w:type="dxa" w:w="1560"/>
          </w:tcPr>
          <w:p>
            <w:r/>
            <w:r>
              <w:rPr>
                <w:b w:val="0"/>
                <w:i w:val="0"/>
                <w:u w:val="none"/>
              </w:rPr>
              <w:t>0.01911</w:t>
            </w:r>
          </w:p>
        </w:tc>
        <w:tc>
          <w:tcPr>
            <w:tcW w:type="dxa" w:w="1560"/>
          </w:tcPr>
          <w:p>
            <w:r/>
            <w:r>
              <w:rPr>
                <w:b w:val="0"/>
                <w:i w:val="0"/>
                <w:u w:val="none"/>
              </w:rPr>
              <w:t>1.81%</w:t>
            </w:r>
          </w:p>
        </w:tc>
      </w:tr>
      <w:tr>
        <w:tc>
          <w:tcPr>
            <w:tcW w:type="dxa" w:w="1560"/>
          </w:tcPr>
          <w:p>
            <w:r/>
            <w:r>
              <w:rPr>
                <w:b w:val="0"/>
                <w:i w:val="0"/>
                <w:u w:val="none"/>
              </w:rPr>
              <w:t>Brazil</w:t>
            </w:r>
          </w:p>
        </w:tc>
        <w:tc>
          <w:tcPr>
            <w:tcW w:type="dxa" w:w="1560"/>
          </w:tcPr>
          <w:p>
            <w:r/>
            <w:r>
              <w:rPr>
                <w:b w:val="0"/>
                <w:i w:val="0"/>
                <w:u w:val="none"/>
              </w:rPr>
              <w:t>0.0950</w:t>
            </w:r>
          </w:p>
        </w:tc>
        <w:tc>
          <w:tcPr>
            <w:tcW w:type="dxa" w:w="1560"/>
          </w:tcPr>
          <w:p>
            <w:r/>
            <w:r>
              <w:rPr>
                <w:b w:val="0"/>
                <w:i w:val="0"/>
                <w:u w:val="none"/>
              </w:rPr>
              <w:t>198%</w:t>
            </w:r>
          </w:p>
        </w:tc>
        <w:tc>
          <w:tcPr>
            <w:tcW w:type="dxa" w:w="1560"/>
          </w:tcPr>
          <w:p>
            <w:r/>
            <w:r>
              <w:rPr>
                <w:b w:val="0"/>
                <w:i w:val="0"/>
                <w:u w:val="none"/>
              </w:rPr>
              <w:t>0.03702</w:t>
            </w:r>
          </w:p>
        </w:tc>
        <w:tc>
          <w:tcPr>
            <w:tcW w:type="dxa" w:w="1560"/>
          </w:tcPr>
          <w:p>
            <w:r/>
            <w:r>
              <w:rPr>
                <w:b w:val="0"/>
                <w:i w:val="0"/>
                <w:u w:val="none"/>
              </w:rPr>
              <w:t>0.03781</w:t>
            </w:r>
          </w:p>
        </w:tc>
        <w:tc>
          <w:tcPr>
            <w:tcW w:type="dxa" w:w="1560"/>
          </w:tcPr>
          <w:p>
            <w:r/>
            <w:r>
              <w:rPr>
                <w:b w:val="0"/>
                <w:i w:val="0"/>
                <w:u w:val="none"/>
              </w:rPr>
              <w:t>2.15%</w:t>
            </w:r>
          </w:p>
        </w:tc>
      </w:tr>
    </w:tbl>
    <w:p/>
    <w:p>
      <w:r>
        <w:rPr>
          <w:b w:val="0"/>
          <w:i w:val="0"/>
          <w:u w:val="none"/>
        </w:rPr>
        <w:t>Agreement stays within 2.15% across all five locations. The more important cross-market result is economic rather than numerical: collar credit and oracle tolerance both scale with volatility, so Taiwan, Brazil, Saudi Arabia, and Arizona are the framework's natural deployment markets, while Germany remains a marginal low-volatility case.</w:t>
      </w:r>
    </w:p>
    <w:p>
      <w:pPr>
        <w:pStyle w:val="Heading2"/>
      </w:pPr>
      <w:r>
        <w:t>3.7 Extended Instrument Structures: Put, Collar, and Jump-Diffusion Robustness</w:t>
      </w:r>
    </w:p>
    <w:p>
      <w:pPr>
        <w:pStyle w:val="Heading3"/>
      </w:pPr>
      <w:r>
        <w:t>3.7.0 Moneyness Sensitivity</w:t>
      </w:r>
    </w:p>
    <w:p>
      <w:r>
        <w:rPr>
          <w:b w:val="0"/>
          <w:i w:val="0"/>
          <w:u w:val="none"/>
        </w:rPr>
        <w:t>A constant-volatility GBM model implies a flat implied volatility across strikes — the well-known limitation that real markets exhibit a volatility smile. Table 3.4a reports option prices across a range of strike levels for the Taiwan base case. An important practical observation emerges: at σ = 189%, the option price schedule is extremely flat. A 10% OTM call retains 91.8% of the ATM value; a 30% OTM call retains 77.8%. This insensitivity to moneyness — driven by the extreme continuous volatility — has a practical implication: the precision requirement on LCOE estimation is relaxed. If a producer's true break-even cost deviates from the estimated LCOE by 10%, the option price changes by less than 8%, reducing the cold-start calibration error from LCOE imprecision. This property holds across all four target markets (91.8–92.4% OTM/ATM ratio at 1.1× strike), confirming it is a structural feature of the high-volatility regime.</w:t>
      </w:r>
    </w:p>
    <w:p>
      <w:pPr>
        <w:ind w:firstLine="0"/>
        <w:jc w:val="center"/>
      </w:pPr>
      <w:r>
        <w:rPr>
          <w:b/>
          <w:i w:val="0"/>
          <w:u w:val="none"/>
        </w:rPr>
        <w:t>Table 3.4a: Option Price by Moneyness — Taiwan Base Case (S₀ = $0.0525, σ = 189%, T = 0.25)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i w:val="0"/>
                <w:u w:val="none"/>
              </w:rPr>
              <w:t>K/S₀</w:t>
            </w:r>
          </w:p>
        </w:tc>
        <w:tc>
          <w:tcPr>
            <w:tcW w:type="dxa" w:w="1560"/>
          </w:tcPr>
          <w:p>
            <w:pPr>
              <w:jc w:val="center"/>
            </w:pPr>
            <w:r/>
            <w:r>
              <w:rPr>
                <w:b/>
                <w:i w:val="0"/>
                <w:u w:val="none"/>
              </w:rPr>
              <w:t>K ($/kWh)</w:t>
            </w:r>
          </w:p>
        </w:tc>
        <w:tc>
          <w:tcPr>
            <w:tcW w:type="dxa" w:w="1560"/>
          </w:tcPr>
          <w:p>
            <w:pPr>
              <w:jc w:val="center"/>
            </w:pPr>
            <w:r/>
            <w:r>
              <w:rPr>
                <w:b/>
                <w:i w:val="0"/>
                <w:u w:val="none"/>
              </w:rPr>
              <w:t>Call</w:t>
            </w:r>
          </w:p>
        </w:tc>
        <w:tc>
          <w:tcPr>
            <w:tcW w:type="dxa" w:w="1560"/>
          </w:tcPr>
          <w:p>
            <w:pPr>
              <w:jc w:val="center"/>
            </w:pPr>
            <w:r/>
            <w:r>
              <w:rPr>
                <w:b/>
                <w:i w:val="0"/>
                <w:u w:val="none"/>
              </w:rPr>
              <w:t>Put</w:t>
            </w:r>
          </w:p>
        </w:tc>
        <w:tc>
          <w:tcPr>
            <w:tcW w:type="dxa" w:w="1560"/>
          </w:tcPr>
          <w:p>
            <w:pPr>
              <w:jc w:val="center"/>
            </w:pPr>
            <w:r/>
            <w:r>
              <w:rPr>
                <w:b/>
                <w:i w:val="0"/>
                <w:u w:val="none"/>
              </w:rPr>
              <w:t>Time Value (Call)</w:t>
            </w:r>
          </w:p>
        </w:tc>
        <w:tc>
          <w:tcPr>
            <w:tcW w:type="dxa" w:w="1560"/>
          </w:tcPr>
          <w:p>
            <w:pPr>
              <w:jc w:val="center"/>
            </w:pPr>
            <w:r/>
            <w:r>
              <w:rPr>
                <w:b/>
                <w:i w:val="0"/>
                <w:u w:val="none"/>
              </w:rPr>
              <w:t>Category</w:t>
            </w:r>
          </w:p>
        </w:tc>
      </w:tr>
      <w:tr>
        <w:tc>
          <w:tcPr>
            <w:tcW w:type="dxa" w:w="1560"/>
          </w:tcPr>
          <w:p>
            <w:r/>
            <w:r>
              <w:rPr>
                <w:b w:val="0"/>
                <w:i w:val="0"/>
                <w:u w:val="none"/>
              </w:rPr>
              <w:t>0.70×</w:t>
            </w:r>
          </w:p>
        </w:tc>
        <w:tc>
          <w:tcPr>
            <w:tcW w:type="dxa" w:w="1560"/>
          </w:tcPr>
          <w:p>
            <w:r/>
            <w:r>
              <w:rPr>
                <w:b w:val="0"/>
                <w:i w:val="0"/>
                <w:u w:val="none"/>
              </w:rPr>
              <w:t>0.0368</w:t>
            </w:r>
          </w:p>
        </w:tc>
        <w:tc>
          <w:tcPr>
            <w:tcW w:type="dxa" w:w="1560"/>
          </w:tcPr>
          <w:p>
            <w:r/>
            <w:r>
              <w:rPr>
                <w:b w:val="0"/>
                <w:i w:val="0"/>
                <w:u w:val="none"/>
              </w:rPr>
              <w:t>0.02524</w:t>
            </w:r>
          </w:p>
        </w:tc>
        <w:tc>
          <w:tcPr>
            <w:tcW w:type="dxa" w:w="1560"/>
          </w:tcPr>
          <w:p>
            <w:r/>
            <w:r>
              <w:rPr>
                <w:b w:val="0"/>
                <w:i w:val="0"/>
                <w:u w:val="none"/>
              </w:rPr>
              <w:t>0.00927</w:t>
            </w:r>
          </w:p>
        </w:tc>
        <w:tc>
          <w:tcPr>
            <w:tcW w:type="dxa" w:w="1560"/>
          </w:tcPr>
          <w:p>
            <w:r/>
            <w:r>
              <w:rPr>
                <w:b w:val="0"/>
                <w:i w:val="0"/>
                <w:u w:val="none"/>
              </w:rPr>
              <w:t>0.00949</w:t>
            </w:r>
          </w:p>
        </w:tc>
        <w:tc>
          <w:tcPr>
            <w:tcW w:type="dxa" w:w="1560"/>
          </w:tcPr>
          <w:p>
            <w:r/>
            <w:r>
              <w:rPr>
                <w:b w:val="0"/>
                <w:i w:val="0"/>
                <w:u w:val="none"/>
              </w:rPr>
              <w:t>Deep ITM</w:t>
            </w:r>
          </w:p>
        </w:tc>
      </w:tr>
      <w:tr>
        <w:tc>
          <w:tcPr>
            <w:tcW w:type="dxa" w:w="1560"/>
          </w:tcPr>
          <w:p>
            <w:r/>
            <w:r>
              <w:rPr>
                <w:b w:val="0"/>
                <w:i w:val="0"/>
                <w:u w:val="none"/>
              </w:rPr>
              <w:t>0.80×</w:t>
            </w:r>
          </w:p>
        </w:tc>
        <w:tc>
          <w:tcPr>
            <w:tcW w:type="dxa" w:w="1560"/>
          </w:tcPr>
          <w:p>
            <w:r/>
            <w:r>
              <w:rPr>
                <w:b w:val="0"/>
                <w:i w:val="0"/>
                <w:u w:val="none"/>
              </w:rPr>
              <w:t>0.0420</w:t>
            </w:r>
          </w:p>
        </w:tc>
        <w:tc>
          <w:tcPr>
            <w:tcW w:type="dxa" w:w="1560"/>
          </w:tcPr>
          <w:p>
            <w:r/>
            <w:r>
              <w:rPr>
                <w:b w:val="0"/>
                <w:i w:val="0"/>
                <w:u w:val="none"/>
              </w:rPr>
              <w:t>0.02297</w:t>
            </w:r>
          </w:p>
        </w:tc>
        <w:tc>
          <w:tcPr>
            <w:tcW w:type="dxa" w:w="1560"/>
          </w:tcPr>
          <w:p>
            <w:r/>
            <w:r>
              <w:rPr>
                <w:b w:val="0"/>
                <w:i w:val="0"/>
                <w:u w:val="none"/>
              </w:rPr>
              <w:t>0.01221</w:t>
            </w:r>
          </w:p>
        </w:tc>
        <w:tc>
          <w:tcPr>
            <w:tcW w:type="dxa" w:w="1560"/>
          </w:tcPr>
          <w:p>
            <w:r/>
            <w:r>
              <w:rPr>
                <w:b w:val="0"/>
                <w:i w:val="0"/>
                <w:u w:val="none"/>
              </w:rPr>
              <w:t>0.01247</w:t>
            </w:r>
          </w:p>
        </w:tc>
        <w:tc>
          <w:tcPr>
            <w:tcW w:type="dxa" w:w="1560"/>
          </w:tcPr>
          <w:p>
            <w:r/>
            <w:r>
              <w:rPr>
                <w:b w:val="0"/>
                <w:i w:val="0"/>
                <w:u w:val="none"/>
              </w:rPr>
              <w:t>ITM</w:t>
            </w:r>
          </w:p>
        </w:tc>
      </w:tr>
      <w:tr>
        <w:tc>
          <w:tcPr>
            <w:tcW w:type="dxa" w:w="1560"/>
          </w:tcPr>
          <w:p>
            <w:r/>
            <w:r>
              <w:rPr>
                <w:b w:val="0"/>
                <w:i w:val="0"/>
                <w:u w:val="none"/>
              </w:rPr>
              <w:t>0.90×</w:t>
            </w:r>
          </w:p>
        </w:tc>
        <w:tc>
          <w:tcPr>
            <w:tcW w:type="dxa" w:w="1560"/>
          </w:tcPr>
          <w:p>
            <w:r/>
            <w:r>
              <w:rPr>
                <w:b w:val="0"/>
                <w:i w:val="0"/>
                <w:u w:val="none"/>
              </w:rPr>
              <w:t>0.0473</w:t>
            </w:r>
          </w:p>
        </w:tc>
        <w:tc>
          <w:tcPr>
            <w:tcW w:type="dxa" w:w="1560"/>
          </w:tcPr>
          <w:p>
            <w:r/>
            <w:r>
              <w:rPr>
                <w:b w:val="0"/>
                <w:i w:val="0"/>
                <w:u w:val="none"/>
              </w:rPr>
              <w:t>0.02096</w:t>
            </w:r>
          </w:p>
        </w:tc>
        <w:tc>
          <w:tcPr>
            <w:tcW w:type="dxa" w:w="1560"/>
          </w:tcPr>
          <w:p>
            <w:r/>
            <w:r>
              <w:rPr>
                <w:b w:val="0"/>
                <w:i w:val="0"/>
                <w:u w:val="none"/>
              </w:rPr>
              <w:t>0.01542</w:t>
            </w:r>
          </w:p>
        </w:tc>
        <w:tc>
          <w:tcPr>
            <w:tcW w:type="dxa" w:w="1560"/>
          </w:tcPr>
          <w:p>
            <w:r/>
            <w:r>
              <w:rPr>
                <w:b w:val="0"/>
                <w:i w:val="0"/>
                <w:u w:val="none"/>
              </w:rPr>
              <w:t>0.01571</w:t>
            </w:r>
          </w:p>
        </w:tc>
        <w:tc>
          <w:tcPr>
            <w:tcW w:type="dxa" w:w="1560"/>
          </w:tcPr>
          <w:p>
            <w:r/>
            <w:r>
              <w:rPr>
                <w:b w:val="0"/>
                <w:i w:val="0"/>
                <w:u w:val="none"/>
              </w:rPr>
              <w:t>Near ATM</w:t>
            </w:r>
          </w:p>
        </w:tc>
      </w:tr>
      <w:tr>
        <w:tc>
          <w:tcPr>
            <w:tcW w:type="dxa" w:w="1560"/>
          </w:tcPr>
          <w:p>
            <w:r/>
            <w:r>
              <w:rPr>
                <w:b w:val="0"/>
                <w:i w:val="0"/>
                <w:u w:val="none"/>
              </w:rPr>
              <w:t>1.00×</w:t>
            </w:r>
          </w:p>
        </w:tc>
        <w:tc>
          <w:tcPr>
            <w:tcW w:type="dxa" w:w="1560"/>
          </w:tcPr>
          <w:p>
            <w:r/>
            <w:r>
              <w:rPr>
                <w:b w:val="0"/>
                <w:i w:val="0"/>
                <w:u w:val="none"/>
              </w:rPr>
              <w:t>0.0525</w:t>
            </w:r>
          </w:p>
        </w:tc>
        <w:tc>
          <w:tcPr>
            <w:tcW w:type="dxa" w:w="1560"/>
          </w:tcPr>
          <w:p>
            <w:r/>
            <w:r>
              <w:rPr>
                <w:b w:val="0"/>
                <w:i w:val="0"/>
                <w:u w:val="none"/>
              </w:rPr>
              <w:t>0.01918</w:t>
            </w:r>
          </w:p>
        </w:tc>
        <w:tc>
          <w:tcPr>
            <w:tcW w:type="dxa" w:w="1560"/>
          </w:tcPr>
          <w:p>
            <w:r/>
            <w:r>
              <w:rPr>
                <w:b w:val="0"/>
                <w:i w:val="0"/>
                <w:u w:val="none"/>
              </w:rPr>
              <w:t>0.01886</w:t>
            </w:r>
          </w:p>
        </w:tc>
        <w:tc>
          <w:tcPr>
            <w:tcW w:type="dxa" w:w="1560"/>
          </w:tcPr>
          <w:p>
            <w:r/>
            <w:r>
              <w:rPr>
                <w:b w:val="0"/>
                <w:i w:val="0"/>
                <w:u w:val="none"/>
              </w:rPr>
              <w:t>0.01918</w:t>
            </w:r>
          </w:p>
        </w:tc>
        <w:tc>
          <w:tcPr>
            <w:tcW w:type="dxa" w:w="1560"/>
          </w:tcPr>
          <w:p>
            <w:r/>
            <w:r>
              <w:rPr>
                <w:b w:val="0"/>
                <w:i w:val="0"/>
                <w:u w:val="none"/>
              </w:rPr>
              <w:t>ATM</w:t>
            </w:r>
          </w:p>
        </w:tc>
      </w:tr>
      <w:tr>
        <w:tc>
          <w:tcPr>
            <w:tcW w:type="dxa" w:w="1560"/>
          </w:tcPr>
          <w:p>
            <w:r/>
            <w:r>
              <w:rPr>
                <w:b w:val="0"/>
                <w:i w:val="0"/>
                <w:u w:val="none"/>
              </w:rPr>
              <w:t>1.10×</w:t>
            </w:r>
          </w:p>
        </w:tc>
        <w:tc>
          <w:tcPr>
            <w:tcW w:type="dxa" w:w="1560"/>
          </w:tcPr>
          <w:p>
            <w:r/>
            <w:r>
              <w:rPr>
                <w:b w:val="0"/>
                <w:i w:val="0"/>
                <w:u w:val="none"/>
              </w:rPr>
              <w:t>0.0578</w:t>
            </w:r>
          </w:p>
        </w:tc>
        <w:tc>
          <w:tcPr>
            <w:tcW w:type="dxa" w:w="1560"/>
          </w:tcPr>
          <w:p>
            <w:r/>
            <w:r>
              <w:rPr>
                <w:b w:val="0"/>
                <w:i w:val="0"/>
                <w:u w:val="none"/>
              </w:rPr>
              <w:t>0.01761</w:t>
            </w:r>
          </w:p>
        </w:tc>
        <w:tc>
          <w:tcPr>
            <w:tcW w:type="dxa" w:w="1560"/>
          </w:tcPr>
          <w:p>
            <w:r/>
            <w:r>
              <w:rPr>
                <w:b w:val="0"/>
                <w:i w:val="0"/>
                <w:u w:val="none"/>
              </w:rPr>
              <w:t>0.02250</w:t>
            </w:r>
          </w:p>
        </w:tc>
        <w:tc>
          <w:tcPr>
            <w:tcW w:type="dxa" w:w="1560"/>
          </w:tcPr>
          <w:p>
            <w:r/>
            <w:r>
              <w:rPr>
                <w:b w:val="0"/>
                <w:i w:val="0"/>
                <w:u w:val="none"/>
              </w:rPr>
              <w:t>0.01761</w:t>
            </w:r>
          </w:p>
        </w:tc>
        <w:tc>
          <w:tcPr>
            <w:tcW w:type="dxa" w:w="1560"/>
          </w:tcPr>
          <w:p>
            <w:r/>
            <w:r>
              <w:rPr>
                <w:b w:val="0"/>
                <w:i w:val="0"/>
                <w:u w:val="none"/>
              </w:rPr>
              <w:t>Near ATM</w:t>
            </w:r>
          </w:p>
        </w:tc>
      </w:tr>
      <w:tr>
        <w:tc>
          <w:tcPr>
            <w:tcW w:type="dxa" w:w="1560"/>
          </w:tcPr>
          <w:p>
            <w:r/>
            <w:r>
              <w:rPr>
                <w:b w:val="0"/>
                <w:i w:val="0"/>
                <w:u w:val="none"/>
              </w:rPr>
              <w:t>1.20×</w:t>
            </w:r>
          </w:p>
        </w:tc>
        <w:tc>
          <w:tcPr>
            <w:tcW w:type="dxa" w:w="1560"/>
          </w:tcPr>
          <w:p>
            <w:r/>
            <w:r>
              <w:rPr>
                <w:b w:val="0"/>
                <w:i w:val="0"/>
                <w:u w:val="none"/>
              </w:rPr>
              <w:t>0.0630</w:t>
            </w:r>
          </w:p>
        </w:tc>
        <w:tc>
          <w:tcPr>
            <w:tcW w:type="dxa" w:w="1560"/>
          </w:tcPr>
          <w:p>
            <w:r/>
            <w:r>
              <w:rPr>
                <w:b w:val="0"/>
                <w:i w:val="0"/>
                <w:u w:val="none"/>
              </w:rPr>
              <w:t>0.01620</w:t>
            </w:r>
          </w:p>
        </w:tc>
        <w:tc>
          <w:tcPr>
            <w:tcW w:type="dxa" w:w="1560"/>
          </w:tcPr>
          <w:p>
            <w:r/>
            <w:r>
              <w:rPr>
                <w:b w:val="0"/>
                <w:i w:val="0"/>
                <w:u w:val="none"/>
              </w:rPr>
              <w:t>0.02631</w:t>
            </w:r>
          </w:p>
        </w:tc>
        <w:tc>
          <w:tcPr>
            <w:tcW w:type="dxa" w:w="1560"/>
          </w:tcPr>
          <w:p>
            <w:r/>
            <w:r>
              <w:rPr>
                <w:b w:val="0"/>
                <w:i w:val="0"/>
                <w:u w:val="none"/>
              </w:rPr>
              <w:t>0.01620</w:t>
            </w:r>
          </w:p>
        </w:tc>
        <w:tc>
          <w:tcPr>
            <w:tcW w:type="dxa" w:w="1560"/>
          </w:tcPr>
          <w:p>
            <w:r/>
            <w:r>
              <w:rPr>
                <w:b w:val="0"/>
                <w:i w:val="0"/>
                <w:u w:val="none"/>
              </w:rPr>
              <w:t>OTM</w:t>
            </w:r>
          </w:p>
        </w:tc>
      </w:tr>
      <w:tr>
        <w:tc>
          <w:tcPr>
            <w:tcW w:type="dxa" w:w="1560"/>
          </w:tcPr>
          <w:p>
            <w:r/>
            <w:r>
              <w:rPr>
                <w:b w:val="0"/>
                <w:i w:val="0"/>
                <w:u w:val="none"/>
              </w:rPr>
              <w:t>1.30×</w:t>
            </w:r>
          </w:p>
        </w:tc>
        <w:tc>
          <w:tcPr>
            <w:tcW w:type="dxa" w:w="1560"/>
          </w:tcPr>
          <w:p>
            <w:r/>
            <w:r>
              <w:rPr>
                <w:b w:val="0"/>
                <w:i w:val="0"/>
                <w:u w:val="none"/>
              </w:rPr>
              <w:t>0.0683</w:t>
            </w:r>
          </w:p>
        </w:tc>
        <w:tc>
          <w:tcPr>
            <w:tcW w:type="dxa" w:w="1560"/>
          </w:tcPr>
          <w:p>
            <w:r/>
            <w:r>
              <w:rPr>
                <w:b w:val="0"/>
                <w:i w:val="0"/>
                <w:u w:val="none"/>
              </w:rPr>
              <w:t>0.01494</w:t>
            </w:r>
          </w:p>
        </w:tc>
        <w:tc>
          <w:tcPr>
            <w:tcW w:type="dxa" w:w="1560"/>
          </w:tcPr>
          <w:p>
            <w:r/>
            <w:r>
              <w:rPr>
                <w:b w:val="0"/>
                <w:i w:val="0"/>
                <w:u w:val="none"/>
              </w:rPr>
              <w:t>0.03026</w:t>
            </w:r>
          </w:p>
        </w:tc>
        <w:tc>
          <w:tcPr>
            <w:tcW w:type="dxa" w:w="1560"/>
          </w:tcPr>
          <w:p>
            <w:r/>
            <w:r>
              <w:rPr>
                <w:b w:val="0"/>
                <w:i w:val="0"/>
                <w:u w:val="none"/>
              </w:rPr>
              <w:t>0.01494</w:t>
            </w:r>
          </w:p>
        </w:tc>
        <w:tc>
          <w:tcPr>
            <w:tcW w:type="dxa" w:w="1560"/>
          </w:tcPr>
          <w:p>
            <w:r/>
            <w:r>
              <w:rPr>
                <w:b w:val="0"/>
                <w:i w:val="0"/>
                <w:u w:val="none"/>
              </w:rPr>
              <w:t>OTM</w:t>
            </w:r>
          </w:p>
        </w:tc>
      </w:tr>
    </w:tbl>
    <w:p/>
    <w:p>
      <w:r>
        <w:rPr>
          <w:b w:val="0"/>
          <w:i/>
          <w:u w:val="none"/>
        </w:rPr>
        <w:t>At σ = 189%, a 10% OTM call retains 91.8% of ATM value. At σ = 45% (Germany), the same moneyness shift would retain ~60% of ATM value — confirming that flat moneyness profiles are a high-volatility market feature.</w:t>
      </w:r>
    </w:p>
    <w:p>
      <w:pPr>
        <w:pStyle w:val="Heading3"/>
      </w:pPr>
      <w:r>
        <w:t>3.7.1 Put Option and Net-Credit Collar</w:t>
      </w:r>
    </w:p>
    <w:p>
      <w:r>
        <w:rPr>
          <w:b w:val="0"/>
          <w:i w:val="0"/>
          <w:u w:val="none"/>
        </w:rPr>
        <w:t>The framework extends directly to put options (revenue ceiling instruments, useful for energy buyers seeking to cap procurement costs) and collars (combined put-call structures creating a revenue band for producers). Table 3.5 reports prices across five markets. Put-call parity holds numerically to floating-point precision (deviation 3.5 × 10⁻¹⁸ for Taiwan), confirming internal consistency.</w:t>
      </w:r>
    </w:p>
    <w:p>
      <w:pPr>
        <w:ind w:firstLine="0"/>
        <w:jc w:val="center"/>
      </w:pPr>
      <w:r>
        <w:rPr>
          <w:b/>
          <w:i w:val="0"/>
          <w:u w:val="none"/>
        </w:rPr>
        <w:t>Table 3.5: Put and Collar Pricing Across Five Markets (ATM, T = 0.25)</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b/>
                <w:i w:val="0"/>
                <w:u w:val="none"/>
              </w:rPr>
              <w:t>Location</w:t>
            </w:r>
          </w:p>
        </w:tc>
        <w:tc>
          <w:tcPr>
            <w:tcW w:type="dxa" w:w="1337"/>
          </w:tcPr>
          <w:p>
            <w:pPr>
              <w:jc w:val="center"/>
            </w:pPr>
            <w:r/>
            <w:r>
              <w:rPr>
                <w:b/>
                <w:i w:val="0"/>
                <w:u w:val="none"/>
              </w:rPr>
              <w:t>S₀ ($/kWh)</w:t>
            </w:r>
          </w:p>
        </w:tc>
        <w:tc>
          <w:tcPr>
            <w:tcW w:type="dxa" w:w="1337"/>
          </w:tcPr>
          <w:p>
            <w:pPr>
              <w:jc w:val="center"/>
            </w:pPr>
            <w:r/>
            <w:r>
              <w:rPr>
                <w:b/>
                <w:i w:val="0"/>
                <w:u w:val="none"/>
              </w:rPr>
              <w:t>σ (%)</w:t>
            </w:r>
          </w:p>
        </w:tc>
        <w:tc>
          <w:tcPr>
            <w:tcW w:type="dxa" w:w="1337"/>
          </w:tcPr>
          <w:p>
            <w:pPr>
              <w:jc w:val="center"/>
            </w:pPr>
            <w:r/>
            <w:r>
              <w:rPr>
                <w:b/>
                <w:i w:val="0"/>
                <w:u w:val="none"/>
              </w:rPr>
              <w:t>Call</w:t>
            </w:r>
          </w:p>
        </w:tc>
        <w:tc>
          <w:tcPr>
            <w:tcW w:type="dxa" w:w="1337"/>
          </w:tcPr>
          <w:p>
            <w:pPr>
              <w:jc w:val="center"/>
            </w:pPr>
            <w:r/>
            <w:r>
              <w:rPr>
                <w:b/>
                <w:i w:val="0"/>
                <w:u w:val="none"/>
              </w:rPr>
              <w:t>Put</w:t>
            </w:r>
          </w:p>
        </w:tc>
        <w:tc>
          <w:tcPr>
            <w:tcW w:type="dxa" w:w="1337"/>
          </w:tcPr>
          <w:p>
            <w:pPr>
              <w:jc w:val="center"/>
            </w:pPr>
            <w:r/>
            <w:r>
              <w:rPr>
                <w:b/>
                <w:i w:val="0"/>
                <w:u w:val="none"/>
              </w:rPr>
              <w:t>Put/Call</w:t>
            </w:r>
          </w:p>
        </w:tc>
        <w:tc>
          <w:tcPr>
            <w:tcW w:type="dxa" w:w="1337"/>
          </w:tcPr>
          <w:p>
            <w:pPr>
              <w:jc w:val="center"/>
            </w:pPr>
            <w:r/>
            <w:r>
              <w:rPr>
                <w:b/>
                <w:i w:val="0"/>
                <w:u w:val="none"/>
              </w:rPr>
              <w:t>Collar Net Cost</w:t>
            </w:r>
          </w:p>
        </w:tc>
      </w:tr>
      <w:tr>
        <w:tc>
          <w:tcPr>
            <w:tcW w:type="dxa" w:w="1337"/>
          </w:tcPr>
          <w:p>
            <w:r/>
            <w:r>
              <w:rPr>
                <w:b w:val="0"/>
                <w:i w:val="0"/>
                <w:u w:val="none"/>
              </w:rPr>
              <w:t>Germany</w:t>
            </w:r>
          </w:p>
        </w:tc>
        <w:tc>
          <w:tcPr>
            <w:tcW w:type="dxa" w:w="1337"/>
          </w:tcPr>
          <w:p>
            <w:r/>
            <w:r>
              <w:rPr>
                <w:b w:val="0"/>
                <w:i w:val="0"/>
                <w:u w:val="none"/>
              </w:rPr>
              <w:t>0.0250</w:t>
            </w:r>
          </w:p>
        </w:tc>
        <w:tc>
          <w:tcPr>
            <w:tcW w:type="dxa" w:w="1337"/>
          </w:tcPr>
          <w:p>
            <w:r/>
            <w:r>
              <w:rPr>
                <w:b w:val="0"/>
                <w:i w:val="0"/>
                <w:u w:val="none"/>
              </w:rPr>
              <w:t>45%</w:t>
            </w:r>
          </w:p>
        </w:tc>
        <w:tc>
          <w:tcPr>
            <w:tcW w:type="dxa" w:w="1337"/>
          </w:tcPr>
          <w:p>
            <w:r/>
            <w:r>
              <w:rPr>
                <w:b w:val="0"/>
                <w:i w:val="0"/>
                <w:u w:val="none"/>
              </w:rPr>
              <w:t>0.00234</w:t>
            </w:r>
          </w:p>
        </w:tc>
        <w:tc>
          <w:tcPr>
            <w:tcW w:type="dxa" w:w="1337"/>
          </w:tcPr>
          <w:p>
            <w:r/>
            <w:r>
              <w:rPr>
                <w:b w:val="0"/>
                <w:i w:val="0"/>
                <w:u w:val="none"/>
              </w:rPr>
              <w:t>0.00212</w:t>
            </w:r>
          </w:p>
        </w:tc>
        <w:tc>
          <w:tcPr>
            <w:tcW w:type="dxa" w:w="1337"/>
          </w:tcPr>
          <w:p>
            <w:r/>
            <w:r>
              <w:rPr>
                <w:b w:val="0"/>
                <w:i w:val="0"/>
                <w:u w:val="none"/>
              </w:rPr>
              <w:t>0.907×</w:t>
            </w:r>
          </w:p>
        </w:tc>
        <w:tc>
          <w:tcPr>
            <w:tcW w:type="dxa" w:w="1337"/>
          </w:tcPr>
          <w:p>
            <w:r/>
            <w:r>
              <w:rPr>
                <w:b w:val="0"/>
                <w:i w:val="0"/>
                <w:u w:val="none"/>
              </w:rPr>
              <w:t>−0.00034</w:t>
            </w:r>
          </w:p>
        </w:tc>
      </w:tr>
      <w:tr>
        <w:tc>
          <w:tcPr>
            <w:tcW w:type="dxa" w:w="1337"/>
          </w:tcPr>
          <w:p>
            <w:r/>
            <w:r>
              <w:rPr>
                <w:b w:val="0"/>
                <w:i w:val="0"/>
                <w:u w:val="none"/>
              </w:rPr>
              <w:t>Taiwan</w:t>
            </w:r>
          </w:p>
        </w:tc>
        <w:tc>
          <w:tcPr>
            <w:tcW w:type="dxa" w:w="1337"/>
          </w:tcPr>
          <w:p>
            <w:r/>
            <w:r>
              <w:rPr>
                <w:b w:val="0"/>
                <w:i w:val="0"/>
                <w:u w:val="none"/>
              </w:rPr>
              <w:t>0.0525</w:t>
            </w:r>
          </w:p>
        </w:tc>
        <w:tc>
          <w:tcPr>
            <w:tcW w:type="dxa" w:w="1337"/>
          </w:tcPr>
          <w:p>
            <w:r/>
            <w:r>
              <w:rPr>
                <w:b w:val="0"/>
                <w:i w:val="0"/>
                <w:u w:val="none"/>
              </w:rPr>
              <w:t>189%</w:t>
            </w:r>
          </w:p>
        </w:tc>
        <w:tc>
          <w:tcPr>
            <w:tcW w:type="dxa" w:w="1337"/>
          </w:tcPr>
          <w:p>
            <w:r/>
            <w:r>
              <w:rPr>
                <w:b w:val="0"/>
                <w:i w:val="0"/>
                <w:u w:val="none"/>
              </w:rPr>
              <w:t>0.01917</w:t>
            </w:r>
          </w:p>
        </w:tc>
        <w:tc>
          <w:tcPr>
            <w:tcW w:type="dxa" w:w="1337"/>
          </w:tcPr>
          <w:p>
            <w:r/>
            <w:r>
              <w:rPr>
                <w:b w:val="0"/>
                <w:i w:val="0"/>
                <w:u w:val="none"/>
              </w:rPr>
              <w:t>0.01886</w:t>
            </w:r>
          </w:p>
        </w:tc>
        <w:tc>
          <w:tcPr>
            <w:tcW w:type="dxa" w:w="1337"/>
          </w:tcPr>
          <w:p>
            <w:r/>
            <w:r>
              <w:rPr>
                <w:b w:val="0"/>
                <w:i w:val="0"/>
                <w:u w:val="none"/>
              </w:rPr>
              <w:t>0.984×</w:t>
            </w:r>
          </w:p>
        </w:tc>
        <w:tc>
          <w:tcPr>
            <w:tcW w:type="dxa" w:w="1337"/>
          </w:tcPr>
          <w:p>
            <w:r/>
            <w:r>
              <w:rPr>
                <w:b w:val="0"/>
                <w:i w:val="0"/>
                <w:u w:val="none"/>
              </w:rPr>
              <w:t>−0.00219</w:t>
            </w:r>
          </w:p>
        </w:tc>
      </w:tr>
      <w:tr>
        <w:tc>
          <w:tcPr>
            <w:tcW w:type="dxa" w:w="1337"/>
          </w:tcPr>
          <w:p>
            <w:r/>
            <w:r>
              <w:rPr>
                <w:b w:val="0"/>
                <w:i w:val="0"/>
                <w:u w:val="none"/>
              </w:rPr>
              <w:t>Saudi Arabia</w:t>
            </w:r>
          </w:p>
        </w:tc>
        <w:tc>
          <w:tcPr>
            <w:tcW w:type="dxa" w:w="1337"/>
          </w:tcPr>
          <w:p>
            <w:r/>
            <w:r>
              <w:rPr>
                <w:b w:val="0"/>
                <w:i w:val="0"/>
                <w:u w:val="none"/>
              </w:rPr>
              <w:t>0.0550</w:t>
            </w:r>
          </w:p>
        </w:tc>
        <w:tc>
          <w:tcPr>
            <w:tcW w:type="dxa" w:w="1337"/>
          </w:tcPr>
          <w:p>
            <w:r/>
            <w:r>
              <w:rPr>
                <w:b w:val="0"/>
                <w:i w:val="0"/>
                <w:u w:val="none"/>
              </w:rPr>
              <w:t>172%</w:t>
            </w:r>
          </w:p>
        </w:tc>
        <w:tc>
          <w:tcPr>
            <w:tcW w:type="dxa" w:w="1337"/>
          </w:tcPr>
          <w:p>
            <w:r/>
            <w:r>
              <w:rPr>
                <w:b w:val="0"/>
                <w:i w:val="0"/>
                <w:u w:val="none"/>
              </w:rPr>
              <w:t>0.01841</w:t>
            </w:r>
          </w:p>
        </w:tc>
        <w:tc>
          <w:tcPr>
            <w:tcW w:type="dxa" w:w="1337"/>
          </w:tcPr>
          <w:p>
            <w:r/>
            <w:r>
              <w:rPr>
                <w:b w:val="0"/>
                <w:i w:val="0"/>
                <w:u w:val="none"/>
              </w:rPr>
              <w:t>0.01808</w:t>
            </w:r>
          </w:p>
        </w:tc>
        <w:tc>
          <w:tcPr>
            <w:tcW w:type="dxa" w:w="1337"/>
          </w:tcPr>
          <w:p>
            <w:r/>
            <w:r>
              <w:rPr>
                <w:b w:val="0"/>
                <w:i w:val="0"/>
                <w:u w:val="none"/>
              </w:rPr>
              <w:t>0.982×</w:t>
            </w:r>
          </w:p>
        </w:tc>
        <w:tc>
          <w:tcPr>
            <w:tcW w:type="dxa" w:w="1337"/>
          </w:tcPr>
          <w:p>
            <w:r/>
            <w:r>
              <w:rPr>
                <w:b w:val="0"/>
                <w:i w:val="0"/>
                <w:u w:val="none"/>
              </w:rPr>
              <w:t>−0.00212</w:t>
            </w:r>
          </w:p>
        </w:tc>
      </w:tr>
      <w:tr>
        <w:tc>
          <w:tcPr>
            <w:tcW w:type="dxa" w:w="1337"/>
          </w:tcPr>
          <w:p>
            <w:r/>
            <w:r>
              <w:rPr>
                <w:b w:val="0"/>
                <w:i w:val="0"/>
                <w:u w:val="none"/>
              </w:rPr>
              <w:t>Arizona, USA</w:t>
            </w:r>
          </w:p>
        </w:tc>
        <w:tc>
          <w:tcPr>
            <w:tcW w:type="dxa" w:w="1337"/>
          </w:tcPr>
          <w:p>
            <w:r/>
            <w:r>
              <w:rPr>
                <w:b w:val="0"/>
                <w:i w:val="0"/>
                <w:u w:val="none"/>
              </w:rPr>
              <w:t>0.0580</w:t>
            </w:r>
          </w:p>
        </w:tc>
        <w:tc>
          <w:tcPr>
            <w:tcW w:type="dxa" w:w="1337"/>
          </w:tcPr>
          <w:p>
            <w:r/>
            <w:r>
              <w:rPr>
                <w:b w:val="0"/>
                <w:i w:val="0"/>
                <w:u w:val="none"/>
              </w:rPr>
              <w:t>165%</w:t>
            </w:r>
          </w:p>
        </w:tc>
        <w:tc>
          <w:tcPr>
            <w:tcW w:type="dxa" w:w="1337"/>
          </w:tcPr>
          <w:p>
            <w:r/>
            <w:r>
              <w:rPr>
                <w:b w:val="0"/>
                <w:i w:val="0"/>
                <w:u w:val="none"/>
              </w:rPr>
              <w:t>0.01877</w:t>
            </w:r>
          </w:p>
        </w:tc>
        <w:tc>
          <w:tcPr>
            <w:tcW w:type="dxa" w:w="1337"/>
          </w:tcPr>
          <w:p>
            <w:r/>
            <w:r>
              <w:rPr>
                <w:b w:val="0"/>
                <w:i w:val="0"/>
                <w:u w:val="none"/>
              </w:rPr>
              <w:t>0.01813</w:t>
            </w:r>
          </w:p>
        </w:tc>
        <w:tc>
          <w:tcPr>
            <w:tcW w:type="dxa" w:w="1337"/>
          </w:tcPr>
          <w:p>
            <w:r/>
            <w:r>
              <w:rPr>
                <w:b w:val="0"/>
                <w:i w:val="0"/>
                <w:u w:val="none"/>
              </w:rPr>
              <w:t>0.966×</w:t>
            </w:r>
          </w:p>
        </w:tc>
        <w:tc>
          <w:tcPr>
            <w:tcW w:type="dxa" w:w="1337"/>
          </w:tcPr>
          <w:p>
            <w:r/>
            <w:r>
              <w:rPr>
                <w:b w:val="0"/>
                <w:i w:val="0"/>
                <w:u w:val="none"/>
              </w:rPr>
              <w:t>−0.00241</w:t>
            </w:r>
          </w:p>
        </w:tc>
      </w:tr>
      <w:tr>
        <w:tc>
          <w:tcPr>
            <w:tcW w:type="dxa" w:w="1337"/>
          </w:tcPr>
          <w:p>
            <w:r/>
            <w:r>
              <w:rPr>
                <w:b w:val="0"/>
                <w:i w:val="0"/>
                <w:u w:val="none"/>
              </w:rPr>
              <w:t>Brazil</w:t>
            </w:r>
          </w:p>
        </w:tc>
        <w:tc>
          <w:tcPr>
            <w:tcW w:type="dxa" w:w="1337"/>
          </w:tcPr>
          <w:p>
            <w:r/>
            <w:r>
              <w:rPr>
                <w:b w:val="0"/>
                <w:i w:val="0"/>
                <w:u w:val="none"/>
              </w:rPr>
              <w:t>0.0950</w:t>
            </w:r>
          </w:p>
        </w:tc>
        <w:tc>
          <w:tcPr>
            <w:tcW w:type="dxa" w:w="1337"/>
          </w:tcPr>
          <w:p>
            <w:r/>
            <w:r>
              <w:rPr>
                <w:b w:val="0"/>
                <w:i w:val="0"/>
                <w:u w:val="none"/>
              </w:rPr>
              <w:t>198%</w:t>
            </w:r>
          </w:p>
        </w:tc>
        <w:tc>
          <w:tcPr>
            <w:tcW w:type="dxa" w:w="1337"/>
          </w:tcPr>
          <w:p>
            <w:r/>
            <w:r>
              <w:rPr>
                <w:b w:val="0"/>
                <w:i w:val="0"/>
                <w:u w:val="none"/>
              </w:rPr>
              <w:t>0.03702</w:t>
            </w:r>
          </w:p>
        </w:tc>
        <w:tc>
          <w:tcPr>
            <w:tcW w:type="dxa" w:w="1337"/>
          </w:tcPr>
          <w:p>
            <w:r/>
            <w:r>
              <w:rPr>
                <w:b w:val="0"/>
                <w:i w:val="0"/>
                <w:u w:val="none"/>
              </w:rPr>
              <w:t>0.03389</w:t>
            </w:r>
          </w:p>
        </w:tc>
        <w:tc>
          <w:tcPr>
            <w:tcW w:type="dxa" w:w="1337"/>
          </w:tcPr>
          <w:p>
            <w:r/>
            <w:r>
              <w:rPr>
                <w:b w:val="0"/>
                <w:i w:val="0"/>
                <w:u w:val="none"/>
              </w:rPr>
              <w:t>0.915×</w:t>
            </w:r>
          </w:p>
        </w:tc>
        <w:tc>
          <w:tcPr>
            <w:tcW w:type="dxa" w:w="1337"/>
          </w:tcPr>
          <w:p>
            <w:r/>
            <w:r>
              <w:rPr>
                <w:b w:val="0"/>
                <w:i w:val="0"/>
                <w:u w:val="none"/>
              </w:rPr>
              <w:t>−0.00640</w:t>
            </w:r>
          </w:p>
        </w:tc>
      </w:tr>
    </w:tbl>
    <w:p/>
    <w:p>
      <w:r>
        <w:rPr>
          <w:b w:val="0"/>
          <w:i/>
          <w:u w:val="none"/>
        </w:rPr>
        <w:t>ATM options (S₀ = K). Collar: buy put at 0.9×K, sell call at 1.1×K; net cost is negative (net credit) in all markets.</w:t>
      </w:r>
    </w:p>
    <w:p>
      <w:r>
        <w:rPr>
          <w:b w:val="0"/>
          <w:i w:val="0"/>
          <w:u w:val="none"/>
        </w:rPr>
        <w:t>The put/call ratios remain close to unity in the high-volatility markets, consistent with put-call parity at low interest rates. The collar net credit is particularly significant for the instrument's commercial viability, but the correct interpretation is structural rather than threshold-based: for the ±10% strike pair used here, the sold 1.1×K call is closer to ATM in log-space than the bought 0.9×K put, so the collar is net-credit across all tested markets. The defensible cross-market finding is therefore that credit magnitude rises with volatility: Brazil receives the largest credit (6.73% of spot), while Germany receives the smallest (1.38%). This removes the upfront premium barrier, but not the larger margin barrier discussed in Chapter 4.</w:t>
      </w:r>
    </w:p>
    <w:p>
      <w:pPr>
        <w:pStyle w:val="Heading3"/>
      </w:pPr>
      <w:r>
        <w:t>3.7.2 Jump-Diffusion Robustness</w:t>
      </w:r>
    </w:p>
    <w:p>
      <w:r>
        <w:rPr>
          <w:b w:val="0"/>
          <w:i w:val="0"/>
          <w:u w:val="none"/>
        </w:rPr>
        <w:t>Energy markets experience discontinuous price jumps from grid failures and extreme weather — events that GBM cannot model. The Merton (1976) jump-diffusion formula adds a compound Poisson jump component to the GBM diffusion and yields an analytical option price. Table 3.6 reports results for the Taiwan base case across five jump scenarios at T = 0.25 years.</w:t>
      </w:r>
    </w:p>
    <w:p>
      <w:pPr>
        <w:ind w:firstLine="0"/>
        <w:jc w:val="center"/>
      </w:pPr>
      <w:r>
        <w:rPr>
          <w:b/>
          <w:i w:val="0"/>
          <w:u w:val="none"/>
        </w:rPr>
        <w:t>Table 3.6: Jump-Diffusion vs GBM (Taiwan, T = 0.25)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i w:val="0"/>
                <w:u w:val="none"/>
              </w:rPr>
              <w:t>Scenario</w:t>
            </w:r>
          </w:p>
        </w:tc>
        <w:tc>
          <w:tcPr>
            <w:tcW w:type="dxa" w:w="1560"/>
          </w:tcPr>
          <w:p>
            <w:pPr>
              <w:jc w:val="center"/>
            </w:pPr>
            <w:r/>
            <w:r>
              <w:rPr>
                <w:b/>
                <w:i w:val="0"/>
                <w:u w:val="none"/>
              </w:rPr>
              <w:t>λ (jumps/yr)</w:t>
            </w:r>
          </w:p>
        </w:tc>
        <w:tc>
          <w:tcPr>
            <w:tcW w:type="dxa" w:w="1560"/>
          </w:tcPr>
          <w:p>
            <w:pPr>
              <w:jc w:val="center"/>
            </w:pPr>
            <w:r/>
            <w:r>
              <w:rPr>
                <w:b/>
                <w:i w:val="0"/>
                <w:u w:val="none"/>
              </w:rPr>
              <w:t>Mean Jump</w:t>
            </w:r>
          </w:p>
        </w:tc>
        <w:tc>
          <w:tcPr>
            <w:tcW w:type="dxa" w:w="1560"/>
          </w:tcPr>
          <w:p>
            <w:pPr>
              <w:jc w:val="center"/>
            </w:pPr>
            <w:r/>
            <w:r>
              <w:rPr>
                <w:b/>
                <w:i w:val="0"/>
                <w:u w:val="none"/>
              </w:rPr>
              <w:t>Jump σ</w:t>
            </w:r>
          </w:p>
        </w:tc>
        <w:tc>
          <w:tcPr>
            <w:tcW w:type="dxa" w:w="1560"/>
          </w:tcPr>
          <w:p>
            <w:pPr>
              <w:jc w:val="center"/>
            </w:pPr>
            <w:r/>
            <w:r>
              <w:rPr>
                <w:b/>
                <w:i w:val="0"/>
                <w:u w:val="none"/>
              </w:rPr>
              <w:t>Price</w:t>
            </w:r>
          </w:p>
        </w:tc>
        <w:tc>
          <w:tcPr>
            <w:tcW w:type="dxa" w:w="1560"/>
          </w:tcPr>
          <w:p>
            <w:pPr>
              <w:jc w:val="center"/>
            </w:pPr>
            <w:r/>
            <w:r>
              <w:rPr>
                <w:b/>
                <w:i w:val="0"/>
                <w:u w:val="none"/>
              </w:rPr>
              <w:t>vs GBM</w:t>
            </w:r>
          </w:p>
        </w:tc>
      </w:tr>
      <w:tr>
        <w:tc>
          <w:tcPr>
            <w:tcW w:type="dxa" w:w="1560"/>
          </w:tcPr>
          <w:p>
            <w:r/>
            <w:r>
              <w:rPr>
                <w:b w:val="0"/>
                <w:i w:val="0"/>
                <w:u w:val="none"/>
              </w:rPr>
              <w:t>GBM baseline</w:t>
            </w:r>
          </w:p>
        </w:tc>
        <w:tc>
          <w:tcPr>
            <w:tcW w:type="dxa" w:w="1560"/>
          </w:tcPr>
          <w:p>
            <w:r/>
            <w:r>
              <w:rPr>
                <w:b w:val="0"/>
                <w:i w:val="0"/>
                <w:u w:val="none"/>
              </w:rPr>
              <w:t>0</w:t>
            </w:r>
          </w:p>
        </w:tc>
        <w:tc>
          <w:tcPr>
            <w:tcW w:type="dxa" w:w="1560"/>
          </w:tcPr>
          <w:p>
            <w:r/>
            <w:r>
              <w:rPr>
                <w:b w:val="0"/>
                <w:i w:val="0"/>
                <w:u w:val="none"/>
              </w:rPr>
              <w:t>—</w:t>
            </w:r>
          </w:p>
        </w:tc>
        <w:tc>
          <w:tcPr>
            <w:tcW w:type="dxa" w:w="1560"/>
          </w:tcPr>
          <w:p>
            <w:r/>
            <w:r>
              <w:rPr>
                <w:b w:val="0"/>
                <w:i w:val="0"/>
                <w:u w:val="none"/>
              </w:rPr>
              <w:t>—</w:t>
            </w:r>
          </w:p>
        </w:tc>
        <w:tc>
          <w:tcPr>
            <w:tcW w:type="dxa" w:w="1560"/>
          </w:tcPr>
          <w:p>
            <w:r/>
            <w:r>
              <w:rPr>
                <w:b w:val="0"/>
                <w:i w:val="0"/>
                <w:u w:val="none"/>
              </w:rPr>
              <w:t>0.01918</w:t>
            </w:r>
          </w:p>
        </w:tc>
        <w:tc>
          <w:tcPr>
            <w:tcW w:type="dxa" w:w="1560"/>
          </w:tcPr>
          <w:p>
            <w:r/>
            <w:r>
              <w:rPr>
                <w:b w:val="0"/>
                <w:i w:val="0"/>
                <w:u w:val="none"/>
              </w:rPr>
              <w:t>—</w:t>
            </w:r>
          </w:p>
        </w:tc>
      </w:tr>
      <w:tr>
        <w:tc>
          <w:tcPr>
            <w:tcW w:type="dxa" w:w="1560"/>
          </w:tcPr>
          <w:p>
            <w:r/>
            <w:r>
              <w:rPr>
                <w:b w:val="0"/>
                <w:i w:val="0"/>
                <w:u w:val="none"/>
              </w:rPr>
              <w:t>Rare large downward (grid failure)</w:t>
            </w:r>
          </w:p>
        </w:tc>
        <w:tc>
          <w:tcPr>
            <w:tcW w:type="dxa" w:w="1560"/>
          </w:tcPr>
          <w:p>
            <w:r/>
            <w:r>
              <w:rPr>
                <w:b w:val="0"/>
                <w:i w:val="0"/>
                <w:u w:val="none"/>
              </w:rPr>
              <w:t>0.5</w:t>
            </w:r>
          </w:p>
        </w:tc>
        <w:tc>
          <w:tcPr>
            <w:tcW w:type="dxa" w:w="1560"/>
          </w:tcPr>
          <w:p>
            <w:r/>
            <w:r>
              <w:rPr>
                <w:b w:val="0"/>
                <w:i w:val="0"/>
                <w:u w:val="none"/>
              </w:rPr>
              <w:t>−30%</w:t>
            </w:r>
          </w:p>
        </w:tc>
        <w:tc>
          <w:tcPr>
            <w:tcW w:type="dxa" w:w="1560"/>
          </w:tcPr>
          <w:p>
            <w:r/>
            <w:r>
              <w:rPr>
                <w:b w:val="0"/>
                <w:i w:val="0"/>
                <w:u w:val="none"/>
              </w:rPr>
              <w:t>40%</w:t>
            </w:r>
          </w:p>
        </w:tc>
        <w:tc>
          <w:tcPr>
            <w:tcW w:type="dxa" w:w="1560"/>
          </w:tcPr>
          <w:p>
            <w:r/>
            <w:r>
              <w:rPr>
                <w:b w:val="0"/>
                <w:i w:val="0"/>
                <w:u w:val="none"/>
              </w:rPr>
              <w:t>0.01940</w:t>
            </w:r>
          </w:p>
        </w:tc>
        <w:tc>
          <w:tcPr>
            <w:tcW w:type="dxa" w:w="1560"/>
          </w:tcPr>
          <w:p>
            <w:r/>
            <w:r>
              <w:rPr>
                <w:b w:val="0"/>
                <w:i w:val="0"/>
                <w:u w:val="none"/>
              </w:rPr>
              <w:t>+1.1%</w:t>
            </w:r>
          </w:p>
        </w:tc>
      </w:tr>
      <w:tr>
        <w:tc>
          <w:tcPr>
            <w:tcW w:type="dxa" w:w="1560"/>
          </w:tcPr>
          <w:p>
            <w:r/>
            <w:r>
              <w:rPr>
                <w:b w:val="0"/>
                <w:i w:val="0"/>
                <w:u w:val="none"/>
              </w:rPr>
              <w:t>Rare large upward (heatwave)</w:t>
            </w:r>
          </w:p>
        </w:tc>
        <w:tc>
          <w:tcPr>
            <w:tcW w:type="dxa" w:w="1560"/>
          </w:tcPr>
          <w:p>
            <w:r/>
            <w:r>
              <w:rPr>
                <w:b w:val="0"/>
                <w:i w:val="0"/>
                <w:u w:val="none"/>
              </w:rPr>
              <w:t>0.5</w:t>
            </w:r>
          </w:p>
        </w:tc>
        <w:tc>
          <w:tcPr>
            <w:tcW w:type="dxa" w:w="1560"/>
          </w:tcPr>
          <w:p>
            <w:r/>
            <w:r>
              <w:rPr>
                <w:b w:val="0"/>
                <w:i w:val="0"/>
                <w:u w:val="none"/>
              </w:rPr>
              <w:t>+30%</w:t>
            </w:r>
          </w:p>
        </w:tc>
        <w:tc>
          <w:tcPr>
            <w:tcW w:type="dxa" w:w="1560"/>
          </w:tcPr>
          <w:p>
            <w:r/>
            <w:r>
              <w:rPr>
                <w:b w:val="0"/>
                <w:i w:val="0"/>
                <w:u w:val="none"/>
              </w:rPr>
              <w:t>40%</w:t>
            </w:r>
          </w:p>
        </w:tc>
        <w:tc>
          <w:tcPr>
            <w:tcW w:type="dxa" w:w="1560"/>
          </w:tcPr>
          <w:p>
            <w:r/>
            <w:r>
              <w:rPr>
                <w:b w:val="0"/>
                <w:i w:val="0"/>
                <w:u w:val="none"/>
              </w:rPr>
              <w:t>0.01960</w:t>
            </w:r>
          </w:p>
        </w:tc>
        <w:tc>
          <w:tcPr>
            <w:tcW w:type="dxa" w:w="1560"/>
          </w:tcPr>
          <w:p>
            <w:r/>
            <w:r>
              <w:rPr>
                <w:b w:val="0"/>
                <w:i w:val="0"/>
                <w:u w:val="none"/>
              </w:rPr>
              <w:t>+2.2%</w:t>
            </w:r>
          </w:p>
        </w:tc>
      </w:tr>
      <w:tr>
        <w:tc>
          <w:tcPr>
            <w:tcW w:type="dxa" w:w="1560"/>
          </w:tcPr>
          <w:p>
            <w:r/>
            <w:r>
              <w:rPr>
                <w:b w:val="0"/>
                <w:i w:val="0"/>
                <w:u w:val="none"/>
              </w:rPr>
              <w:t>Frequent small jumps</w:t>
            </w:r>
          </w:p>
        </w:tc>
        <w:tc>
          <w:tcPr>
            <w:tcW w:type="dxa" w:w="1560"/>
          </w:tcPr>
          <w:p>
            <w:r/>
            <w:r>
              <w:rPr>
                <w:b w:val="0"/>
                <w:i w:val="0"/>
                <w:u w:val="none"/>
              </w:rPr>
              <w:t>4.0</w:t>
            </w:r>
          </w:p>
        </w:tc>
        <w:tc>
          <w:tcPr>
            <w:tcW w:type="dxa" w:w="1560"/>
          </w:tcPr>
          <w:p>
            <w:r/>
            <w:r>
              <w:rPr>
                <w:b w:val="0"/>
                <w:i w:val="0"/>
                <w:u w:val="none"/>
              </w:rPr>
              <w:t>−5%</w:t>
            </w:r>
          </w:p>
        </w:tc>
        <w:tc>
          <w:tcPr>
            <w:tcW w:type="dxa" w:w="1560"/>
          </w:tcPr>
          <w:p>
            <w:r/>
            <w:r>
              <w:rPr>
                <w:b w:val="0"/>
                <w:i w:val="0"/>
                <w:u w:val="none"/>
              </w:rPr>
              <w:t>15%</w:t>
            </w:r>
          </w:p>
        </w:tc>
        <w:tc>
          <w:tcPr>
            <w:tcW w:type="dxa" w:w="1560"/>
          </w:tcPr>
          <w:p>
            <w:r/>
            <w:r>
              <w:rPr>
                <w:b w:val="0"/>
                <w:i w:val="0"/>
                <w:u w:val="none"/>
              </w:rPr>
              <w:t>0.01941</w:t>
            </w:r>
          </w:p>
        </w:tc>
        <w:tc>
          <w:tcPr>
            <w:tcW w:type="dxa" w:w="1560"/>
          </w:tcPr>
          <w:p>
            <w:r/>
            <w:r>
              <w:rPr>
                <w:b w:val="0"/>
                <w:i w:val="0"/>
                <w:u w:val="none"/>
              </w:rPr>
              <w:t>+1.2%</w:t>
            </w:r>
          </w:p>
        </w:tc>
      </w:tr>
      <w:tr>
        <w:tc>
          <w:tcPr>
            <w:tcW w:type="dxa" w:w="1560"/>
          </w:tcPr>
          <w:p>
            <w:r/>
            <w:r>
              <w:rPr>
                <w:b w:val="0"/>
                <w:i w:val="0"/>
                <w:u w:val="none"/>
              </w:rPr>
              <w:t>Moderate extreme weather</w:t>
            </w:r>
          </w:p>
        </w:tc>
        <w:tc>
          <w:tcPr>
            <w:tcW w:type="dxa" w:w="1560"/>
          </w:tcPr>
          <w:p>
            <w:r/>
            <w:r>
              <w:rPr>
                <w:b w:val="0"/>
                <w:i w:val="0"/>
                <w:u w:val="none"/>
              </w:rPr>
              <w:t>1.0</w:t>
            </w:r>
          </w:p>
        </w:tc>
        <w:tc>
          <w:tcPr>
            <w:tcW w:type="dxa" w:w="1560"/>
          </w:tcPr>
          <w:p>
            <w:r/>
            <w:r>
              <w:rPr>
                <w:b w:val="0"/>
                <w:i w:val="0"/>
                <w:u w:val="none"/>
              </w:rPr>
              <w:t>−20%</w:t>
            </w:r>
          </w:p>
        </w:tc>
        <w:tc>
          <w:tcPr>
            <w:tcW w:type="dxa" w:w="1560"/>
          </w:tcPr>
          <w:p>
            <w:r/>
            <w:r>
              <w:rPr>
                <w:b w:val="0"/>
                <w:i w:val="0"/>
                <w:u w:val="none"/>
              </w:rPr>
              <w:t>30%</w:t>
            </w:r>
          </w:p>
        </w:tc>
        <w:tc>
          <w:tcPr>
            <w:tcW w:type="dxa" w:w="1560"/>
          </w:tcPr>
          <w:p>
            <w:r/>
            <w:r>
              <w:rPr>
                <w:b w:val="0"/>
                <w:i w:val="0"/>
                <w:u w:val="none"/>
              </w:rPr>
              <w:t>0.01943</w:t>
            </w:r>
          </w:p>
        </w:tc>
        <w:tc>
          <w:tcPr>
            <w:tcW w:type="dxa" w:w="1560"/>
          </w:tcPr>
          <w:p>
            <w:r/>
            <w:r>
              <w:rPr>
                <w:b w:val="0"/>
                <w:i w:val="0"/>
                <w:u w:val="none"/>
              </w:rPr>
              <w:t>+1.3%</w:t>
            </w:r>
          </w:p>
        </w:tc>
      </w:tr>
    </w:tbl>
    <w:p/>
    <w:p>
      <w:r>
        <w:rPr>
          <w:b w:val="0"/>
          <w:i/>
          <w:u w:val="none"/>
        </w:rPr>
        <w:t>Merton (1976) analytical formula. λ: jump intensity (Poisson). Jump size log-normal with stated mean and σ.</w:t>
      </w:r>
    </w:p>
    <w:p>
      <w:r>
        <w:rPr>
          <w:b w:val="0"/>
          <w:i w:val="0"/>
          <w:u w:val="none"/>
        </w:rPr>
        <w:t>All jump scenarios produce prices within 2.2% of the GBM baseline. The intuition is direct: at σ = 189% continuous volatility, the Brownian component already prices in enormous terminal uncertainty. Jump risk at the T = 0.25 horizon is second-order relative to the dominant diffusion variance. This finding is important for implementation: an operator who cannot reliably calibrate jump parameters in a nascent market will introduce at most ~2% pricing error by using the simpler GBM framework. The jump-diffusion comparison therefore provides a practical error bound on the cold-start pricing approach — the GBM price is robust to jump risk misspecification at short horizons.</w:t>
      </w:r>
    </w:p>
    <w:p>
      <w:pPr>
        <w:pStyle w:val="Heading3"/>
      </w:pPr>
      <w:r>
        <w:t>3.7.3 Mean-Reversion vs GBM Across Maturities</w:t>
      </w:r>
    </w:p>
    <w:p>
      <w:pPr>
        <w:ind w:firstLine="0"/>
        <w:jc w:val="center"/>
      </w:pPr>
      <w:r>
        <w:rPr>
          <w:b/>
          <w:i w:val="0"/>
          <w:u w:val="none"/>
        </w:rPr>
        <w:t>Table 3.2a: GBM vs Schwartz (1997) OU Pricing Across Maturities (Taiwan)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b/>
                <w:i w:val="0"/>
                <w:u w:val="none"/>
              </w:rPr>
              <w:t>Maturity</w:t>
            </w:r>
          </w:p>
        </w:tc>
        <w:tc>
          <w:tcPr>
            <w:tcW w:type="dxa" w:w="1872"/>
          </w:tcPr>
          <w:p>
            <w:pPr>
              <w:jc w:val="center"/>
            </w:pPr>
            <w:r/>
            <w:r>
              <w:rPr>
                <w:b/>
                <w:i w:val="0"/>
                <w:u w:val="none"/>
              </w:rPr>
              <w:t>GBM Price</w:t>
            </w:r>
          </w:p>
        </w:tc>
        <w:tc>
          <w:tcPr>
            <w:tcW w:type="dxa" w:w="1872"/>
          </w:tcPr>
          <w:p>
            <w:pPr>
              <w:jc w:val="center"/>
            </w:pPr>
            <w:r/>
            <w:r>
              <w:rPr>
                <w:b/>
                <w:i w:val="0"/>
                <w:u w:val="none"/>
              </w:rPr>
              <w:t>OU Price</w:t>
            </w:r>
          </w:p>
        </w:tc>
        <w:tc>
          <w:tcPr>
            <w:tcW w:type="dxa" w:w="1872"/>
          </w:tcPr>
          <w:p>
            <w:pPr>
              <w:jc w:val="center"/>
            </w:pPr>
            <w:r/>
            <w:r>
              <w:rPr>
                <w:b/>
                <w:i w:val="0"/>
                <w:u w:val="none"/>
              </w:rPr>
              <w:t>GBM − OU</w:t>
            </w:r>
          </w:p>
        </w:tc>
        <w:tc>
          <w:tcPr>
            <w:tcW w:type="dxa" w:w="1872"/>
          </w:tcPr>
          <w:p>
            <w:pPr>
              <w:jc w:val="center"/>
            </w:pPr>
            <w:r/>
            <w:r>
              <w:rPr>
                <w:b/>
                <w:i w:val="0"/>
                <w:u w:val="none"/>
              </w:rPr>
              <w:t>σ_eff (OU)</w:t>
            </w:r>
          </w:p>
        </w:tc>
      </w:tr>
      <w:tr>
        <w:tc>
          <w:tcPr>
            <w:tcW w:type="dxa" w:w="1872"/>
          </w:tcPr>
          <w:p>
            <w:r/>
            <w:r>
              <w:rPr>
                <w:b w:val="0"/>
                <w:i w:val="0"/>
                <w:u w:val="none"/>
              </w:rPr>
              <w:t>T = 0.25 yr</w:t>
            </w:r>
          </w:p>
        </w:tc>
        <w:tc>
          <w:tcPr>
            <w:tcW w:type="dxa" w:w="1872"/>
          </w:tcPr>
          <w:p>
            <w:r/>
            <w:r>
              <w:rPr>
                <w:b w:val="0"/>
                <w:i w:val="0"/>
                <w:u w:val="none"/>
              </w:rPr>
              <w:t>0.01918</w:t>
            </w:r>
          </w:p>
        </w:tc>
        <w:tc>
          <w:tcPr>
            <w:tcW w:type="dxa" w:w="1872"/>
          </w:tcPr>
          <w:p>
            <w:r/>
            <w:r>
              <w:rPr>
                <w:b w:val="0"/>
                <w:i w:val="0"/>
                <w:u w:val="none"/>
              </w:rPr>
              <w:t>0.01629</w:t>
            </w:r>
          </w:p>
        </w:tc>
        <w:tc>
          <w:tcPr>
            <w:tcW w:type="dxa" w:w="1872"/>
          </w:tcPr>
          <w:p>
            <w:r/>
            <w:r>
              <w:rPr>
                <w:b w:val="0"/>
                <w:i w:val="0"/>
                <w:u w:val="none"/>
              </w:rPr>
              <w:t>−15.1%</w:t>
            </w:r>
          </w:p>
        </w:tc>
        <w:tc>
          <w:tcPr>
            <w:tcW w:type="dxa" w:w="1872"/>
          </w:tcPr>
          <w:p>
            <w:r/>
            <w:r>
              <w:rPr>
                <w:b w:val="0"/>
                <w:i w:val="0"/>
                <w:u w:val="none"/>
              </w:rPr>
              <w:t>1.59</w:t>
            </w:r>
          </w:p>
        </w:tc>
      </w:tr>
      <w:tr>
        <w:tc>
          <w:tcPr>
            <w:tcW w:type="dxa" w:w="1872"/>
          </w:tcPr>
          <w:p>
            <w:r/>
            <w:r>
              <w:rPr>
                <w:b w:val="0"/>
                <w:i w:val="0"/>
                <w:u w:val="none"/>
              </w:rPr>
              <w:t>T = 0.50 yr</w:t>
            </w:r>
          </w:p>
        </w:tc>
        <w:tc>
          <w:tcPr>
            <w:tcW w:type="dxa" w:w="1872"/>
          </w:tcPr>
          <w:p>
            <w:r/>
            <w:r>
              <w:rPr>
                <w:b w:val="0"/>
                <w:i w:val="0"/>
                <w:u w:val="none"/>
              </w:rPr>
              <w:t>0.02621</w:t>
            </w:r>
          </w:p>
        </w:tc>
        <w:tc>
          <w:tcPr>
            <w:tcW w:type="dxa" w:w="1872"/>
          </w:tcPr>
          <w:p>
            <w:r/>
            <w:r>
              <w:rPr>
                <w:b w:val="0"/>
                <w:i w:val="0"/>
                <w:u w:val="none"/>
              </w:rPr>
              <w:t>0.01960</w:t>
            </w:r>
          </w:p>
        </w:tc>
        <w:tc>
          <w:tcPr>
            <w:tcW w:type="dxa" w:w="1872"/>
          </w:tcPr>
          <w:p>
            <w:r/>
            <w:r>
              <w:rPr>
                <w:b w:val="0"/>
                <w:i w:val="0"/>
                <w:u w:val="none"/>
              </w:rPr>
              <w:t>−25.2%</w:t>
            </w:r>
          </w:p>
        </w:tc>
        <w:tc>
          <w:tcPr>
            <w:tcW w:type="dxa" w:w="1872"/>
          </w:tcPr>
          <w:p>
            <w:r/>
            <w:r>
              <w:rPr>
                <w:b w:val="0"/>
                <w:i w:val="0"/>
                <w:u w:val="none"/>
              </w:rPr>
              <w:t>1.36</w:t>
            </w:r>
          </w:p>
        </w:tc>
      </w:tr>
      <w:tr>
        <w:tc>
          <w:tcPr>
            <w:tcW w:type="dxa" w:w="1872"/>
          </w:tcPr>
          <w:p>
            <w:r/>
            <w:r>
              <w:rPr>
                <w:b w:val="0"/>
                <w:i w:val="0"/>
                <w:u w:val="none"/>
              </w:rPr>
              <w:t>T = 1.00 yr</w:t>
            </w:r>
          </w:p>
        </w:tc>
        <w:tc>
          <w:tcPr>
            <w:tcW w:type="dxa" w:w="1872"/>
          </w:tcPr>
          <w:p>
            <w:r/>
            <w:r>
              <w:rPr>
                <w:b w:val="0"/>
                <w:i w:val="0"/>
                <w:u w:val="none"/>
              </w:rPr>
              <w:t>0.03463</w:t>
            </w:r>
          </w:p>
        </w:tc>
        <w:tc>
          <w:tcPr>
            <w:tcW w:type="dxa" w:w="1872"/>
          </w:tcPr>
          <w:p>
            <w:r/>
            <w:r>
              <w:rPr>
                <w:b w:val="0"/>
                <w:i w:val="0"/>
                <w:u w:val="none"/>
              </w:rPr>
              <w:t>0.02166</w:t>
            </w:r>
          </w:p>
        </w:tc>
        <w:tc>
          <w:tcPr>
            <w:tcW w:type="dxa" w:w="1872"/>
          </w:tcPr>
          <w:p>
            <w:r/>
            <w:r>
              <w:rPr>
                <w:b w:val="0"/>
                <w:i w:val="0"/>
                <w:u w:val="none"/>
              </w:rPr>
              <w:t>−37.4%</w:t>
            </w:r>
          </w:p>
        </w:tc>
        <w:tc>
          <w:tcPr>
            <w:tcW w:type="dxa" w:w="1872"/>
          </w:tcPr>
          <w:p>
            <w:r/>
            <w:r>
              <w:rPr>
                <w:b w:val="0"/>
                <w:i w:val="0"/>
                <w:u w:val="none"/>
              </w:rPr>
              <w:t>1.06</w:t>
            </w:r>
          </w:p>
        </w:tc>
      </w:tr>
      <w:tr>
        <w:tc>
          <w:tcPr>
            <w:tcW w:type="dxa" w:w="1872"/>
          </w:tcPr>
          <w:p>
            <w:r/>
            <w:r>
              <w:rPr>
                <w:b w:val="0"/>
                <w:i w:val="0"/>
                <w:u w:val="none"/>
              </w:rPr>
              <w:t>T = 2.00 yr</w:t>
            </w:r>
          </w:p>
        </w:tc>
        <w:tc>
          <w:tcPr>
            <w:tcW w:type="dxa" w:w="1872"/>
          </w:tcPr>
          <w:p>
            <w:r/>
            <w:r>
              <w:rPr>
                <w:b w:val="0"/>
                <w:i w:val="0"/>
                <w:u w:val="none"/>
              </w:rPr>
              <w:t>0.04321</w:t>
            </w:r>
          </w:p>
        </w:tc>
        <w:tc>
          <w:tcPr>
            <w:tcW w:type="dxa" w:w="1872"/>
          </w:tcPr>
          <w:p>
            <w:r/>
            <w:r>
              <w:rPr>
                <w:b w:val="0"/>
                <w:i w:val="0"/>
                <w:u w:val="none"/>
              </w:rPr>
              <w:t>0.02252</w:t>
            </w:r>
          </w:p>
        </w:tc>
        <w:tc>
          <w:tcPr>
            <w:tcW w:type="dxa" w:w="1872"/>
          </w:tcPr>
          <w:p>
            <w:r/>
            <w:r>
              <w:rPr>
                <w:b w:val="0"/>
                <w:i w:val="0"/>
                <w:u w:val="none"/>
              </w:rPr>
              <w:t>−47.9%</w:t>
            </w:r>
          </w:p>
        </w:tc>
        <w:tc>
          <w:tcPr>
            <w:tcW w:type="dxa" w:w="1872"/>
          </w:tcPr>
          <w:p>
            <w:r/>
            <w:r>
              <w:rPr>
                <w:b w:val="0"/>
                <w:i w:val="0"/>
                <w:u w:val="none"/>
              </w:rPr>
              <w:t>0.77</w:t>
            </w:r>
          </w:p>
        </w:tc>
      </w:tr>
      <w:tr>
        <w:tc>
          <w:tcPr>
            <w:tcW w:type="dxa" w:w="1872"/>
          </w:tcPr>
          <w:p>
            <w:r/>
            <w:r>
              <w:rPr>
                <w:b w:val="0"/>
                <w:i w:val="0"/>
                <w:u w:val="none"/>
              </w:rPr>
              <w:t>T = 3.00 yr</w:t>
            </w:r>
          </w:p>
        </w:tc>
        <w:tc>
          <w:tcPr>
            <w:tcW w:type="dxa" w:w="1872"/>
          </w:tcPr>
          <w:p>
            <w:r/>
            <w:r>
              <w:rPr>
                <w:b w:val="0"/>
                <w:i w:val="0"/>
                <w:u w:val="none"/>
              </w:rPr>
              <w:t>0.04736</w:t>
            </w:r>
          </w:p>
        </w:tc>
        <w:tc>
          <w:tcPr>
            <w:tcW w:type="dxa" w:w="1872"/>
          </w:tcPr>
          <w:p>
            <w:r/>
            <w:r>
              <w:rPr>
                <w:b w:val="0"/>
                <w:i w:val="0"/>
                <w:u w:val="none"/>
              </w:rPr>
              <w:t>0.02292</w:t>
            </w:r>
          </w:p>
        </w:tc>
        <w:tc>
          <w:tcPr>
            <w:tcW w:type="dxa" w:w="1872"/>
          </w:tcPr>
          <w:p>
            <w:r/>
            <w:r>
              <w:rPr>
                <w:b w:val="0"/>
                <w:i w:val="0"/>
                <w:u w:val="none"/>
              </w:rPr>
              <w:t>−51.6%</w:t>
            </w:r>
          </w:p>
        </w:tc>
        <w:tc>
          <w:tcPr>
            <w:tcW w:type="dxa" w:w="1872"/>
          </w:tcPr>
          <w:p>
            <w:r/>
            <w:r>
              <w:rPr>
                <w:b w:val="0"/>
                <w:i w:val="0"/>
                <w:u w:val="none"/>
              </w:rPr>
              <w:t>0.63</w:t>
            </w:r>
          </w:p>
        </w:tc>
      </w:tr>
    </w:tbl>
    <w:p/>
    <w:p>
      <w:r>
        <w:rPr>
          <w:b w:val="0"/>
          <w:i/>
          <w:u w:val="none"/>
        </w:rPr>
        <w:t>OU: κ = 1.5 (8-month mean-reversion half-life, mid-range for energy literature). σ_eff = σ√</w:t>
      </w:r>
      <w:r>
        <w:rPr>
          <w:b w:val="0"/>
          <w:i/>
          <w:u w:val="none"/>
        </w:rPr>
        <w:t>[</w:t>
      </w:r>
      <w:r>
        <w:rPr>
          <w:b w:val="0"/>
          <w:i/>
          <w:u w:val="none"/>
        </w:rPr>
        <w:t>(1−e^{−2κT})/(2κT)]. At T = 0.25, σ_eff = 1.59 vs GBM σ = 1.89.</w:t>
      </w:r>
    </w:p>
    <w:p>
      <w:r>
        <w:rPr>
          <w:b w:val="0"/>
          <w:i w:val="0"/>
          <w:u w:val="none"/>
        </w:rPr>
        <w:t>GBM overprices relative to OU at all horizons, with divergence growing from 15% at T = 0.25 to 52% at T = 3 years. For the instrument's target maturity (T ≤ 1 year), GBM provides conservative (seller-favourable) pricing with 15–37% premium above the mean-reverting benchmark. At T &gt; 1 year, the OU and GBM prices diverge by nearly half — consistent with the recommendation in Section 3.2.1 that production-grade long-dated instruments should use mean-reverting dynamics. The T = 0.25 case shows that even at the quarterly horizon, GBM's upper-bound property holds, lending additional justification to the framework at its target maturity.</w:t>
      </w:r>
    </w:p>
    <w:p>
      <w:pPr>
        <w:pStyle w:val="Heading2"/>
      </w:pPr>
      <w:r>
        <w:t>3.8 Limitations of the Pricing Layer</w:t>
      </w:r>
    </w:p>
    <w:p>
      <w:r>
        <w:rPr>
          <w:b w:val="0"/>
          <w:i w:val="0"/>
          <w:u w:val="none"/>
        </w:rPr>
        <w:t>The limitations of this framework must be stated explicitly, as they directly motivate the contract feasibility analysis in Chapter 4.</w:t>
      </w:r>
    </w:p>
    <w:p>
      <w:r>
        <w:rPr>
          <w:b/>
          <w:i w:val="0"/>
          <w:u w:val="none"/>
        </w:rPr>
        <w:t>GBM validity:</w:t>
      </w:r>
      <w:r>
        <w:rPr>
          <w:b w:val="0"/>
          <w:i w:val="0"/>
          <w:u w:val="none"/>
        </w:rPr>
        <w:t xml:space="preserve"> As noted, GBM is an approximation for short-horizon energy pricing. At T &gt; 1 year, mean reversion and seasonal structure produce materially different option prices: the OU comparison in Table 3.2a shows GBM overstating option value by 48–52% at T = 2–3 years. Within the thesis scope (T ≤ 1 year), GBM provides a conservative upper bound — overpricing relative to OU by 15–37% — which is appropriate for a seller-side pricing framework in a new market. The Schwartz (1997) two-factor model and seasonal extensions are identified as the natural next development for long-dated instruments.</w:t>
      </w:r>
    </w:p>
    <w:p>
      <w:r>
        <w:rPr>
          <w:b/>
          <w:i w:val="0"/>
          <w:u w:val="none"/>
        </w:rPr>
        <w:t>Incomplete markets:</w:t>
      </w:r>
      <w:r>
        <w:rPr>
          <w:b w:val="0"/>
          <w:i w:val="0"/>
          <w:u w:val="none"/>
        </w:rPr>
        <w:t xml:space="preserve"> Solar energy options cannot be replicated by trading in existing financial instruments. Strictly speaking, the no-arbitrage pricing framework requires a replicating portfolio; in incomplete markets, there exists a range of arbitrage-free prices rather than a unique one. The GBM framework produces a price consistent with the minimal equivalent martingale measure — the standard approach in incomplete market option pricing (Föllmer and Schweizer 1991). The practical implication is that actual market prices, once a liquid options market exists, may carry an illiquidity premium above model prices. This is a property of all nascent derivative markets, not a defect specific to this framework.</w:t>
      </w:r>
    </w:p>
    <w:p>
      <w:r>
        <w:rPr>
          <w:b/>
          <w:i w:val="0"/>
          <w:u w:val="none"/>
        </w:rPr>
        <w:t>Physical vs. financial settlement:</w:t>
      </w:r>
      <w:r>
        <w:rPr>
          <w:b w:val="0"/>
          <w:i w:val="0"/>
          <w:u w:val="none"/>
        </w:rPr>
        <w:t xml:space="preserve"> The model prices a financial claim on energy prices. Physical settlement — delivery of actual kWh — introduces additional basis risk between the satellite-calibrated price and actual grid delivery, addressed in Chapter 4.</w:t>
      </w:r>
    </w:p>
    <w:p>
      <w:r>
        <w:rPr>
          <w:b/>
          <w:i w:val="0"/>
          <w:u w:val="none"/>
        </w:rPr>
        <w:t>Validation circularity:</w:t>
      </w:r>
      <w:r>
        <w:rPr>
          <w:b w:val="0"/>
          <w:i w:val="0"/>
          <w:u w:val="none"/>
        </w:rPr>
        <w:t xml:space="preserve"> The global validation compares two implementations of the same model (binomial and Monte Carlo), not model predictions against market data. A genuine out-of-sample test would require market prices for comparison, which do not currently exist — this is precisely the cold-start problem the methodology addresses.</w:t>
      </w:r>
    </w:p>
    <w:p>
      <w:r>
        <w:br w:type="page"/>
      </w:r>
    </w:p>
    <w:p>
      <w:pPr>
        <w:pStyle w:val="Heading1"/>
      </w:pPr>
      <w:r>
        <w:t>Chapter 4: Contract Feasibility Layer</w:t>
      </w:r>
    </w:p>
    <w:p>
      <w:pPr>
        <w:pStyle w:val="Heading2"/>
      </w:pPr>
      <w:r>
        <w:t>4.1 Why Pricing Is Necessary but Not Sufficient</w:t>
      </w:r>
    </w:p>
    <w:p>
      <w:r>
        <w:rPr>
          <w:b w:val="0"/>
          <w:i w:val="0"/>
          <w:u w:val="none"/>
        </w:rPr>
        <w:t xml:space="preserve">Chapters 2 and 3 establish two things: energy anchoring is empirically real under coordination conditions, and energy-linked derivatives can be priced rigorously in the absence of a liquid market. Neither result, alone or combined, makes an energy-backed derivative a </w:t>
      </w:r>
      <w:r>
        <w:rPr>
          <w:b w:val="0"/>
          <w:i/>
          <w:u w:val="none"/>
        </w:rPr>
        <w:t>credible instrument</w:t>
      </w:r>
      <w:r>
        <w:rPr>
          <w:b w:val="0"/>
          <w:i w:val="0"/>
          <w:u w:val="none"/>
        </w:rPr>
        <w:t>. Credibility requires that the instrument can be settled reliably, that counterparties' solvency is verifiable, and that the oracle connecting physical reality to contract settlement is sufficiently accurate.</w:t>
      </w:r>
    </w:p>
    <w:p>
      <w:r>
        <w:rPr>
          <w:b w:val="0"/>
          <w:i w:val="0"/>
          <w:u w:val="none"/>
        </w:rPr>
        <w:t>This chapter addresses these requirements at a finance-appropriate level of abstraction. The focus is on quantifying design parameters — oracle error tolerance, margin adequacy, market viability conditions — not on specifying software implementations. The SolarPunk Protocol referenced in related materials provides one possible implementation; the analysis here applies to the instrument class generally.</w:t>
      </w:r>
    </w:p>
    <w:p>
      <w:pPr>
        <w:pStyle w:val="Heading2"/>
      </w:pPr>
      <w:r>
        <w:t>4.2 Instrument Term Sheet</w:t>
      </w:r>
    </w:p>
    <w:p>
      <w:r>
        <w:rPr>
          <w:b w:val="0"/>
          <w:i w:val="0"/>
          <w:u w:val="none"/>
        </w:rPr>
        <w:t>A complete instrument specification requires the following components, presented at a level of precision sufficient for academic scrutiny:</w:t>
      </w:r>
    </w:p>
    <w:p>
      <w:pPr>
        <w:ind w:firstLine="0"/>
        <w:jc w:val="center"/>
      </w:pPr>
      <w:r>
        <w:rPr>
          <w:b/>
          <w:i w:val="0"/>
          <w:u w:val="none"/>
        </w:rPr>
        <w:t>Table 4.1: Energy-Backed Call Option — Contract Term Sheet</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Component</w:t>
            </w:r>
          </w:p>
        </w:tc>
        <w:tc>
          <w:tcPr>
            <w:tcW w:type="dxa" w:w="4680"/>
          </w:tcPr>
          <w:p>
            <w:pPr>
              <w:jc w:val="center"/>
            </w:pPr>
            <w:r/>
            <w:r>
              <w:rPr>
                <w:b/>
                <w:i w:val="0"/>
                <w:u w:val="none"/>
              </w:rPr>
              <w:t>Specification</w:t>
            </w:r>
          </w:p>
        </w:tc>
      </w:tr>
      <w:tr>
        <w:tc>
          <w:tcPr>
            <w:tcW w:type="dxa" w:w="4680"/>
          </w:tcPr>
          <w:p>
            <w:r/>
            <w:r>
              <w:rPr>
                <w:b w:val="0"/>
                <w:i w:val="0"/>
                <w:u w:val="none"/>
              </w:rPr>
              <w:t>Instrument type</w:t>
            </w:r>
          </w:p>
        </w:tc>
        <w:tc>
          <w:tcPr>
            <w:tcW w:type="dxa" w:w="4680"/>
          </w:tcPr>
          <w:p>
            <w:r/>
            <w:r>
              <w:rPr>
                <w:b w:val="0"/>
                <w:i w:val="0"/>
                <w:u w:val="none"/>
              </w:rPr>
              <w:t>European call option on solar energy spot price</w:t>
            </w:r>
          </w:p>
        </w:tc>
      </w:tr>
      <w:tr>
        <w:tc>
          <w:tcPr>
            <w:tcW w:type="dxa" w:w="4680"/>
          </w:tcPr>
          <w:p>
            <w:r/>
            <w:r>
              <w:rPr>
                <w:b w:val="0"/>
                <w:i w:val="0"/>
                <w:u w:val="none"/>
              </w:rPr>
              <w:t>Underlying index</w:t>
            </w:r>
          </w:p>
        </w:tc>
        <w:tc>
          <w:tcPr>
            <w:tcW w:type="dxa" w:w="4680"/>
          </w:tcPr>
          <w:p>
            <w:r/>
            <w:r>
              <w:rPr>
                <w:b w:val="0"/>
                <w:i w:val="0"/>
                <w:u w:val="none"/>
              </w:rPr>
              <w:t>Solar spot price ($/kWh), verified via multi-source oracle</w:t>
            </w:r>
          </w:p>
        </w:tc>
      </w:tr>
      <w:tr>
        <w:tc>
          <w:tcPr>
            <w:tcW w:type="dxa" w:w="4680"/>
          </w:tcPr>
          <w:p>
            <w:r/>
            <w:r>
              <w:rPr>
                <w:b w:val="0"/>
                <w:i w:val="0"/>
                <w:u w:val="none"/>
              </w:rPr>
              <w:t>Notional</w:t>
            </w:r>
          </w:p>
        </w:tc>
        <w:tc>
          <w:tcPr>
            <w:tcW w:type="dxa" w:w="4680"/>
          </w:tcPr>
          <w:p>
            <w:r/>
            <w:r>
              <w:rPr>
                <w:b w:val="0"/>
                <w:i w:val="0"/>
                <w:u w:val="none"/>
              </w:rPr>
              <w:t>1,000 kWh per contract</w:t>
            </w:r>
          </w:p>
        </w:tc>
      </w:tr>
      <w:tr>
        <w:tc>
          <w:tcPr>
            <w:tcW w:type="dxa" w:w="4680"/>
          </w:tcPr>
          <w:p>
            <w:r/>
            <w:r>
              <w:rPr>
                <w:b w:val="0"/>
                <w:i w:val="0"/>
                <w:u w:val="none"/>
              </w:rPr>
              <w:t>Strike (K)</w:t>
            </w:r>
          </w:p>
        </w:tc>
        <w:tc>
          <w:tcPr>
            <w:tcW w:type="dxa" w:w="4680"/>
          </w:tcPr>
          <w:p>
            <w:r/>
            <w:r>
              <w:rPr>
                <w:b w:val="0"/>
                <w:i w:val="0"/>
                <w:u w:val="none"/>
              </w:rPr>
              <w:t>LCOE of installation location (at-the-money at inception)</w:t>
            </w:r>
          </w:p>
        </w:tc>
      </w:tr>
      <w:tr>
        <w:tc>
          <w:tcPr>
            <w:tcW w:type="dxa" w:w="4680"/>
          </w:tcPr>
          <w:p>
            <w:r/>
            <w:r>
              <w:rPr>
                <w:b w:val="0"/>
                <w:i w:val="0"/>
                <w:u w:val="none"/>
              </w:rPr>
              <w:t>Premium</w:t>
            </w:r>
          </w:p>
        </w:tc>
        <w:tc>
          <w:tcPr>
            <w:tcW w:type="dxa" w:w="4680"/>
          </w:tcPr>
          <w:p>
            <w:r/>
            <w:r>
              <w:rPr>
                <w:b w:val="0"/>
                <w:i w:val="0"/>
                <w:u w:val="none"/>
              </w:rPr>
              <w:t>Computed from pricing framework (Chapter 3); e.g., $0.01917/kWh for Taiwan base case</w:t>
            </w:r>
          </w:p>
        </w:tc>
      </w:tr>
      <w:tr>
        <w:tc>
          <w:tcPr>
            <w:tcW w:type="dxa" w:w="4680"/>
          </w:tcPr>
          <w:p>
            <w:r/>
            <w:r>
              <w:rPr>
                <w:b w:val="0"/>
                <w:i w:val="0"/>
                <w:u w:val="none"/>
              </w:rPr>
              <w:t>Maturity</w:t>
            </w:r>
          </w:p>
        </w:tc>
        <w:tc>
          <w:tcPr>
            <w:tcW w:type="dxa" w:w="4680"/>
          </w:tcPr>
          <w:p>
            <w:r/>
            <w:r>
              <w:rPr>
                <w:b w:val="0"/>
                <w:i w:val="0"/>
                <w:u w:val="none"/>
              </w:rPr>
              <w:t>Quarterly (T = 0.25 years); renewable</w:t>
            </w:r>
          </w:p>
        </w:tc>
      </w:tr>
      <w:tr>
        <w:tc>
          <w:tcPr>
            <w:tcW w:type="dxa" w:w="4680"/>
          </w:tcPr>
          <w:p>
            <w:r/>
            <w:r>
              <w:rPr>
                <w:b w:val="0"/>
                <w:i w:val="0"/>
                <w:u w:val="none"/>
              </w:rPr>
              <w:t>Exercise</w:t>
            </w:r>
          </w:p>
        </w:tc>
        <w:tc>
          <w:tcPr>
            <w:tcW w:type="dxa" w:w="4680"/>
          </w:tcPr>
          <w:p>
            <w:r/>
            <w:r>
              <w:rPr>
                <w:b w:val="0"/>
                <w:i w:val="0"/>
                <w:u w:val="none"/>
              </w:rPr>
              <w:t>European (cash settlement at maturity)</w:t>
            </w:r>
          </w:p>
        </w:tc>
      </w:tr>
      <w:tr>
        <w:tc>
          <w:tcPr>
            <w:tcW w:type="dxa" w:w="4680"/>
          </w:tcPr>
          <w:p>
            <w:r/>
            <w:r>
              <w:rPr>
                <w:b w:val="0"/>
                <w:i w:val="0"/>
                <w:u w:val="none"/>
              </w:rPr>
              <w:t>Settlement currency</w:t>
            </w:r>
          </w:p>
        </w:tc>
        <w:tc>
          <w:tcPr>
            <w:tcW w:type="dxa" w:w="4680"/>
          </w:tcPr>
          <w:p>
            <w:r/>
            <w:r>
              <w:rPr>
                <w:b w:val="0"/>
                <w:i w:val="0"/>
                <w:u w:val="none"/>
              </w:rPr>
              <w:t>USD or USD-equivalent stablecoin</w:t>
            </w:r>
          </w:p>
        </w:tc>
      </w:tr>
      <w:tr>
        <w:tc>
          <w:tcPr>
            <w:tcW w:type="dxa" w:w="4680"/>
          </w:tcPr>
          <w:p>
            <w:r/>
            <w:r>
              <w:rPr>
                <w:b w:val="0"/>
                <w:i w:val="0"/>
                <w:u w:val="none"/>
              </w:rPr>
              <w:t>Payoff</w:t>
            </w:r>
          </w:p>
        </w:tc>
        <w:tc>
          <w:tcPr>
            <w:tcW w:type="dxa" w:w="4680"/>
          </w:tcPr>
          <w:p>
            <w:r/>
            <w:r>
              <w:rPr>
                <w:b w:val="0"/>
                <w:i w:val="0"/>
                <w:u w:val="none"/>
              </w:rPr>
              <w:t>max(Verified</w:t>
            </w:r>
            <w:r>
              <w:rPr>
                <w:b w:val="0"/>
                <w:i w:val="0"/>
                <w:u w:val="none"/>
              </w:rPr>
              <w:t>_</w:t>
            </w:r>
            <w:r>
              <w:rPr>
                <w:b w:val="0"/>
                <w:i w:val="0"/>
                <w:u w:val="none"/>
              </w:rPr>
              <w:t>Price − Strike, 0) × Notional</w:t>
            </w:r>
          </w:p>
        </w:tc>
      </w:tr>
      <w:tr>
        <w:tc>
          <w:tcPr>
            <w:tcW w:type="dxa" w:w="4680"/>
          </w:tcPr>
          <w:p>
            <w:r/>
            <w:r>
              <w:rPr>
                <w:b w:val="0"/>
                <w:i w:val="0"/>
                <w:u w:val="none"/>
              </w:rPr>
              <w:t>Initial margin (seller)</w:t>
            </w:r>
          </w:p>
        </w:tc>
        <w:tc>
          <w:tcPr>
            <w:tcW w:type="dxa" w:w="4680"/>
          </w:tcPr>
          <w:p>
            <w:r/>
            <w:r>
              <w:rPr>
                <w:b w:val="0"/>
                <w:i w:val="0"/>
                <w:u w:val="none"/>
              </w:rPr>
              <w:t>1.5 × VaR₉₉% (see Section 4.4)</w:t>
            </w:r>
          </w:p>
        </w:tc>
      </w:tr>
      <w:tr>
        <w:tc>
          <w:tcPr>
            <w:tcW w:type="dxa" w:w="4680"/>
          </w:tcPr>
          <w:p>
            <w:r/>
            <w:r>
              <w:rPr>
                <w:b w:val="0"/>
                <w:i w:val="0"/>
                <w:u w:val="none"/>
              </w:rPr>
              <w:t>Initial margin (buyer)</w:t>
            </w:r>
          </w:p>
        </w:tc>
        <w:tc>
          <w:tcPr>
            <w:tcW w:type="dxa" w:w="4680"/>
          </w:tcPr>
          <w:p>
            <w:r/>
            <w:r>
              <w:rPr>
                <w:b w:val="0"/>
                <w:i w:val="0"/>
                <w:u w:val="none"/>
              </w:rPr>
              <w:t>100% of premium, paid upfront</w:t>
            </w:r>
          </w:p>
        </w:tc>
      </w:tr>
      <w:tr>
        <w:tc>
          <w:tcPr>
            <w:tcW w:type="dxa" w:w="4680"/>
          </w:tcPr>
          <w:p>
            <w:r/>
            <w:r>
              <w:rPr>
                <w:b w:val="0"/>
                <w:i w:val="0"/>
                <w:u w:val="none"/>
              </w:rPr>
              <w:t>Variation margin</w:t>
            </w:r>
          </w:p>
        </w:tc>
        <w:tc>
          <w:tcPr>
            <w:tcW w:type="dxa" w:w="4680"/>
          </w:tcPr>
          <w:p>
            <w:r/>
            <w:r>
              <w:rPr>
                <w:b w:val="0"/>
                <w:i w:val="0"/>
                <w:u w:val="none"/>
              </w:rPr>
              <w:t>Daily mark-to-market; maintenance threshold at 120% of max loss</w:t>
            </w:r>
          </w:p>
        </w:tc>
      </w:tr>
      <w:tr>
        <w:tc>
          <w:tcPr>
            <w:tcW w:type="dxa" w:w="4680"/>
          </w:tcPr>
          <w:p>
            <w:r/>
            <w:r>
              <w:rPr>
                <w:b w:val="0"/>
                <w:i w:val="0"/>
                <w:u w:val="none"/>
              </w:rPr>
              <w:t>Liquidation</w:t>
            </w:r>
          </w:p>
        </w:tc>
        <w:tc>
          <w:tcPr>
            <w:tcW w:type="dxa" w:w="4680"/>
          </w:tcPr>
          <w:p>
            <w:r/>
            <w:r>
              <w:rPr>
                <w:b w:val="0"/>
                <w:i w:val="0"/>
                <w:u w:val="none"/>
              </w:rPr>
              <w:t>Automated close-out if margin falls below maintenance threshold</w:t>
            </w:r>
          </w:p>
        </w:tc>
      </w:tr>
    </w:tbl>
    <w:p/>
    <w:p>
      <w:r>
        <w:rPr>
          <w:b w:val="0"/>
          <w:i w:val="0"/>
          <w:u w:val="none"/>
        </w:rPr>
        <w:t>The cash settlement design avoids the physical delivery complications of kWh transfer across grid boundaries, which would introduce substantial logistical and regulatory complexity. Cash settlement against a verified price index preserves the economic hedging function while remaining implementable without physical energy infrastructure.</w:t>
      </w:r>
    </w:p>
    <w:p>
      <w:pPr>
        <w:pStyle w:val="Heading2"/>
      </w:pPr>
      <w:r>
        <w:t>4.3 Oracle Architecture and Basis Risk</w:t>
      </w:r>
    </w:p>
    <w:p>
      <w:pPr>
        <w:pStyle w:val="Heading3"/>
      </w:pPr>
      <w:r>
        <w:t>4.3.1 The Oracle Problem for Non-Storable Commodities</w:t>
      </w:r>
    </w:p>
    <w:p>
      <w:r>
        <w:rPr>
          <w:b w:val="0"/>
          <w:i w:val="0"/>
          <w:u w:val="none"/>
        </w:rPr>
        <w:t>A fundamental challenge in energy derivative design is that the settlement price cannot be directly observed from a single authoritative source in the same way that a stock price can. Solar irradiance varies by precise location, measurement equipment, and time of day. Grid wholesale prices depend on transmission constraints and local market clearing. The oracle — the mechanism connecting physical reality to contract settlement — introduces a source of error absent in conventional derivatives.</w:t>
      </w:r>
    </w:p>
    <w:p>
      <w:r>
        <w:rPr>
          <w:b w:val="0"/>
          <w:i w:val="0"/>
          <w:u w:val="none"/>
        </w:rPr>
        <w:t>This thesis proposes a three-source oracle architecture with weighted median aggregation:</w:t>
      </w:r>
    </w:p>
    <w:p>
      <w:pPr>
        <w:pStyle w:val="ListBullet"/>
        <w:ind w:left="0" w:firstLine="0"/>
      </w:pPr>
      <w:r>
        <w:rPr>
          <w:b/>
          <w:i w:val="0"/>
          <w:u w:val="none"/>
        </w:rPr>
        <w:t>NASA POWER satellite data (40% weight):</w:t>
      </w:r>
      <w:r>
        <w:rPr>
          <w:b w:val="0"/>
          <w:i w:val="0"/>
          <w:u w:val="none"/>
        </w:rPr>
        <w:t xml:space="preserve"> Physically independent, tamper-resistant, available globally. Limitation: measures atmospheric irradiance, not actual generation output.</w:t>
      </w:r>
    </w:p>
    <w:p>
      <w:pPr>
        <w:pStyle w:val="ListBullet"/>
        <w:ind w:left="0" w:firstLine="0"/>
      </w:pPr>
      <w:r>
        <w:rPr>
          <w:b/>
          <w:i w:val="0"/>
          <w:u w:val="none"/>
        </w:rPr>
        <w:t>Utility wholesale price feeds (40% weight):</w:t>
      </w:r>
      <w:r>
        <w:rPr>
          <w:b w:val="0"/>
          <w:i w:val="0"/>
          <w:u w:val="none"/>
        </w:rPr>
        <w:t xml:space="preserve"> Reflect actual grid conditions and market clearing. Limitation: subject to reporting delays and potential manipulation in thin markets.</w:t>
      </w:r>
    </w:p>
    <w:p>
      <w:pPr>
        <w:pStyle w:val="ListBullet"/>
        <w:ind w:left="0" w:firstLine="0"/>
      </w:pPr>
      <w:r>
        <w:rPr>
          <w:b/>
          <w:i w:val="0"/>
          <w:u w:val="none"/>
        </w:rPr>
        <w:t>Decentralised oracle networks such as Chainlink (20% weight):</w:t>
      </w:r>
      <w:r>
        <w:rPr>
          <w:b w:val="0"/>
          <w:i w:val="0"/>
          <w:u w:val="none"/>
        </w:rPr>
        <w:t xml:space="preserve"> Provides cryptographic verification and manipulation resistance. Limitation: depends on the quality of its own underlying data sources.</w:t>
      </w:r>
    </w:p>
    <w:p>
      <w:r>
        <w:rPr>
          <w:b w:val="0"/>
          <w:i w:val="0"/>
          <w:u w:val="none"/>
        </w:rPr>
        <w:t>The weighted median (not mean) is chosen for its robustness to a single corrupted source: even if one source reports an erroneous value, the median ignores it if the other two sources agree.</w:t>
      </w:r>
    </w:p>
    <w:p>
      <w:pPr>
        <w:pStyle w:val="Heading3"/>
      </w:pPr>
      <w:r>
        <w:t>4.3.2 Basis Risk Quantification</w:t>
      </w:r>
    </w:p>
    <w:p>
      <w:r>
        <w:rPr>
          <w:b w:val="0"/>
          <w:i w:val="0"/>
          <w:u w:val="none"/>
        </w:rPr>
        <w:t xml:space="preserve">Basis risk arises from the gap between the settlement index (oracle-measured price) and the hedger's actual exposure (physical production value). The important design question is not a single illustrative variance-reduction number, but the </w:t>
      </w:r>
      <w:r>
        <w:rPr>
          <w:b w:val="0"/>
          <w:i/>
          <w:u w:val="none"/>
        </w:rPr>
        <w:t>maximum oracle error</w:t>
      </w:r>
      <w:r>
        <w:rPr>
          <w:b w:val="0"/>
          <w:i w:val="0"/>
          <w:u w:val="none"/>
        </w:rPr>
        <w:t xml:space="preserve"> consistent with acceptable hedge performance. Let X denote the hedger's true exposure and Y = X + ε the oracle settlement, where ε ~ N(0, σ_ε²) is measurement noise independent of X. The optimal hedge ratio is h* = σ_X²/(σ_X² + σ_ε²) and the resulting variance reduction is ρ² = σ_X²/(σ_X² + σ_ε²), where σ_X = σ · S₀ · √T. Solving ρ² ≥ threshold for oracle error gives:</w:t>
      </w:r>
    </w:p>
    <w:p>
      <w:pPr>
        <w:pStyle w:val="CodeBlock"/>
      </w:pPr>
      <w:r>
        <w:rPr>
          <w:rFonts w:ascii="Courier New" w:hAnsi="Courier New"/>
          <w:sz w:val="21"/>
        </w:rPr>
        <w:t>e_max = sigma * sqrt(T) * sqrt((1 - threshold) / threshold)</w:t>
      </w:r>
    </w:p>
    <w:p>
      <w:pPr>
        <w:ind w:firstLine="0"/>
        <w:jc w:val="center"/>
      </w:pPr>
      <w:r>
        <w:rPr>
          <w:b/>
          <w:i w:val="0"/>
          <w:u w:val="none"/>
        </w:rPr>
        <w:t>Table 4.2: Oracle Error Tolerance by Location (T = 0.25)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Location</w:t>
            </w:r>
          </w:p>
        </w:tc>
        <w:tc>
          <w:tcPr>
            <w:tcW w:type="dxa" w:w="2340"/>
          </w:tcPr>
          <w:p>
            <w:pPr>
              <w:jc w:val="center"/>
            </w:pPr>
            <w:r/>
            <w:r>
              <w:rPr>
                <w:b/>
                <w:i w:val="0"/>
                <w:u w:val="none"/>
              </w:rPr>
              <w:t>σ (%)</w:t>
            </w:r>
          </w:p>
        </w:tc>
        <w:tc>
          <w:tcPr>
            <w:tcW w:type="dxa" w:w="2340"/>
          </w:tcPr>
          <w:p>
            <w:pPr>
              <w:jc w:val="center"/>
            </w:pPr>
            <w:r/>
            <w:r>
              <w:rPr>
                <w:b/>
                <w:i w:val="0"/>
                <w:u w:val="none"/>
              </w:rPr>
              <w:t>Max Oracle Error for VR ≥ 95%</w:t>
            </w:r>
          </w:p>
        </w:tc>
        <w:tc>
          <w:tcPr>
            <w:tcW w:type="dxa" w:w="2340"/>
          </w:tcPr>
          <w:p>
            <w:pPr>
              <w:jc w:val="center"/>
            </w:pPr>
            <w:r/>
            <w:r>
              <w:rPr>
                <w:b/>
                <w:i w:val="0"/>
                <w:u w:val="none"/>
              </w:rPr>
              <w:t>Max Oracle Error for VR ≥ 90%</w:t>
            </w:r>
          </w:p>
        </w:tc>
      </w:tr>
      <w:tr>
        <w:tc>
          <w:tcPr>
            <w:tcW w:type="dxa" w:w="2340"/>
          </w:tcPr>
          <w:p>
            <w:r/>
            <w:r>
              <w:rPr>
                <w:b w:val="0"/>
                <w:i w:val="0"/>
                <w:u w:val="none"/>
              </w:rPr>
              <w:t>Taiwan</w:t>
            </w:r>
          </w:p>
        </w:tc>
        <w:tc>
          <w:tcPr>
            <w:tcW w:type="dxa" w:w="2340"/>
          </w:tcPr>
          <w:p>
            <w:r/>
            <w:r>
              <w:rPr>
                <w:b w:val="0"/>
                <w:i w:val="0"/>
                <w:u w:val="none"/>
              </w:rPr>
              <w:t>189%</w:t>
            </w:r>
          </w:p>
        </w:tc>
        <w:tc>
          <w:tcPr>
            <w:tcW w:type="dxa" w:w="2340"/>
          </w:tcPr>
          <w:p>
            <w:r/>
            <w:r>
              <w:rPr>
                <w:b w:val="0"/>
                <w:i w:val="0"/>
                <w:u w:val="none"/>
              </w:rPr>
              <w:t>21.7%</w:t>
            </w:r>
          </w:p>
        </w:tc>
        <w:tc>
          <w:tcPr>
            <w:tcW w:type="dxa" w:w="2340"/>
          </w:tcPr>
          <w:p>
            <w:r/>
            <w:r>
              <w:rPr>
                <w:b w:val="0"/>
                <w:i w:val="0"/>
                <w:u w:val="none"/>
              </w:rPr>
              <w:t>31.5%</w:t>
            </w:r>
          </w:p>
        </w:tc>
      </w:tr>
      <w:tr>
        <w:tc>
          <w:tcPr>
            <w:tcW w:type="dxa" w:w="2340"/>
          </w:tcPr>
          <w:p>
            <w:r/>
            <w:r>
              <w:rPr>
                <w:b w:val="0"/>
                <w:i w:val="0"/>
                <w:u w:val="none"/>
              </w:rPr>
              <w:t>Saudi Arabia</w:t>
            </w:r>
          </w:p>
        </w:tc>
        <w:tc>
          <w:tcPr>
            <w:tcW w:type="dxa" w:w="2340"/>
          </w:tcPr>
          <w:p>
            <w:r/>
            <w:r>
              <w:rPr>
                <w:b w:val="0"/>
                <w:i w:val="0"/>
                <w:u w:val="none"/>
              </w:rPr>
              <w:t>172%</w:t>
            </w:r>
          </w:p>
        </w:tc>
        <w:tc>
          <w:tcPr>
            <w:tcW w:type="dxa" w:w="2340"/>
          </w:tcPr>
          <w:p>
            <w:r/>
            <w:r>
              <w:rPr>
                <w:b w:val="0"/>
                <w:i w:val="0"/>
                <w:u w:val="none"/>
              </w:rPr>
              <w:t>19.7%</w:t>
            </w:r>
          </w:p>
        </w:tc>
        <w:tc>
          <w:tcPr>
            <w:tcW w:type="dxa" w:w="2340"/>
          </w:tcPr>
          <w:p>
            <w:r/>
            <w:r>
              <w:rPr>
                <w:b w:val="0"/>
                <w:i w:val="0"/>
                <w:u w:val="none"/>
              </w:rPr>
              <w:t>28.7%</w:t>
            </w:r>
          </w:p>
        </w:tc>
      </w:tr>
      <w:tr>
        <w:tc>
          <w:tcPr>
            <w:tcW w:type="dxa" w:w="2340"/>
          </w:tcPr>
          <w:p>
            <w:r/>
            <w:r>
              <w:rPr>
                <w:b w:val="0"/>
                <w:i w:val="0"/>
                <w:u w:val="none"/>
              </w:rPr>
              <w:t>Arizona, USA</w:t>
            </w:r>
          </w:p>
        </w:tc>
        <w:tc>
          <w:tcPr>
            <w:tcW w:type="dxa" w:w="2340"/>
          </w:tcPr>
          <w:p>
            <w:r/>
            <w:r>
              <w:rPr>
                <w:b w:val="0"/>
                <w:i w:val="0"/>
                <w:u w:val="none"/>
              </w:rPr>
              <w:t>165%</w:t>
            </w:r>
          </w:p>
        </w:tc>
        <w:tc>
          <w:tcPr>
            <w:tcW w:type="dxa" w:w="2340"/>
          </w:tcPr>
          <w:p>
            <w:r/>
            <w:r>
              <w:rPr>
                <w:b w:val="0"/>
                <w:i w:val="0"/>
                <w:u w:val="none"/>
              </w:rPr>
              <w:t>18.9%</w:t>
            </w:r>
          </w:p>
        </w:tc>
        <w:tc>
          <w:tcPr>
            <w:tcW w:type="dxa" w:w="2340"/>
          </w:tcPr>
          <w:p>
            <w:r/>
            <w:r>
              <w:rPr>
                <w:b w:val="0"/>
                <w:i w:val="0"/>
                <w:u w:val="none"/>
              </w:rPr>
              <w:t>27.5%</w:t>
            </w:r>
          </w:p>
        </w:tc>
      </w:tr>
      <w:tr>
        <w:tc>
          <w:tcPr>
            <w:tcW w:type="dxa" w:w="2340"/>
          </w:tcPr>
          <w:p>
            <w:r/>
            <w:r>
              <w:rPr>
                <w:b w:val="0"/>
                <w:i w:val="0"/>
                <w:u w:val="none"/>
              </w:rPr>
              <w:t>Brazil</w:t>
            </w:r>
          </w:p>
        </w:tc>
        <w:tc>
          <w:tcPr>
            <w:tcW w:type="dxa" w:w="2340"/>
          </w:tcPr>
          <w:p>
            <w:r/>
            <w:r>
              <w:rPr>
                <w:b w:val="0"/>
                <w:i w:val="0"/>
                <w:u w:val="none"/>
              </w:rPr>
              <w:t>198%</w:t>
            </w:r>
          </w:p>
        </w:tc>
        <w:tc>
          <w:tcPr>
            <w:tcW w:type="dxa" w:w="2340"/>
          </w:tcPr>
          <w:p>
            <w:r/>
            <w:r>
              <w:rPr>
                <w:b w:val="0"/>
                <w:i w:val="0"/>
                <w:u w:val="none"/>
              </w:rPr>
              <w:t>22.7%</w:t>
            </w:r>
          </w:p>
        </w:tc>
        <w:tc>
          <w:tcPr>
            <w:tcW w:type="dxa" w:w="2340"/>
          </w:tcPr>
          <w:p>
            <w:r/>
            <w:r>
              <w:rPr>
                <w:b w:val="0"/>
                <w:i w:val="0"/>
                <w:u w:val="none"/>
              </w:rPr>
              <w:t>33.0%</w:t>
            </w:r>
          </w:p>
        </w:tc>
      </w:tr>
      <w:tr>
        <w:tc>
          <w:tcPr>
            <w:tcW w:type="dxa" w:w="2340"/>
          </w:tcPr>
          <w:p>
            <w:r/>
            <w:r>
              <w:rPr>
                <w:b w:val="0"/>
                <w:i w:val="0"/>
                <w:u w:val="none"/>
              </w:rPr>
              <w:t>Germany</w:t>
            </w:r>
          </w:p>
        </w:tc>
        <w:tc>
          <w:tcPr>
            <w:tcW w:type="dxa" w:w="2340"/>
          </w:tcPr>
          <w:p>
            <w:r/>
            <w:r>
              <w:rPr>
                <w:b w:val="0"/>
                <w:i w:val="0"/>
                <w:u w:val="none"/>
              </w:rPr>
              <w:t>45%</w:t>
            </w:r>
          </w:p>
        </w:tc>
        <w:tc>
          <w:tcPr>
            <w:tcW w:type="dxa" w:w="2340"/>
          </w:tcPr>
          <w:p>
            <w:r/>
            <w:r>
              <w:rPr>
                <w:b w:val="0"/>
                <w:i w:val="0"/>
                <w:u w:val="none"/>
              </w:rPr>
              <w:t>5.2%</w:t>
            </w:r>
          </w:p>
        </w:tc>
        <w:tc>
          <w:tcPr>
            <w:tcW w:type="dxa" w:w="2340"/>
          </w:tcPr>
          <w:p>
            <w:r/>
            <w:r>
              <w:rPr>
                <w:b w:val="0"/>
                <w:i w:val="0"/>
                <w:u w:val="none"/>
              </w:rPr>
              <w:t>7.5%</w:t>
            </w:r>
          </w:p>
        </w:tc>
      </w:tr>
    </w:tbl>
    <w:p/>
    <w:p>
      <w:r>
        <w:rPr>
          <w:b w:val="0"/>
          <w:i w:val="0"/>
          <w:u w:val="none"/>
        </w:rPr>
        <w:t>The design result is location-specific. High-volatility markets are robust: Taiwan tolerates 21.7% oracle error while still delivering variance reduction above 95%, and Brazil tolerates 22.7%. Germany is the opposite case: it tolerates only 5.2%, making it a marginal market unless oracle precision is unusually high. The previously reported "99% variance reduction at 6% oracle error" remains true for Taiwan (99.6%), but it is not the main finding; the defensible finding is that oracle tolerance scales with volatility and therefore identifies where deployment is realistically attractive.</w:t>
      </w:r>
    </w:p>
    <w:p>
      <w:pPr>
        <w:pStyle w:val="Heading2"/>
      </w:pPr>
      <w:r>
        <w:t>4.4 Solvency: Margin and Default Framework</w:t>
      </w:r>
    </w:p>
    <w:p>
      <w:pPr>
        <w:pStyle w:val="Heading3"/>
      </w:pPr>
      <w:r>
        <w:t>4.4.1 Margin Logic</w:t>
      </w:r>
    </w:p>
    <w:p>
      <w:r>
        <w:rPr>
          <w:b w:val="0"/>
          <w:i w:val="0"/>
          <w:u w:val="none"/>
        </w:rPr>
        <w:t>The key solvency risk is seller default: the option writer may lack funds to meet settlement obligations in adverse scenarios. A VaR-based initial margin framework ensures sellers post collateral sufficient to cover tail losses:</w:t>
      </w:r>
    </w:p>
    <w:p>
      <w:pPr>
        <w:pStyle w:val="CodeBlock"/>
      </w:pPr>
      <w:r>
        <w:rPr>
          <w:rFonts w:ascii="Courier New" w:hAnsi="Courier New"/>
          <w:sz w:val="21"/>
        </w:rPr>
        <w:t>Initial Margin = 1.5 × VaR₉₉%</w:t>
        <w:br/>
      </w:r>
      <w:r>
        <w:rPr>
          <w:rFonts w:ascii="Courier New" w:hAnsi="Courier New"/>
          <w:sz w:val="21"/>
        </w:rPr>
        <w:br/>
      </w:r>
      <w:r>
        <w:rPr>
          <w:rFonts w:ascii="Courier New" w:hAnsi="Courier New"/>
          <w:sz w:val="21"/>
        </w:rPr>
        <w:t>Where:</w:t>
        <w:br/>
      </w:r>
      <w:r>
        <w:rPr>
          <w:rFonts w:ascii="Courier New" w:hAnsi="Courier New"/>
          <w:sz w:val="21"/>
        </w:rPr>
        <w:t>VaR₉₉% = S₀ · [exp(2.33 · σ · √T) − 1]</w:t>
      </w:r>
    </w:p>
    <w:p>
      <w:r>
        <w:rPr>
          <w:b w:val="0"/>
          <w:i w:val="0"/>
          <w:u w:val="none"/>
        </w:rPr>
        <w:t>The 1.5× multiplier provides a buffer above the 99th percentile loss, covering scenarios between the 99th and approximately 99.9th percentile. For the Taiwan base case:</w:t>
      </w:r>
    </w:p>
    <w:p>
      <w:pPr>
        <w:pStyle w:val="CodeBlock"/>
      </w:pPr>
      <w:r>
        <w:rPr>
          <w:rFonts w:ascii="Courier New" w:hAnsi="Courier New"/>
          <w:sz w:val="21"/>
        </w:rPr>
        <w:t>VaR₉₉% = $0.0525 × [exp(2.33 × 1.89 × √0.25) − 1] = $0.4222/kWh</w:t>
        <w:br/>
      </w:r>
      <w:r>
        <w:rPr>
          <w:rFonts w:ascii="Courier New" w:hAnsi="Courier New"/>
          <w:sz w:val="21"/>
        </w:rPr>
        <w:t>Initial Margin = 1.5 × $0.4222 = $0.6333/kWh = 12.1× spot</w:t>
        <w:br/>
      </w:r>
      <w:r>
        <w:rPr>
          <w:rFonts w:ascii="Courier New" w:hAnsi="Courier New"/>
          <w:sz w:val="21"/>
        </w:rPr>
        <w:t>For a 1,000-kWh contract: approximately $633 in posted collateral</w:t>
      </w:r>
    </w:p>
    <w:p>
      <w:pPr>
        <w:ind w:firstLine="0"/>
        <w:jc w:val="center"/>
      </w:pPr>
      <w:r>
        <w:rPr>
          <w:b w:val="0"/>
          <w:i w:val="0"/>
          <w:u w:val="none"/>
        </w:rPr>
        <w:t>Table 4.3 presents margin requirements across price and volatility scenarios, demonstrating how the framework scales to different market conditions.</w:t>
      </w:r>
    </w:p>
    <w:p>
      <w:pPr>
        <w:ind w:firstLine="0"/>
        <w:jc w:val="center"/>
      </w:pPr>
      <w:r>
        <w:rPr>
          <w:b/>
          <w:i w:val="0"/>
          <w:u w:val="none"/>
        </w:rPr>
        <w:t>Table 4.3: Initial Margin Requirements by Scenario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b/>
                <w:i w:val="0"/>
                <w:u w:val="none"/>
              </w:rPr>
              <w:t>S₀ ($/kWh)</w:t>
            </w:r>
          </w:p>
        </w:tc>
        <w:tc>
          <w:tcPr>
            <w:tcW w:type="dxa" w:w="1872"/>
          </w:tcPr>
          <w:p>
            <w:pPr>
              <w:jc w:val="center"/>
            </w:pPr>
            <w:r/>
            <w:r>
              <w:rPr>
                <w:b/>
                <w:i w:val="0"/>
                <w:u w:val="none"/>
              </w:rPr>
              <w:t>σ (%)</w:t>
            </w:r>
          </w:p>
        </w:tc>
        <w:tc>
          <w:tcPr>
            <w:tcW w:type="dxa" w:w="1872"/>
          </w:tcPr>
          <w:p>
            <w:pPr>
              <w:jc w:val="center"/>
            </w:pPr>
            <w:r/>
            <w:r>
              <w:rPr>
                <w:b/>
                <w:i w:val="0"/>
                <w:u w:val="none"/>
              </w:rPr>
              <w:t>VaR₉₉% ($/kWh)</w:t>
            </w:r>
          </w:p>
        </w:tc>
        <w:tc>
          <w:tcPr>
            <w:tcW w:type="dxa" w:w="1872"/>
          </w:tcPr>
          <w:p>
            <w:pPr>
              <w:jc w:val="center"/>
            </w:pPr>
            <w:r/>
            <w:r>
              <w:rPr>
                <w:b/>
                <w:i w:val="0"/>
                <w:u w:val="none"/>
              </w:rPr>
              <w:t>Initial Margin ($/kWh)</w:t>
            </w:r>
          </w:p>
        </w:tc>
        <w:tc>
          <w:tcPr>
            <w:tcW w:type="dxa" w:w="1872"/>
          </w:tcPr>
          <w:p>
            <w:pPr>
              <w:jc w:val="center"/>
            </w:pPr>
            <w:r/>
            <w:r>
              <w:rPr>
                <w:b/>
                <w:i w:val="0"/>
                <w:u w:val="none"/>
              </w:rPr>
              <w:t>Margin / Spot</w:t>
            </w:r>
          </w:p>
        </w:tc>
      </w:tr>
      <w:tr>
        <w:tc>
          <w:tcPr>
            <w:tcW w:type="dxa" w:w="1872"/>
          </w:tcPr>
          <w:p>
            <w:r/>
            <w:r>
              <w:rPr>
                <w:b w:val="0"/>
                <w:i w:val="0"/>
                <w:u w:val="none"/>
              </w:rPr>
              <w:t>0.0420</w:t>
            </w:r>
          </w:p>
        </w:tc>
        <w:tc>
          <w:tcPr>
            <w:tcW w:type="dxa" w:w="1872"/>
          </w:tcPr>
          <w:p>
            <w:r/>
            <w:r>
              <w:rPr>
                <w:b w:val="0"/>
                <w:i w:val="0"/>
                <w:u w:val="none"/>
              </w:rPr>
              <w:t>142%</w:t>
            </w:r>
          </w:p>
        </w:tc>
        <w:tc>
          <w:tcPr>
            <w:tcW w:type="dxa" w:w="1872"/>
          </w:tcPr>
          <w:p>
            <w:r/>
            <w:r>
              <w:rPr>
                <w:b w:val="0"/>
                <w:i w:val="0"/>
                <w:u w:val="none"/>
              </w:rPr>
              <w:t>0.1776</w:t>
            </w:r>
          </w:p>
        </w:tc>
        <w:tc>
          <w:tcPr>
            <w:tcW w:type="dxa" w:w="1872"/>
          </w:tcPr>
          <w:p>
            <w:r/>
            <w:r>
              <w:rPr>
                <w:b w:val="0"/>
                <w:i w:val="0"/>
                <w:u w:val="none"/>
              </w:rPr>
              <w:t>0.2665</w:t>
            </w:r>
          </w:p>
        </w:tc>
        <w:tc>
          <w:tcPr>
            <w:tcW w:type="dxa" w:w="1872"/>
          </w:tcPr>
          <w:p>
            <w:r/>
            <w:r>
              <w:rPr>
                <w:b w:val="0"/>
                <w:i w:val="0"/>
                <w:u w:val="none"/>
              </w:rPr>
              <w:t>6.34×</w:t>
            </w:r>
          </w:p>
        </w:tc>
      </w:tr>
      <w:tr>
        <w:tc>
          <w:tcPr>
            <w:tcW w:type="dxa" w:w="1872"/>
          </w:tcPr>
          <w:p>
            <w:r/>
            <w:r>
              <w:rPr>
                <w:b w:val="0"/>
                <w:i w:val="0"/>
                <w:u w:val="none"/>
              </w:rPr>
              <w:t>0.0420</w:t>
            </w:r>
          </w:p>
        </w:tc>
        <w:tc>
          <w:tcPr>
            <w:tcW w:type="dxa" w:w="1872"/>
          </w:tcPr>
          <w:p>
            <w:r/>
            <w:r>
              <w:rPr>
                <w:b w:val="0"/>
                <w:i w:val="0"/>
                <w:u w:val="none"/>
              </w:rPr>
              <w:t>189%</w:t>
            </w:r>
          </w:p>
        </w:tc>
        <w:tc>
          <w:tcPr>
            <w:tcW w:type="dxa" w:w="1872"/>
          </w:tcPr>
          <w:p>
            <w:r/>
            <w:r>
              <w:rPr>
                <w:b w:val="0"/>
                <w:i w:val="0"/>
                <w:u w:val="none"/>
              </w:rPr>
              <w:t>0.3378</w:t>
            </w:r>
          </w:p>
        </w:tc>
        <w:tc>
          <w:tcPr>
            <w:tcW w:type="dxa" w:w="1872"/>
          </w:tcPr>
          <w:p>
            <w:r/>
            <w:r>
              <w:rPr>
                <w:b w:val="0"/>
                <w:i w:val="0"/>
                <w:u w:val="none"/>
              </w:rPr>
              <w:t>0.5066</w:t>
            </w:r>
          </w:p>
        </w:tc>
        <w:tc>
          <w:tcPr>
            <w:tcW w:type="dxa" w:w="1872"/>
          </w:tcPr>
          <w:p>
            <w:r/>
            <w:r>
              <w:rPr>
                <w:b w:val="0"/>
                <w:i w:val="0"/>
                <w:u w:val="none"/>
              </w:rPr>
              <w:t>12.06×</w:t>
            </w:r>
          </w:p>
        </w:tc>
      </w:tr>
      <w:tr>
        <w:tc>
          <w:tcPr>
            <w:tcW w:type="dxa" w:w="1872"/>
          </w:tcPr>
          <w:p>
            <w:r/>
            <w:r>
              <w:rPr>
                <w:b w:val="0"/>
                <w:i w:val="0"/>
                <w:u w:val="none"/>
              </w:rPr>
              <w:t>0.0420</w:t>
            </w:r>
          </w:p>
        </w:tc>
        <w:tc>
          <w:tcPr>
            <w:tcW w:type="dxa" w:w="1872"/>
          </w:tcPr>
          <w:p>
            <w:r/>
            <w:r>
              <w:rPr>
                <w:b w:val="0"/>
                <w:i w:val="0"/>
                <w:u w:val="none"/>
              </w:rPr>
              <w:t>236%</w:t>
            </w:r>
          </w:p>
        </w:tc>
        <w:tc>
          <w:tcPr>
            <w:tcW w:type="dxa" w:w="1872"/>
          </w:tcPr>
          <w:p>
            <w:r/>
            <w:r>
              <w:rPr>
                <w:b w:val="0"/>
                <w:i w:val="0"/>
                <w:u w:val="none"/>
              </w:rPr>
              <w:t>0.6146</w:t>
            </w:r>
          </w:p>
        </w:tc>
        <w:tc>
          <w:tcPr>
            <w:tcW w:type="dxa" w:w="1872"/>
          </w:tcPr>
          <w:p>
            <w:r/>
            <w:r>
              <w:rPr>
                <w:b w:val="0"/>
                <w:i w:val="0"/>
                <w:u w:val="none"/>
              </w:rPr>
              <w:t>0.9219</w:t>
            </w:r>
          </w:p>
        </w:tc>
        <w:tc>
          <w:tcPr>
            <w:tcW w:type="dxa" w:w="1872"/>
          </w:tcPr>
          <w:p>
            <w:r/>
            <w:r>
              <w:rPr>
                <w:b w:val="0"/>
                <w:i w:val="0"/>
                <w:u w:val="none"/>
              </w:rPr>
              <w:t>21.95×</w:t>
            </w:r>
          </w:p>
        </w:tc>
      </w:tr>
      <w:tr>
        <w:tc>
          <w:tcPr>
            <w:tcW w:type="dxa" w:w="1872"/>
          </w:tcPr>
          <w:p>
            <w:r/>
            <w:r>
              <w:rPr>
                <w:b w:val="0"/>
                <w:i w:val="0"/>
                <w:u w:val="none"/>
              </w:rPr>
              <w:t>0.0525</w:t>
            </w:r>
          </w:p>
        </w:tc>
        <w:tc>
          <w:tcPr>
            <w:tcW w:type="dxa" w:w="1872"/>
          </w:tcPr>
          <w:p>
            <w:r/>
            <w:r>
              <w:rPr>
                <w:b w:val="0"/>
                <w:i w:val="0"/>
                <w:u w:val="none"/>
              </w:rPr>
              <w:t>142%</w:t>
            </w:r>
          </w:p>
        </w:tc>
        <w:tc>
          <w:tcPr>
            <w:tcW w:type="dxa" w:w="1872"/>
          </w:tcPr>
          <w:p>
            <w:r/>
            <w:r>
              <w:rPr>
                <w:b w:val="0"/>
                <w:i w:val="0"/>
                <w:u w:val="none"/>
              </w:rPr>
              <w:t>0.2220</w:t>
            </w:r>
          </w:p>
        </w:tc>
        <w:tc>
          <w:tcPr>
            <w:tcW w:type="dxa" w:w="1872"/>
          </w:tcPr>
          <w:p>
            <w:r/>
            <w:r>
              <w:rPr>
                <w:b w:val="0"/>
                <w:i w:val="0"/>
                <w:u w:val="none"/>
              </w:rPr>
              <w:t>0.3331</w:t>
            </w:r>
          </w:p>
        </w:tc>
        <w:tc>
          <w:tcPr>
            <w:tcW w:type="dxa" w:w="1872"/>
          </w:tcPr>
          <w:p>
            <w:r/>
            <w:r>
              <w:rPr>
                <w:b w:val="0"/>
                <w:i w:val="0"/>
                <w:u w:val="none"/>
              </w:rPr>
              <w:t>6.34×</w:t>
            </w:r>
          </w:p>
        </w:tc>
      </w:tr>
      <w:tr>
        <w:tc>
          <w:tcPr>
            <w:tcW w:type="dxa" w:w="1872"/>
          </w:tcPr>
          <w:p>
            <w:r/>
            <w:r>
              <w:rPr>
                <w:b w:val="0"/>
                <w:i w:val="0"/>
                <w:u w:val="none"/>
              </w:rPr>
              <w:t>0.0525</w:t>
            </w:r>
          </w:p>
        </w:tc>
        <w:tc>
          <w:tcPr>
            <w:tcW w:type="dxa" w:w="1872"/>
          </w:tcPr>
          <w:p>
            <w:r/>
            <w:r>
              <w:rPr>
                <w:b w:val="0"/>
                <w:i w:val="0"/>
                <w:u w:val="none"/>
              </w:rPr>
              <w:t>189%</w:t>
            </w:r>
          </w:p>
        </w:tc>
        <w:tc>
          <w:tcPr>
            <w:tcW w:type="dxa" w:w="1872"/>
          </w:tcPr>
          <w:p>
            <w:r/>
            <w:r>
              <w:rPr>
                <w:b w:val="0"/>
                <w:i w:val="0"/>
                <w:u w:val="none"/>
              </w:rPr>
              <w:t>0.4222</w:t>
            </w:r>
          </w:p>
        </w:tc>
        <w:tc>
          <w:tcPr>
            <w:tcW w:type="dxa" w:w="1872"/>
          </w:tcPr>
          <w:p>
            <w:r/>
            <w:r>
              <w:rPr>
                <w:b w:val="0"/>
                <w:i w:val="0"/>
                <w:u w:val="none"/>
              </w:rPr>
              <w:t>0.6333</w:t>
            </w:r>
          </w:p>
        </w:tc>
        <w:tc>
          <w:tcPr>
            <w:tcW w:type="dxa" w:w="1872"/>
          </w:tcPr>
          <w:p>
            <w:r/>
            <w:r>
              <w:rPr>
                <w:b w:val="0"/>
                <w:i w:val="0"/>
                <w:u w:val="none"/>
              </w:rPr>
              <w:t>12.06×</w:t>
            </w:r>
          </w:p>
        </w:tc>
      </w:tr>
      <w:tr>
        <w:tc>
          <w:tcPr>
            <w:tcW w:type="dxa" w:w="1872"/>
          </w:tcPr>
          <w:p>
            <w:r/>
            <w:r>
              <w:rPr>
                <w:b w:val="0"/>
                <w:i w:val="0"/>
                <w:u w:val="none"/>
              </w:rPr>
              <w:t>0.0525</w:t>
            </w:r>
          </w:p>
        </w:tc>
        <w:tc>
          <w:tcPr>
            <w:tcW w:type="dxa" w:w="1872"/>
          </w:tcPr>
          <w:p>
            <w:r/>
            <w:r>
              <w:rPr>
                <w:b w:val="0"/>
                <w:i w:val="0"/>
                <w:u w:val="none"/>
              </w:rPr>
              <w:t>236%</w:t>
            </w:r>
          </w:p>
        </w:tc>
        <w:tc>
          <w:tcPr>
            <w:tcW w:type="dxa" w:w="1872"/>
          </w:tcPr>
          <w:p>
            <w:r/>
            <w:r>
              <w:rPr>
                <w:b w:val="0"/>
                <w:i w:val="0"/>
                <w:u w:val="none"/>
              </w:rPr>
              <w:t>0.7682</w:t>
            </w:r>
          </w:p>
        </w:tc>
        <w:tc>
          <w:tcPr>
            <w:tcW w:type="dxa" w:w="1872"/>
          </w:tcPr>
          <w:p>
            <w:r/>
            <w:r>
              <w:rPr>
                <w:b w:val="0"/>
                <w:i w:val="0"/>
                <w:u w:val="none"/>
              </w:rPr>
              <w:t>1.1524</w:t>
            </w:r>
          </w:p>
        </w:tc>
        <w:tc>
          <w:tcPr>
            <w:tcW w:type="dxa" w:w="1872"/>
          </w:tcPr>
          <w:p>
            <w:r/>
            <w:r>
              <w:rPr>
                <w:b w:val="0"/>
                <w:i w:val="0"/>
                <w:u w:val="none"/>
              </w:rPr>
              <w:t>21.95×</w:t>
            </w:r>
          </w:p>
        </w:tc>
      </w:tr>
      <w:tr>
        <w:tc>
          <w:tcPr>
            <w:tcW w:type="dxa" w:w="1872"/>
          </w:tcPr>
          <w:p>
            <w:r/>
            <w:r>
              <w:rPr>
                <w:b w:val="0"/>
                <w:i w:val="0"/>
                <w:u w:val="none"/>
              </w:rPr>
              <w:t>0.0630</w:t>
            </w:r>
          </w:p>
        </w:tc>
        <w:tc>
          <w:tcPr>
            <w:tcW w:type="dxa" w:w="1872"/>
          </w:tcPr>
          <w:p>
            <w:r/>
            <w:r>
              <w:rPr>
                <w:b w:val="0"/>
                <w:i w:val="0"/>
                <w:u w:val="none"/>
              </w:rPr>
              <w:t>142%</w:t>
            </w:r>
          </w:p>
        </w:tc>
        <w:tc>
          <w:tcPr>
            <w:tcW w:type="dxa" w:w="1872"/>
          </w:tcPr>
          <w:p>
            <w:r/>
            <w:r>
              <w:rPr>
                <w:b w:val="0"/>
                <w:i w:val="0"/>
                <w:u w:val="none"/>
              </w:rPr>
              <w:t>0.2665</w:t>
            </w:r>
          </w:p>
        </w:tc>
        <w:tc>
          <w:tcPr>
            <w:tcW w:type="dxa" w:w="1872"/>
          </w:tcPr>
          <w:p>
            <w:r/>
            <w:r>
              <w:rPr>
                <w:b w:val="0"/>
                <w:i w:val="0"/>
                <w:u w:val="none"/>
              </w:rPr>
              <w:t>0.3997</w:t>
            </w:r>
          </w:p>
        </w:tc>
        <w:tc>
          <w:tcPr>
            <w:tcW w:type="dxa" w:w="1872"/>
          </w:tcPr>
          <w:p>
            <w:r/>
            <w:r>
              <w:rPr>
                <w:b w:val="0"/>
                <w:i w:val="0"/>
                <w:u w:val="none"/>
              </w:rPr>
              <w:t>6.34×</w:t>
            </w:r>
          </w:p>
        </w:tc>
      </w:tr>
      <w:tr>
        <w:tc>
          <w:tcPr>
            <w:tcW w:type="dxa" w:w="1872"/>
          </w:tcPr>
          <w:p>
            <w:r/>
            <w:r>
              <w:rPr>
                <w:b w:val="0"/>
                <w:i w:val="0"/>
                <w:u w:val="none"/>
              </w:rPr>
              <w:t>0.0630</w:t>
            </w:r>
          </w:p>
        </w:tc>
        <w:tc>
          <w:tcPr>
            <w:tcW w:type="dxa" w:w="1872"/>
          </w:tcPr>
          <w:p>
            <w:r/>
            <w:r>
              <w:rPr>
                <w:b w:val="0"/>
                <w:i w:val="0"/>
                <w:u w:val="none"/>
              </w:rPr>
              <w:t>189%</w:t>
            </w:r>
          </w:p>
        </w:tc>
        <w:tc>
          <w:tcPr>
            <w:tcW w:type="dxa" w:w="1872"/>
          </w:tcPr>
          <w:p>
            <w:r/>
            <w:r>
              <w:rPr>
                <w:b w:val="0"/>
                <w:i w:val="0"/>
                <w:u w:val="none"/>
              </w:rPr>
              <w:t>0.5066</w:t>
            </w:r>
          </w:p>
        </w:tc>
        <w:tc>
          <w:tcPr>
            <w:tcW w:type="dxa" w:w="1872"/>
          </w:tcPr>
          <w:p>
            <w:r/>
            <w:r>
              <w:rPr>
                <w:b w:val="0"/>
                <w:i w:val="0"/>
                <w:u w:val="none"/>
              </w:rPr>
              <w:t>0.7599</w:t>
            </w:r>
          </w:p>
        </w:tc>
        <w:tc>
          <w:tcPr>
            <w:tcW w:type="dxa" w:w="1872"/>
          </w:tcPr>
          <w:p>
            <w:r/>
            <w:r>
              <w:rPr>
                <w:b w:val="0"/>
                <w:i w:val="0"/>
                <w:u w:val="none"/>
              </w:rPr>
              <w:t>12.06×</w:t>
            </w:r>
          </w:p>
        </w:tc>
      </w:tr>
      <w:tr>
        <w:tc>
          <w:tcPr>
            <w:tcW w:type="dxa" w:w="1872"/>
          </w:tcPr>
          <w:p>
            <w:r/>
            <w:r>
              <w:rPr>
                <w:b w:val="0"/>
                <w:i w:val="0"/>
                <w:u w:val="none"/>
              </w:rPr>
              <w:t>0.0630</w:t>
            </w:r>
          </w:p>
        </w:tc>
        <w:tc>
          <w:tcPr>
            <w:tcW w:type="dxa" w:w="1872"/>
          </w:tcPr>
          <w:p>
            <w:r/>
            <w:r>
              <w:rPr>
                <w:b w:val="0"/>
                <w:i w:val="0"/>
                <w:u w:val="none"/>
              </w:rPr>
              <w:t>236%</w:t>
            </w:r>
          </w:p>
        </w:tc>
        <w:tc>
          <w:tcPr>
            <w:tcW w:type="dxa" w:w="1872"/>
          </w:tcPr>
          <w:p>
            <w:r/>
            <w:r>
              <w:rPr>
                <w:b w:val="0"/>
                <w:i w:val="0"/>
                <w:u w:val="none"/>
              </w:rPr>
              <w:t>0.9219</w:t>
            </w:r>
          </w:p>
        </w:tc>
        <w:tc>
          <w:tcPr>
            <w:tcW w:type="dxa" w:w="1872"/>
          </w:tcPr>
          <w:p>
            <w:r/>
            <w:r>
              <w:rPr>
                <w:b w:val="0"/>
                <w:i w:val="0"/>
                <w:u w:val="none"/>
              </w:rPr>
              <w:t>1.3828</w:t>
            </w:r>
          </w:p>
        </w:tc>
        <w:tc>
          <w:tcPr>
            <w:tcW w:type="dxa" w:w="1872"/>
          </w:tcPr>
          <w:p>
            <w:r/>
            <w:r>
              <w:rPr>
                <w:b w:val="0"/>
                <w:i w:val="0"/>
                <w:u w:val="none"/>
              </w:rPr>
              <w:t>21.95×</w:t>
            </w:r>
          </w:p>
        </w:tc>
      </w:tr>
    </w:tbl>
    <w:p/>
    <w:p>
      <w:pPr>
        <w:pStyle w:val="Heading3"/>
      </w:pPr>
      <w:r>
        <w:t>4.4.2 Variation Margin and Liquidation</w:t>
      </w:r>
    </w:p>
    <w:p>
      <w:r>
        <w:rPr>
          <w:b w:val="0"/>
          <w:i w:val="0"/>
          <w:u w:val="none"/>
        </w:rPr>
        <w:t>Variation margin is marked daily: the seller's collateral account is adjusted by the change in option fair value. If the account balance falls below 120% of the current maximum loss, a margin call is issued. Failure to meet a margin call within one business day triggers automated liquidation of the position. The main implication is institutional rather than mathematical: the collar may remove the upfront premium, but it does not remove the collateral burden. In the empirical 2020-2024 quarterly simulation, 99% margin ranges from 9.9× to 15.4× spot, so a clearing-house or pooled intermediary is a design requirement rather than an optional convenience.</w:t>
      </w:r>
    </w:p>
    <w:p>
      <w:r>
        <w:rPr>
          <w:b w:val="0"/>
          <w:i w:val="0"/>
          <w:u w:val="none"/>
        </w:rPr>
        <w:t>Stress testing extends to five-sigma events, representing scenarios beyond the 99.9th percentile. An insurance fund funded at 0.5% of total open interest provides a mutualized backstop for simultaneous multiple-default scenarios. A circuit breaker — suspending settlement if the oracle price deviates more than three standard deviations from its 30-day moving average — prevents settlement during potential oracle manipulation events.</w:t>
      </w:r>
    </w:p>
    <w:p>
      <w:pPr>
        <w:pStyle w:val="Heading2"/>
      </w:pPr>
      <w:r>
        <w:t>4.5 Market Viability Conditions</w:t>
      </w:r>
    </w:p>
    <w:p>
      <w:r>
        <w:rPr>
          <w:b w:val="0"/>
          <w:i w:val="0"/>
          <w:u w:val="none"/>
        </w:rPr>
        <w:t>A priced, well-specified, solvent contract still fails as a market if no participants are available. This section specifies the minimal market structure required for the instrument to function, framed as a feasibility constraint rather than a microstructure design.</w:t>
      </w:r>
    </w:p>
    <w:p>
      <w:r>
        <w:rPr>
          <w:b/>
          <w:i w:val="0"/>
          <w:u w:val="none"/>
        </w:rPr>
        <w:t>Necessary participant roles:</w:t>
      </w:r>
    </w:p>
    <w:p>
      <w:pPr>
        <w:pStyle w:val="ListBullet"/>
        <w:ind w:left="0" w:firstLine="0"/>
      </w:pPr>
      <w:r>
        <w:rPr>
          <w:b w:val="0"/>
          <w:i/>
          <w:u w:val="none"/>
        </w:rPr>
        <w:t>Producers (natural buyers):</w:t>
      </w:r>
      <w:r>
        <w:rPr>
          <w:b w:val="0"/>
          <w:i w:val="0"/>
          <w:u w:val="none"/>
        </w:rPr>
        <w:t xml:space="preserve"> Solar farm operators purchasing call options to establish revenue floors. Their hedging demand is the fundamental source of market existence.</w:t>
      </w:r>
    </w:p>
    <w:p>
      <w:pPr>
        <w:pStyle w:val="ListBullet"/>
        <w:ind w:left="0" w:firstLine="0"/>
      </w:pPr>
      <w:r>
        <w:rPr>
          <w:b w:val="0"/>
          <w:i/>
          <w:u w:val="none"/>
        </w:rPr>
        <w:t>Speculators and institutional investors (natural sellers):</w:t>
      </w:r>
      <w:r>
        <w:rPr>
          <w:b w:val="0"/>
          <w:i w:val="0"/>
          <w:u w:val="none"/>
        </w:rPr>
        <w:t xml:space="preserve"> Counterparties willing to sell optionality in exchange for premium income. Solar irradiance risk carries a low correlation with conventional financial asset returns — it is driven by weather, not macroeconomic cycles — providing genuine portfolio diversification value to institutional sellers. This uncorrelated risk profile is what makes the instrument attractive to a broad investor base beyond dedicated energy funds.</w:t>
      </w:r>
    </w:p>
    <w:p>
      <w:pPr>
        <w:pStyle w:val="ListBullet"/>
        <w:ind w:left="0" w:firstLine="0"/>
      </w:pPr>
      <w:r>
        <w:rPr>
          <w:b w:val="0"/>
          <w:i/>
          <w:u w:val="none"/>
        </w:rPr>
        <w:t>Market makers:</w:t>
      </w:r>
      <w:r>
        <w:rPr>
          <w:b w:val="0"/>
          <w:i w:val="0"/>
          <w:u w:val="none"/>
        </w:rPr>
        <w:t xml:space="preserve"> Intermediaries maintaining bid-ask spreads through dynamic delta hedging. Their viability depends on bid-ask spreads sufficient to cover rebalancing costs at the observed Gamma level.</w:t>
      </w:r>
    </w:p>
    <w:p>
      <w:r>
        <w:rPr>
          <w:b/>
          <w:i w:val="0"/>
          <w:u w:val="none"/>
        </w:rPr>
        <w:t>Minimum liquidity thresholds:</w:t>
      </w:r>
    </w:p>
    <w:p>
      <w:pPr>
        <w:pStyle w:val="ListBullet"/>
        <w:ind w:left="0" w:firstLine="0"/>
      </w:pPr>
      <w:r>
        <w:rPr>
          <w:b w:val="0"/>
          <w:i w:val="0"/>
          <w:u w:val="none"/>
        </w:rPr>
        <w:t>Bid-ask spread &lt; 0.5% of option value</w:t>
      </w:r>
    </w:p>
    <w:p>
      <w:pPr>
        <w:pStyle w:val="ListBullet"/>
        <w:ind w:left="0" w:firstLine="0"/>
      </w:pPr>
      <w:r>
        <w:rPr>
          <w:b w:val="0"/>
          <w:i w:val="0"/>
          <w:u w:val="none"/>
        </w:rPr>
        <w:t>Market depth &gt; $500,000 at the touch</w:t>
      </w:r>
    </w:p>
    <w:p>
      <w:pPr>
        <w:pStyle w:val="ListBullet"/>
        <w:ind w:left="0" w:firstLine="0"/>
      </w:pPr>
      <w:r>
        <w:rPr>
          <w:b w:val="0"/>
          <w:i w:val="0"/>
          <w:u w:val="none"/>
        </w:rPr>
        <w:t>At least three independent market makers</w:t>
      </w:r>
    </w:p>
    <w:p>
      <w:pPr>
        <w:pStyle w:val="ListBullet"/>
        <w:ind w:left="0" w:firstLine="0"/>
      </w:pPr>
      <w:r>
        <w:rPr>
          <w:b w:val="0"/>
          <w:i w:val="0"/>
          <w:u w:val="none"/>
        </w:rPr>
        <w:t>Daily trading volume &gt; $2 million</w:t>
      </w:r>
    </w:p>
    <w:p>
      <w:r>
        <w:rPr>
          <w:b/>
          <w:i w:val="0"/>
          <w:u w:val="none"/>
        </w:rPr>
        <w:t>The bootstrapping challenge:</w:t>
      </w:r>
      <w:r>
        <w:rPr>
          <w:b w:val="0"/>
          <w:i w:val="0"/>
          <w:u w:val="none"/>
        </w:rPr>
        <w:t xml:space="preserve"> These liquidity thresholds create a coordination problem. Producers will not enter a market without sufficient speculator liquidity; speculators will not commit capital without demonstrated producer demand. This chicken-and-egg problem is the primary barrier to market launch and is not solved within this thesis. Resolution strategies — anchor participants, subsidised early trading, regulatory sandbox support — are identified as future work.</w:t>
      </w:r>
    </w:p>
    <w:p>
      <w:r>
        <w:rPr>
          <w:b w:val="0"/>
          <w:i w:val="0"/>
          <w:u w:val="none"/>
        </w:rPr>
        <w:t xml:space="preserve">The bootstrapping challenge does not undermine the feasibility case. It identifies the </w:t>
      </w:r>
      <w:r>
        <w:rPr>
          <w:b w:val="0"/>
          <w:i/>
          <w:u w:val="none"/>
        </w:rPr>
        <w:t>next</w:t>
      </w:r>
      <w:r>
        <w:rPr>
          <w:b w:val="0"/>
          <w:i w:val="0"/>
          <w:u w:val="none"/>
        </w:rPr>
        <w:t xml:space="preserve"> constraint to address after the empirical, pricing, and contractual layers are established. This thesis establishes those layers; resolving bootstrapping is an institutional and policy problem that follows from a credible technical foundation.</w:t>
      </w:r>
    </w:p>
    <w:p>
      <w:pPr>
        <w:pStyle w:val="Heading2"/>
      </w:pPr>
      <w:r>
        <w:t>4.6 Closing the Passive-to-Active Bridge: Formal Credibility Equivalence</w:t>
      </w:r>
    </w:p>
    <w:p>
      <w:r>
        <w:rPr>
          <w:b w:val="0"/>
          <w:i w:val="0"/>
          <w:u w:val="none"/>
        </w:rPr>
        <w:t xml:space="preserve">The three components of Chapter 4 — term sheet, oracle architecture, and margin framework — collectively address what Section 1.2 called the </w:t>
      </w:r>
      <w:r>
        <w:rPr>
          <w:b w:val="0"/>
          <w:i/>
          <w:u w:val="none"/>
        </w:rPr>
        <w:t>credibility condition</w:t>
      </w:r>
      <w:r>
        <w:rPr>
          <w:b w:val="0"/>
          <w:i w:val="0"/>
          <w:u w:val="none"/>
        </w:rPr>
        <w:t xml:space="preserve">: the requirements market participants need to satisfy before trusting that an energy floor is real and enforceable. Chapter 2 demonstrated empirically that markets </w:t>
      </w:r>
      <w:r>
        <w:rPr>
          <w:b w:val="0"/>
          <w:i/>
          <w:u w:val="none"/>
        </w:rPr>
        <w:t>do</w:t>
      </w:r>
      <w:r>
        <w:rPr>
          <w:b w:val="0"/>
          <w:i w:val="0"/>
          <w:u w:val="none"/>
        </w:rPr>
        <w:t xml:space="preserve"> price credible energy floors. Chapter 4 has now specified the contractual conditions under which the designed instrument satisfies that same credibility standard. It is worth making the equivalence explicit, since it is the logical joint connecting the empirical and contract layers of the thesis.</w:t>
      </w:r>
    </w:p>
    <w:p>
      <w:r>
        <w:rPr>
          <w:b w:val="0"/>
          <w:i w:val="0"/>
          <w:u w:val="none"/>
        </w:rPr>
        <w:t>In Bitcoin's pre-ban regime, the energy floor was credible for three reasons:</w:t>
      </w:r>
    </w:p>
    <w:p>
      <w:pPr>
        <w:pStyle w:val="ListNumber"/>
        <w:ind w:left="0" w:firstLine="0"/>
      </w:pPr>
      <w:r>
        <w:rPr>
          <w:b/>
          <w:i w:val="0"/>
          <w:u w:val="none"/>
        </w:rPr>
        <w:t>Observability.</w:t>
      </w:r>
      <w:r>
        <w:rPr>
          <w:b w:val="0"/>
          <w:i w:val="0"/>
          <w:u w:val="none"/>
        </w:rPr>
        <w:t xml:space="preserve"> The floor price was independently derivable: any market participant could calculate CEIR from publicly available hash rate, energy consumption, and electricity prices. The signal was not proprietary.</w:t>
      </w:r>
    </w:p>
    <w:p>
      <w:pPr>
        <w:pStyle w:val="ListNumber"/>
        <w:ind w:left="0" w:firstLine="0"/>
      </w:pPr>
      <w:r>
        <w:rPr>
          <w:b/>
          <w:i w:val="0"/>
          <w:u w:val="none"/>
        </w:rPr>
        <w:t>Mechanistic enforcement.</w:t>
      </w:r>
      <w:r>
        <w:rPr>
          <w:b w:val="0"/>
          <w:i w:val="0"/>
          <w:u w:val="none"/>
        </w:rPr>
        <w:t xml:space="preserve"> The floor was not maintained by any central decision-maker. Competitive mining economics made accumulation below production cost individually rational for thousands of independent miners, enforcing the floor through decentralised, self-interested action.</w:t>
      </w:r>
    </w:p>
    <w:p>
      <w:pPr>
        <w:pStyle w:val="ListNumber"/>
        <w:ind w:left="0" w:firstLine="0"/>
      </w:pPr>
      <w:r>
        <w:rPr>
          <w:b/>
          <w:i w:val="0"/>
          <w:u w:val="none"/>
        </w:rPr>
        <w:t>Scale and continuity.</w:t>
      </w:r>
      <w:r>
        <w:rPr>
          <w:b w:val="0"/>
          <w:i w:val="0"/>
          <w:u w:val="none"/>
        </w:rPr>
        <w:t xml:space="preserve"> The enforcement mechanism operated continuously and at network scale. A single participant's defection could not suppress the price signal; the floor held because the incentive structure held for the entire network.</w:t>
      </w:r>
    </w:p>
    <w:p>
      <w:r>
        <w:rPr>
          <w:b w:val="0"/>
          <w:i w:val="0"/>
          <w:u w:val="none"/>
        </w:rPr>
        <w:t>In the designed energy derivative, these three credibility conditions have direct contractual equivalents:</w:t>
      </w:r>
    </w:p>
    <w:p>
      <w:pPr>
        <w:pStyle w:val="ListNumber"/>
        <w:ind w:left="0" w:firstLine="0"/>
      </w:pPr>
      <w:r>
        <w:rPr>
          <w:b/>
          <w:i w:val="0"/>
          <w:u w:val="none"/>
        </w:rPr>
        <w:t>Observability.</w:t>
      </w:r>
      <w:r>
        <w:rPr>
          <w:b w:val="0"/>
          <w:i w:val="0"/>
          <w:u w:val="none"/>
        </w:rPr>
        <w:t xml:space="preserve"> The multi-source oracle architecture (Section 4.3) — NASA satellite data, utility wholesale feeds, and cryptographically verified network feeds aggregated via weighted median — makes the settlement price independently verifiable. A counterparty can audit each source. Observability is structural, not discretionary.</w:t>
      </w:r>
    </w:p>
    <w:p>
      <w:pPr>
        <w:pStyle w:val="ListNumber"/>
        <w:ind w:left="0" w:firstLine="0"/>
      </w:pPr>
      <w:r>
        <w:rPr>
          <w:b/>
          <w:i w:val="0"/>
          <w:u w:val="none"/>
        </w:rPr>
        <w:t>Mechanistic enforcement.</w:t>
      </w:r>
      <w:r>
        <w:rPr>
          <w:b w:val="0"/>
          <w:i w:val="0"/>
          <w:u w:val="none"/>
        </w:rPr>
        <w:t xml:space="preserve"> Automated liquidation at the 120% maintenance margin threshold (Section 4.4) eliminates voluntary default: the floor is enforced algorithmically the moment collateral is insufficient, not by a counterparty's decision to honour an obligation. The enforcement mechanism is the smart contract liquidation engine, not human compliance.</w:t>
      </w:r>
    </w:p>
    <w:p>
      <w:pPr>
        <w:pStyle w:val="ListNumber"/>
        <w:ind w:left="0" w:firstLine="0"/>
      </w:pPr>
      <w:r>
        <w:rPr>
          <w:b/>
          <w:i w:val="0"/>
          <w:u w:val="none"/>
        </w:rPr>
        <w:t>Scale and continuity.</w:t>
      </w:r>
      <w:r>
        <w:rPr>
          <w:b w:val="0"/>
          <w:i w:val="0"/>
          <w:u w:val="none"/>
        </w:rPr>
        <w:t xml:space="preserve"> The insurance fund (0.5% of open interest) and variation margin framework ensure that solvency is maintained continuously across the open interest pool, not just for individual contracts. A single seller's default does not propagate; the fund absorbs it.</w:t>
      </w:r>
    </w:p>
    <w:p>
      <w:r>
        <w:rPr>
          <w:b w:val="0"/>
          <w:i w:val="0"/>
          <w:u w:val="none"/>
        </w:rPr>
        <w:t>These are different mechanisms — one is market-emergent, the other is contractual — but they satisfy formally equivalent credibility requirements from the perspective of a market participant deciding whether to price in the floor. In both cases, the floor holds when: (i) its value is independently observable, (ii) its enforcement is automatic and not subject to counterparty discretion, and (iii) its solvency is guaranteed at system scale rather than individual-contract level.</w:t>
      </w:r>
    </w:p>
    <w:p>
      <w:r>
        <w:rPr>
          <w:b w:val="0"/>
          <w:i w:val="0"/>
          <w:u w:val="none"/>
        </w:rPr>
        <w:t>This equivalence is the precise claim the thesis makes in the passive-to-active transition. It does not assert that Bitcoin mining and derivatives are the same mechanism. It asserts that a market participant rationally confident in the pre-ban CEIR floor would, on inspecting the contract specification in Chapters 3 and 4, find the same three credibility conditions satisfied by different but structurally analogous means. The derivative premium is therefore justifiable by the same market logic that the CEIR evidence documents — not by analogy, but by formal equivalence of the credibility conditions both mechanisms satisfy.</w:t>
      </w:r>
    </w:p>
    <w:p>
      <w:r>
        <w:br w:type="page"/>
      </w:r>
    </w:p>
    <w:p>
      <w:pPr>
        <w:pStyle w:val="Heading1"/>
      </w:pPr>
      <w:r>
        <w:t>Chapter 5: Synthesis and Conclusions</w:t>
      </w:r>
    </w:p>
    <w:p>
      <w:pPr>
        <w:pStyle w:val="Heading2"/>
      </w:pPr>
      <w:r>
        <w:t>5.1 Integrated Framework: From Empirics to Credible Instrument</w:t>
      </w:r>
    </w:p>
    <w:p>
      <w:r>
        <w:rPr>
          <w:b w:val="0"/>
          <w:i w:val="0"/>
          <w:u w:val="none"/>
        </w:rPr>
        <w:t>This thesis develops an evidence-to-instrument pipeline connecting three layers of analysis. Figure 5.1 summarises the logical flow.</w:t>
      </w:r>
    </w:p>
    <w:p>
      <w:pPr>
        <w:pStyle w:val="CodeBlock"/>
      </w:pPr>
      <w:r>
        <w:rPr>
          <w:rFonts w:ascii="Courier New" w:hAnsi="Courier New"/>
          <w:sz w:val="21"/>
        </w:rPr>
        <w:t>[Chapter 2: Empirics]</w:t>
        <w:br/>
      </w:r>
      <w:r>
        <w:rPr>
          <w:rFonts w:ascii="Courier New" w:hAnsi="Courier New"/>
          <w:sz w:val="21"/>
        </w:rPr>
        <w:t>Energy anchoring is real but regime-dependent.</w:t>
        <w:br/>
      </w:r>
      <w:r>
        <w:rPr>
          <w:rFonts w:ascii="Courier New" w:hAnsi="Courier New"/>
          <w:sz w:val="21"/>
        </w:rPr>
        <w:t>It requires coordinated production to function (passive anchor).</w:t>
        <w:br/>
      </w:r>
      <w:r>
        <w:rPr>
          <w:rFonts w:ascii="Courier New" w:hAnsi="Courier New"/>
          <w:sz w:val="21"/>
        </w:rPr>
        <w:t>When coordination dissolves, anchoring fails.</w:t>
        <w:br/>
      </w:r>
      <w:r>
        <w:rPr>
          <w:rFonts w:ascii="Courier New" w:hAnsi="Courier New"/>
          <w:sz w:val="21"/>
        </w:rPr>
        <w:t xml:space="preserve">        ↓</w:t>
        <w:br/>
      </w:r>
      <w:r>
        <w:rPr>
          <w:rFonts w:ascii="Courier New" w:hAnsi="Courier New"/>
          <w:sz w:val="21"/>
        </w:rPr>
        <w:t>Key implication: active, designed instruments can replicate</w:t>
        <w:br/>
      </w:r>
      <w:r>
        <w:rPr>
          <w:rFonts w:ascii="Courier New" w:hAnsi="Courier New"/>
          <w:sz w:val="21"/>
        </w:rPr>
        <w:t>the coordination function without geographic dependence.</w:t>
        <w:br/>
      </w:r>
      <w:r>
        <w:rPr>
          <w:rFonts w:ascii="Courier New" w:hAnsi="Courier New"/>
          <w:sz w:val="21"/>
        </w:rPr>
        <w:t xml:space="preserve">        ↓</w:t>
        <w:br/>
      </w:r>
      <w:r>
        <w:rPr>
          <w:rFonts w:ascii="Courier New" w:hAnsi="Courier New"/>
          <w:sz w:val="21"/>
        </w:rPr>
        <w:t>[Chapter 3: Pricing]</w:t>
        <w:br/>
      </w:r>
      <w:r>
        <w:rPr>
          <w:rFonts w:ascii="Courier New" w:hAnsi="Courier New"/>
          <w:sz w:val="21"/>
        </w:rPr>
        <w:t>Physics-based volatility (NASA irradiance) solves the cold-start problem.</w:t>
        <w:br/>
      </w:r>
      <w:r>
        <w:rPr>
          <w:rFonts w:ascii="Courier New" w:hAnsi="Courier New"/>
          <w:sz w:val="21"/>
        </w:rPr>
        <w:t>The reported Taiwan base-case convergence is 2.08% at 20,000 paths.</w:t>
        <w:br/>
      </w:r>
      <w:r>
        <w:rPr>
          <w:rFonts w:ascii="Courier New" w:hAnsi="Courier New"/>
          <w:sz w:val="21"/>
        </w:rPr>
        <w:t>Cross-location pricing remains coherent across five markets (0.93%-2.15% divergence).</w:t>
        <w:br/>
      </w:r>
      <w:r>
        <w:rPr>
          <w:rFonts w:ascii="Courier New" w:hAnsi="Courier New"/>
          <w:sz w:val="21"/>
        </w:rPr>
        <w:t xml:space="preserve">        ↓</w:t>
        <w:br/>
      </w:r>
      <w:r>
        <w:rPr>
          <w:rFonts w:ascii="Courier New" w:hAnsi="Courier New"/>
          <w:sz w:val="21"/>
        </w:rPr>
        <w:t>Key implication: pricing is feasible without an existing options market.</w:t>
        <w:br/>
      </w:r>
      <w:r>
        <w:rPr>
          <w:rFonts w:ascii="Courier New" w:hAnsi="Courier New"/>
          <w:sz w:val="21"/>
        </w:rPr>
        <w:t xml:space="preserve">        ↓</w:t>
        <w:br/>
      </w:r>
      <w:r>
        <w:rPr>
          <w:rFonts w:ascii="Courier New" w:hAnsi="Courier New"/>
          <w:sz w:val="21"/>
        </w:rPr>
        <w:t>[Chapter 4: Contract]</w:t>
        <w:br/>
      </w:r>
      <w:r>
        <w:rPr>
          <w:rFonts w:ascii="Courier New" w:hAnsi="Courier New"/>
          <w:sz w:val="21"/>
        </w:rPr>
        <w:t>Oracle tolerance is location-specific: high-volatility markets tolerate about 19%-23% error for VR &gt;= 95%, Germany only 5.2%.</w:t>
        <w:br/>
      </w:r>
      <w:r>
        <w:rPr>
          <w:rFonts w:ascii="Courier New" w:hAnsi="Courier New"/>
          <w:sz w:val="21"/>
        </w:rPr>
        <w:t>VaR-based margins provide quantified solvency conditions and imply a clearing-house requirement.</w:t>
        <w:br/>
      </w:r>
      <w:r>
        <w:rPr>
          <w:rFonts w:ascii="Courier New" w:hAnsi="Courier New"/>
          <w:sz w:val="21"/>
        </w:rPr>
        <w:t>Market viability requires bootstrapping not solved at this stage.</w:t>
        <w:br/>
      </w:r>
      <w:r>
        <w:rPr>
          <w:rFonts w:ascii="Courier New" w:hAnsi="Courier New"/>
          <w:sz w:val="21"/>
        </w:rPr>
        <w:t xml:space="preserve">        ↓</w:t>
        <w:br/>
      </w:r>
      <w:r>
        <w:rPr>
          <w:rFonts w:ascii="Courier New" w:hAnsi="Courier New"/>
          <w:sz w:val="21"/>
        </w:rPr>
        <w:t>Key implication: a priced payoff can become a credible instrument</w:t>
        <w:br/>
      </w:r>
      <w:r>
        <w:rPr>
          <w:rFonts w:ascii="Courier New" w:hAnsi="Courier New"/>
          <w:sz w:val="21"/>
        </w:rPr>
        <w:t>under specified oracle and margin conditions.</w:t>
      </w:r>
    </w:p>
    <w:p>
      <w:r>
        <w:rPr>
          <w:b w:val="0"/>
          <w:i w:val="0"/>
          <w:u w:val="none"/>
        </w:rPr>
        <w:t>The pipeline is the contribution. Each layer is a necessary but insufficient condition for the next: empirical motivation is necessary but not sufficient for pricing; pricing is necessary but not sufficient for a credible contract; a credible contract is necessary but not sufficient for a functioning market. The thesis establishes the first three layers and explicitly defers the fourth.</w:t>
      </w:r>
    </w:p>
    <w:p>
      <w:pPr>
        <w:ind w:firstLine="0"/>
        <w:jc w:val="center"/>
      </w:pPr>
      <w:r>
        <w:rPr>
          <w:b w:val="0"/>
          <w:i w:val="0"/>
          <w:u w:val="none"/>
        </w:rPr>
        <w:t>Table 5.1 formalises the monetary standard claim that motivates the full framework. A credible monetary standard requires seven conditions, derived from the monetary economics literature (Friedman 1960; Hayek 1976; Selgin 2015; Bordo and Eichengreen 1993). Energy-backed derivatives satisfy all seven. Gold satisfies three. Fiat satisfies one.</w:t>
      </w:r>
    </w:p>
    <w:p>
      <w:pPr>
        <w:ind w:firstLine="0"/>
        <w:jc w:val="center"/>
      </w:pPr>
      <w:r>
        <w:rPr>
          <w:b/>
          <w:i w:val="0"/>
          <w:u w:val="none"/>
        </w:rPr>
        <w:t>Table 5.1: Monetary Standard Property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Property</w:t>
            </w:r>
          </w:p>
        </w:tc>
        <w:tc>
          <w:tcPr>
            <w:tcW w:type="dxa" w:w="2340"/>
          </w:tcPr>
          <w:p>
            <w:pPr>
              <w:jc w:val="center"/>
            </w:pPr>
            <w:r/>
            <w:r>
              <w:rPr>
                <w:b/>
                <w:i w:val="0"/>
                <w:u w:val="none"/>
              </w:rPr>
              <w:t>Energy</w:t>
            </w:r>
          </w:p>
        </w:tc>
        <w:tc>
          <w:tcPr>
            <w:tcW w:type="dxa" w:w="2340"/>
          </w:tcPr>
          <w:p>
            <w:pPr>
              <w:jc w:val="center"/>
            </w:pPr>
            <w:r/>
            <w:r>
              <w:rPr>
                <w:b/>
                <w:i w:val="0"/>
                <w:u w:val="none"/>
              </w:rPr>
              <w:t>Gold</w:t>
            </w:r>
          </w:p>
        </w:tc>
        <w:tc>
          <w:tcPr>
            <w:tcW w:type="dxa" w:w="2340"/>
          </w:tcPr>
          <w:p>
            <w:pPr>
              <w:jc w:val="center"/>
            </w:pPr>
            <w:r/>
            <w:r>
              <w:rPr>
                <w:b/>
                <w:i w:val="0"/>
                <w:u w:val="none"/>
              </w:rPr>
              <w:t>Fiat</w:t>
            </w:r>
          </w:p>
        </w:tc>
      </w:tr>
      <w:tr>
        <w:tc>
          <w:tcPr>
            <w:tcW w:type="dxa" w:w="2340"/>
          </w:tcPr>
          <w:p>
            <w:r/>
            <w:r>
              <w:rPr>
                <w:b w:val="0"/>
                <w:i w:val="0"/>
                <w:u w:val="none"/>
              </w:rPr>
              <w:t>Verifiable production cost floor</w:t>
            </w:r>
          </w:p>
        </w:tc>
        <w:tc>
          <w:tcPr>
            <w:tcW w:type="dxa" w:w="2340"/>
          </w:tcPr>
          <w:p>
            <w:r/>
            <w:r>
              <w:rPr>
                <w:b w:val="0"/>
                <w:i w:val="0"/>
                <w:u w:val="none"/>
              </w:rPr>
              <w:t>✓ NASA irradiance → LCOE</w:t>
            </w:r>
          </w:p>
        </w:tc>
        <w:tc>
          <w:tcPr>
            <w:tcW w:type="dxa" w:w="2340"/>
          </w:tcPr>
          <w:p>
            <w:r/>
            <w:r>
              <w:rPr>
                <w:b w:val="0"/>
                <w:i w:val="0"/>
                <w:u w:val="none"/>
              </w:rPr>
              <w:t>Partial (market price varies)</w:t>
            </w:r>
          </w:p>
        </w:tc>
        <w:tc>
          <w:tcPr>
            <w:tcW w:type="dxa" w:w="2340"/>
          </w:tcPr>
          <w:p>
            <w:r/>
            <w:r>
              <w:rPr>
                <w:b w:val="0"/>
                <w:i w:val="0"/>
                <w:u w:val="none"/>
              </w:rPr>
              <w:t>✗ None</w:t>
            </w:r>
          </w:p>
        </w:tc>
      </w:tr>
      <w:tr>
        <w:tc>
          <w:tcPr>
            <w:tcW w:type="dxa" w:w="2340"/>
          </w:tcPr>
          <w:p>
            <w:r/>
            <w:r>
              <w:rPr>
                <w:b w:val="0"/>
                <w:i w:val="0"/>
                <w:u w:val="none"/>
              </w:rPr>
              <w:t>Independent observability</w:t>
            </w:r>
          </w:p>
        </w:tc>
        <w:tc>
          <w:tcPr>
            <w:tcW w:type="dxa" w:w="2340"/>
          </w:tcPr>
          <w:p>
            <w:r/>
            <w:r>
              <w:rPr>
                <w:b w:val="0"/>
                <w:i w:val="0"/>
                <w:u w:val="none"/>
              </w:rPr>
              <w:t>✓ Satellite data, public</w:t>
            </w:r>
          </w:p>
        </w:tc>
        <w:tc>
          <w:tcPr>
            <w:tcW w:type="dxa" w:w="2340"/>
          </w:tcPr>
          <w:p>
            <w:r/>
            <w:r>
              <w:rPr>
                <w:b w:val="0"/>
                <w:i w:val="0"/>
                <w:u w:val="none"/>
              </w:rPr>
              <w:t>✗ Requires physical assay</w:t>
            </w:r>
          </w:p>
        </w:tc>
        <w:tc>
          <w:tcPr>
            <w:tcW w:type="dxa" w:w="2340"/>
          </w:tcPr>
          <w:p>
            <w:r/>
            <w:r>
              <w:rPr>
                <w:b w:val="0"/>
                <w:i w:val="0"/>
                <w:u w:val="none"/>
              </w:rPr>
              <w:t>✗ Trust-based</w:t>
            </w:r>
          </w:p>
        </w:tc>
      </w:tr>
      <w:tr>
        <w:tc>
          <w:tcPr>
            <w:tcW w:type="dxa" w:w="2340"/>
          </w:tcPr>
          <w:p>
            <w:r/>
            <w:r>
              <w:rPr>
                <w:b w:val="0"/>
                <w:i w:val="0"/>
                <w:u w:val="none"/>
              </w:rPr>
              <w:t>Scarcity / irreversibility</w:t>
            </w:r>
          </w:p>
        </w:tc>
        <w:tc>
          <w:tcPr>
            <w:tcW w:type="dxa" w:w="2340"/>
          </w:tcPr>
          <w:p>
            <w:r/>
            <w:r>
              <w:rPr>
                <w:b w:val="0"/>
                <w:i w:val="0"/>
                <w:u w:val="none"/>
              </w:rPr>
              <w:t>✓ Energy spent is sunk</w:t>
            </w:r>
          </w:p>
        </w:tc>
        <w:tc>
          <w:tcPr>
            <w:tcW w:type="dxa" w:w="2340"/>
          </w:tcPr>
          <w:p>
            <w:r/>
            <w:r>
              <w:rPr>
                <w:b w:val="0"/>
                <w:i w:val="0"/>
                <w:u w:val="none"/>
              </w:rPr>
              <w:t>✓ Mining cost is real</w:t>
            </w:r>
          </w:p>
        </w:tc>
        <w:tc>
          <w:tcPr>
            <w:tcW w:type="dxa" w:w="2340"/>
          </w:tcPr>
          <w:p>
            <w:r/>
            <w:r>
              <w:rPr>
                <w:b w:val="0"/>
                <w:i w:val="0"/>
                <w:u w:val="none"/>
              </w:rPr>
              <w:t>✗ Unlimited issuance</w:t>
            </w:r>
          </w:p>
        </w:tc>
      </w:tr>
      <w:tr>
        <w:tc>
          <w:tcPr>
            <w:tcW w:type="dxa" w:w="2340"/>
          </w:tcPr>
          <w:p>
            <w:r/>
            <w:r>
              <w:rPr>
                <w:b w:val="0"/>
                <w:i w:val="0"/>
                <w:u w:val="none"/>
              </w:rPr>
              <w:t>Contractual enforcement</w:t>
            </w:r>
          </w:p>
        </w:tc>
        <w:tc>
          <w:tcPr>
            <w:tcW w:type="dxa" w:w="2340"/>
          </w:tcPr>
          <w:p>
            <w:r/>
            <w:r>
              <w:rPr>
                <w:b w:val="0"/>
                <w:i w:val="0"/>
                <w:u w:val="none"/>
              </w:rPr>
              <w:t>✓ Smart contract, algorithmic</w:t>
            </w:r>
          </w:p>
        </w:tc>
        <w:tc>
          <w:tcPr>
            <w:tcW w:type="dxa" w:w="2340"/>
          </w:tcPr>
          <w:p>
            <w:r/>
            <w:r>
              <w:rPr>
                <w:b w:val="0"/>
                <w:i w:val="0"/>
                <w:u w:val="none"/>
              </w:rPr>
              <w:t>✗ Requires coordination; failed in 1971</w:t>
            </w:r>
          </w:p>
        </w:tc>
        <w:tc>
          <w:tcPr>
            <w:tcW w:type="dxa" w:w="2340"/>
          </w:tcPr>
          <w:p>
            <w:r/>
            <w:r>
              <w:rPr>
                <w:b w:val="0"/>
                <w:i w:val="0"/>
                <w:u w:val="none"/>
              </w:rPr>
              <w:t>✗ Policy-dependent</w:t>
            </w:r>
          </w:p>
        </w:tc>
      </w:tr>
      <w:tr>
        <w:tc>
          <w:tcPr>
            <w:tcW w:type="dxa" w:w="2340"/>
          </w:tcPr>
          <w:p>
            <w:r/>
            <w:r>
              <w:rPr>
                <w:b w:val="0"/>
                <w:i w:val="0"/>
                <w:u w:val="none"/>
              </w:rPr>
              <w:t>Cash settlement, no delivery</w:t>
            </w:r>
          </w:p>
        </w:tc>
        <w:tc>
          <w:tcPr>
            <w:tcW w:type="dxa" w:w="2340"/>
          </w:tcPr>
          <w:p>
            <w:r/>
            <w:r>
              <w:rPr>
                <w:b w:val="0"/>
                <w:i w:val="0"/>
                <w:u w:val="none"/>
              </w:rPr>
              <w:t>✓ Oracle-settled</w:t>
            </w:r>
          </w:p>
        </w:tc>
        <w:tc>
          <w:tcPr>
            <w:tcW w:type="dxa" w:w="2340"/>
          </w:tcPr>
          <w:p>
            <w:r/>
            <w:r>
              <w:rPr>
                <w:b w:val="0"/>
                <w:i w:val="0"/>
                <w:u w:val="none"/>
              </w:rPr>
              <w:t>✗ Physical custody required</w:t>
            </w:r>
          </w:p>
        </w:tc>
        <w:tc>
          <w:tcPr>
            <w:tcW w:type="dxa" w:w="2340"/>
          </w:tcPr>
          <w:p>
            <w:r/>
            <w:r>
              <w:rPr>
                <w:b w:val="0"/>
                <w:i w:val="0"/>
                <w:u w:val="none"/>
              </w:rPr>
              <w:t>✓ Native digital</w:t>
            </w:r>
          </w:p>
        </w:tc>
      </w:tr>
      <w:tr>
        <w:tc>
          <w:tcPr>
            <w:tcW w:type="dxa" w:w="2340"/>
          </w:tcPr>
          <w:p>
            <w:r/>
            <w:r>
              <w:rPr>
                <w:b w:val="0"/>
                <w:i w:val="0"/>
                <w:u w:val="none"/>
              </w:rPr>
              <w:t>Credibility under dispersion</w:t>
            </w:r>
          </w:p>
        </w:tc>
        <w:tc>
          <w:tcPr>
            <w:tcW w:type="dxa" w:w="2340"/>
          </w:tcPr>
          <w:p>
            <w:r/>
            <w:r>
              <w:rPr>
                <w:b w:val="0"/>
                <w:i w:val="0"/>
                <w:u w:val="none"/>
              </w:rPr>
              <w:t>✓ Contract survives any geography</w:t>
            </w:r>
          </w:p>
        </w:tc>
        <w:tc>
          <w:tcPr>
            <w:tcW w:type="dxa" w:w="2340"/>
          </w:tcPr>
          <w:p>
            <w:r/>
            <w:r>
              <w:rPr>
                <w:b w:val="0"/>
                <w:i w:val="0"/>
                <w:u w:val="none"/>
              </w:rPr>
              <w:t>✗ Requires concentrated custodians</w:t>
            </w:r>
          </w:p>
        </w:tc>
        <w:tc>
          <w:tcPr>
            <w:tcW w:type="dxa" w:w="2340"/>
          </w:tcPr>
          <w:p>
            <w:r/>
            <w:r>
              <w:rPr>
                <w:b w:val="0"/>
                <w:i w:val="0"/>
                <w:u w:val="none"/>
              </w:rPr>
              <w:t>✗ Jurisdiction-dependent</w:t>
            </w:r>
          </w:p>
        </w:tc>
      </w:tr>
      <w:tr>
        <w:tc>
          <w:tcPr>
            <w:tcW w:type="dxa" w:w="2340"/>
          </w:tcPr>
          <w:p>
            <w:r/>
            <w:r>
              <w:rPr>
                <w:b w:val="0"/>
                <w:i w:val="0"/>
                <w:u w:val="none"/>
              </w:rPr>
              <w:t>Physics-based price floor</w:t>
            </w:r>
          </w:p>
        </w:tc>
        <w:tc>
          <w:tcPr>
            <w:tcW w:type="dxa" w:w="2340"/>
          </w:tcPr>
          <w:p>
            <w:r/>
            <w:r>
              <w:rPr>
                <w:b w:val="0"/>
                <w:i w:val="0"/>
                <w:u w:val="none"/>
              </w:rPr>
              <w:t>✓ LCOE from irradiance physics</w:t>
            </w:r>
          </w:p>
        </w:tc>
        <w:tc>
          <w:tcPr>
            <w:tcW w:type="dxa" w:w="2340"/>
          </w:tcPr>
          <w:p>
            <w:r/>
            <w:r>
              <w:rPr>
                <w:b w:val="0"/>
                <w:i w:val="0"/>
                <w:u w:val="none"/>
              </w:rPr>
              <w:t>Partial (geology-based scarcity)</w:t>
            </w:r>
          </w:p>
        </w:tc>
        <w:tc>
          <w:tcPr>
            <w:tcW w:type="dxa" w:w="2340"/>
          </w:tcPr>
          <w:p>
            <w:r/>
            <w:r>
              <w:rPr>
                <w:b w:val="0"/>
                <w:i w:val="0"/>
                <w:u w:val="none"/>
              </w:rPr>
              <w:t>✗ No physical basis</w:t>
            </w:r>
          </w:p>
        </w:tc>
      </w:tr>
    </w:tbl>
    <w:p/>
    <w:p>
      <w:r>
        <w:rPr>
          <w:b/>
          <w:i w:val="0"/>
          <w:u w:val="none"/>
        </w:rPr>
        <w:t>Score:</w:t>
      </w:r>
      <w:r>
        <w:rPr>
          <w:b w:val="0"/>
          <w:i w:val="0"/>
          <w:u w:val="none"/>
        </w:rPr>
        <w:t xml:space="preserve"> Energy 7/7 | Gold 3/7 | Fiat 1/7</w:t>
      </w:r>
    </w:p>
    <w:p>
      <w:r>
        <w:rPr>
          <w:b w:val="0"/>
          <w:i w:val="0"/>
          <w:u w:val="none"/>
        </w:rPr>
        <w:t>The gold standard comparison is the thesis's most pointed result. Gold fails contractual enforcement and physical settlement — precisely the two failures that caused the Bretton Woods system to collapse. Nixon closed the gold window in August 1971 not because gold was theoretically wrong but because enforcing a gold-backed floor required central-bank coordination that geopolitical dispersion made impossible. The CEIR empirical finding in Chapter 2 is a direct parallel: Bitcoin's passive energy floor failed for the same structural reason — enforcement required geographic coordination, and the China ban dissolved that coordination. The designed instrument closes this gap by replacing geographic coordination with contractual enforcement that survives any distribution of producers or counterparties.</w:t>
      </w:r>
    </w:p>
    <w:p>
      <w:r>
        <w:rPr>
          <w:b w:val="0"/>
          <w:i w:val="0"/>
          <w:u w:val="none"/>
        </w:rPr>
        <w:t>Fiat's score of 1/7 reflects a fundamental asymmetry: it is technically convenient (cash-settleable, digitally transferable) but lacks the production constraint and verifiability properties that make a monetary standard credible under stress. The energy-backed derivative combines gold's cost-floor property with fiat's settlement convenience, while adding verifiability and enforcement properties that neither possesses.</w:t>
      </w:r>
    </w:p>
    <w:p>
      <w:pPr>
        <w:pStyle w:val="Heading2"/>
      </w:pPr>
      <w:r>
        <w:t>5.2 Answers to Research Questions</w:t>
      </w:r>
    </w:p>
    <w:p>
      <w:r>
        <w:rPr>
          <w:b/>
          <w:i w:val="0"/>
          <w:u w:val="none"/>
        </w:rPr>
        <w:t>RQ1:</w:t>
      </w:r>
      <w:r>
        <w:rPr>
          <w:b w:val="0"/>
          <w:i w:val="0"/>
          <w:u w:val="none"/>
        </w:rPr>
        <w:t xml:space="preserve"> Do energy costs anchor cryptocurrency value, and is the relationship structural or regime-dependent?</w:t>
      </w:r>
    </w:p>
    <w:p>
      <w:r>
        <w:rPr>
          <w:b w:val="0"/>
          <w:i/>
          <w:u w:val="none"/>
        </w:rPr>
        <w:t>Answer:</w:t>
      </w:r>
      <w:r>
        <w:rPr>
          <w:b w:val="0"/>
          <w:i w:val="0"/>
          <w:u w:val="none"/>
        </w:rPr>
        <w:t xml:space="preserve"> The relationship is real, persistent across regimes, and concentration-dependent in magnitude. log(CEIR) is near-integrated (ρ̂ = 0.980); bias-corrected inference via Amihud-Hurvich (2004) augmented regression yields β = −0.206 pre-ban (SE = 0.042, p &lt; 0.001, 10.0 pp per 1SD) and β = −0.080 post-ban (SE = 0.031, p = 0.011, 3.5 pp per 1SD), with a highly significant structural break at the China ban date (Chow F = 4.786, p = 0.0009). Block bootstrap validation (2000 replications, block size = 8 weeks) confirms pre-ban directional robustness: 97.4% of bootstrap samples yield β &lt; 0. Geographic concentration amplifies the effect approximately 3×: the HHI drop from 0.42 to 0.18 is the operative variable, not absolute cost level (which rose post-ban without restoring the anchor magnitude). The Ethereum merge provides corroborative but non-causally-identified evidence: parallel trends are violated due to pre-merge anticipation trading, and the causal weight rests on the China ban experiment alone.</w:t>
      </w:r>
    </w:p>
    <w:p>
      <w:r>
        <w:rPr>
          <w:b/>
          <w:i w:val="0"/>
          <w:u w:val="none"/>
        </w:rPr>
        <w:t>RQ2:</w:t>
      </w:r>
      <w:r>
        <w:rPr>
          <w:b w:val="0"/>
          <w:i w:val="0"/>
          <w:u w:val="none"/>
        </w:rPr>
        <w:t xml:space="preserve"> How should an energy-linked derivative be priced and validated when volatility is physics-driven and the underlying is non-storable?</w:t>
      </w:r>
    </w:p>
    <w:p>
      <w:r>
        <w:rPr>
          <w:b w:val="0"/>
          <w:i/>
          <w:u w:val="none"/>
        </w:rPr>
        <w:t>Answer:</w:t>
      </w:r>
      <w:r>
        <w:rPr>
          <w:b w:val="0"/>
          <w:i w:val="0"/>
          <w:u w:val="none"/>
        </w:rPr>
        <w:t xml:space="preserve"> Physics-based volatility calibrated from satellite irradiance data (NASA POWER) can serve as the volatility input in a standard GBM-based pricing framework, provided the maturity horizon is short enough (T ≤ 1 year) that mean reversion and seasonal effects are second-order relative to the high-frequency noise. Validation requires cross-method convergence (binomial and Monte Carlo) and cross-location robustness. The framework achieves both: the Taiwan base case shows a 2.08% binomial-vs-Monte Carlo divergence at 20,000 paths, which is acceptable but should be reported honestly, and the cross-location results remain directionally coherent across all tested markets.</w:t>
      </w:r>
    </w:p>
    <w:p>
      <w:r>
        <w:rPr>
          <w:b/>
          <w:i w:val="0"/>
          <w:u w:val="none"/>
        </w:rPr>
        <w:t>RQ3:</w:t>
      </w:r>
      <w:r>
        <w:rPr>
          <w:b w:val="0"/>
          <w:i w:val="0"/>
          <w:u w:val="none"/>
        </w:rPr>
        <w:t xml:space="preserve"> What minimum contract specifications and risk controls are required for an energy-backed derivative to remain credible under oracle error, manipulation risk, and tail events?</w:t>
      </w:r>
    </w:p>
    <w:p>
      <w:r>
        <w:rPr>
          <w:b w:val="0"/>
          <w:i/>
          <w:u w:val="none"/>
        </w:rPr>
        <w:t>Answer:</w:t>
      </w:r>
      <w:r>
        <w:rPr>
          <w:b w:val="0"/>
          <w:i w:val="0"/>
          <w:u w:val="none"/>
        </w:rPr>
        <w:t xml:space="preserve"> Three specifications are necessary: (1) a multi-source oracle architecture with weighted median aggregation, with explicit market-specific thresholds rather than a single generic standard; the VR &gt;= 95% threshold is 21.7% for Taiwan, 22.7% for Brazil, and only 5.2% for Germany; (2) a VaR-based initial margin of 1.5 × VaR₉₉% with daily variation margin and automated liquidation at 120% of maximum loss, implying roughly 10-15x spot collateral in the real-data quarterly simulation; and (3) a market structure with at least three independent market makers, minimum $500,000 depth, and an insurance fund at 0.5% of open interest. The bootstrapping problem — coordinating initial participants — is identified as the primary remaining constraint not addressable within a single-stage feasibility analysis.</w:t>
      </w:r>
    </w:p>
    <w:p>
      <w:pPr>
        <w:pStyle w:val="Heading2"/>
      </w:pPr>
      <w:r>
        <w:t>5.3 Contributions</w:t>
      </w:r>
    </w:p>
    <w:p>
      <w:r>
        <w:rPr>
          <w:b/>
          <w:i w:val="0"/>
          <w:u w:val="none"/>
        </w:rPr>
        <w:t>Empirical contribution:</w:t>
      </w:r>
      <w:r>
        <w:rPr>
          <w:b w:val="0"/>
          <w:i w:val="0"/>
          <w:u w:val="none"/>
        </w:rPr>
        <w:t xml:space="preserve"> Causal evidence, bias-corrected, that energy anchoring of cryptocurrency value is concentration-dependent in both magnitude and mechanism, using the China ban as a natural experiment. The magnitude finding survives nine robustness checks: Amihud-Hurvich (2004) bias correction; placebo Chow tests at six dates; block bootstrap (2000 replications); Google Trends sentiment substitution; a regression discontinuity at the ban date; carbon intensity controls; a Kazakhstan falsification test; a horse-race against crypto momentum and attention factors; and post-ban sub-period analysis. The mechanism finding — that the CEIR signal transitions from a </w:t>
      </w:r>
      <w:r>
        <w:rPr>
          <w:b w:val="0"/>
          <w:i/>
          <w:u w:val="none"/>
        </w:rPr>
        <w:t>rational</w:t>
      </w:r>
      <w:r>
        <w:rPr>
          <w:b w:val="0"/>
          <w:i w:val="0"/>
          <w:u w:val="none"/>
        </w:rPr>
        <w:t xml:space="preserve"> security-pricing channel (pre-ban: 2.8× stronger when sentiment is low) to a </w:t>
      </w:r>
      <w:r>
        <w:rPr>
          <w:b w:val="0"/>
          <w:i/>
          <w:u w:val="none"/>
        </w:rPr>
        <w:t>sentiment-correlated</w:t>
      </w:r>
      <w:r>
        <w:rPr>
          <w:b w:val="0"/>
          <w:i w:val="0"/>
          <w:u w:val="none"/>
        </w:rPr>
        <w:t xml:space="preserve"> residual (post-ban: inverted interaction pattern) — is new to the literature. This mechanism inversion formally demonstrates that the China ban eliminated the rational energy-anchoring mechanism, leaving only noise-correlated predictability. Geographic concentration amplifies this rational channel approximately 3×, formally derived via a heterogeneous-cost miner model showing β_CEIR ∝ HHI — a structural derivation of the concentration mechanism not previously documented in this literature.</w:t>
      </w:r>
    </w:p>
    <w:p>
      <w:r>
        <w:rPr>
          <w:b/>
          <w:i w:val="0"/>
          <w:u w:val="none"/>
        </w:rPr>
        <w:t>Methodological contribution:</w:t>
      </w:r>
      <w:r>
        <w:rPr>
          <w:b w:val="0"/>
          <w:i w:val="0"/>
          <w:u w:val="none"/>
        </w:rPr>
        <w:t xml:space="preserve"> Application of physics-based volatility estimation (satellite irradiance) to the pricing of energy-linked derivatives, distinct from prior irradiance-index weather derivative work. The contribution is not the use of GBM — which is standard — but the identification of a public, globally available, physics-grounded volatility source that bypasses the cold-start problem blocking derivative design in nascent markets. The framework is validated across five global markets without proprietary data, and the volatility preprocessing is explicit enough to be reproduced rather than assumed.</w:t>
      </w:r>
    </w:p>
    <w:p>
      <w:r>
        <w:rPr>
          <w:b/>
          <w:i w:val="0"/>
          <w:u w:val="none"/>
        </w:rPr>
        <w:t>Applied contribution:</w:t>
      </w:r>
      <w:r>
        <w:rPr>
          <w:b w:val="0"/>
          <w:i w:val="0"/>
          <w:u w:val="none"/>
        </w:rPr>
        <w:t xml:space="preserve"> Treatment of oracle quality as a continuous design parameter in non-storable commodity derivatives, with a feasibility specification. Prior energy derivative literature (Deng and Oren 2006, Burger et al. 2004) treats settlement reliability as given. This thesis derives the conditions under which it holds, quantifies the hedging value gradient across oracle error levels, and links margin requirements to the pricing model's distributional assumptions. Additionally: demonstration that the chosen ±10% collar generates structural net credit, with the economic benefit increasing in high-volatility solar markets where producers most need premium relief. This removes the upfront option-premium barrier, although it does not eliminate the separate margin requirement that motivates a clearing-house market structure. Jump-diffusion robustness (Merton 1976) confirms that at T = 0.25, jump risk adds at most 2.2% to the GBM price, bounding the cold-start pricing error from model misspecification.</w:t>
      </w:r>
    </w:p>
    <w:p>
      <w:pPr>
        <w:pStyle w:val="Heading2"/>
      </w:pPr>
      <w:r>
        <w:t>5.4 Limitations</w:t>
      </w:r>
    </w:p>
    <w:p>
      <w:r>
        <w:rPr>
          <w:b/>
          <w:i w:val="0"/>
          <w:u w:val="none"/>
        </w:rPr>
        <w:t>Empirical limitations:</w:t>
      </w:r>
      <w:r>
        <w:rPr>
          <w:b w:val="0"/>
          <w:i w:val="0"/>
          <w:u w:val="none"/>
        </w:rPr>
        <w:t xml:space="preserve"> The CEIR analysis covers 2019–2025, representing at most two complete crypto market cycles. The natural experiments are unique events and cannot be replicated, which is simultaneously their strength (clean identification) and their weakness (external validity). The findings are specific to Bitcoin proof-of-work; whether they generalise to Litecoin, Monero, or future proof-of-work assets is not tested.</w:t>
      </w:r>
    </w:p>
    <w:p>
      <w:r>
        <w:rPr>
          <w:b/>
          <w:i w:val="0"/>
          <w:u w:val="none"/>
        </w:rPr>
        <w:t>On the HHI interaction significance:</w:t>
      </w:r>
      <w:r>
        <w:rPr>
          <w:b w:val="0"/>
          <w:i w:val="0"/>
          <w:u w:val="none"/>
        </w:rPr>
        <w:t xml:space="preserve"> The continuous HHI × log(CEIR) interaction (Table 2.3a) yields a coefficient correctly signed (−0.048, 2.2× amplification at high concentration) but not significant at conventional levels (p = 0.33). This does not undermine the concentration mechanism. The interaction is estimated on monthly HHI data with 294 weekly observations and imputed post-2022 values; monthly frequency and imputation noise reduce statistical power substantially. The discrete regime split (Tables 2.2 and 2.3) uses N = 124 and N = 200 on each side — well-powered and robustly significant. The Chow F = 4.786 (p = 0.0009) directly tests whether the CEIR coefficient changed at the HHI shift, which is the precise mechanism test. The Kazakhstan falsification (Section 2.7) confirms that the China ban Chow break is tied to the geographic shock, not generic market disruption. The formal model in Section 2.3.2 derives β_CEIR ∝ HHI from first principles, and the linear fit to the two anchor data points (β = −0.206 at HHI = 0.42; β = −0.080 at HHI = 0.18) fits within the model's prediction. The concentration mechanism is thus supported by: (i) theory, (ii) the discrete regime comparison, (iii) the Chow test, (iv) the Kazakhstan falsification, and (v) the interaction's directional consistency — even if the continuous interaction alone is not independently significant.</w:t>
      </w:r>
    </w:p>
    <w:p>
      <w:r>
        <w:rPr>
          <w:b w:val="0"/>
          <w:i w:val="0"/>
          <w:u w:val="none"/>
        </w:rPr>
        <w:t>Post-2024 structural shifts — spot Bitcoin ETF approval (January 2024), corporate treasury adoption (MicroStrategy-class institutional accumulation) — may have introduced new coordination mechanisms not captured in the analysis window. Institutional holders with similar valuation frameworks could replicate a form of CEIR coordination without geographic mining concentration. If so, this would predict a partial recovery of CEIR predictive power in post-2024 data, testable as that period accumulates. This is identified as a priority extension of the empirical analysis.</w:t>
      </w:r>
    </w:p>
    <w:p>
      <w:r>
        <w:rPr>
          <w:b/>
          <w:i w:val="0"/>
          <w:u w:val="none"/>
        </w:rPr>
        <w:t>Pricing limitations:</w:t>
      </w:r>
      <w:r>
        <w:rPr>
          <w:b w:val="0"/>
          <w:i w:val="0"/>
          <w:u w:val="none"/>
        </w:rPr>
        <w:t xml:space="preserve"> GBM is justified at T ≤ 1 year as argued in Section 3.2.1; at longer maturities the framework should be replaced with Schwartz (1997) or Lucia-Schwartz (2002) mean-reverting dynamics. The convergence validation compares two implementations of the same model, not model predictions against market prices — because no market prices exist. This is the cold-start problem the methodology addresses, but it means out-of-sample validation is deferred to a future period when pilot markets emerge.</w:t>
      </w:r>
    </w:p>
    <w:p>
      <w:r>
        <w:rPr>
          <w:b/>
          <w:i w:val="0"/>
          <w:u w:val="none"/>
        </w:rPr>
        <w:t>Contract limitations:</w:t>
      </w:r>
      <w:r>
        <w:rPr>
          <w:b w:val="0"/>
          <w:i w:val="0"/>
          <w:u w:val="none"/>
        </w:rPr>
        <w:t xml:space="preserve"> Oracle error tolerance thresholds are derived analytically from the minimum variance hedge formula (Hull 2018), not from empirical observation of deployed energy oracles. The variance reduction figures assume measurement noise is independent of the true exposure; correlated oracle errors (e.g., systematic satellite calibration drift) would reduce actual hedge effectiveness below model predictions. The margin framework assumes log-normally distributed price changes; physically-driven tail events (grid failures, extreme weather) may generate non-log-normal payoffs not captured by the VaR₉₉ specification.</w:t>
      </w:r>
    </w:p>
    <w:p>
      <w:r>
        <w:rPr>
          <w:b/>
          <w:i w:val="0"/>
          <w:u w:val="none"/>
        </w:rPr>
        <w:t>Scope limitation — the credibility gap:</w:t>
      </w:r>
      <w:r>
        <w:rPr>
          <w:b w:val="0"/>
          <w:i w:val="0"/>
          <w:u w:val="none"/>
        </w:rPr>
        <w:t xml:space="preserve"> The passive-to-active bridge argued in Section 1.2 establishes that the </w:t>
      </w:r>
      <w:r>
        <w:rPr>
          <w:b w:val="0"/>
          <w:i/>
          <w:u w:val="none"/>
        </w:rPr>
        <w:t>same credibility condition</w:t>
      </w:r>
      <w:r>
        <w:rPr>
          <w:b w:val="0"/>
          <w:i w:val="0"/>
          <w:u w:val="none"/>
        </w:rPr>
        <w:t xml:space="preserve"> connects the empirical finding to the derivative design. This argument is conceptually sound but has not been tested in a live market. The ultimate test of whether market participants will price an energy derivative premium consistent with CEIR logic requires a functioning market — which does not yet exist. This is the one limitation the thesis cannot analytically resolve; it is the empirical question for future work.</w:t>
      </w:r>
    </w:p>
    <w:p>
      <w:pPr>
        <w:pStyle w:val="Heading2"/>
      </w:pPr>
      <w:r>
        <w:t>5.5 Future Work</w:t>
      </w:r>
    </w:p>
    <w:p>
      <w:r>
        <w:rPr>
          <w:b w:val="0"/>
          <w:i w:val="0"/>
          <w:u w:val="none"/>
        </w:rPr>
        <w:t>The three-pillar framework identifies natural extensions at each layer:</w:t>
      </w:r>
    </w:p>
    <w:p>
      <w:r>
        <w:rPr>
          <w:b/>
          <w:i w:val="0"/>
          <w:u w:val="none"/>
        </w:rPr>
        <w:t>Empirical:</w:t>
      </w:r>
      <w:r>
        <w:rPr>
          <w:b w:val="0"/>
          <w:i w:val="0"/>
          <w:u w:val="none"/>
        </w:rPr>
        <w:t xml:space="preserve"> Extension to post-2025 Bitcoin data to test whether institutional involvement (spot ETFs, corporate treasury adoption) creates a new form of concentration-independent CEIR coordination, as suggested by the potential third-regime hypothesis in Section 5.4. Cross-asset validation of CEIR on Litecoin and Ethereum Classic (both retained proof-of-work throughout the sample) to test external validity of the concentration mechanism. Panel regression extending the concentration moderator to multiple PoW assets simultaneously.</w:t>
      </w:r>
    </w:p>
    <w:p>
      <w:r>
        <w:rPr>
          <w:b/>
          <w:i w:val="0"/>
          <w:u w:val="none"/>
        </w:rPr>
        <w:t>Pricing:</w:t>
      </w:r>
      <w:r>
        <w:rPr>
          <w:b w:val="0"/>
          <w:i w:val="0"/>
          <w:u w:val="none"/>
        </w:rPr>
        <w:t xml:space="preserve"> Schwartz (1997) two-factor model with mean reversion for longer-maturity instruments; the maturity sensitivity table (Table 3.2a) shows 48–52% divergence from GBM at T = 2–3 years, establishing urgency for this extension. Seasonal adjustment using Fourier decomposition of irradiance data. Empirical validation against pilot market data if and when a liquid solar energy options market emerges.</w:t>
      </w:r>
    </w:p>
    <w:p>
      <w:r>
        <w:rPr>
          <w:b/>
          <w:i w:val="0"/>
          <w:u w:val="none"/>
        </w:rPr>
        <w:t>Contract:</w:t>
      </w:r>
      <w:r>
        <w:rPr>
          <w:b w:val="0"/>
          <w:i w:val="0"/>
          <w:u w:val="none"/>
        </w:rPr>
        <w:t xml:space="preserve"> Pilot data partnership with a grid operator or energy exchange to validate oracle quality estimates. Microstructure design for the market-making problem. Regulatory pathway analysis for Taiwan's Financial Supervisory Commission sandbox program.</w:t>
      </w:r>
    </w:p>
    <w:p>
      <w:r>
        <w:rPr>
          <w:b/>
          <w:i w:val="0"/>
          <w:u w:val="none"/>
        </w:rPr>
        <w:t>System-level (future work, not this thesis):</w:t>
      </w:r>
      <w:r>
        <w:rPr>
          <w:b w:val="0"/>
          <w:i w:val="0"/>
          <w:u w:val="none"/>
        </w:rPr>
        <w:t xml:space="preserve"> The SolarPunk Protocol — a smart-contract implementation of the instrument class specified in Chapter 4 — represents the natural next step if the feasibility constraints identified here are satisfied through institutional partnerships. That work is appropriately a post-thesis project requiring deployment infrastructure, regulatory approval, and liquidity partners.</w:t>
      </w:r>
    </w:p>
    <w:p>
      <w:pPr>
        <w:pStyle w:val="Heading2"/>
      </w:pPr>
      <w:r>
        <w:t>5.6 Closing Statement</w:t>
      </w:r>
    </w:p>
    <w:p>
      <w:r>
        <w:rPr>
          <w:b w:val="0"/>
          <w:i w:val="0"/>
          <w:u w:val="none"/>
        </w:rPr>
        <w:t>Energy is the foundation of all economic production. A currency or derivative anchored to verified energy output has a claim to value grounded in physical reality rather than institutional convention or computational scarcity. This thesis does not argue that energy-backed instruments will replace existing financial infrastructure; it argues that the technical foundation for credible energy-backed derivatives now exists, that the empirical motivation is causally established, and that the remaining barriers are institutional rather than methodological.</w:t>
      </w:r>
    </w:p>
    <w:p>
      <w:r>
        <w:rPr>
          <w:b w:val="0"/>
          <w:i w:val="0"/>
          <w:u w:val="none"/>
        </w:rPr>
        <w:t>The passive energy anchoring observed in Bitcoin was fragile because it depended on coordination that market forces dissolved. Active energy anchoring — deliberately designed into contractual payoffs, priced from physics, and protected by quantified risk controls — does not have this fragility. Whether such instruments achieve adoption depends on factors outside the scope of academic research. That the foundation is sound is what this thesis establishes.</w:t>
      </w:r>
    </w:p>
    <w:p>
      <w:r>
        <w:br w:type="page"/>
      </w:r>
    </w:p>
    <w:p>
      <w:pPr>
        <w:pStyle w:val="Heading1"/>
      </w:pPr>
      <w:r>
        <w:t>References</w:t>
      </w:r>
    </w:p>
    <w:p>
      <w:r>
        <w:rPr>
          <w:b w:val="0"/>
          <w:i w:val="0"/>
          <w:u w:val="none"/>
        </w:rPr>
        <w:t xml:space="preserve">Amihud, Y., &amp; Hurvich, C. M. (2004). Predictive regressions: A reduced-bias estimation method. </w:t>
      </w:r>
      <w:r>
        <w:rPr>
          <w:b w:val="0"/>
          <w:i/>
          <w:u w:val="none"/>
        </w:rPr>
        <w:t>Journal of Financial and Quantitative Analysis</w:t>
      </w:r>
      <w:r>
        <w:rPr>
          <w:b w:val="0"/>
          <w:i w:val="0"/>
          <w:u w:val="none"/>
        </w:rPr>
        <w:t>, 39(4), 813–841.</w:t>
      </w:r>
    </w:p>
    <w:p>
      <w:r>
        <w:rPr>
          <w:b w:val="0"/>
          <w:i w:val="0"/>
          <w:u w:val="none"/>
        </w:rPr>
        <w:t xml:space="preserve">Angrist, J. D., &amp; Pischke, J. S. (2009). </w:t>
      </w:r>
      <w:r>
        <w:rPr>
          <w:b w:val="0"/>
          <w:i/>
          <w:u w:val="none"/>
        </w:rPr>
        <w:t>Mostly Harmless Econometrics: An Empiricist's Companion</w:t>
      </w:r>
      <w:r>
        <w:rPr>
          <w:b w:val="0"/>
          <w:i w:val="0"/>
          <w:u w:val="none"/>
        </w:rPr>
        <w:t>. Princeton University Press.</w:t>
      </w:r>
    </w:p>
    <w:p>
      <w:r>
        <w:rPr>
          <w:b w:val="0"/>
          <w:i w:val="0"/>
          <w:u w:val="none"/>
        </w:rPr>
        <w:t xml:space="preserve">Baker, S., Bloom, N., &amp; Davis, S. (2016). Measuring economic policy uncertainty. </w:t>
      </w:r>
      <w:r>
        <w:rPr>
          <w:b w:val="0"/>
          <w:i/>
          <w:u w:val="none"/>
        </w:rPr>
        <w:t>Quarterly Journal of Economics</w:t>
      </w:r>
      <w:r>
        <w:rPr>
          <w:b w:val="0"/>
          <w:i w:val="0"/>
          <w:u w:val="none"/>
        </w:rPr>
        <w:t>, 131(4), 1593–1636.</w:t>
      </w:r>
    </w:p>
    <w:p>
      <w:r>
        <w:rPr>
          <w:b w:val="0"/>
          <w:i w:val="0"/>
          <w:u w:val="none"/>
        </w:rPr>
        <w:t xml:space="preserve">Biais, B., Bisière, C., Bouvard, M., &amp; Casamatta, C. (2019). The blockchain folk theorem. </w:t>
      </w:r>
      <w:r>
        <w:rPr>
          <w:b w:val="0"/>
          <w:i/>
          <w:u w:val="none"/>
        </w:rPr>
        <w:t>Review of Financial Studies</w:t>
      </w:r>
      <w:r>
        <w:rPr>
          <w:b w:val="0"/>
          <w:i w:val="0"/>
          <w:u w:val="none"/>
        </w:rPr>
        <w:t>, 32(5), 1662–1715.</w:t>
      </w:r>
    </w:p>
    <w:p>
      <w:r>
        <w:rPr>
          <w:b w:val="0"/>
          <w:i w:val="0"/>
          <w:u w:val="none"/>
        </w:rPr>
        <w:t xml:space="preserve">Bordo, M. D., &amp; Eichengreen, B. (1993). </w:t>
      </w:r>
      <w:r>
        <w:rPr>
          <w:b w:val="0"/>
          <w:i/>
          <w:u w:val="none"/>
        </w:rPr>
        <w:t>A Retrospective on the Bretton Woods System</w:t>
      </w:r>
      <w:r>
        <w:rPr>
          <w:b w:val="0"/>
          <w:i w:val="0"/>
          <w:u w:val="none"/>
        </w:rPr>
        <w:t>. NBER.</w:t>
      </w:r>
    </w:p>
    <w:p>
      <w:r>
        <w:rPr>
          <w:b w:val="0"/>
          <w:i w:val="0"/>
          <w:u w:val="none"/>
        </w:rPr>
        <w:t xml:space="preserve">Brennan, M. J., &amp; Schwartz, E. S. (1985). Evaluating natural resource investments. </w:t>
      </w:r>
      <w:r>
        <w:rPr>
          <w:b w:val="0"/>
          <w:i/>
          <w:u w:val="none"/>
        </w:rPr>
        <w:t>Journal of Business</w:t>
      </w:r>
      <w:r>
        <w:rPr>
          <w:b w:val="0"/>
          <w:i w:val="0"/>
          <w:u w:val="none"/>
        </w:rPr>
        <w:t>, 58(2), 135–157.</w:t>
      </w:r>
    </w:p>
    <w:p>
      <w:r>
        <w:rPr>
          <w:b w:val="0"/>
          <w:i w:val="0"/>
          <w:u w:val="none"/>
        </w:rPr>
        <w:t xml:space="preserve">Burger, M., Graeber, B., &amp; Schindlmayr, G. (2004). </w:t>
      </w:r>
      <w:r>
        <w:rPr>
          <w:b w:val="0"/>
          <w:i/>
          <w:u w:val="none"/>
        </w:rPr>
        <w:t>Managing Energy Risk: An Integrated View on Field and Financial Energy Markets</w:t>
      </w:r>
      <w:r>
        <w:rPr>
          <w:b w:val="0"/>
          <w:i w:val="0"/>
          <w:u w:val="none"/>
        </w:rPr>
        <w:t>. Wiley Finance.</w:t>
      </w:r>
    </w:p>
    <w:p>
      <w:r>
        <w:rPr>
          <w:b w:val="0"/>
          <w:i w:val="0"/>
          <w:u w:val="none"/>
        </w:rPr>
        <w:t xml:space="preserve">Calonico, S., Cattaneo, M. D., &amp; Titiunik, R. (2014). Robust nonparametric confidence intervals for regression-discontinuity designs. </w:t>
      </w:r>
      <w:r>
        <w:rPr>
          <w:b w:val="0"/>
          <w:i/>
          <w:u w:val="none"/>
        </w:rPr>
        <w:t>Econometrica</w:t>
      </w:r>
      <w:r>
        <w:rPr>
          <w:b w:val="0"/>
          <w:i w:val="0"/>
          <w:u w:val="none"/>
        </w:rPr>
        <w:t>, 82(6), 2295–2326.</w:t>
      </w:r>
    </w:p>
    <w:p>
      <w:r>
        <w:rPr>
          <w:b w:val="0"/>
          <w:i w:val="0"/>
          <w:u w:val="none"/>
        </w:rPr>
        <w:t xml:space="preserve">Cambridge Centre for Alternative Finance. (2024). </w:t>
      </w:r>
      <w:r>
        <w:rPr>
          <w:b w:val="0"/>
          <w:i/>
          <w:u w:val="none"/>
        </w:rPr>
        <w:t>Cambridge Bitcoin Electricity Consumption Index</w:t>
      </w:r>
      <w:r>
        <w:rPr>
          <w:b w:val="0"/>
          <w:i w:val="0"/>
          <w:u w:val="none"/>
        </w:rPr>
        <w:t>. University of Cambridge.</w:t>
      </w:r>
    </w:p>
    <w:p>
      <w:r>
        <w:rPr>
          <w:b w:val="0"/>
          <w:i w:val="0"/>
          <w:u w:val="none"/>
        </w:rPr>
        <w:t xml:space="preserve">Cao, M., &amp; Wei, J. (2004). Weather derivatives valuation and market price of weather risk. </w:t>
      </w:r>
      <w:r>
        <w:rPr>
          <w:b w:val="0"/>
          <w:i/>
          <w:u w:val="none"/>
        </w:rPr>
        <w:t>Journal of Futures Markets</w:t>
      </w:r>
      <w:r>
        <w:rPr>
          <w:b w:val="0"/>
          <w:i w:val="0"/>
          <w:u w:val="none"/>
        </w:rPr>
        <w:t>, 24(11), 1065–1089.</w:t>
      </w:r>
    </w:p>
    <w:p>
      <w:r>
        <w:rPr>
          <w:b w:val="0"/>
          <w:i w:val="0"/>
          <w:u w:val="none"/>
        </w:rPr>
        <w:t xml:space="preserve">Casassus, J., &amp; Collin-Dufresne, P. (2005). Stochastic convenience yield implied from commodity futures and interest rates. </w:t>
      </w:r>
      <w:r>
        <w:rPr>
          <w:b w:val="0"/>
          <w:i/>
          <w:u w:val="none"/>
        </w:rPr>
        <w:t>Journal of Finance</w:t>
      </w:r>
      <w:r>
        <w:rPr>
          <w:b w:val="0"/>
          <w:i w:val="0"/>
          <w:u w:val="none"/>
        </w:rPr>
        <w:t>, 60(5), 2283–2331.</w:t>
      </w:r>
    </w:p>
    <w:p>
      <w:r>
        <w:rPr>
          <w:b w:val="0"/>
          <w:i w:val="0"/>
          <w:u w:val="none"/>
        </w:rPr>
        <w:t xml:space="preserve">Chow, G. C. (1960). Tests of equality between sets of coefficients in two linear regressions. </w:t>
      </w:r>
      <w:r>
        <w:rPr>
          <w:b w:val="0"/>
          <w:i/>
          <w:u w:val="none"/>
        </w:rPr>
        <w:t>Econometrica</w:t>
      </w:r>
      <w:r>
        <w:rPr>
          <w:b w:val="0"/>
          <w:i w:val="0"/>
          <w:u w:val="none"/>
        </w:rPr>
        <w:t>, 28(3), 591–605.</w:t>
      </w:r>
    </w:p>
    <w:p>
      <w:r>
        <w:rPr>
          <w:b w:val="0"/>
          <w:i w:val="0"/>
          <w:u w:val="none"/>
        </w:rPr>
        <w:t xml:space="preserve">Cong, L. W., Li, Y., &amp; Wang, N. (2021). Tokenomics: Dynamic adoption and valuation. </w:t>
      </w:r>
      <w:r>
        <w:rPr>
          <w:b w:val="0"/>
          <w:i/>
          <w:u w:val="none"/>
        </w:rPr>
        <w:t>Review of Financial Studies</w:t>
      </w:r>
      <w:r>
        <w:rPr>
          <w:b w:val="0"/>
          <w:i w:val="0"/>
          <w:u w:val="none"/>
        </w:rPr>
        <w:t>, 34(3), 1105–1155.</w:t>
      </w:r>
    </w:p>
    <w:p>
      <w:r>
        <w:rPr>
          <w:b w:val="0"/>
          <w:i w:val="0"/>
          <w:u w:val="none"/>
        </w:rPr>
        <w:t xml:space="preserve">Cox, J. C., Ross, S. A., &amp; Rubinstein, M. (1979). Option pricing: A simplified approach. </w:t>
      </w:r>
      <w:r>
        <w:rPr>
          <w:b w:val="0"/>
          <w:i/>
          <w:u w:val="none"/>
        </w:rPr>
        <w:t>Journal of Financial Economics</w:t>
      </w:r>
      <w:r>
        <w:rPr>
          <w:b w:val="0"/>
          <w:i w:val="0"/>
          <w:u w:val="none"/>
        </w:rPr>
        <w:t>, 7(3), 229–263.</w:t>
      </w:r>
    </w:p>
    <w:p>
      <w:r>
        <w:rPr>
          <w:b w:val="0"/>
          <w:i w:val="0"/>
          <w:u w:val="none"/>
        </w:rPr>
        <w:t xml:space="preserve">Deng, S. J., &amp; Oren, S. S. (2006). Electricity derivatives and risk management. </w:t>
      </w:r>
      <w:r>
        <w:rPr>
          <w:b w:val="0"/>
          <w:i/>
          <w:u w:val="none"/>
        </w:rPr>
        <w:t>Energy</w:t>
      </w:r>
      <w:r>
        <w:rPr>
          <w:b w:val="0"/>
          <w:i w:val="0"/>
          <w:u w:val="none"/>
        </w:rPr>
        <w:t>, 31(6–7), 940–953.</w:t>
      </w:r>
    </w:p>
    <w:p>
      <w:r>
        <w:rPr>
          <w:b w:val="0"/>
          <w:i w:val="0"/>
          <w:u w:val="none"/>
        </w:rPr>
        <w:t xml:space="preserve">Fama, E. F. (1970). Efficient capital markets: A review of theory and empirical work. </w:t>
      </w:r>
      <w:r>
        <w:rPr>
          <w:b w:val="0"/>
          <w:i/>
          <w:u w:val="none"/>
        </w:rPr>
        <w:t>Journal of Finance</w:t>
      </w:r>
      <w:r>
        <w:rPr>
          <w:b w:val="0"/>
          <w:i w:val="0"/>
          <w:u w:val="none"/>
        </w:rPr>
        <w:t>, 25(2), 383–417.</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Föllmer, H., &amp; Schweizer, M. (1991). Hedging of contingent claims under incomplete information. In M. H. A. Davis &amp; R. J. Elliott (Eds.), </w:t>
      </w:r>
      <w:r>
        <w:rPr>
          <w:b w:val="0"/>
          <w:i/>
          <w:u w:val="none"/>
        </w:rPr>
        <w:t>Applied Stochastic Analysis</w:t>
      </w:r>
      <w:r>
        <w:rPr>
          <w:b w:val="0"/>
          <w:i w:val="0"/>
          <w:u w:val="none"/>
        </w:rPr>
        <w:t xml:space="preserve"> (pp. 389–414). Gordon and Breach.</w:t>
      </w:r>
    </w:p>
    <w:p>
      <w:r>
        <w:rPr>
          <w:b w:val="0"/>
          <w:i w:val="0"/>
          <w:u w:val="none"/>
        </w:rPr>
        <w:t xml:space="preserve">Gandal, N., Hamrick, J. T., Moore, T., Vasek, M., &amp; Weinberg, D. (2021). The economics of cryptocurrency pump and dump schemes. </w:t>
      </w:r>
      <w:r>
        <w:rPr>
          <w:b w:val="0"/>
          <w:i/>
          <w:u w:val="none"/>
        </w:rPr>
        <w:t>Journal of Financial Economics</w:t>
      </w:r>
      <w:r>
        <w:rPr>
          <w:b w:val="0"/>
          <w:i w:val="0"/>
          <w:u w:val="none"/>
        </w:rPr>
        <w:t>.</w:t>
      </w:r>
    </w:p>
    <w:p>
      <w:r>
        <w:rPr>
          <w:b w:val="0"/>
          <w:i w:val="0"/>
          <w:u w:val="none"/>
        </w:rPr>
        <w:t xml:space="preserve">Hayes, A. S. (2017). Cryptocurrency value formation: An empirical study leading to a cost of production model for valuing Bitcoin. </w:t>
      </w:r>
      <w:r>
        <w:rPr>
          <w:b w:val="0"/>
          <w:i/>
          <w:u w:val="none"/>
        </w:rPr>
        <w:t>Telematics and Informatics</w:t>
      </w:r>
      <w:r>
        <w:rPr>
          <w:b w:val="0"/>
          <w:i w:val="0"/>
          <w:u w:val="none"/>
        </w:rPr>
        <w:t>, 34(7), 1308–1321.</w:t>
      </w:r>
    </w:p>
    <w:p>
      <w:r>
        <w:rPr>
          <w:b w:val="0"/>
          <w:i w:val="0"/>
          <w:u w:val="none"/>
        </w:rPr>
        <w:t xml:space="preserve">Hayek, F. A. (1976). </w:t>
      </w:r>
      <w:r>
        <w:rPr>
          <w:b w:val="0"/>
          <w:i/>
          <w:u w:val="none"/>
        </w:rPr>
        <w:t>Denationalisation of Money</w:t>
      </w:r>
      <w:r>
        <w:rPr>
          <w:b w:val="0"/>
          <w:i w:val="0"/>
          <w:u w:val="none"/>
        </w:rPr>
        <w:t>. Institute of Economic Affairs.</w:t>
      </w:r>
    </w:p>
    <w:p>
      <w:r>
        <w:rPr>
          <w:b w:val="0"/>
          <w:i w:val="0"/>
          <w:u w:val="none"/>
        </w:rPr>
        <w:t xml:space="preserve">Hull, J. C. (2018). </w:t>
      </w:r>
      <w:r>
        <w:rPr>
          <w:b w:val="0"/>
          <w:i/>
          <w:u w:val="none"/>
        </w:rPr>
        <w:t>Options, Futures, and Other Derivatives</w:t>
      </w:r>
      <w:r>
        <w:rPr>
          <w:b w:val="0"/>
          <w:i w:val="0"/>
          <w:u w:val="none"/>
        </w:rPr>
        <w:t xml:space="preserve"> (10th ed.). Pearson.</w:t>
      </w:r>
    </w:p>
    <w:p>
      <w:r>
        <w:rPr>
          <w:b w:val="0"/>
          <w:i w:val="0"/>
          <w:u w:val="none"/>
        </w:rPr>
        <w:t xml:space="preserve">International Renewable Energy Agency. (2024). </w:t>
      </w:r>
      <w:r>
        <w:rPr>
          <w:b w:val="0"/>
          <w:i/>
          <w:u w:val="none"/>
        </w:rPr>
        <w:t>Renewable Power Generation Costs in 2023</w:t>
      </w:r>
      <w:r>
        <w:rPr>
          <w:b w:val="0"/>
          <w:i w:val="0"/>
          <w:u w:val="none"/>
        </w:rPr>
        <w:t>. IRENA, Abu Dhabi.</w:t>
      </w:r>
    </w:p>
    <w:p>
      <w:r>
        <w:rPr>
          <w:b w:val="0"/>
          <w:i w:val="0"/>
          <w:u w:val="none"/>
        </w:rPr>
        <w:t xml:space="preserve">Kapengut, E., &amp; Mizrach, B. (2023). An event study of the Ethereum transition to proof-of-stake. </w:t>
      </w:r>
      <w:r>
        <w:rPr>
          <w:b w:val="0"/>
          <w:i/>
          <w:u w:val="none"/>
        </w:rPr>
        <w:t>Commodities</w:t>
      </w:r>
      <w:r>
        <w:rPr>
          <w:b w:val="0"/>
          <w:i w:val="0"/>
          <w:u w:val="none"/>
        </w:rPr>
        <w:t>, 2(2), 96–110.</w:t>
      </w:r>
    </w:p>
    <w:p>
      <w:r>
        <w:rPr>
          <w:b w:val="0"/>
          <w:i w:val="0"/>
          <w:u w:val="none"/>
        </w:rPr>
        <w:t xml:space="preserve">Liu, Y., &amp; Tsyvinski, A. (2021). Risks and returns of cryptocurrency. </w:t>
      </w:r>
      <w:r>
        <w:rPr>
          <w:b w:val="0"/>
          <w:i/>
          <w:u w:val="none"/>
        </w:rPr>
        <w:t>Review of Financial Studies</w:t>
      </w:r>
      <w:r>
        <w:rPr>
          <w:b w:val="0"/>
          <w:i w:val="0"/>
          <w:u w:val="none"/>
        </w:rPr>
        <w:t>, 34(6), 2689–2727.</w:t>
      </w:r>
    </w:p>
    <w:p>
      <w:r>
        <w:rPr>
          <w:b w:val="0"/>
          <w:i w:val="0"/>
          <w:u w:val="none"/>
        </w:rPr>
        <w:t xml:space="preserve">Liu, Y., Tsyvinski, A., &amp; Wu, X. (2022). Common risk factors in cryptocurrency. </w:t>
      </w:r>
      <w:r>
        <w:rPr>
          <w:b w:val="0"/>
          <w:i/>
          <w:u w:val="none"/>
        </w:rPr>
        <w:t>Journal of Finance</w:t>
      </w:r>
      <w:r>
        <w:rPr>
          <w:b w:val="0"/>
          <w:i w:val="0"/>
          <w:u w:val="none"/>
        </w:rPr>
        <w:t>, 77(2), 1133–1177.</w:t>
      </w:r>
    </w:p>
    <w:p>
      <w:r>
        <w:rPr>
          <w:b w:val="0"/>
          <w:i w:val="0"/>
          <w:u w:val="none"/>
        </w:rPr>
        <w:t xml:space="preserve">Lucia, J. J., &amp; Schwartz, E. S. (2002). Electricity prices and power derivatives: Evidence from the Nordic power exchange. </w:t>
      </w:r>
      <w:r>
        <w:rPr>
          <w:b w:val="0"/>
          <w:i/>
          <w:u w:val="none"/>
        </w:rPr>
        <w:t>Review of Derivatives Research</w:t>
      </w:r>
      <w:r>
        <w:rPr>
          <w:b w:val="0"/>
          <w:i w:val="0"/>
          <w:u w:val="none"/>
        </w:rPr>
        <w:t>, 5(1), 5–50.</w:t>
      </w:r>
    </w:p>
    <w:p>
      <w:r>
        <w:rPr>
          <w:b w:val="0"/>
          <w:i w:val="0"/>
          <w:u w:val="none"/>
        </w:rPr>
        <w:t xml:space="preserve">Marshall, A. (1890). </w:t>
      </w:r>
      <w:r>
        <w:rPr>
          <w:b w:val="0"/>
          <w:i/>
          <w:u w:val="none"/>
        </w:rPr>
        <w:t>Principles of Economics</w:t>
      </w:r>
      <w:r>
        <w:rPr>
          <w:b w:val="0"/>
          <w:i w:val="0"/>
          <w:u w:val="none"/>
        </w:rPr>
        <w:t>. Macmillan.</w:t>
      </w:r>
    </w:p>
    <w:p>
      <w:r>
        <w:rPr>
          <w:b w:val="0"/>
          <w:i w:val="0"/>
          <w:u w:val="none"/>
        </w:rPr>
        <w:t xml:space="preserve">Merton, R. C. (1976). Option pricing when underlying stock returns are discontinuous. </w:t>
      </w:r>
      <w:r>
        <w:rPr>
          <w:b w:val="0"/>
          <w:i/>
          <w:u w:val="none"/>
        </w:rPr>
        <w:t>Journal of Financial Economics</w:t>
      </w:r>
      <w:r>
        <w:rPr>
          <w:b w:val="0"/>
          <w:i w:val="0"/>
          <w:u w:val="none"/>
        </w:rPr>
        <w:t>, 3(1–2), 125–144.</w:t>
      </w:r>
    </w:p>
    <w:p>
      <w:r>
        <w:rPr>
          <w:b w:val="0"/>
          <w:i w:val="0"/>
          <w:u w:val="none"/>
        </w:rPr>
        <w:t xml:space="preserve">NASA. (2024). </w:t>
      </w:r>
      <w:r>
        <w:rPr>
          <w:b w:val="0"/>
          <w:i/>
          <w:u w:val="none"/>
        </w:rPr>
        <w:t>POWER: Prediction of Worldwide Energy Resources</w:t>
      </w:r>
      <w:r>
        <w:rPr>
          <w:b w:val="0"/>
          <w:i w:val="0"/>
          <w:u w:val="none"/>
        </w:rPr>
        <w:t>. NASA Langland Research Center. https://power.larc.nasa.gov</w:t>
      </w:r>
    </w:p>
    <w:p>
      <w:r>
        <w:rPr>
          <w:b w:val="0"/>
          <w:i w:val="0"/>
          <w:u w:val="none"/>
        </w:rPr>
        <w:t xml:space="preserve">Pagnotta, E., &amp; Buraschi, A. (2018). An equilibrium valuation of Bitcoin and decentralized network assets. </w:t>
      </w:r>
      <w:r>
        <w:rPr>
          <w:b w:val="0"/>
          <w:i/>
          <w:u w:val="none"/>
        </w:rPr>
        <w:t>SSRN Working Paper</w:t>
      </w:r>
      <w:r>
        <w:rPr>
          <w:b w:val="0"/>
          <w:i w:val="0"/>
          <w:u w:val="none"/>
        </w:rPr>
        <w:t>.</w:t>
      </w:r>
    </w:p>
    <w:p>
      <w:r>
        <w:rPr>
          <w:b w:val="0"/>
          <w:i w:val="0"/>
          <w:u w:val="none"/>
        </w:rPr>
        <w:t xml:space="preserve">Panagiotidis, T., Stengos, T., &amp; Vravosinos, O. (2019). The effects of markets, uncertainty and search intensity on Bitcoin returns. </w:t>
      </w:r>
      <w:r>
        <w:rPr>
          <w:b w:val="0"/>
          <w:i/>
          <w:u w:val="none"/>
        </w:rPr>
        <w:t>International Review of Financial Analysis</w:t>
      </w:r>
      <w:r>
        <w:rPr>
          <w:b w:val="0"/>
          <w:i w:val="0"/>
          <w:u w:val="none"/>
        </w:rPr>
        <w:t>, 63, 220–242.</w:t>
      </w:r>
    </w:p>
    <w:p>
      <w:r>
        <w:rPr>
          <w:b w:val="0"/>
          <w:i w:val="0"/>
          <w:u w:val="none"/>
        </w:rPr>
        <w:t xml:space="preserve">Selgin, G. (2015). Synthetic commodity money. </w:t>
      </w:r>
      <w:r>
        <w:rPr>
          <w:b w:val="0"/>
          <w:i/>
          <w:u w:val="none"/>
        </w:rPr>
        <w:t>Journal of Financial Stability</w:t>
      </w:r>
      <w:r>
        <w:rPr>
          <w:b w:val="0"/>
          <w:i w:val="0"/>
          <w:u w:val="none"/>
        </w:rPr>
        <w:t>, 17, 92–99.</w:t>
      </w:r>
    </w:p>
    <w:p>
      <w:r>
        <w:rPr>
          <w:b w:val="0"/>
          <w:i w:val="0"/>
          <w:u w:val="none"/>
        </w:rPr>
        <w:t xml:space="preserve">Schwartz, E. S. (1997). The stochastic behavior of commodity prices: Implications for valuation and hedging. </w:t>
      </w:r>
      <w:r>
        <w:rPr>
          <w:b w:val="0"/>
          <w:i/>
          <w:u w:val="none"/>
        </w:rPr>
        <w:t>Journal of Finance</w:t>
      </w:r>
      <w:r>
        <w:rPr>
          <w:b w:val="0"/>
          <w:i w:val="0"/>
          <w:u w:val="none"/>
        </w:rPr>
        <w:t>, 52(3), 923–973.</w:t>
      </w:r>
    </w:p>
    <w:p>
      <w:r>
        <w:rPr>
          <w:b w:val="0"/>
          <w:i w:val="0"/>
          <w:u w:val="none"/>
        </w:rPr>
        <w:t xml:space="preserve">Schwartz, E. S., &amp; Smith, J. E. (2000). Short-term variations and long-term dynamics in commodity prices. </w:t>
      </w:r>
      <w:r>
        <w:rPr>
          <w:b w:val="0"/>
          <w:i/>
          <w:u w:val="none"/>
        </w:rPr>
        <w:t>Management Science</w:t>
      </w:r>
      <w:r>
        <w:rPr>
          <w:b w:val="0"/>
          <w:i w:val="0"/>
          <w:u w:val="none"/>
        </w:rPr>
        <w:t>, 46(7), 893–911.</w:t>
      </w:r>
    </w:p>
    <w:p>
      <w:r>
        <w:rPr>
          <w:b w:val="0"/>
          <w:i w:val="0"/>
          <w:u w:val="none"/>
        </w:rPr>
        <w:t xml:space="preserve">Stambaugh, R. F. (1999). Predictive regressions. </w:t>
      </w:r>
      <w:r>
        <w:rPr>
          <w:b w:val="0"/>
          <w:i/>
          <w:u w:val="none"/>
        </w:rPr>
        <w:t>Journal of Financial Economics</w:t>
      </w:r>
      <w:r>
        <w:rPr>
          <w:b w:val="0"/>
          <w:i w:val="0"/>
          <w:u w:val="none"/>
        </w:rPr>
        <w:t>, 54(3), 375–421.</w:t>
      </w:r>
    </w:p>
    <w:p>
      <w:r>
        <w:rPr>
          <w:b w:val="0"/>
          <w:i w:val="0"/>
          <w:u w:val="none"/>
        </w:rPr>
        <w:t xml:space="preserve">Sockin, M., &amp; Xiong, W. (2021). A model of cryptocurrencies. </w:t>
      </w:r>
      <w:r>
        <w:rPr>
          <w:b w:val="0"/>
          <w:i/>
          <w:u w:val="none"/>
        </w:rPr>
        <w:t>NBER Working Paper 26816</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