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YUAN ZE UNIVERSITY</w:t>
      </w:r>
    </w:p>
    <w:p>
      <w:pPr>
        <w:jc w:val="center"/>
      </w:pPr>
      <w:r>
        <w:rPr>
          <w:sz w:val="28"/>
        </w:rPr>
        <w:t>College of Management</w:t>
      </w:r>
    </w:p>
    <w:p>
      <w:pPr>
        <w:jc w:val="center"/>
      </w:pPr>
      <w:r>
        <w:rPr>
          <w:sz w:val="28"/>
        </w:rPr>
        <w:t>Department of Finance</w:t>
      </w:r>
    </w:p>
    <w:p/>
    <w:p/>
    <w:p/>
    <w:p/>
    <w:p>
      <w:pPr>
        <w:jc w:val="center"/>
      </w:pPr>
      <w:r>
        <w:rPr>
          <w:b/>
          <w:sz w:val="36"/>
        </w:rPr>
        <w:t>FEASIBILITY FRAMEWORK FOR</w:t>
        <w:br/>
      </w:r>
      <w:r>
        <w:rPr>
          <w:b/>
          <w:sz w:val="36"/>
        </w:rPr>
        <w:t>ENERGY-BACKED DERIVATIVES:</w:t>
        <w:br/>
      </w:r>
      <w:r>
        <w:rPr>
          <w:b/>
          <w:sz w:val="36"/>
        </w:rPr>
        <w:t>Empirical Validation, Pricing Methodology,</w:t>
        <w:br/>
      </w:r>
      <w:r>
        <w:rPr>
          <w:b/>
          <w:sz w:val="36"/>
        </w:rPr>
        <w:t>and Contract Specification</w:t>
      </w:r>
    </w:p>
    <w:p/>
    <w:p/>
    <w:p/>
    <w:p/>
    <w:p>
      <w:pPr>
        <w:jc w:val="center"/>
      </w:pPr>
      <w:r>
        <w:rPr>
          <w:b/>
          <w:sz w:val="28"/>
        </w:rPr>
        <w:t>Christopher Ongko</w:t>
      </w:r>
    </w:p>
    <w:p>
      <w:pPr>
        <w:jc w:val="center"/>
      </w:pPr>
      <w:r>
        <w:rPr>
          <w:sz w:val="24"/>
        </w:rPr>
        <w:t>Student ID: 1133958</w:t>
      </w:r>
    </w:p>
    <w:p/>
    <w:p/>
    <w:p/>
    <w:p>
      <w:pPr>
        <w:jc w:val="center"/>
      </w:pPr>
      <w:r>
        <w:rPr>
          <w:sz w:val="24"/>
        </w:rPr>
        <w:t>Advisor: Dr. De-Rong Kong (孔德蓉)</w:t>
      </w:r>
    </w:p>
    <w:p/>
    <w:p/>
    <w:p>
      <w:pPr>
        <w:jc w:val="center"/>
      </w:pPr>
      <w:r>
        <w:rPr>
          <w:sz w:val="24"/>
        </w:rPr>
        <w:t>April 2025</w:t>
      </w:r>
    </w:p>
    <w:p>
      <w:r>
        <w:br w:type="page"/>
      </w:r>
    </w:p>
    <w:p>
      <w:pPr>
        <w:pStyle w:val="Heading1"/>
      </w:pPr>
      <w:r>
        <w:t>Abstract</w:t>
      </w:r>
    </w:p>
    <w:p>
      <w:r>
        <w:t>Renewable energy faces a fundamental financing problem: non-storable supply meets variable demand, producing revenue volatility that blocks project finance access for distributed producers. Meanwhile, a parallel question in cryptocurrency markets asks whether energy expenditure can anchor digital asset value. This thesis connects these two problems through a three-pillar framework establishing the empirical, methodological, and contractual foundations for energy-backed derivatives.</w:t>
        <w:br/>
        <w:br/>
        <w:t>Pillar 1 (Empirical): Using China's June 2021 mining ban as a natural experiment, we provide bias-corrected causal evidence that energy costs anchor cryptocurrency value in a concentration-dependent manner. The bias-corrected estimate shows one standard deviation decrease in log(CEIR) predicts 10.0 percentage points higher 30-day returns during concentrated mining (β = −0.206, SE = 0.042, p &lt; 0.001). After geographic dispersion, the effect shrinks to 3.5 pp (β = −0.080, SE = 0.031). Structural break: Chow F = 4.786, p = 0.0009.</w:t>
        <w:br/>
        <w:br/>
        <w:t>Pillar 2 (Pricing): We develop a pricing framework for energy-backed derivatives that solves the cold-start problem: how to price instruments in markets with no liquid options. Using NASA satellite irradiance data to calibrate volatility (σ = 189% for Taiwan), we implement binomial trees and Monte Carlo simulation, achieving convergence validation below 1.4% pricing error.</w:t>
        <w:br/>
        <w:br/>
        <w:t>Pillar 3 (Feasibility): We specify the contractual conditions necessary to convert priced payoffs into credible instruments under real-world frictions. Hedge effectiveness is derived analytically: at current oracle quality (5–7% measurement error), variance reduction exceeds 99% for high-volatility markets (σ = 189%).</w:t>
        <w:br/>
        <w:br/>
        <w:t>The thesis claim is that Bitcoin's passive energy anchoring worked under coordination but failed under dispersion — and that this failure motivates designed instruments with explicit energy linkage. The framework is a foundation for such instruments, not a deployment specification.</w:t>
      </w:r>
    </w:p>
    <w:p>
      <w:r>
        <w:rPr>
          <w:b/>
        </w:rPr>
        <w:t xml:space="preserve">Keywords: </w:t>
      </w:r>
      <w:r>
        <w:t>Energy-backed derivatives, CEIR, cryptocurrency valuation, renewable energy hedging, physics-based pricing, natural experiment, regime-dependent fundamentals</w:t>
      </w:r>
    </w:p>
    <w:p>
      <w:r>
        <w:rPr>
          <w:b/>
        </w:rPr>
        <w:t xml:space="preserve">JEL Codes: </w:t>
      </w:r>
      <w:r>
        <w:t>G12, G13, Q42, Q47, C63</w:t>
      </w:r>
    </w:p>
    <w:p>
      <w:r>
        <w:br w:type="page"/>
      </w:r>
    </w:p>
    <w:p>
      <w:pPr>
        <w:pStyle w:val="Heading1"/>
      </w:pPr>
      <w:r>
        <w:t>Table of Contents</w:t>
      </w:r>
    </w:p>
    <w:p>
      <w:r>
        <w:t>[Auto-generate in Word: References → Table of Contents → Automatic Table 1]</w:t>
      </w:r>
    </w:p>
    <w:p>
      <w:r>
        <w:br w:type="page"/>
      </w:r>
    </w:p>
    <w:p>
      <w:pPr>
        <w:pStyle w:val="Heading1"/>
      </w:pPr>
      <w:r>
        <w:t>Chapter 1: Introduction</w:t>
      </w:r>
    </w:p>
    <w:p>
      <w:pPr>
        <w:pStyle w:val="Heading2"/>
      </w:pPr>
      <w:r>
        <w:t>1.1 The Problem This Thesis Addresses</w:t>
      </w:r>
    </w:p>
    <w:p>
      <w:r>
        <w:t>Two separate literatures converge at an underexplored intersection. The first concerns cryptocurrency valuation: Bitcoin and similar proof-of-work assets lack conventional fundamental anchors. The second concerns renewable energy finance: solar and wind producers face revenue volatility so severe that conventional project finance is often unavailable.</w:t>
      </w:r>
    </w:p>
    <w:p>
      <w:pPr>
        <w:pStyle w:val="Heading2"/>
      </w:pPr>
      <w:r>
        <w:t>1.2 The Passive-to-Active Transition</w:t>
      </w:r>
    </w:p>
    <w:p>
      <w:r>
        <w:t>Bitcoin's energy anchor was passive: it emerged from competitive mining economics, not from any designed mechanism. The key insight is that the mechanism of energy anchoring is sound even when the implementation through uncoordinated mining proved fragile.</w:t>
      </w:r>
    </w:p>
    <w:p>
      <w:pPr>
        <w:pStyle w:val="Heading3"/>
      </w:pPr>
      <w:r>
        <w:t>1.2A Addressing the Consumer-Producer Inversion</w:t>
      </w:r>
    </w:p>
    <w:p>
      <w:r>
        <w:t>A natural objection must be addressed directly: Bitcoin miners are energy CONSUMERS (they purchase electricity to power hardware), while solar producers are energy PRODUCERS (they sell electricity to the grid). If the economic roles are inverted, why does evidence from one inform design for the other?</w:t>
      </w:r>
    </w:p>
    <w:p>
      <w:r>
        <w:t>The connection is NOT that "miners and solar producers face the same problem." The connection is that BOTH require MARKETS TO BELIEVE that an energy quantity credibly anchors a financial claim. The operative mechanism is MARKET RECOGNITION of the energy-value linkage, not the physical direction of energy flow.</w:t>
      </w:r>
    </w:p>
    <w:p>
      <w:pPr>
        <w:jc w:val="center"/>
      </w:pPr>
      <w:r>
        <w:rPr>
          <w:b/>
          <w:sz w:val="22"/>
        </w:rPr>
        <w:t>Table 1.1: Parallel Between Mining and Solar Derivatives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Dimension</w:t>
            </w:r>
          </w:p>
        </w:tc>
        <w:tc>
          <w:tcPr>
            <w:tcW w:type="dxa" w:w="2880"/>
          </w:tcPr>
          <w:p>
            <w:r>
              <w:rPr>
                <w:b/>
                <w:sz w:val="20"/>
              </w:rPr>
              <w:t>Bitcoin Mining Floor</w:t>
            </w:r>
          </w:p>
        </w:tc>
        <w:tc>
          <w:tcPr>
            <w:tcW w:type="dxa" w:w="2880"/>
          </w:tcPr>
          <w:p>
            <w:r>
              <w:rPr>
                <w:b/>
                <w:sz w:val="20"/>
              </w:rPr>
              <w:t>Solar Derivative Floor</w:t>
            </w:r>
          </w:p>
        </w:tc>
      </w:tr>
      <w:tr>
        <w:tc>
          <w:tcPr>
            <w:tcW w:type="dxa" w:w="2880"/>
          </w:tcPr>
          <w:p>
            <w:r>
              <w:rPr>
                <w:sz w:val="20"/>
              </w:rPr>
              <w:t>Physical role</w:t>
            </w:r>
          </w:p>
        </w:tc>
        <w:tc>
          <w:tcPr>
            <w:tcW w:type="dxa" w:w="2880"/>
          </w:tcPr>
          <w:p>
            <w:r>
              <w:rPr>
                <w:sz w:val="20"/>
              </w:rPr>
              <w:t>Energy CONSUMER</w:t>
            </w:r>
          </w:p>
        </w:tc>
        <w:tc>
          <w:tcPr>
            <w:tcW w:type="dxa" w:w="2880"/>
          </w:tcPr>
          <w:p>
            <w:r>
              <w:rPr>
                <w:sz w:val="20"/>
              </w:rPr>
              <w:t>Energy PRODUCER</w:t>
            </w:r>
          </w:p>
        </w:tc>
      </w:tr>
      <w:tr>
        <w:tc>
          <w:tcPr>
            <w:tcW w:type="dxa" w:w="2880"/>
          </w:tcPr>
          <w:p>
            <w:r>
              <w:rPr>
                <w:sz w:val="20"/>
              </w:rPr>
              <w:t>Energy flow</w:t>
            </w:r>
          </w:p>
        </w:tc>
        <w:tc>
          <w:tcPr>
            <w:tcW w:type="dxa" w:w="2880"/>
          </w:tcPr>
          <w:p>
            <w:r>
              <w:rPr>
                <w:sz w:val="20"/>
              </w:rPr>
              <w:t>Grid → Miner</w:t>
            </w:r>
          </w:p>
        </w:tc>
        <w:tc>
          <w:tcPr>
            <w:tcW w:type="dxa" w:w="2880"/>
          </w:tcPr>
          <w:p>
            <w:r>
              <w:rPr>
                <w:sz w:val="20"/>
              </w:rPr>
              <w:t>Sun → Producer → Grid</w:t>
            </w:r>
          </w:p>
        </w:tc>
      </w:tr>
      <w:tr>
        <w:tc>
          <w:tcPr>
            <w:tcW w:type="dxa" w:w="2880"/>
          </w:tcPr>
          <w:p>
            <w:r>
              <w:rPr>
                <w:sz w:val="20"/>
              </w:rPr>
              <w:t>Floor mechanism</w:t>
            </w:r>
          </w:p>
        </w:tc>
        <w:tc>
          <w:tcPr>
            <w:tcW w:type="dxa" w:w="2880"/>
          </w:tcPr>
          <w:p>
            <w:r>
              <w:rPr>
                <w:sz w:val="20"/>
              </w:rPr>
              <w:t>Miner accumulation when P &lt; cost</w:t>
            </w:r>
          </w:p>
        </w:tc>
        <w:tc>
          <w:tcPr>
            <w:tcW w:type="dxa" w:w="2880"/>
          </w:tcPr>
          <w:p>
            <w:r>
              <w:rPr>
                <w:sz w:val="20"/>
              </w:rPr>
              <w:t>Contract settlement at max(K-P, 0)</w:t>
            </w:r>
          </w:p>
        </w:tc>
      </w:tr>
      <w:tr>
        <w:tc>
          <w:tcPr>
            <w:tcW w:type="dxa" w:w="2880"/>
          </w:tcPr>
          <w:p>
            <w:r>
              <w:rPr>
                <w:sz w:val="20"/>
              </w:rPr>
              <w:t>Credibility source</w:t>
            </w:r>
          </w:p>
        </w:tc>
        <w:tc>
          <w:tcPr>
            <w:tcW w:type="dxa" w:w="2880"/>
          </w:tcPr>
          <w:p>
            <w:r>
              <w:rPr>
                <w:sz w:val="20"/>
              </w:rPr>
              <w:t>Competitive mining economics</w:t>
            </w:r>
          </w:p>
        </w:tc>
        <w:tc>
          <w:tcPr>
            <w:tcW w:type="dxa" w:w="2880"/>
          </w:tcPr>
          <w:p>
            <w:r>
              <w:rPr>
                <w:sz w:val="20"/>
              </w:rPr>
              <w:t>Contractual enforcement + oracle</w:t>
            </w:r>
          </w:p>
        </w:tc>
      </w:tr>
      <w:tr>
        <w:tc>
          <w:tcPr>
            <w:tcW w:type="dxa" w:w="2880"/>
          </w:tcPr>
          <w:p>
            <w:r>
              <w:rPr>
                <w:sz w:val="20"/>
              </w:rPr>
              <w:t>What market must believe</w:t>
            </w:r>
          </w:p>
        </w:tc>
        <w:tc>
          <w:tcPr>
            <w:tcW w:type="dxa" w:w="2880"/>
          </w:tcPr>
          <w:p>
            <w:r>
              <w:rPr>
                <w:sz w:val="20"/>
              </w:rPr>
              <w:t>"Miners will buy if underpriced"</w:t>
            </w:r>
          </w:p>
        </w:tc>
        <w:tc>
          <w:tcPr>
            <w:tcW w:type="dxa" w:w="2880"/>
          </w:tcPr>
          <w:p>
            <w:r>
              <w:rPr>
                <w:sz w:val="20"/>
              </w:rPr>
              <w:t>"Seller will pay if triggered"</w:t>
            </w:r>
          </w:p>
        </w:tc>
      </w:tr>
    </w:tbl>
    <w:p/>
    <w:p>
      <w:r>
        <w:t>The LESSON from Bitcoin is not "mining arbitrage works for solar producers" (it doesn't). The lesson is: "Markets price energy floors when three credibility conditions hold: (1) observability, (2) mechanistic enforcement, (3) scale/continuity."</w:t>
      </w:r>
    </w:p>
    <w:p>
      <w:r>
        <w:t>Chapter 2 identifies these conditions empirically. Chapter 4 shows a designed derivative can satisfy the SAME THREE CONDITIONS through different mechanisms: (1) Observability: Multi-source oracle (not miner cost transparency); (2) Enforcement: Smart contract liquidation (not miner arbitrage); (3) Scale: Insurance fund + margin (not network-wide participation).</w:t>
      </w:r>
    </w:p>
    <w:p>
      <w:r>
        <w:rPr>
          <w:b/>
        </w:rPr>
        <w:t xml:space="preserve">Common Misconception: </w:t>
      </w:r>
      <w:r>
        <w:t>"This thesis uses Bitcoin to argue solar producers should mine cryptocurrency."</w:t>
      </w:r>
    </w:p>
    <w:p>
      <w:r>
        <w:rPr>
          <w:b/>
        </w:rPr>
        <w:t xml:space="preserve">Actual Claim: </w:t>
      </w:r>
      <w:r>
        <w:t>"This thesis uses Bitcoin as empirical evidence that markets recognize energy-backed floors when credibility conditions are satisfied, then designs a derivative that satisfies those same conditions through contractual rather than emergent mechanisms."</w:t>
      </w:r>
    </w:p>
    <w:p>
      <w:pPr>
        <w:pStyle w:val="Heading2"/>
      </w:pPr>
      <w:r>
        <w:t>1.3 Why This Matters for Renewable Finance</w:t>
      </w:r>
    </w:p>
    <w:p>
      <w:r>
        <w:t>Renewable energy represents the most consequential infrastructure transition of this generation. The instrument class developed in this thesis directly addresses the financing gap for distributed producers.</w:t>
      </w:r>
    </w:p>
    <w:p>
      <w:pPr>
        <w:pStyle w:val="Heading2"/>
      </w:pPr>
      <w:r>
        <w:t>1.4 Research Questions and Contributions</w:t>
      </w:r>
    </w:p>
    <w:p>
      <w:r>
        <w:t>This thesis addresses three research questions:</w:t>
      </w:r>
    </w:p>
    <w:p>
      <w:r>
        <w:t>RQ1 (Empirics): Do energy costs anchor cryptocurrency value, and is the relationship structural or regime-dependent?</w:t>
      </w:r>
    </w:p>
    <w:p>
      <w:r>
        <w:t>RQ2 (Pricing): How should an energy-linked derivative be priced when volatility is physics-driven and the underlying is non-storable?</w:t>
      </w:r>
    </w:p>
    <w:p>
      <w:r>
        <w:t>RQ3 (Feasibility): What minimum contract specifications are required for an energy-backed derivative to remain credible under oracle error and tail events?</w:t>
      </w:r>
    </w:p>
    <w:p>
      <w:pPr>
        <w:pStyle w:val="Heading3"/>
      </w:pPr>
      <w:r>
        <w:t>1.4A Why a Three-Pillar Framework?</w:t>
      </w:r>
    </w:p>
    <w:p>
      <w:r>
        <w:t>The three-pillar structure is not a convenience of organization; it is the minimum necessary specification for a feasibility claim. Consider what would be missing without each pillar:</w:t>
      </w:r>
    </w:p>
    <w:p>
      <w:r>
        <w:rPr>
          <w:b/>
        </w:rPr>
        <w:t xml:space="preserve">Without Pillar 1 (Empirics): </w:t>
      </w:r>
      <w:r>
        <w:t>The pricing and contract design would lack empirical justification. Why should anyone believe energy can anchor financial instruments? Chapter 2 provides causal evidence that markets DO recognize and price energy floors when enforcement conditions are met. This is the existence proof that motivates the designed instrument.</w:t>
      </w:r>
    </w:p>
    <w:p>
      <w:r>
        <w:rPr>
          <w:b/>
        </w:rPr>
        <w:t xml:space="preserve">Without Pillar 2 (Pricing): </w:t>
      </w:r>
      <w:r>
        <w:t>The contract design would have no operational pricing methodology. A well-specified contract without a defensible premium calculation is not feasible. Chapter 3 solves the cold-start problem: how to price when no market exists. This is the methodological bridge from concept to implementation.</w:t>
      </w:r>
    </w:p>
    <w:p>
      <w:r>
        <w:rPr>
          <w:b/>
        </w:rPr>
        <w:t xml:space="preserve">Without Pillar 3 (Contract): </w:t>
      </w:r>
      <w:r>
        <w:t>The pricing framework would lack credibility conditions. A priced payoff is not automatically a credible instrument. Chapter 4 specifies oracle architecture, margin requirements, and settlement infrastructure needed to convert theory into practice.</w:t>
      </w:r>
    </w:p>
    <w:p>
      <w:r>
        <w:t>Each pillar is necessary; none is sufficient alone. The contribution is the INTEGRATED framework, not the individual components. This distinguishes a feasibility study from a collection of related papers.</w:t>
      </w:r>
    </w:p>
    <w:p>
      <w:r>
        <w:rPr>
          <w:b/>
        </w:rPr>
        <w:t xml:space="preserve">Precedent: </w:t>
      </w:r>
      <w:r>
        <w:t>Brennan and Schwartz (1985) on natural resource investments spans geology (reserves), valuation (option pricing), and engineering (extraction technology) in a single paper because feasibility inherently crosses domains. Similarly, this thesis crosses asset pricing, derivatives methodology, and contract design because energy-backed derivative feasibility cannot be established within any single domain alone.</w:t>
      </w:r>
    </w:p>
    <w:p>
      <w:pPr>
        <w:pStyle w:val="Heading2"/>
      </w:pPr>
      <w:r>
        <w:t>1.5 Scope and Boundaries</w:t>
      </w:r>
    </w:p>
    <w:p>
      <w:r>
        <w:t>This thesis establishes feasibility — empirical, methodological, and contractual. It does not deliver a deployed protocol, a functioning token, or a market. The distinction matters because deployment requires institutional partnerships and regulatory engagement explicitly outside academic research scope.</w:t>
      </w:r>
    </w:p>
    <w:p>
      <w:r>
        <w:rPr>
          <w:b/>
        </w:rPr>
        <w:t xml:space="preserve">Why three pillars rather than one focused study? </w:t>
      </w:r>
      <w:r>
        <w:t>A feasibility claim inherently requires multiple disciplinary perspectives. Claiming "X is feasible" without pricing methodology leaves the reader asking "how would you price it?" Each pillar addresses the natural skeptical response to the previous one. This breadth is not scope creep; it is the minimum required to substantiate a feasibility claim.</w:t>
      </w:r>
    </w:p>
    <w:p>
      <w:r>
        <w:br w:type="page"/>
      </w:r>
    </w:p>
    <w:p>
      <w:pPr>
        <w:pStyle w:val="Heading1"/>
      </w:pPr>
      <w:r>
        <w:t>Chapter 2: Empirical Foundation — Energy Anchoring in Cryptocurrency Markets</w:t>
      </w:r>
    </w:p>
    <w:p>
      <w:pPr>
        <w:pStyle w:val="Heading2"/>
      </w:pPr>
      <w:r>
        <w:t>2.4 Data and Summary Statistics</w:t>
      </w:r>
    </w:p>
    <w:p>
      <w:pPr>
        <w:jc w:val="center"/>
      </w:pPr>
      <w:r>
        <w:rPr>
          <w:b/>
          <w:sz w:val="22"/>
        </w:rPr>
        <w:t>Table 2.1: Summary Statistics by Regime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Variable</w:t>
            </w:r>
          </w:p>
        </w:tc>
        <w:tc>
          <w:tcPr>
            <w:tcW w:type="dxa" w:w="1728"/>
          </w:tcPr>
          <w:p>
            <w:r>
              <w:rPr>
                <w:b/>
                <w:sz w:val="20"/>
              </w:rPr>
              <w:t>Pre-Ban Mean</w:t>
            </w:r>
          </w:p>
        </w:tc>
        <w:tc>
          <w:tcPr>
            <w:tcW w:type="dxa" w:w="1728"/>
          </w:tcPr>
          <w:p>
            <w:r>
              <w:rPr>
                <w:b/>
                <w:sz w:val="20"/>
              </w:rPr>
              <w:t>Pre-Ban SD</w:t>
            </w:r>
          </w:p>
        </w:tc>
        <w:tc>
          <w:tcPr>
            <w:tcW w:type="dxa" w:w="1728"/>
          </w:tcPr>
          <w:p>
            <w:r>
              <w:rPr>
                <w:b/>
                <w:sz w:val="20"/>
              </w:rPr>
              <w:t>Post-Ban Mean</w:t>
            </w:r>
          </w:p>
        </w:tc>
        <w:tc>
          <w:tcPr>
            <w:tcW w:type="dxa" w:w="1728"/>
          </w:tcPr>
          <w:p>
            <w:r>
              <w:rPr>
                <w:b/>
                <w:sz w:val="20"/>
              </w:rPr>
              <w:t>Post-Ban SD</w:t>
            </w:r>
          </w:p>
        </w:tc>
      </w:tr>
      <w:tr>
        <w:tc>
          <w:tcPr>
            <w:tcW w:type="dxa" w:w="1728"/>
          </w:tcPr>
          <w:p>
            <w:r>
              <w:rPr>
                <w:sz w:val="20"/>
              </w:rPr>
              <w:t>Bitcoin Price ($)</w:t>
            </w:r>
          </w:p>
        </w:tc>
        <w:tc>
          <w:tcPr>
            <w:tcW w:type="dxa" w:w="1728"/>
          </w:tcPr>
          <w:p>
            <w:r>
              <w:rPr>
                <w:sz w:val="20"/>
              </w:rPr>
              <w:t>14,820</w:t>
            </w:r>
          </w:p>
        </w:tc>
        <w:tc>
          <w:tcPr>
            <w:tcW w:type="dxa" w:w="1728"/>
          </w:tcPr>
          <w:p>
            <w:r>
              <w:rPr>
                <w:sz w:val="20"/>
              </w:rPr>
              <w:t>18,340</w:t>
            </w:r>
          </w:p>
        </w:tc>
        <w:tc>
          <w:tcPr>
            <w:tcW w:type="dxa" w:w="1728"/>
          </w:tcPr>
          <w:p>
            <w:r>
              <w:rPr>
                <w:sz w:val="20"/>
              </w:rPr>
              <w:t>32,640</w:t>
            </w:r>
          </w:p>
        </w:tc>
        <w:tc>
          <w:tcPr>
            <w:tcW w:type="dxa" w:w="1728"/>
          </w:tcPr>
          <w:p>
            <w:r>
              <w:rPr>
                <w:sz w:val="20"/>
              </w:rPr>
              <w:t>21,150</w:t>
            </w:r>
          </w:p>
        </w:tc>
      </w:tr>
      <w:tr>
        <w:tc>
          <w:tcPr>
            <w:tcW w:type="dxa" w:w="1728"/>
          </w:tcPr>
          <w:p>
            <w:r>
              <w:rPr>
                <w:sz w:val="20"/>
              </w:rPr>
              <w:t>CEIR (raw ratio)</w:t>
            </w:r>
          </w:p>
        </w:tc>
        <w:tc>
          <w:tcPr>
            <w:tcW w:type="dxa" w:w="1728"/>
          </w:tcPr>
          <w:p>
            <w:r>
              <w:rPr>
                <w:sz w:val="20"/>
              </w:rPr>
              <w:t>30.0</w:t>
            </w:r>
          </w:p>
        </w:tc>
        <w:tc>
          <w:tcPr>
            <w:tcW w:type="dxa" w:w="1728"/>
          </w:tcPr>
          <w:p>
            <w:r>
              <w:rPr>
                <w:sz w:val="20"/>
              </w:rPr>
              <w:t>17.2</w:t>
            </w:r>
          </w:p>
        </w:tc>
        <w:tc>
          <w:tcPr>
            <w:tcW w:type="dxa" w:w="1728"/>
          </w:tcPr>
          <w:p>
            <w:r>
              <w:rPr>
                <w:sz w:val="20"/>
              </w:rPr>
              <w:t>29.2</w:t>
            </w:r>
          </w:p>
        </w:tc>
        <w:tc>
          <w:tcPr>
            <w:tcW w:type="dxa" w:w="1728"/>
          </w:tcPr>
          <w:p>
            <w:r>
              <w:rPr>
                <w:sz w:val="20"/>
              </w:rPr>
              <w:t>12.9</w:t>
            </w:r>
          </w:p>
        </w:tc>
      </w:tr>
      <w:tr>
        <w:tc>
          <w:tcPr>
            <w:tcW w:type="dxa" w:w="1728"/>
          </w:tcPr>
          <w:p>
            <w:r>
              <w:rPr>
                <w:sz w:val="20"/>
              </w:rPr>
              <w:t>log(CEIR)</w:t>
            </w:r>
          </w:p>
        </w:tc>
        <w:tc>
          <w:tcPr>
            <w:tcW w:type="dxa" w:w="1728"/>
          </w:tcPr>
          <w:p>
            <w:r>
              <w:rPr>
                <w:sz w:val="20"/>
              </w:rPr>
              <w:t>3.273</w:t>
            </w:r>
          </w:p>
        </w:tc>
        <w:tc>
          <w:tcPr>
            <w:tcW w:type="dxa" w:w="1728"/>
          </w:tcPr>
          <w:p>
            <w:r>
              <w:rPr>
                <w:sz w:val="20"/>
              </w:rPr>
              <w:t>0.483</w:t>
            </w:r>
          </w:p>
        </w:tc>
        <w:tc>
          <w:tcPr>
            <w:tcW w:type="dxa" w:w="1728"/>
          </w:tcPr>
          <w:p>
            <w:r>
              <w:rPr>
                <w:sz w:val="20"/>
              </w:rPr>
              <w:t>3.281</w:t>
            </w:r>
          </w:p>
        </w:tc>
        <w:tc>
          <w:tcPr>
            <w:tcW w:type="dxa" w:w="1728"/>
          </w:tcPr>
          <w:p>
            <w:r>
              <w:rPr>
                <w:sz w:val="20"/>
              </w:rPr>
              <w:t>0.436</w:t>
            </w:r>
          </w:p>
        </w:tc>
      </w:tr>
      <w:tr>
        <w:tc>
          <w:tcPr>
            <w:tcW w:type="dxa" w:w="1728"/>
          </w:tcPr>
          <w:p>
            <w:r>
              <w:rPr>
                <w:sz w:val="20"/>
              </w:rPr>
              <w:t>30-day Forward Return (%)</w:t>
            </w:r>
          </w:p>
        </w:tc>
        <w:tc>
          <w:tcPr>
            <w:tcW w:type="dxa" w:w="1728"/>
          </w:tcPr>
          <w:p>
            <w:r>
              <w:rPr>
                <w:sz w:val="20"/>
              </w:rPr>
              <w:t>—</w:t>
            </w:r>
          </w:p>
        </w:tc>
        <w:tc>
          <w:tcPr>
            <w:tcW w:type="dxa" w:w="1728"/>
          </w:tcPr>
          <w:p>
            <w:r>
              <w:rPr>
                <w:sz w:val="20"/>
              </w:rPr>
              <w:t>80.7</w:t>
            </w:r>
          </w:p>
        </w:tc>
        <w:tc>
          <w:tcPr>
            <w:tcW w:type="dxa" w:w="1728"/>
          </w:tcPr>
          <w:p>
            <w:r>
              <w:rPr>
                <w:sz w:val="20"/>
              </w:rPr>
              <w:t>—</w:t>
            </w:r>
          </w:p>
        </w:tc>
        <w:tc>
          <w:tcPr>
            <w:tcW w:type="dxa" w:w="1728"/>
          </w:tcPr>
          <w:p>
            <w:r>
              <w:rPr>
                <w:sz w:val="20"/>
              </w:rPr>
              <w:t>58.2</w:t>
            </w:r>
          </w:p>
        </w:tc>
      </w:tr>
      <w:tr>
        <w:tc>
          <w:tcPr>
            <w:tcW w:type="dxa" w:w="1728"/>
          </w:tcPr>
          <w:p>
            <w:r>
              <w:rPr>
                <w:sz w:val="20"/>
              </w:rPr>
              <w:t>Mining HHI</w:t>
            </w:r>
          </w:p>
        </w:tc>
        <w:tc>
          <w:tcPr>
            <w:tcW w:type="dxa" w:w="1728"/>
          </w:tcPr>
          <w:p>
            <w:r>
              <w:rPr>
                <w:sz w:val="20"/>
              </w:rPr>
              <w:t>0.42</w:t>
            </w:r>
          </w:p>
        </w:tc>
        <w:tc>
          <w:tcPr>
            <w:tcW w:type="dxa" w:w="1728"/>
          </w:tcPr>
          <w:p>
            <w:r>
              <w:rPr>
                <w:sz w:val="20"/>
              </w:rPr>
              <w:t>0.09</w:t>
            </w:r>
          </w:p>
        </w:tc>
        <w:tc>
          <w:tcPr>
            <w:tcW w:type="dxa" w:w="1728"/>
          </w:tcPr>
          <w:p>
            <w:r>
              <w:rPr>
                <w:sz w:val="20"/>
              </w:rPr>
              <w:t>0.18</w:t>
            </w:r>
          </w:p>
        </w:tc>
        <w:tc>
          <w:tcPr>
            <w:tcW w:type="dxa" w:w="1728"/>
          </w:tcPr>
          <w:p>
            <w:r>
              <w:rPr>
                <w:sz w:val="20"/>
              </w:rPr>
              <w:t>0.06</w:t>
            </w:r>
          </w:p>
        </w:tc>
      </w:tr>
      <w:tr>
        <w:tc>
          <w:tcPr>
            <w:tcW w:type="dxa" w:w="1728"/>
          </w:tcPr>
          <w:p>
            <w:r>
              <w:rPr>
                <w:sz w:val="20"/>
              </w:rPr>
              <w:t>Electricity Cost ($/kWh)</w:t>
            </w:r>
          </w:p>
        </w:tc>
        <w:tc>
          <w:tcPr>
            <w:tcW w:type="dxa" w:w="1728"/>
          </w:tcPr>
          <w:p>
            <w:r>
              <w:rPr>
                <w:sz w:val="20"/>
              </w:rPr>
              <w:t>0.059</w:t>
            </w:r>
          </w:p>
        </w:tc>
        <w:tc>
          <w:tcPr>
            <w:tcW w:type="dxa" w:w="1728"/>
          </w:tcPr>
          <w:p>
            <w:r>
              <w:rPr>
                <w:sz w:val="20"/>
              </w:rPr>
              <w:t>0.008</w:t>
            </w:r>
          </w:p>
        </w:tc>
        <w:tc>
          <w:tcPr>
            <w:tcW w:type="dxa" w:w="1728"/>
          </w:tcPr>
          <w:p>
            <w:r>
              <w:rPr>
                <w:sz w:val="20"/>
              </w:rPr>
              <w:t>0.065</w:t>
            </w:r>
          </w:p>
        </w:tc>
        <w:tc>
          <w:tcPr>
            <w:tcW w:type="dxa" w:w="1728"/>
          </w:tcPr>
          <w:p>
            <w:r>
              <w:rPr>
                <w:sz w:val="20"/>
              </w:rPr>
              <w:t>0.014</w:t>
            </w:r>
          </w:p>
        </w:tc>
      </w:tr>
      <w:tr>
        <w:tc>
          <w:tcPr>
            <w:tcW w:type="dxa" w:w="1728"/>
          </w:tcPr>
          <w:p>
            <w:r>
              <w:rPr>
                <w:sz w:val="20"/>
              </w:rPr>
              <w:t>Observations (weekly)</w:t>
            </w:r>
          </w:p>
        </w:tc>
        <w:tc>
          <w:tcPr>
            <w:tcW w:type="dxa" w:w="1728"/>
          </w:tcPr>
          <w:p>
            <w:r>
              <w:rPr>
                <w:sz w:val="20"/>
              </w:rPr>
              <w:t>129</w:t>
            </w:r>
          </w:p>
        </w:tc>
        <w:tc>
          <w:tcPr>
            <w:tcW w:type="dxa" w:w="1728"/>
          </w:tcPr>
          <w:p>
            <w:r>
              <w:rPr>
                <w:sz w:val="20"/>
              </w:rPr>
              <w:t>—</w:t>
            </w:r>
          </w:p>
        </w:tc>
        <w:tc>
          <w:tcPr>
            <w:tcW w:type="dxa" w:w="1728"/>
          </w:tcPr>
          <w:p>
            <w:r>
              <w:rPr>
                <w:sz w:val="20"/>
              </w:rPr>
              <w:t>202</w:t>
            </w:r>
          </w:p>
        </w:tc>
        <w:tc>
          <w:tcPr>
            <w:tcW w:type="dxa" w:w="1728"/>
          </w:tcPr>
          <w:p>
            <w:r>
              <w:rPr>
                <w:sz w:val="20"/>
              </w:rPr>
              <w:t>—</w:t>
            </w:r>
          </w:p>
        </w:tc>
      </w:tr>
    </w:tbl>
    <w:p/>
    <w:p>
      <w:pPr>
        <w:jc w:val="center"/>
      </w:pPr>
      <w:r>
        <w:rPr>
          <w:b/>
          <w:sz w:val="22"/>
        </w:rPr>
        <w:t>Table 2.2: Bias-Corrected CEIR Predictive Regressions (Pre-Ban)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Variable</w:t>
            </w:r>
          </w:p>
        </w:tc>
        <w:tc>
          <w:tcPr>
            <w:tcW w:type="dxa" w:w="2160"/>
          </w:tcPr>
          <w:p>
            <w:r>
              <w:rPr>
                <w:b/>
                <w:sz w:val="20"/>
              </w:rPr>
              <w:t>(1) Basic</w:t>
            </w:r>
          </w:p>
        </w:tc>
        <w:tc>
          <w:tcPr>
            <w:tcW w:type="dxa" w:w="2160"/>
          </w:tcPr>
          <w:p>
            <w:r>
              <w:rPr>
                <w:b/>
                <w:sz w:val="20"/>
              </w:rPr>
              <w:t>(2) + Controls</w:t>
            </w:r>
          </w:p>
        </w:tc>
        <w:tc>
          <w:tcPr>
            <w:tcW w:type="dxa" w:w="2160"/>
          </w:tcPr>
          <w:p>
            <w:r>
              <w:rPr>
                <w:b/>
                <w:sz w:val="20"/>
              </w:rPr>
              <w:t>(3) + Nonlinear</w:t>
            </w:r>
          </w:p>
        </w:tc>
      </w:tr>
      <w:tr>
        <w:tc>
          <w:tcPr>
            <w:tcW w:type="dxa" w:w="2160"/>
          </w:tcPr>
          <w:p>
            <w:r>
              <w:rPr>
                <w:sz w:val="20"/>
              </w:rPr>
              <w:t>log(CEIR)</w:t>
            </w:r>
          </w:p>
        </w:tc>
        <w:tc>
          <w:tcPr>
            <w:tcW w:type="dxa" w:w="2160"/>
          </w:tcPr>
          <w:p>
            <w:r>
              <w:rPr>
                <w:sz w:val="20"/>
              </w:rPr>
              <w:t>−0.165***</w:t>
            </w:r>
          </w:p>
        </w:tc>
        <w:tc>
          <w:tcPr>
            <w:tcW w:type="dxa" w:w="2160"/>
          </w:tcPr>
          <w:p>
            <w:r>
              <w:rPr>
                <w:sz w:val="20"/>
              </w:rPr>
              <w:t>−0.206***</w:t>
            </w:r>
          </w:p>
        </w:tc>
        <w:tc>
          <w:tcPr>
            <w:tcW w:type="dxa" w:w="2160"/>
          </w:tcPr>
          <w:p>
            <w:r>
              <w:rPr>
                <w:sz w:val="20"/>
              </w:rPr>
              <w:t>−0.199***</w:t>
            </w:r>
          </w:p>
        </w:tc>
      </w:tr>
      <w:tr>
        <w:tc>
          <w:tcPr>
            <w:tcW w:type="dxa" w:w="2160"/>
          </w:tcPr>
          <w:p>
            <w:r>
              <w:rPr>
                <w:sz w:val="20"/>
              </w:rPr>
            </w:r>
          </w:p>
        </w:tc>
        <w:tc>
          <w:tcPr>
            <w:tcW w:type="dxa" w:w="2160"/>
          </w:tcPr>
          <w:p>
            <w:r>
              <w:rPr>
                <w:sz w:val="20"/>
              </w:rPr>
              <w:t>(0.044)</w:t>
            </w:r>
          </w:p>
        </w:tc>
        <w:tc>
          <w:tcPr>
            <w:tcW w:type="dxa" w:w="2160"/>
          </w:tcPr>
          <w:p>
            <w:r>
              <w:rPr>
                <w:sz w:val="20"/>
              </w:rPr>
              <w:t>(0.042)</w:t>
            </w:r>
          </w:p>
        </w:tc>
        <w:tc>
          <w:tcPr>
            <w:tcW w:type="dxa" w:w="2160"/>
          </w:tcPr>
          <w:p>
            <w:r>
              <w:rPr>
                <w:sz w:val="20"/>
              </w:rPr>
              <w:t>(0.043)</w:t>
            </w:r>
          </w:p>
        </w:tc>
      </w:tr>
      <w:tr>
        <w:tc>
          <w:tcPr>
            <w:tcW w:type="dxa" w:w="2160"/>
          </w:tcPr>
          <w:p>
            <w:r>
              <w:rPr>
                <w:sz w:val="20"/>
              </w:rPr>
              <w:t>Fear &amp; Greed</w:t>
            </w:r>
          </w:p>
        </w:tc>
        <w:tc>
          <w:tcPr>
            <w:tcW w:type="dxa" w:w="2160"/>
          </w:tcPr>
          <w:p>
            <w:r>
              <w:rPr>
                <w:sz w:val="20"/>
              </w:rPr>
              <w:t>—</w:t>
            </w:r>
          </w:p>
        </w:tc>
        <w:tc>
          <w:tcPr>
            <w:tcW w:type="dxa" w:w="2160"/>
          </w:tcPr>
          <w:p>
            <w:r>
              <w:rPr>
                <w:sz w:val="20"/>
              </w:rPr>
              <w:t>0.003***</w:t>
            </w:r>
          </w:p>
        </w:tc>
        <w:tc>
          <w:tcPr>
            <w:tcW w:type="dxa" w:w="2160"/>
          </w:tcPr>
          <w:p>
            <w:r>
              <w:rPr>
                <w:sz w:val="20"/>
              </w:rPr>
              <w:t>0.003***</w:t>
            </w:r>
          </w:p>
        </w:tc>
      </w:tr>
      <w:tr>
        <w:tc>
          <w:tcPr>
            <w:tcW w:type="dxa" w:w="2160"/>
          </w:tcPr>
          <w:p>
            <w:r>
              <w:rPr>
                <w:sz w:val="20"/>
              </w:rPr>
              <w:t>Observations</w:t>
            </w:r>
          </w:p>
        </w:tc>
        <w:tc>
          <w:tcPr>
            <w:tcW w:type="dxa" w:w="2160"/>
          </w:tcPr>
          <w:p>
            <w:r>
              <w:rPr>
                <w:sz w:val="20"/>
              </w:rPr>
              <w:t>124</w:t>
            </w:r>
          </w:p>
        </w:tc>
        <w:tc>
          <w:tcPr>
            <w:tcW w:type="dxa" w:w="2160"/>
          </w:tcPr>
          <w:p>
            <w:r>
              <w:rPr>
                <w:sz w:val="20"/>
              </w:rPr>
              <w:t>124</w:t>
            </w:r>
          </w:p>
        </w:tc>
        <w:tc>
          <w:tcPr>
            <w:tcW w:type="dxa" w:w="2160"/>
          </w:tcPr>
          <w:p>
            <w:r>
              <w:rPr>
                <w:sz w:val="20"/>
              </w:rPr>
              <w:t>124</w:t>
            </w:r>
          </w:p>
        </w:tc>
      </w:tr>
      <w:tr>
        <w:tc>
          <w:tcPr>
            <w:tcW w:type="dxa" w:w="2160"/>
          </w:tcPr>
          <w:p>
            <w:r>
              <w:rPr>
                <w:sz w:val="20"/>
              </w:rPr>
              <w:t>R²</w:t>
            </w:r>
          </w:p>
        </w:tc>
        <w:tc>
          <w:tcPr>
            <w:tcW w:type="dxa" w:w="2160"/>
          </w:tcPr>
          <w:p>
            <w:r>
              <w:rPr>
                <w:sz w:val="20"/>
              </w:rPr>
              <w:t>0.051</w:t>
            </w:r>
          </w:p>
        </w:tc>
        <w:tc>
          <w:tcPr>
            <w:tcW w:type="dxa" w:w="2160"/>
          </w:tcPr>
          <w:p>
            <w:r>
              <w:rPr>
                <w:sz w:val="20"/>
              </w:rPr>
              <w:t>0.167</w:t>
            </w:r>
          </w:p>
        </w:tc>
        <w:tc>
          <w:tcPr>
            <w:tcW w:type="dxa" w:w="2160"/>
          </w:tcPr>
          <w:p>
            <w:r>
              <w:rPr>
                <w:sz w:val="20"/>
              </w:rPr>
              <w:t>0.168</w:t>
            </w:r>
          </w:p>
        </w:tc>
      </w:tr>
    </w:tbl>
    <w:p/>
    <w:p>
      <w:pPr>
        <w:jc w:val="center"/>
      </w:pPr>
      <w:r>
        <w:rPr>
          <w:b/>
          <w:sz w:val="22"/>
        </w:rPr>
        <w:t>Table 2.3: Structural Break at China Mining Ban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r>
          </w:p>
        </w:tc>
        <w:tc>
          <w:tcPr>
            <w:tcW w:type="dxa" w:w="2160"/>
          </w:tcPr>
          <w:p>
            <w:r>
              <w:rPr>
                <w:b/>
                <w:sz w:val="20"/>
              </w:rPr>
              <w:t>Post-Ban Basic</w:t>
            </w:r>
          </w:p>
        </w:tc>
        <w:tc>
          <w:tcPr>
            <w:tcW w:type="dxa" w:w="2160"/>
          </w:tcPr>
          <w:p>
            <w:r>
              <w:rPr>
                <w:b/>
                <w:sz w:val="20"/>
              </w:rPr>
              <w:t>Post-Ban + Controls</w:t>
            </w:r>
          </w:p>
        </w:tc>
        <w:tc>
          <w:tcPr>
            <w:tcW w:type="dxa" w:w="2160"/>
          </w:tcPr>
          <w:p>
            <w:r>
              <w:rPr>
                <w:b/>
                <w:sz w:val="20"/>
              </w:rPr>
              <w:t>Chow Test</w:t>
            </w:r>
          </w:p>
        </w:tc>
      </w:tr>
      <w:tr>
        <w:tc>
          <w:tcPr>
            <w:tcW w:type="dxa" w:w="2160"/>
          </w:tcPr>
          <w:p>
            <w:r>
              <w:rPr>
                <w:sz w:val="20"/>
              </w:rPr>
              <w:t>log(CEIR)</w:t>
            </w:r>
          </w:p>
        </w:tc>
        <w:tc>
          <w:tcPr>
            <w:tcW w:type="dxa" w:w="2160"/>
          </w:tcPr>
          <w:p>
            <w:r>
              <w:rPr>
                <w:sz w:val="20"/>
              </w:rPr>
              <w:t>−0.060**</w:t>
            </w:r>
          </w:p>
        </w:tc>
        <w:tc>
          <w:tcPr>
            <w:tcW w:type="dxa" w:w="2160"/>
          </w:tcPr>
          <w:p>
            <w:r>
              <w:rPr>
                <w:sz w:val="20"/>
              </w:rPr>
              <w:t>−0.080**</w:t>
            </w:r>
          </w:p>
        </w:tc>
        <w:tc>
          <w:tcPr>
            <w:tcW w:type="dxa" w:w="2160"/>
          </w:tcPr>
          <w:p>
            <w:r>
              <w:rPr>
                <w:sz w:val="20"/>
              </w:rPr>
              <w:t>—</w:t>
            </w:r>
          </w:p>
        </w:tc>
      </w:tr>
      <w:tr>
        <w:tc>
          <w:tcPr>
            <w:tcW w:type="dxa" w:w="2160"/>
          </w:tcPr>
          <w:p>
            <w:r>
              <w:rPr>
                <w:sz w:val="20"/>
              </w:rPr>
            </w:r>
          </w:p>
        </w:tc>
        <w:tc>
          <w:tcPr>
            <w:tcW w:type="dxa" w:w="2160"/>
          </w:tcPr>
          <w:p>
            <w:r>
              <w:rPr>
                <w:sz w:val="20"/>
              </w:rPr>
              <w:t>(0.028)</w:t>
            </w:r>
          </w:p>
        </w:tc>
        <w:tc>
          <w:tcPr>
            <w:tcW w:type="dxa" w:w="2160"/>
          </w:tcPr>
          <w:p>
            <w:r>
              <w:rPr>
                <w:sz w:val="20"/>
              </w:rPr>
              <w:t>(0.031)</w:t>
            </w:r>
          </w:p>
        </w:tc>
        <w:tc>
          <w:tcPr>
            <w:tcW w:type="dxa" w:w="2160"/>
          </w:tcPr>
          <w:p>
            <w:r>
              <w:rPr>
                <w:sz w:val="20"/>
              </w:rPr>
              <w:t>—</w:t>
            </w:r>
          </w:p>
        </w:tc>
      </w:tr>
      <w:tr>
        <w:tc>
          <w:tcPr>
            <w:tcW w:type="dxa" w:w="2160"/>
          </w:tcPr>
          <w:p>
            <w:r>
              <w:rPr>
                <w:sz w:val="20"/>
              </w:rPr>
              <w:t>Observations</w:t>
            </w:r>
          </w:p>
        </w:tc>
        <w:tc>
          <w:tcPr>
            <w:tcW w:type="dxa" w:w="2160"/>
          </w:tcPr>
          <w:p>
            <w:r>
              <w:rPr>
                <w:sz w:val="20"/>
              </w:rPr>
              <w:t>200</w:t>
            </w:r>
          </w:p>
        </w:tc>
        <w:tc>
          <w:tcPr>
            <w:tcW w:type="dxa" w:w="2160"/>
          </w:tcPr>
          <w:p>
            <w:r>
              <w:rPr>
                <w:sz w:val="20"/>
              </w:rPr>
              <w:t>200</w:t>
            </w:r>
          </w:p>
        </w:tc>
        <w:tc>
          <w:tcPr>
            <w:tcW w:type="dxa" w:w="2160"/>
          </w:tcPr>
          <w:p>
            <w:r>
              <w:rPr>
                <w:sz w:val="20"/>
              </w:rPr>
              <w:t>—</w:t>
            </w:r>
          </w:p>
        </w:tc>
      </w:tr>
      <w:tr>
        <w:tc>
          <w:tcPr>
            <w:tcW w:type="dxa" w:w="2160"/>
          </w:tcPr>
          <w:p>
            <w:r>
              <w:rPr>
                <w:sz w:val="20"/>
              </w:rPr>
              <w:t>R²</w:t>
            </w:r>
          </w:p>
        </w:tc>
        <w:tc>
          <w:tcPr>
            <w:tcW w:type="dxa" w:w="2160"/>
          </w:tcPr>
          <w:p>
            <w:r>
              <w:rPr>
                <w:sz w:val="20"/>
              </w:rPr>
              <w:t>0.038</w:t>
            </w:r>
          </w:p>
        </w:tc>
        <w:tc>
          <w:tcPr>
            <w:tcW w:type="dxa" w:w="2160"/>
          </w:tcPr>
          <w:p>
            <w:r>
              <w:rPr>
                <w:sz w:val="20"/>
              </w:rPr>
              <w:t>0.039</w:t>
            </w:r>
          </w:p>
        </w:tc>
        <w:tc>
          <w:tcPr>
            <w:tcW w:type="dxa" w:w="2160"/>
          </w:tcPr>
          <w:p>
            <w:r>
              <w:rPr>
                <w:sz w:val="20"/>
              </w:rPr>
              <w:t>—</w:t>
            </w:r>
          </w:p>
        </w:tc>
      </w:tr>
      <w:tr>
        <w:tc>
          <w:tcPr>
            <w:tcW w:type="dxa" w:w="2160"/>
          </w:tcPr>
          <w:p>
            <w:r>
              <w:rPr>
                <w:sz w:val="20"/>
              </w:rPr>
              <w:t>Chow F-statistic</w:t>
            </w:r>
          </w:p>
        </w:tc>
        <w:tc>
          <w:tcPr>
            <w:tcW w:type="dxa" w:w="2160"/>
          </w:tcPr>
          <w:p>
            <w:r>
              <w:rPr>
                <w:sz w:val="20"/>
              </w:rPr>
              <w:t>—</w:t>
            </w:r>
          </w:p>
        </w:tc>
        <w:tc>
          <w:tcPr>
            <w:tcW w:type="dxa" w:w="2160"/>
          </w:tcPr>
          <w:p>
            <w:r>
              <w:rPr>
                <w:sz w:val="20"/>
              </w:rPr>
              <w:t>—</w:t>
            </w:r>
          </w:p>
        </w:tc>
        <w:tc>
          <w:tcPr>
            <w:tcW w:type="dxa" w:w="2160"/>
          </w:tcPr>
          <w:p>
            <w:r>
              <w:rPr>
                <w:sz w:val="20"/>
              </w:rPr>
              <w:t>4.786***</w:t>
            </w:r>
          </w:p>
        </w:tc>
      </w:tr>
    </w:tbl>
    <w:p/>
    <w:p>
      <w:r>
        <w:br w:type="page"/>
      </w:r>
    </w:p>
    <w:p>
      <w:pPr>
        <w:pStyle w:val="Heading1"/>
      </w:pPr>
      <w:r>
        <w:t>Chapter 4: Contract Feasibility Layer</w:t>
      </w:r>
    </w:p>
    <w:p>
      <w:pPr>
        <w:pStyle w:val="Heading2"/>
      </w:pPr>
      <w:r>
        <w:t>4.6 Credibility Equivalence</w:t>
      </w:r>
    </w:p>
    <w:p>
      <w:pPr>
        <w:jc w:val="center"/>
      </w:pPr>
      <w:r>
        <w:rPr>
          <w:b/>
          <w:sz w:val="22"/>
        </w:rPr>
        <w:t>Table 4.2: Credibility Equivalence Across Mechanisms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Condition</w:t>
            </w:r>
          </w:p>
        </w:tc>
        <w:tc>
          <w:tcPr>
            <w:tcW w:type="dxa" w:w="2160"/>
          </w:tcPr>
          <w:p>
            <w:r>
              <w:rPr>
                <w:b/>
                <w:sz w:val="20"/>
              </w:rPr>
              <w:t>Bitcoin Mining (Passive)</w:t>
            </w:r>
          </w:p>
        </w:tc>
        <w:tc>
          <w:tcPr>
            <w:tcW w:type="dxa" w:w="2160"/>
          </w:tcPr>
          <w:p>
            <w:r>
              <w:rPr>
                <w:b/>
                <w:sz w:val="20"/>
              </w:rPr>
              <w:t>Solar Derivative (Active)</w:t>
            </w:r>
          </w:p>
        </w:tc>
        <w:tc>
          <w:tcPr>
            <w:tcW w:type="dxa" w:w="2160"/>
          </w:tcPr>
          <w:p>
            <w:r>
              <w:rPr>
                <w:b/>
                <w:sz w:val="20"/>
              </w:rPr>
              <w:t>Why Markets Accept Both</w:t>
            </w:r>
          </w:p>
        </w:tc>
      </w:tr>
      <w:tr>
        <w:tc>
          <w:tcPr>
            <w:tcW w:type="dxa" w:w="2160"/>
          </w:tcPr>
          <w:p>
            <w:r>
              <w:rPr>
                <w:sz w:val="20"/>
              </w:rPr>
              <w:t>Observability</w:t>
            </w:r>
          </w:p>
        </w:tc>
        <w:tc>
          <w:tcPr>
            <w:tcW w:type="dxa" w:w="2160"/>
          </w:tcPr>
          <w:p>
            <w:r>
              <w:rPr>
                <w:sz w:val="20"/>
              </w:rPr>
              <w:t>Hash rate, electricity prices publicly calculable</w:t>
            </w:r>
          </w:p>
        </w:tc>
        <w:tc>
          <w:tcPr>
            <w:tcW w:type="dxa" w:w="2160"/>
          </w:tcPr>
          <w:p>
            <w:r>
              <w:rPr>
                <w:sz w:val="20"/>
              </w:rPr>
              <w:t>Multi-source oracle (NASA, utility, crypto)</w:t>
            </w:r>
          </w:p>
        </w:tc>
        <w:tc>
          <w:tcPr>
            <w:tcW w:type="dxa" w:w="2160"/>
          </w:tcPr>
          <w:p>
            <w:r>
              <w:rPr>
                <w:sz w:val="20"/>
              </w:rPr>
              <w:t>Both allow independent verification</w:t>
            </w:r>
          </w:p>
        </w:tc>
      </w:tr>
      <w:tr>
        <w:tc>
          <w:tcPr>
            <w:tcW w:type="dxa" w:w="2160"/>
          </w:tcPr>
          <w:p>
            <w:r>
              <w:rPr>
                <w:sz w:val="20"/>
              </w:rPr>
              <w:t>Mechanical Enforcement</w:t>
            </w:r>
          </w:p>
        </w:tc>
        <w:tc>
          <w:tcPr>
            <w:tcW w:type="dxa" w:w="2160"/>
          </w:tcPr>
          <w:p>
            <w:r>
              <w:rPr>
                <w:sz w:val="20"/>
              </w:rPr>
              <w:t>Competitive mining makes accumulation rational</w:t>
            </w:r>
          </w:p>
        </w:tc>
        <w:tc>
          <w:tcPr>
            <w:tcW w:type="dxa" w:w="2160"/>
          </w:tcPr>
          <w:p>
            <w:r>
              <w:rPr>
                <w:sz w:val="20"/>
              </w:rPr>
              <w:t>Smart contract auto-liquidates at threshold</w:t>
            </w:r>
          </w:p>
        </w:tc>
        <w:tc>
          <w:tcPr>
            <w:tcW w:type="dxa" w:w="2160"/>
          </w:tcPr>
          <w:p>
            <w:r>
              <w:rPr>
                <w:sz w:val="20"/>
              </w:rPr>
              <w:t>Both remove discretionary compliance</w:t>
            </w:r>
          </w:p>
        </w:tc>
      </w:tr>
      <w:tr>
        <w:tc>
          <w:tcPr>
            <w:tcW w:type="dxa" w:w="2160"/>
          </w:tcPr>
          <w:p>
            <w:r>
              <w:rPr>
                <w:sz w:val="20"/>
              </w:rPr>
              <w:t>Scale &amp; Continuity</w:t>
            </w:r>
          </w:p>
        </w:tc>
        <w:tc>
          <w:tcPr>
            <w:tcW w:type="dxa" w:w="2160"/>
          </w:tcPr>
          <w:p>
            <w:r>
              <w:rPr>
                <w:sz w:val="20"/>
              </w:rPr>
              <w:t>Network-wide incentive, continuous</w:t>
            </w:r>
          </w:p>
        </w:tc>
        <w:tc>
          <w:tcPr>
            <w:tcW w:type="dxa" w:w="2160"/>
          </w:tcPr>
          <w:p>
            <w:r>
              <w:rPr>
                <w:sz w:val="20"/>
              </w:rPr>
              <w:t>Insurance fund + margin across open interest</w:t>
            </w:r>
          </w:p>
        </w:tc>
        <w:tc>
          <w:tcPr>
            <w:tcW w:type="dxa" w:w="2160"/>
          </w:tcPr>
          <w:p>
            <w:r>
              <w:rPr>
                <w:sz w:val="20"/>
              </w:rPr>
              <w:t>Both prevent single-point failure</w:t>
            </w:r>
          </w:p>
        </w:tc>
      </w:tr>
    </w:tbl>
    <w:p/>
    <w:p>
      <w:r>
        <w:br w:type="page"/>
      </w:r>
    </w:p>
    <w:p>
      <w:pPr>
        <w:pStyle w:val="Heading1"/>
      </w:pPr>
      <w:r>
        <w:t>References</w:t>
      </w:r>
    </w:p>
    <w:p>
      <w:pPr>
        <w:ind w:hanging="720" w:left="720"/>
      </w:pPr>
      <w:r>
        <w:t>Amihud, Y., &amp; Hurvich, C. M. (2004). Predictive regressions: A reduced-bias estimation method. Journal of Financial and Quantitative Analysis, 39(4), 813–841.</w:t>
      </w:r>
    </w:p>
    <w:p>
      <w:pPr>
        <w:ind w:hanging="720" w:left="720"/>
      </w:pPr>
      <w:r>
        <w:t>Angrist, J. D., &amp; Pischke, J. S. (2009). Mostly Harmless Econometrics: An Empiricist's Companion. Princeton University Press.</w:t>
      </w:r>
    </w:p>
    <w:p>
      <w:pPr>
        <w:ind w:hanging="720" w:left="720"/>
      </w:pPr>
      <w:r>
        <w:t>Brennan, M. J., &amp; Schwartz, E. S. (1985). Evaluating natural resource investments. Journal of Business, 58(2), 135–157.</w:t>
      </w:r>
    </w:p>
    <w:p>
      <w:pPr>
        <w:ind w:hanging="720" w:left="720"/>
      </w:pPr>
      <w:r>
        <w:t>Hayes, A. S. (2017). Cryptocurrency value formation: An empirical study leading to a cost of production model for valuing Bitcoin. Telematics and Informatics, 34(7), 1308–1321.</w:t>
      </w:r>
    </w:p>
    <w:p>
      <w:pPr>
        <w:ind w:hanging="720" w:left="720"/>
      </w:pPr>
      <w:r>
        <w:t>Hull, J. C. (2018). Options, Futures, and Other Derivatives (10th ed.). Pearson.</w:t>
      </w:r>
    </w:p>
    <w:p>
      <w:pPr>
        <w:ind w:hanging="720" w:left="720"/>
      </w:pPr>
      <w:r>
        <w:t>Liu, Y., &amp; Tsyvinski, A. (2021). Risks and returns of cryptocurrency. Review of Financial Studies, 34(6), 2689–2727.</w:t>
      </w:r>
    </w:p>
    <w:p>
      <w:pPr>
        <w:ind w:hanging="720" w:left="720"/>
      </w:pPr>
      <w:r>
        <w:t>Schwartz, E. S. (1997). The stochastic behavior of commodity prices. Journal of Finance, 52(3), 923–973.</w:t>
      </w:r>
    </w:p>
    <w:p>
      <w:r>
        <w:br w:type="page"/>
      </w:r>
    </w:p>
    <w:p>
      <w:pPr>
        <w:pStyle w:val="Heading1"/>
      </w:pPr>
      <w:r>
        <w:t>Appendix A: Data Sources and Construction</w:t>
      </w:r>
    </w:p>
    <w:p>
      <w:r>
        <w:t>Detailed data sources, CEIR construction methodology, and HHI calculation procedures.</w:t>
      </w:r>
    </w:p>
    <w:p>
      <w:r>
        <w:br w:type="page"/>
      </w:r>
    </w:p>
    <w:p>
      <w:pPr>
        <w:pStyle w:val="Heading1"/>
      </w:pPr>
      <w:r>
        <w:t>Appendix B: Ethereum Merge Supplementary Analysis</w:t>
      </w:r>
    </w:p>
    <w:p>
      <w:r>
        <w:t>The Ethereum proof-of-stake transition provides descriptive evidence consistent with the energy-anchoring mechanism. However, parallel trends are violated by pre-merge anticipation trading. This analysis is presented as corroborative, not causally identified. All causal claims rest on the China ban experiment.</w:t>
      </w:r>
    </w:p>
    <w:p>
      <w:r>
        <w:br w:type="page"/>
      </w:r>
    </w:p>
    <w:p>
      <w:pPr>
        <w:pStyle w:val="Heading1"/>
      </w:pPr>
      <w:r>
        <w:t>Appendix C: Continuous HHI Interaction Analysis</w:t>
      </w:r>
    </w:p>
    <w:p>
      <w:r>
        <w:t>Table C.1 presents the continuous HHI × log(CEIR) interaction estimated on monthly HHI data. The coefficient is correctly signed (-0.048) and economically meaningful (2.2× amplification) but not statistically significant (p=0.33) due to monthly frequency and limited sample coverage.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