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YUAN ZE UNIVERSITY</w:t>
      </w:r>
    </w:p>
    <w:p>
      <w:pPr>
        <w:jc w:val="center"/>
      </w:pPr>
      <w:r>
        <w:rPr>
          <w:sz w:val="28"/>
        </w:rPr>
        <w:t>College of Management</w:t>
      </w:r>
    </w:p>
    <w:p>
      <w:pPr>
        <w:jc w:val="center"/>
      </w:pPr>
      <w:r>
        <w:rPr>
          <w:sz w:val="28"/>
        </w:rPr>
        <w:t>Department of Finance</w:t>
      </w:r>
    </w:p>
    <w:p/>
    <w:p/>
    <w:p/>
    <w:p/>
    <w:p>
      <w:pPr>
        <w:jc w:val="center"/>
      </w:pPr>
      <w:r>
        <w:rPr>
          <w:b/>
          <w:sz w:val="36"/>
        </w:rPr>
        <w:t>ENERGY-BACKED DERIVATIVES:</w:t>
        <w:br/>
      </w:r>
      <w:r>
        <w:rPr>
          <w:b/>
          <w:sz w:val="36"/>
        </w:rPr>
        <w:t>From Empirical Validation to a Credible</w:t>
        <w:br/>
      </w:r>
      <w:r>
        <w:rPr>
          <w:b/>
          <w:sz w:val="36"/>
        </w:rPr>
        <w:t>Pricing-and-Contract Framework</w:t>
      </w:r>
    </w:p>
    <w:p/>
    <w:p/>
    <w:p/>
    <w:p/>
    <w:p>
      <w:pPr>
        <w:jc w:val="center"/>
      </w:pPr>
      <w:r>
        <w:rPr>
          <w:b/>
          <w:sz w:val="28"/>
        </w:rPr>
        <w:t>Christopher Ongko</w:t>
      </w:r>
    </w:p>
    <w:p>
      <w:pPr>
        <w:jc w:val="center"/>
      </w:pPr>
      <w:r>
        <w:rPr>
          <w:sz w:val="24"/>
        </w:rPr>
        <w:t>Student ID: 1133958</w:t>
      </w:r>
    </w:p>
    <w:p/>
    <w:p/>
    <w:p/>
    <w:p>
      <w:pPr>
        <w:jc w:val="center"/>
      </w:pPr>
      <w:r>
        <w:rPr>
          <w:sz w:val="24"/>
        </w:rPr>
        <w:t>Advisor: Dr. De-Rong Kong (孔德蓉)</w:t>
      </w:r>
    </w:p>
    <w:p/>
    <w:p/>
    <w:p>
      <w:pPr>
        <w:jc w:val="center"/>
      </w:pPr>
      <w:r>
        <w:rPr>
          <w:sz w:val="24"/>
        </w:rPr>
        <w:t>April 2025</w:t>
      </w:r>
    </w:p>
    <w:p>
      <w:r>
        <w:br w:type="page"/>
      </w:r>
    </w:p>
    <w:p>
      <w:pPr>
        <w:pStyle w:val="Heading1"/>
      </w:pPr>
      <w:r>
        <w:t>Abstract</w:t>
      </w:r>
    </w:p>
    <w:p>
      <w:pPr>
        <w:ind w:firstLine="0"/>
      </w:pPr>
      <w:r>
        <w:t>Renewable energy faces a fundamental financing problem: non-storable supply meets variable demand, producing revenue volatility that blocks project finance access for distributed producers. Meanwhile, a parallel question in cryptocurrency markets asks whether energy expenditure can anchor digital asset value. This thesis connects these two problems through a three-pillar framework establishing the empirical, methodological, and contractual foundations for energy-backed derivatives.</w:t>
      </w:r>
    </w:p>
    <w:p>
      <w:pPr>
        <w:ind w:firstLine="0"/>
      </w:pPr>
      <w:r>
        <w:t>The thesis claim is that Bitcoin's passive energy anchoring worked under coordination but failed under dispersion — and that this failure motivates *designed* instruments with explicit energy linkage. The framework is a foundation for such instruments, not a deployment specification.</w:t>
      </w:r>
    </w:p>
    <w:p>
      <w:pPr>
        <w:ind w:firstLine="0"/>
      </w:pPr>
      <w:r>
        <w:t>---</w:t>
      </w:r>
    </w:p>
    <w:p>
      <w:pPr>
        <w:pStyle w:val="Heading1"/>
      </w:pPr>
      <w:r>
        <w:t>Table of Contents</w:t>
      </w:r>
    </w:p>
    <w:p>
      <w:pPr>
        <w:ind w:firstLine="0"/>
      </w:pPr>
      <w:r>
        <w:t>[Table of Contents will be auto-generated in Word via Insert &gt; Table of Contents]</w:t>
      </w:r>
    </w:p>
    <w:p>
      <w:r>
        <w:br w:type="page"/>
      </w:r>
    </w:p>
    <w:p>
      <w:pPr>
        <w:pStyle w:val="Heading1"/>
      </w:pPr>
      <w:r>
        <w:t>Chapter 1: Introduction</w:t>
      </w:r>
    </w:p>
    <w:p>
      <w:pPr>
        <w:pStyle w:val="Heading2"/>
      </w:pPr>
      <w:r>
        <w:t>1.1 The Problem This Thesis Addresses</w:t>
      </w:r>
    </w:p>
    <w:p>
      <w:r>
        <w:t>Two separate literatures converge at an underexplored intersection. The first concerns cryptocurrency valuation: Bitcoin and similar proof-of-work assets lack conventional fundamental anchors — no cash flows, no dividends, no physical asset backing — yet command valuations in the trillions. A persistent hypothesis holds that production costs, specifically energy expenditure, provide the missing anchor, analogous to cost-of-production floors in commodity markets. The second concerns renewable energy finance: solar and wind producers face revenue volatility so severe — up to 189% annualised in capacity-constrained markets — that conventional project finance is often unavailable, particularly for distributed producers in emerging economies.</w:t>
      </w:r>
    </w:p>
    <w:p>
      <w:r>
        <w:t>This thesis argues these two problems are the same problem viewed from opposite sides. The cryptocurrency literature asks: *can energy costs create value floors in digital asset markets?* The renewable energy literature asks: *can financial instruments stabilise energy revenue enough to unlock project finance?* The answer to the first question, this thesis argues, provides the empirical motivation for designing the second type of instrument.</w:t>
      </w:r>
    </w:p>
    <w:p>
      <w:r>
        <w:t>The central empirical finding is that Bitcoin's energy anchoring was real but fragile: it functioned when mining was geographically concentrated, allowing cost-based arbitrage to operate, and broke when geographic dispersion eliminated the coordinating mechanism. This finding is not merely a negative result. It identifies precisely the conditions under which energy anchoring can work — and therefore the design requirements for instruments that seek to replicate it deliberately.</w:t>
      </w:r>
    </w:p>
    <w:p>
      <w:pPr>
        <w:pStyle w:val="Heading2"/>
      </w:pPr>
      <w:r>
        <w:t>1.2 The Passive-to-Active Transition</w:t>
      </w:r>
    </w:p>
    <w:p>
      <w:r>
        <w:t>Bitcoin's energy anchor was *passive*: it emerged from the competitive economics of mining, not from any designed mechanism. Miners operating in similar cost environments created a floor through rational arbitrage. When costs fell below the threshold implied by Bitcoin's market price, profitable accumulation pushed prices up. This coordination dissolved when mining dispersed across more than fifteen countries with electricity prices ranging from $0.03 to $0.12 per kWh. No single cost structure anchored expectations.</w:t>
      </w:r>
    </w:p>
    <w:p>
      <w:r>
        <w:t>The key insight is that the *mechanism* of energy anchoring is sound even when the *implementation* through uncoordinated mining proved fragile. If energy expenditure genuinely creates value floors under coordination, then *designed* instruments — derivatives whose payoffs explicitly encode energy-linked risk, with oracle verification and contractual solvency constraints — can replicate that coordination function without depending on geographic concentration. This transition from passive to active energy anchoring is the conceptual core of the thesis.</w:t>
      </w:r>
    </w:p>
    <w:p>
      <w:r>
        <w:t>A critical distinction must be stated and defended explicitly, however. Bitcoin's passive anchoring and a designed energy derivative operate through different mechanisms. Bitcoin's floor emerged from thousands of miners independently making the same profit-maximising decision. A derivative's floor is contractual: the seller is obligated to pay `max(K − P, 0)` at maturity regardless of market conditions, enforced through posted margin and oracle-verified settlement. These are not the same mechanism, and the empirical evidence for one does not automatically transfer to the other.</w:t>
      </w:r>
    </w:p>
    <w:p>
      <w:r>
        <w:t>The connection is epistemic, not mechanical: the CEIR evidence establishes that *markets recognise and price energy cost floors when those floors are credibly enforced*. In Bitcoin's concentrated era, the floor was credible because the enforcement mechanism — miner arbitrage — was transparent, large-scale, and operationally difficult to circumvent. In the derivative, credibility is contractual: the floor holds when oracle measurement error is bounded and seller solvency is guaranteed by posted collateral. The derivative replicates the *credibility condition*, not the mining process itself.</w:t>
      </w:r>
    </w:p>
    <w:p>
      <w:r>
        <w:t>The logical chain is therefore: (1) markets price credible energy floors, established empirically in Chapter 2; (2) the derivative creates a credible energy floor when oracle error is below a specified threshold and margin is sufficient, established analytically in Chapters 3 and 4; therefore (3) the derivative's premium is justifiable by the same market logic that the CEIR evidence documents. The gap between passive and active anchoring is closed not by claiming the mechanisms are identical, but by showing they satisfy the same credibility condition that markets respond to.</w:t>
      </w:r>
    </w:p>
    <w:p>
      <w:pPr>
        <w:pStyle w:val="Heading2"/>
      </w:pPr>
      <w:r>
        <w:t>1.3 Why This Matters for Renewable Finance</w:t>
      </w:r>
    </w:p>
    <w:p>
      <w:r>
        <w:t>Renewable energy represents the most consequential infrastructure transition of this generation. Global capacity has grown 15% annually, reaching over 3,000 GW by 2024. Yet the financing gap for distributed renewable producers remains severe. Power Purchase Agreements require creditworthy counterparties unavailable to small operators. Wholesale derivatives require exchange membership and capital requirements inaccessible below a certain scale. Spot market exposure imposes full volatility: a 100 MW solar farm's annual revenue may range from $1 million to $15 million in the same country depending on curtailment, intraday swing, and seasonal variation — a variance that eliminates bankability.</w:t>
      </w:r>
    </w:p>
    <w:p>
      <w:r>
        <w:t>The instrument class developed in this thesis — energy-backed derivatives whose premiums are priced from physical irradiance data rather than market-implied volatility — directly addresses this gap. The pricing methodology solves the cold-start problem: how to price a derivative when no liquid options market exists. The contract specification identifies what oracle architecture, basis risk tolerance, and solvency framework are required before such instruments can be credibly deployed.</w:t>
      </w:r>
    </w:p>
    <w:p>
      <w:pPr>
        <w:pStyle w:val="Heading2"/>
      </w:pPr>
      <w:r>
        <w:t>1.4 Research Questions and Contributions</w:t>
      </w:r>
    </w:p>
    <w:p>
      <w:r>
        <w:t>This thesis addresses three research questions:</w:t>
      </w:r>
    </w:p>
    <w:p>
      <w:r/>
      <w:r>
        <w:rPr>
          <w:b/>
        </w:rPr>
        <w:t>RQ1 (Empirics):</w:t>
      </w:r>
      <w:r>
        <w:t xml:space="preserve"> Do energy costs anchor cryptocurrency value, and is the relationship structural or regime-dependent?</w:t>
      </w:r>
    </w:p>
    <w:p>
      <w:r/>
      <w:r>
        <w:rPr>
          <w:b/>
        </w:rPr>
        <w:t>RQ2 (Pricing):</w:t>
      </w:r>
      <w:r>
        <w:t xml:space="preserve"> How should an energy-linked derivative be priced and validated when volatility is physics-driven and the underlying commodity is non-storable?</w:t>
      </w:r>
    </w:p>
    <w:p>
      <w:r/>
      <w:r>
        <w:rPr>
          <w:b/>
        </w:rPr>
        <w:t>RQ3 (Feasibility):</w:t>
      </w:r>
      <w:r>
        <w:t xml:space="preserve"> What minimum contract specifications and risk controls are required for an energy-backed derivative to remain credible under oracle error, manipulation risk, and tail events?</w:t>
      </w:r>
    </w:p>
    <w:p>
      <w:r>
        <w:t>The contributions corresponding to each question are:</w:t>
      </w:r>
    </w:p>
    <w:p>
      <w:r/>
      <w:r>
        <w:rPr>
          <w:b/>
        </w:rPr>
        <w:t>Contribution 1 (Empirical):</w:t>
      </w:r>
      <w:r>
        <w:t xml:space="preserve"> First causal evidence that energy anchoring of cryptocurrency value is *regime-dependent*, with geographic concentration identified as the enabling condition rather than cost level per se. Prior work — Hayes (2017), Pagnotta and Buraschi (2018), Sockin and Xiong (2021) — establishes contemporaneous cost-price correlations but does not address causality, regime change, or the concentration mechanism. The primary causal identification rests on the China ban as a dual natural experiment (pre-ban baseline + post-ban structural break), with the Ethereum merge providing corroborative descriptive evidence; the parallel trends assumption required for causal DiD identification of the ETH merge effect is violated by pre-merge anticipation trading (Section 2.6.3) and carries no independent causal weight. The finding that geographic dispersion attenuates anchoring 3× even as absolute electricity costs rise directly challenges naïve production-cost theory and identifies coordination — not cost level — as the operative mechanism.</w:t>
      </w:r>
    </w:p>
    <w:p>
      <w:r/>
      <w:r>
        <w:rPr>
          <w:b/>
        </w:rPr>
        <w:t>Contribution 2 (Methodological):</w:t>
      </w:r>
      <w:r>
        <w:t xml:space="preserve"> First application of physics-based volatility — satellite irradiance data rather than market-implied or historical price volatility — to the pricing of energy-linked derivatives. This solves the cold-start problem for instruments in markets without existing options, bypassing the calibration circularity that has blocked instrument design in emerging solar markets. All parameters are derived from public data (NASA POWER); the framework has been validated across five global markets; and it is reproducible without proprietary data access.</w:t>
      </w:r>
    </w:p>
    <w:p>
      <w:r/>
      <w:r>
        <w:rPr>
          <w:b/>
        </w:rPr>
        <w:t>Contribution 3 (Applied):</w:t>
      </w:r>
      <w:r>
        <w:t xml:space="preserve"> First treatment of oracle quality as a *continuous design parameter* — rather than a binary adequacy constraint — in non-storable commodity derivatives. Hedge effectiveness is derived analytically from the minimum variance hedge framework (Hull 2018): variance reduction = σ_X²/(σ_X² + σ_ε²), where σ_X is the payoff standard deviation and σ_ε is oracle noise. In high-volatility markets (σ ≥ 100%), this formula shows the instrument is highly robust to oracle error — exceeding 95% variance reduction at 20% oracle error. This volatility-scaled robustness result is novel and has direct implications for market design in emerging solar markets. Margin requirements are derived consistently from the pricing model's distributional assumptions, producing a complete, internally consistent feasibility specification.</w:t>
        <w:br/>
      </w:r>
    </w:p>
    <w:p>
      <w:pPr>
        <w:pStyle w:val="Heading2"/>
      </w:pPr>
      <w:r>
        <w:t>1.5 Scope and Boundaries</w:t>
      </w:r>
    </w:p>
    <w:p>
      <w:r>
        <w:t>This thesis establishes *feasibility* — empirical, methodological, and contractual. It does not deliver a deployed protocol, a functioning token, or a market. The distinction matters for three reasons. First, deployment requires institutional partnerships, regulatory engagement, and liquidity bootstrapping that are explicitly outside the scope of academic research. Second, the feasibility case is a necessary precondition for responsible deployment claims; the existing literature on energy-backed assets has not established this case rigorously. Third, explicitly scoping to feasibility protects the academic contribution: deployment success depends on factors outside the researcher's control, while the empirical and methodological contributions stand independently.</w:t>
      </w:r>
    </w:p>
    <w:p>
      <w:r>
        <w:t>The SolarPunk Protocol referenced in related project materials represents one possible implementation of the framework developed here. It is treated throughout this thesis as illustrative of the instrument class, not as the subject of evaluation.</w:t>
      </w:r>
    </w:p>
    <w:p>
      <w:pPr>
        <w:pStyle w:val="Heading2"/>
      </w:pPr>
      <w:r>
        <w:t>1.6 Thesis Structure</w:t>
      </w:r>
    </w:p>
    <w:p>
      <w:r>
        <w:t>Chapter 2 establishes the empirical foundation by testing the energy anchoring hypothesis in cryptocurrency markets through natural experiments. Chapter 3 develops the pricing framework for energy-linked derivatives using physics-based volatility. Chapter 4 specifies the contract layer translating priced payoffs into credible instruments. Chapter 5 synthesises the three pillars and answers the research questions directly.</w:t>
      </w:r>
    </w:p>
    <w:p>
      <w:r>
        <w:t>---</w:t>
      </w:r>
    </w:p>
    <w:p>
      <w:pPr>
        <w:pStyle w:val="Heading1"/>
      </w:pPr>
      <w:r>
        <w:t>Chapter 2: Empirical Foundation — Energy Anchoring in Cryptocurrency Markets</w:t>
      </w:r>
    </w:p>
    <w:p>
      <w:pPr>
        <w:pStyle w:val="Heading2"/>
      </w:pPr>
      <w:r>
        <w:t>2.1 Introduction</w:t>
      </w:r>
    </w:p>
    <w:p>
      <w:r>
        <w:t>The hypothesis that production costs anchor asset prices is well-established in commodity markets. Mining costs support gold prices; extraction costs inform oil price floors. The analogous claim for Bitcoin — that electricity expenditure creates a production cost floor — has theoretical appeal but limited causal evidence. Bitcoin mining approximates competitive conditions: homogeneous output, transparent costs, and free entry and exit. If energy costs create value floors, the mechanism operates through rational arbitrage by miners who accumulate when prices fall below production cost.</w:t>
      </w:r>
    </w:p>
    <w:p>
      <w:r>
        <w:t>This chapter tests the hypothesis using the Cumulative Energy Investment Ratio (CEIR), a novel valuation metric defined as the ratio of market capitalisation to cumulative historical energy expenditure. Two exogenous shocks provide the primary causal identification: the baseline period (2018–2021) tests the relationship during concentrated mining, and China's June 2021 mining ban provides exogenous geographic dispersion with a clean structural break. Ethereum's September 2022 proof-of-stake transition is examined as corroborative evidence; as Section 2.6.3 establishes, the parallel trends assumption required for causal DiD identification is violated by pre-merge anticipation trading, and the ETH analysis carries descriptive rather than causal weight. The causal case rests on the China ban experiment.</w:t>
      </w:r>
    </w:p>
    <w:p>
      <w:pPr>
        <w:pStyle w:val="Heading2"/>
      </w:pPr>
      <w:r>
        <w:t>2.2 Literature Review and Theoretical Positioning</w:t>
      </w:r>
    </w:p>
    <w:p>
      <w:r>
        <w:t>#### 2.2.0 Prior Literature</w:t>
      </w:r>
    </w:p>
    <w:p>
      <w:r/>
      <w:r>
        <w:rPr>
          <w:b/>
        </w:rPr>
        <w:t>Cryptocurrency asset pricing.</w:t>
      </w:r>
      <w:r>
        <w:t xml:space="preserve"> The literature on fundamental valuation of cryptocurrency assets remains contested. Pagnotta and Buraschi (2018) model Bitcoin as a network good where security and price are jointly determined, showing that equilibrium exists at a range of price levels — a multiplicity result that does not produce testable regime predictions. Sockin and Xiong (2021) develop an information-based model where crypto prices aggregate decentralised signals about the quality of blockchain services, generating prediction that prices reflect user value rather than production cost. Cong, Li, and Wang (2021) formalise the token economics of blockchain platforms, focusing on user participation rather than miner arbitrage. Biais et al. (2019) characterise blockchain consensus as an equilibrium selection problem, connecting to the coordination theme but not to energy pricing.</w:t>
      </w:r>
    </w:p>
    <w:p>
      <w:r>
        <w:t>A parallel empirical literature asks whether cryptocurrency returns can be explained by conventional risk factors. Liu and Tsyvinski (2021) find that Bitcoin, Ripple, and Ethereum returns have negligible exposure to equity market, currency, and commodity risk factors, but respond to cryptocurrency momentum and investor attention proxies. Liu, Tsyvinski, and Wu (2022) construct a three-factor model (cryptocurrency market, size, and momentum) that captures the cross-section of crypto returns. Crucially, neither production-cost variables nor energy-based metrics appear in these factor models — establishing the existing benchmark this thesis's CEIR predictor is tested against. Kapengut and Mizrach (2023) study the Ethereum proof-of-stake transition using an event study approach, documenting a significant mean return shift around the merge date, providing a useful complement to the DiD analysis in Section 2.6.3.</w:t>
      </w:r>
    </w:p>
    <w:p>
      <w:r>
        <w:t>None of these models generate the specific prediction tested here: that *cumulative* energy investment creates identifiable predictive power, conditional on geographic concentration. The closest antecedent is Hayes (2017), who documents a contemporaneous correlation between marginal mining costs and Bitcoin prices, but does not test predictive power, does not address cumulation, and lacks exogenous variation. This paper is the first to (i) construct a stock-based energy valuation ratio, (ii) use two natural experiments to identify regime conditions, and (iii) test predictive regression performance under varying concentration levels.</w:t>
      </w:r>
    </w:p>
    <w:p>
      <w:r/>
      <w:r>
        <w:rPr>
          <w:b/>
        </w:rPr>
        <w:t>Commodity cost floors.</w:t>
      </w:r>
      <w:r>
        <w:t xml:space="preserve"> Brennan and Schwartz (1985) establish the theoretical conditions under which extraction costs bound commodity prices from below, showing that operating leverage creates convexity in the cost-to-price relationship. Casassus and Collin-Dufresne (2005) extend this to stochastic convenience yields. These models assume homogeneous producers sharing similar cost levels — the geographic concentration condition — which this thesis identifies as the critical enabling condition for the energy anchoring mechanism in cryptocurrency markets.</w:t>
      </w:r>
    </w:p>
    <w:p>
      <w:r/>
      <w:r>
        <w:rPr>
          <w:b/>
        </w:rPr>
        <w:t>Energy derivatives and weather risk.</w:t>
      </w:r>
      <w:r>
        <w:t xml:space="preserve"> Deng and Oren (2006) survey energy derivatives, noting that electricity spot prices exhibit mean reversion, seasonality, and spikes incompatible with GBM at multi-year horizons. Lucia and Schwartz (2002) demonstrate that the Nord Pool electricity market requires two-factor stochastic models to price long-dated contracts correctly. Burger, Graeber, and Schindlmayr (2004) provide a practitioner treatment of energy risk management, establishing the oracle-free settlement problem this thesis addresses. This thesis inherits the GBM criticism directly and responds by scoping the model to T ≤ 1 year, where the high-frequency noise (σ = 189%) dominates seasonal and mean-reverting terms. The closest precedent in the weather risk literature is Cao and Wei (2004), who price weather derivatives using a no-arbitrage approach when the underlying weather index is non-tradeable. Their key insight — that the market price of weather risk must be inferred from equilibrium rather than hedging arguments — applies directly to solar energy derivatives, where irradiance is similarly non-storable and non-tradeable. Chapter 3 follows their approach of grounding the volatility parameter in physical data rather than price-implied calibration.</w:t>
        <w:br/>
      </w:r>
    </w:p>
    <w:p>
      <w:pPr>
        <w:pStyle w:val="Heading2"/>
      </w:pPr>
      <w:r>
        <w:t>2.3 Theoretical Background</w:t>
      </w:r>
    </w:p>
    <w:p>
      <w:r>
        <w:t>#### 2.3.1 Production Cost Theory Applied to Cryptocurrencies</w:t>
      </w:r>
    </w:p>
    <w:p>
      <w:r>
        <w:t>Marshall's (1890) treatment of long-run competitive equilibrium holds that prices gravitate toward marginal production costs under competition. Applied to Bitcoin, this predicts that miners facing similar electricity costs will engage in cost-based arbitrage, buying when prices fall below production cost and selling when they exceed it. Hayes (2017) provides early evidence that marginal mining costs influence Bitcoin prices. Gandal et al. (2021) document mining's role in price formation. However, these studies examine contemporaneous marginal costs rather than cumulative investment and do not address causality.</w:t>
      </w:r>
    </w:p>
    <w:p>
      <w:r>
        <w:t>The cumulative framing in CEIR requires a distinct theoretical justification from marginal cost, because cumulative costs are sunk — standard economics holds that rational actors ignore sunk costs in forward-looking decisions. Claiming that "Bitcoin is undervalued because miners spent a lot in the past" is a sunk cost fallacy if taken literally. The CEIR floor mechanism therefore does not operate through miner arbitrage against historical spending.</w:t>
      </w:r>
    </w:p>
    <w:p>
      <w:r>
        <w:t>The correct mechanism is *attack cost pricing*. A 51% attack — the only economically motivated threat to Bitcoin's security guarantee — requires the attacker to outpace the cumulative computational effort of all historical mining. This is not a sunk cost from the attacker's perspective: they must pay approximately the cumulative energy equivalent to defeat the chain. The security value of Bitcoin as a settlement layer is therefore economically grounded in the cost of historical proof-of-work because that is the cost to destroy it, not because it was spent. Security-sensitive market participants — long-term holders, institutional allocators, and payment-focused users — rationally price this security property, creating a floor on Bitcoin's value relative to its attack cost.</w:t>
      </w:r>
    </w:p>
    <w:p>
      <w:r>
        <w:t>CEIR measures whether the market is efficiently pricing this security guarantee. When CEIR is low (market capitalisation low relative to cumulative energy investment), the asset is priced below its proportionate attack cost — offering a security guarantee at a discount. When CEIR is high, the market is pricing the guarantee at a premium. The predictive regression tests whether deviations from this efficiency benchmark predict future returns: if security-aware actors correct underpricing, periods of low CEIR should precede positive returns. Crucially, this mechanism is coordination-dependent: if many security-sensitive actors share a similar valuation model (as is plausible under geographic concentration), they create the coordinated demand that drives price correction. Under dispersion, the heterogeneous cost structures and diverse holder bases reduce coordination, weakening the signal.</w:t>
      </w:r>
    </w:p>
    <w:p>
      <w:r>
        <w:t>This is theoretically distinct from Hayes (2017): marginal cost is a *flow* (today's mining cost), CEIR is a *stock* (the cumulative security investment). A rational security-pricing actor consults the stock.</w:t>
      </w:r>
    </w:p>
    <w:p>
      <w:r>
        <w:t>#### 2.3.2 Why Geographic Concentration Matters</w:t>
      </w:r>
    </w:p>
    <w:p>
      <w:r>
        <w:t>The cost-based arbitrage mechanism requires that miners share broadly similar cost structures. When 70% of global mining operates in one country with subsidised electricity at $0.03–0.05 per kWh, a meaningful proportion of the network faces the same floor. When mining disperses across fifteen countries with prices from $0.03 to $0.12 per kWh, no single cost level anchors expectations. The high-cost miners cannot profitably accumulate below the low-cost miners' threshold, and low-cost miners face no natural floor because market prices remain above their costs in most states. Geographic concentration is therefore not merely a background feature: it is the enabling condition for the arbitrage mechanism.</w:t>
      </w:r>
    </w:p>
    <w:p>
      <w:r>
        <w:t>This generates the primary testable prediction: CEIR should predict returns during concentrated mining (Regime 1), but this predictive power should decline or disappear after dispersion (Regime 2). Crucially, the prediction is not that dispersion makes Bitcoin more expensive to produce — it does — but that higher costs without coordination fail to restore the anchor. The mechanism is coordination, not cost level. If the data show that CEIR loses predictive power after the ban despite rising electricity costs, the coordination mechanism is confirmed as the operative channel, ruling out a simpler "higher costs = higher floors" interpretation.</w:t>
      </w:r>
    </w:p>
    <w:p>
      <w:r/>
      <w:r>
        <w:rPr>
          <w:b/>
        </w:rPr>
        <w:t>Formal mechanism.</w:t>
      </w:r>
      <w:r>
        <w:t xml:space="preserve"> The concentration argument can be stated precisely. Suppose N miners each face electricity cost c_i, drawn from a distribution with support [c_lo, c_hi]. A miner accumulates Bitcoin when market price P falls below the security-value implied by CEIR (i.e., when the asset is trading at a discount to its attack-cost floor). The fraction of miners who accumulate at price P is F(P) = Pr(c_i &gt; P), which governs the aggregate buying pressure that corrects CEIR undervaluation. Under geographic concentration — miners clustered in similar electricity cost environments — the distribution of c_i is tight: c_hi − c_lo is small, and F(P) approximates a step function at a shared threshold c̄. The buying response to any CEIR undervaluation is large and coordinated. Under dispersion — miners across fifteen countries with costs ranging from $0.03 to $0.12/kWh — the distribution is wide: F(P) is a smooth ramp, generating a diffuse response. The return-predictive power of CEIR is proportional to the steepness of F(P), which equals 1/(c_hi − c_lo). Since HHI is inversely related to the spread of the cost distribution, β_CEIR ∝ HHI follows as a direct implication. A linear fit to the two anchor points (β = −0.206 at HHI = 0.42; β = −0.080 at HHI = 0.18) yields β_CEIR ≈ 0.014 − 0.525×HHI, implying a 1SD return effect of 10.0 pp at HHI = 0.42 and 3.9 pp at HHI = 0.18 — precisely matching the empirical results in Tables 2.2 and 2.3.</w:t>
      </w:r>
    </w:p>
    <w:p>
      <w:r>
        <w:t>A stronger test treats geographic concentration as a *continuous moderator* rather than a binary regime switch. If HHI is the operative variable, an interaction term log(CEIR) × HHI_std should yield a negative coefficient: the CEIR effect should be amplified in proportion to current concentration. Section 2.6.2 reports this interaction analysis using monthly HHI values from Cambridge and post-ban estimates. The identification strategy follows the natural experiment logic of Angrist and Pischke (2009): the China ban is the exogenous shock that shifts HHI, and the interaction tests whether the pre- to post-ban coefficient change is proportional to the HHI shift, consistent with concentration as the mechanism rather than some correlated post-ban development.</w:t>
      </w:r>
    </w:p>
    <w:p>
      <w:r>
        <w:t>#### 2.3.3 The Ethereum Merge: Corroborative Evidence</w:t>
      </w:r>
    </w:p>
    <w:p>
      <w:r>
        <w:t>Ethereum's proof-of-stake transition provides a corroborative angle on the energy-anchoring mechanism: the complete removal of energy requirements. If energy creates value floors through its role as a production cost, then eliminating it entirely should produce a detectable change in volatility dynamics relative to a control asset that retains energy dependence. Bitcoin serves as that control, since it retained proof-of-work throughout the period.</w:t>
      </w:r>
    </w:p>
    <w:p>
      <w:r>
        <w:t>A difference-in-differences design is the natural specification. However, the validity of any DiD rests on the parallel trends assumption — that ETH and BTC volatilities would have evolved in parallel absent the merge. While both assets respond to common macro and crypto factors, the parallel trends assumption is tested rather than assumed, and Section 2.6.3 reports that it fails: the ETH−BTC volatility gap widened sharply in the two months before the merge due to anticipation trading, contaminating any naive symmetric pre-period. This violation is not a minor econometric inconvenience; it means the estimated post-merge gap conflates the energy-removal effect with the reversal of pre-merge speculation, and the two cannot be separated cleanly.</w:t>
      </w:r>
    </w:p>
    <w:p>
      <w:r>
        <w:t>The ETH analysis is therefore framed throughout as *corroborative and descriptive*: consistent with the energy-anchoring mechanism, but not independently causal. The China ban results (Sections 2.6.1–2.6.2) carry the thesis's primary causal identification weight. The merge evidence is presented because it is informative — particularly the observation that traders priced the *anticipation* of energy removal as an uncertainty-increasing event — but it is not cited as independent identification of a causal effect.</w:t>
      </w:r>
    </w:p>
    <w:p>
      <w:pPr>
        <w:pStyle w:val="Heading2"/>
      </w:pPr>
      <w:r>
        <w:t>2.4 Data and Construction</w:t>
      </w:r>
    </w:p>
    <w:p>
      <w:pPr>
        <w:jc w:val="center"/>
      </w:pPr>
      <w:r>
        <w:rPr>
          <w:b/>
          <w:sz w:val="22"/>
        </w:rPr>
        <w:t>Table 2.1: Summary Statistics by Regime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Pre-Ban Mean</w:t>
            </w:r>
          </w:p>
        </w:tc>
        <w:tc>
          <w:tcPr>
            <w:tcW w:type="dxa" w:w="1728"/>
          </w:tcPr>
          <w:p>
            <w:r>
              <w:rPr>
                <w:b/>
              </w:rPr>
              <w:t>Pre-Ban SD</w:t>
            </w:r>
          </w:p>
        </w:tc>
        <w:tc>
          <w:tcPr>
            <w:tcW w:type="dxa" w:w="1728"/>
          </w:tcPr>
          <w:p>
            <w:r>
              <w:rPr>
                <w:b/>
              </w:rPr>
              <w:t>Post-Ban Mean</w:t>
            </w:r>
          </w:p>
        </w:tc>
        <w:tc>
          <w:tcPr>
            <w:tcW w:type="dxa" w:w="1728"/>
          </w:tcPr>
          <w:p>
            <w:r>
              <w:rPr>
                <w:b/>
              </w:rPr>
              <w:t>Post-Ban SD</w:t>
            </w:r>
          </w:p>
        </w:tc>
      </w:tr>
      <w:tr>
        <w:tc>
          <w:tcPr>
            <w:tcW w:type="dxa" w:w="1728"/>
          </w:tcPr>
          <w:p>
            <w:r>
              <w:t>Bitcoin Price ($)</w:t>
            </w:r>
          </w:p>
        </w:tc>
        <w:tc>
          <w:tcPr>
            <w:tcW w:type="dxa" w:w="1728"/>
          </w:tcPr>
          <w:p>
            <w:r>
              <w:t>14,820</w:t>
            </w:r>
          </w:p>
        </w:tc>
        <w:tc>
          <w:tcPr>
            <w:tcW w:type="dxa" w:w="1728"/>
          </w:tcPr>
          <w:p>
            <w:r>
              <w:t>18,340</w:t>
            </w:r>
          </w:p>
        </w:tc>
        <w:tc>
          <w:tcPr>
            <w:tcW w:type="dxa" w:w="1728"/>
          </w:tcPr>
          <w:p>
            <w:r>
              <w:t>32,640</w:t>
            </w:r>
          </w:p>
        </w:tc>
        <w:tc>
          <w:tcPr>
            <w:tcW w:type="dxa" w:w="1728"/>
          </w:tcPr>
          <w:p>
            <w:r>
              <w:t>21,150</w:t>
            </w:r>
          </w:p>
        </w:tc>
      </w:tr>
      <w:tr>
        <w:tc>
          <w:tcPr>
            <w:tcW w:type="dxa" w:w="1728"/>
          </w:tcPr>
          <w:p>
            <w:r>
              <w:t>CEIR (raw ratio)</w:t>
            </w:r>
          </w:p>
        </w:tc>
        <w:tc>
          <w:tcPr>
            <w:tcW w:type="dxa" w:w="1728"/>
          </w:tcPr>
          <w:p>
            <w:r>
              <w:t>30.0</w:t>
            </w:r>
          </w:p>
        </w:tc>
        <w:tc>
          <w:tcPr>
            <w:tcW w:type="dxa" w:w="1728"/>
          </w:tcPr>
          <w:p>
            <w:r>
              <w:t>17.2</w:t>
            </w:r>
          </w:p>
        </w:tc>
        <w:tc>
          <w:tcPr>
            <w:tcW w:type="dxa" w:w="1728"/>
          </w:tcPr>
          <w:p>
            <w:r>
              <w:t>29.2</w:t>
            </w:r>
          </w:p>
        </w:tc>
        <w:tc>
          <w:tcPr>
            <w:tcW w:type="dxa" w:w="1728"/>
          </w:tcPr>
          <w:p>
            <w:r>
              <w:t>12.9</w:t>
            </w:r>
          </w:p>
        </w:tc>
      </w:tr>
      <w:tr>
        <w:tc>
          <w:tcPr>
            <w:tcW w:type="dxa" w:w="1728"/>
          </w:tcPr>
          <w:p>
            <w:r>
              <w:t>log(CEIR)</w:t>
            </w:r>
          </w:p>
        </w:tc>
        <w:tc>
          <w:tcPr>
            <w:tcW w:type="dxa" w:w="1728"/>
          </w:tcPr>
          <w:p>
            <w:r>
              <w:t>3.273</w:t>
            </w:r>
          </w:p>
        </w:tc>
        <w:tc>
          <w:tcPr>
            <w:tcW w:type="dxa" w:w="1728"/>
          </w:tcPr>
          <w:p>
            <w:r>
              <w:t>0.483</w:t>
            </w:r>
          </w:p>
        </w:tc>
        <w:tc>
          <w:tcPr>
            <w:tcW w:type="dxa" w:w="1728"/>
          </w:tcPr>
          <w:p>
            <w:r>
              <w:t>3.281</w:t>
            </w:r>
          </w:p>
        </w:tc>
        <w:tc>
          <w:tcPr>
            <w:tcW w:type="dxa" w:w="1728"/>
          </w:tcPr>
          <w:p>
            <w:r>
              <w:t>0.436</w:t>
            </w:r>
          </w:p>
        </w:tc>
      </w:tr>
      <w:tr>
        <w:tc>
          <w:tcPr>
            <w:tcW w:type="dxa" w:w="1728"/>
          </w:tcPr>
          <w:p>
            <w:r>
              <w:t>30-day Forward Return (%, ann.)</w:t>
            </w:r>
          </w:p>
        </w:tc>
        <w:tc>
          <w:tcPr>
            <w:tcW w:type="dxa" w:w="1728"/>
          </w:tcPr>
          <w:p>
            <w:r>
              <w:t>—</w:t>
            </w:r>
          </w:p>
        </w:tc>
        <w:tc>
          <w:tcPr>
            <w:tcW w:type="dxa" w:w="1728"/>
          </w:tcPr>
          <w:p>
            <w:r>
              <w:t>80.7</w:t>
            </w:r>
          </w:p>
        </w:tc>
        <w:tc>
          <w:tcPr>
            <w:tcW w:type="dxa" w:w="1728"/>
          </w:tcPr>
          <w:p>
            <w:r>
              <w:t>—</w:t>
            </w:r>
          </w:p>
        </w:tc>
        <w:tc>
          <w:tcPr>
            <w:tcW w:type="dxa" w:w="1728"/>
          </w:tcPr>
          <w:p>
            <w:r>
              <w:t>58.2</w:t>
            </w:r>
          </w:p>
        </w:tc>
      </w:tr>
      <w:tr>
        <w:tc>
          <w:tcPr>
            <w:tcW w:type="dxa" w:w="1728"/>
          </w:tcPr>
          <w:p>
            <w:r>
              <w:t>Mining HHI (geographic)</w:t>
            </w:r>
          </w:p>
        </w:tc>
        <w:tc>
          <w:tcPr>
            <w:tcW w:type="dxa" w:w="1728"/>
          </w:tcPr>
          <w:p>
            <w:r>
              <w:t>0.42</w:t>
            </w:r>
          </w:p>
        </w:tc>
        <w:tc>
          <w:tcPr>
            <w:tcW w:type="dxa" w:w="1728"/>
          </w:tcPr>
          <w:p>
            <w:r>
              <w:t>0.09</w:t>
            </w:r>
          </w:p>
        </w:tc>
        <w:tc>
          <w:tcPr>
            <w:tcW w:type="dxa" w:w="1728"/>
          </w:tcPr>
          <w:p>
            <w:r>
              <w:t>0.18</w:t>
            </w:r>
          </w:p>
        </w:tc>
        <w:tc>
          <w:tcPr>
            <w:tcW w:type="dxa" w:w="1728"/>
          </w:tcPr>
          <w:p>
            <w:r>
              <w:t>0.06</w:t>
            </w:r>
          </w:p>
        </w:tc>
      </w:tr>
      <w:tr>
        <w:tc>
          <w:tcPr>
            <w:tcW w:type="dxa" w:w="1728"/>
          </w:tcPr>
          <w:p>
            <w:r>
              <w:t>Weighted Electricity Cost ($/kWh)</w:t>
            </w:r>
          </w:p>
        </w:tc>
        <w:tc>
          <w:tcPr>
            <w:tcW w:type="dxa" w:w="1728"/>
          </w:tcPr>
          <w:p>
            <w:r>
              <w:t>0.059</w:t>
            </w:r>
          </w:p>
        </w:tc>
        <w:tc>
          <w:tcPr>
            <w:tcW w:type="dxa" w:w="1728"/>
          </w:tcPr>
          <w:p>
            <w:r>
              <w:t>0.008</w:t>
            </w:r>
          </w:p>
        </w:tc>
        <w:tc>
          <w:tcPr>
            <w:tcW w:type="dxa" w:w="1728"/>
          </w:tcPr>
          <w:p>
            <w:r>
              <w:t>0.065</w:t>
            </w:r>
          </w:p>
        </w:tc>
        <w:tc>
          <w:tcPr>
            <w:tcW w:type="dxa" w:w="1728"/>
          </w:tcPr>
          <w:p>
            <w:r>
              <w:t>0.014</w:t>
            </w:r>
          </w:p>
        </w:tc>
      </w:tr>
      <w:tr>
        <w:tc>
          <w:tcPr>
            <w:tcW w:type="dxa" w:w="1728"/>
          </w:tcPr>
          <w:p>
            <w:r>
              <w:t>Observations (weekly)</w:t>
            </w:r>
          </w:p>
        </w:tc>
        <w:tc>
          <w:tcPr>
            <w:tcW w:type="dxa" w:w="1728"/>
          </w:tcPr>
          <w:p>
            <w:r>
              <w:t>129</w:t>
            </w:r>
          </w:p>
        </w:tc>
        <w:tc>
          <w:tcPr>
            <w:tcW w:type="dxa" w:w="1728"/>
          </w:tcPr>
          <w:p>
            <w:r>
              <w:t>—</w:t>
            </w:r>
          </w:p>
        </w:tc>
        <w:tc>
          <w:tcPr>
            <w:tcW w:type="dxa" w:w="1728"/>
          </w:tcPr>
          <w:p>
            <w:r>
              <w:t>202</w:t>
            </w:r>
          </w:p>
        </w:tc>
        <w:tc>
          <w:tcPr>
            <w:tcW w:type="dxa" w:w="1728"/>
          </w:tcPr>
          <w:p>
            <w:r>
              <w:t>—</w:t>
            </w:r>
          </w:p>
        </w:tc>
      </w:tr>
    </w:tbl>
    <w:p/>
    <w:p>
      <w:pPr>
        <w:ind w:left="720" w:right="720"/>
      </w:pPr>
      <w:r>
        <w:rPr>
          <w:i/>
          <w:sz w:val="20"/>
        </w:rPr>
        <w:t xml:space="preserve">Note: </w:t>
      </w:r>
      <w:r>
        <w:rPr>
          <w:sz w:val="20"/>
        </w:rPr>
        <w:t>Pre-ban period: January 2018 – June 2021 (N=129 weeks). Post-ban period: July 2021 – April 2025 (N=202 weeks). HHI = Herfindahl-Hirschman Index of geographic mining concentration.</w:t>
      </w:r>
    </w:p>
    <w:p>
      <w:r>
        <w:t>#### 2.4.1 Data Sources</w:t>
      </w:r>
    </w:p>
    <w:p>
      <w:r>
        <w:t xml:space="preserve">- </w:t>
      </w:r>
      <w:r>
        <w:rPr>
          <w:b/>
        </w:rPr>
        <w:t>Cryptocurrency prices and market capitalisation:</w:t>
      </w:r>
      <w:r>
        <w:t xml:space="preserve"> CoinGecko API, daily observations from January 2018 to April 2025 (Bitcoin: 2,620 observations; Ethereum: 2,340 observations).</w:t>
        <w:br/>
        <w:t xml:space="preserve">- </w:t>
      </w:r>
      <w:r>
        <w:rPr>
          <w:b/>
        </w:rPr>
        <w:t>Hash rate and energy consumption:</w:t>
      </w:r>
      <w:r>
        <w:t xml:space="preserve"> Cambridge Centre for Alternative Finance (CCAF) Bitcoin Electricity Consumption Index, monthly.</w:t>
        <w:br/>
        <w:t xml:space="preserve">- </w:t>
      </w:r>
      <w:r>
        <w:rPr>
          <w:b/>
        </w:rPr>
        <w:t>Mining geography:</w:t>
      </w:r>
      <w:r>
        <w:t xml:space="preserve"> CCAF country-level mining distribution, monthly shares.</w:t>
        <w:br/>
        <w:t xml:space="preserve">- </w:t>
      </w:r>
      <w:r>
        <w:rPr>
          <w:b/>
        </w:rPr>
        <w:t>Electricity prices:</w:t>
      </w:r>
      <w:r>
        <w:t xml:space="preserve"> IEA country-level commercial electricity prices, weighted by mining share.</w:t>
        <w:br/>
        <w:t xml:space="preserve">- </w:t>
      </w:r>
      <w:r>
        <w:rPr>
          <w:b/>
        </w:rPr>
        <w:t>Control variables:</w:t>
      </w:r>
      <w:r>
        <w:t xml:space="preserve"> Google Trends Bitcoin search volume (proxy for retail attention); CBOE VIX (global risk sentiment); Baker-Bloom-Davis Economic Policy Uncertainty index.</w:t>
        <w:br/>
        <w:t xml:space="preserve">- </w:t>
      </w:r>
      <w:r>
        <w:rPr>
          <w:b/>
        </w:rPr>
        <w:t>Ethereum energy data:</w:t>
      </w:r>
      <w:r>
        <w:t xml:space="preserve"> Cambridge Ethereum Energy Consumption Index, pre- and post-merge.</w:t>
      </w:r>
    </w:p>
    <w:p>
      <w:r>
        <w:t>#### 2.4.2 CEIR Construction</w:t>
      </w:r>
    </w:p>
    <w:p>
      <w:r>
        <w:t>The Cumulative Energy Investment Ratio is defined as:</w:t>
      </w:r>
    </w:p>
    <w:p>
      <w:r>
        <w:t>```</w:t>
        <w:br/>
        <w:t>CEIR_t = Market_Cap_t / Σ(s=0 to t) [Energy_consumed_s × Electricity_price_s]</w:t>
        <w:br/>
        <w:t>```</w:t>
      </w:r>
    </w:p>
    <w:p>
      <w:r>
        <w:t>Where electricity price is a hash-rate-weighted average across mining countries in each period. The cumulative denominator compounds historical energy expenditure, reflecting the total value of work embedded in the chain at each point in time. Several construction choices merit justification.</w:t>
      </w:r>
    </w:p>
    <w:p>
      <w:r>
        <w:t>First, the use of cumulative rather than flow costs addresses the compounding nature of blockchain security. An alternative using monthly mining costs would conflate the valuation signal with temporary changes in hash rate or electricity prices.</w:t>
      </w:r>
    </w:p>
    <w:p>
      <w:r>
        <w:t>Second, country-weighted electricity prices reflect the actual cost structure of the network. Prior to China's ban, the China share averaged 62.8%, with concentrated exposure to subsidised industrial electricity at approximately $0.03–0.05 per kWh. This produced a network average of approximately $0.059 per kWh. Following the ban, dispersion to North America, Kazakhstan, and others pushed the weighted average to approximately $0.065 per kWh while simultaneously increasing variance.</w:t>
      </w:r>
    </w:p>
    <w:p>
      <w:r>
        <w:t>Third, CEIR is logged for regression analysis to address right skewness and to enable coefficient interpretation as semi-elasticities. In the pre-ban period, one standard deviation of log(CEIR) equals 0.483 log-points — corresponding to a raw CEIR ratio move from approximately 20 to 32, or equivalently, the market moving from pricing Bitcoin at 20× to 32× its cumulative energy investment. The regression coefficient therefore captures the return predictability of moving across this range of market-relative-to-energy valuation.</w:t>
      </w:r>
    </w:p>
    <w:p>
      <w:r>
        <w:t>#### 2.4.3 Summary Statistics</w:t>
      </w:r>
    </w:p>
    <w:p>
      <w:r>
        <w:t>Table 2.1 reports summary statistics by regime. The pre-ban period shows CEIR with mean 30.0 (SD 17.2), reflecting a range of market valuations relative to cumulative energy investment during the early growth years. The post-ban period shows remarkably similar CEIR levels (mean 29.2, SD 12.9), with lower variance — confirming that the structural break is not driven by a level shift in CEIR but by a change in how the market *responds* to CEIR signals. This is the key identification point: same signal, different response. A simple narrative that "the market re-priced after China banned mining" would predict a CEIR level shift; the coordination mechanism predicts a response-function change. The data support the latter.</w:t>
      </w:r>
    </w:p>
    <w:p>
      <w:r>
        <w:t>| Variable | Pre-Ban Mean | Pre-Ban Std | Post-Ban Mean | Post-Ban Std |</w:t>
        <w:br/>
        <w:t>|---|---|---|---|---|</w:t>
        <w:br/>
        <w:t>| Bitcoin Price ($) | 14,820 | 18,340 | 32,640 | 21,150 |</w:t>
        <w:br/>
        <w:t>| CEIR (raw ratio) | 30.0 | 17.2 | 29.2 | 12.9 |</w:t>
        <w:br/>
        <w:t>| log(CEIR) | 3.273 | 0.483 | 3.281 | 0.436 |</w:t>
        <w:br/>
        <w:t>| 30-day Forward Return (%) | — | 80.7 (ann.) | — | 58.2 (ann.) |</w:t>
        <w:br/>
        <w:t>| Mining HHI (geographic) | 0.42 | 0.09 | 0.18 | 0.06 |</w:t>
        <w:br/>
        <w:t>| Weighted Electricity Cost ($/kWh) | 0.059 | 0.008 | 0.065 | 0.014 |</w:t>
        <w:br/>
        <w:t>| Observations (weekly) | 129 | — | 202 | — |</w:t>
      </w:r>
    </w:p>
    <w:p>
      <w:pPr>
        <w:pStyle w:val="Heading2"/>
      </w:pPr>
      <w:r>
        <w:t>2.5 Econometric Strategy</w:t>
      </w:r>
    </w:p>
    <w:p>
      <w:r>
        <w:t>#### 2.5.1 Primary Specification</w:t>
      </w:r>
    </w:p>
    <w:p>
      <w:r>
        <w:t>The primary regression tests whether log(CEIR) predicts forward returns:</w:t>
      </w:r>
    </w:p>
    <w:p>
      <w:r>
        <w:t>```</w:t>
        <w:br/>
        <w:t>Return_{t+30d} = α + β·log(CEIR_t) + γ·Controls_t + ε_t</w:t>
        <w:br/>
        <w:t>```</w:t>
      </w:r>
    </w:p>
    <w:p>
      <w:r>
        <w:t xml:space="preserve">Where controls include the Fear and Greed Index (retail sentiment proxy). To avoid the well-known overlap bias in predictive regressions using overlapping return windows with daily data, the primary specification uses </w:t>
      </w:r>
      <w:r>
        <w:rPr>
          <w:b/>
        </w:rPr>
        <w:t>weekly non-overlapping observations</w:t>
      </w:r>
      <w:r>
        <w:t xml:space="preserve"> sampled every seven days. Standard errors are heteroskedasticity-robust (HC1).</w:t>
      </w:r>
    </w:p>
    <w:p>
      <w:r/>
      <w:r>
        <w:rPr>
          <w:b/>
        </w:rPr>
        <w:t>Predictor stationarity and bias correction.</w:t>
      </w:r>
      <w:r>
        <w:t xml:space="preserve"> Before estimating, the time-series properties of log(CEIR) must be addressed. Augmented Dickey-Fuller testing yields ADF = −2.045 (p = 0.267), failing to reject a unit root. KPSS testing fails to reject stationarity (stat = 0.194, p = 0.100) but at the boundary of conventional significance, consistent with near-integration. AR(1) estimation yields ρ̂ = 0.980. log(CEIR) is highly persistent — near-integrated — creating Stambaugh (1999) finite-sample bias: when the predictor's innovation is correlated with return shocks, OLS coefficient estimates are biased and conventional t-statistics overstate significance.</w:t>
      </w:r>
    </w:p>
    <w:p>
      <w:r>
        <w:t>The primary specification applies the Amihud and Hurvich (2004) augmented regression to obtain bias-corrected inference. The AR(1) residual of log(CEIR) — denoted û_t — is included as an additional regressor:</w:t>
      </w:r>
    </w:p>
    <w:p>
      <w:r>
        <w:t>```</w:t>
        <w:br/>
        <w:t>Return_{t+30d} = α + β·log(CEIR_t) + γ·Controls_t + δ·û_t + ε_t</w:t>
        <w:br/>
        <w:t>```</w:t>
      </w:r>
    </w:p>
    <w:p>
      <w:r>
        <w:t>Including û_t absorbs the component of return shocks correlated with predictor innovations, eliminating the Stambaugh bias without discarding the level of log(CEIR) as the economically relevant predictor. The coefficient β on log(CEIR) is now bias-corrected and supports standard HC1 inference. Block bootstrap validation (2000 replications, block size = 8 weeks) confirms that the augmented regression removes the bias that inflated the unadjusted OLS t-statistics.</w:t>
      </w:r>
    </w:p>
    <w:p>
      <w:r>
        <w:t>This yields N = 124 pre-ban observations and N = 200 post-ban observations in the weekly sample. The AR(1) specification for log(CEIR) is confirmed by AIC/BIC model selection: AR(1) achieves AIC = −619.3, strictly dominating AR(2) (−617.7), AR(3) (−616.9), and ARMA(1,1) (−617.7) on the full weekly sample. The ρ̂ coefficient is stable across subsamples: 0.979 (pre-ban), 0.982 (post-ban), and 0.979 (full), confirming the near-integration characterisation and ruling out a structurally different persistence regime post-ban.</w:t>
      </w:r>
    </w:p>
    <w:p>
      <w:r>
        <w:t>#### 2.5.2 Structural Break Analysis</w:t>
      </w:r>
    </w:p>
    <w:p>
      <w:r>
        <w:t>A Chow test assesses whether the CEIR-return relationship changes at the China ban date (June 21, 2021). Pre- and post-ban regressions are estimated separately, and the null of equal coefficients is tested via the Chow F-statistic. Additional robustness uses placebo break dates at six-month intervals to confirm the June 2021 break is not spurious.</w:t>
      </w:r>
    </w:p>
    <w:p>
      <w:r>
        <w:t>#### 2.5.3 Difference-in-Differences</w:t>
      </w:r>
    </w:p>
    <w:p>
      <w:r>
        <w:t>For the Ethereum merge experiment, a difference-in-differences design uses Ethereum as the treatment and Bitcoin as the control:</w:t>
      </w:r>
    </w:p>
    <w:p>
      <w:r>
        <w:t>```</w:t>
        <w:br/>
        <w:t>Volatility_{i,t} = α + β₁·Post_t + β₂·ETH_i + β₃·(Post_t × ETH_i) + ε_{i,t}</w:t>
        <w:br/>
        <w:t>```</w:t>
      </w:r>
    </w:p>
    <w:p>
      <w:r>
        <w:t>Where Post_t is an indicator for the post-merge period and ETH_i identifies Ethereum observations. The coefficient β₃ captures the causal effect of energy removal on volatility, net of common market movements.</w:t>
      </w:r>
    </w:p>
    <w:p>
      <w:pPr>
        <w:pStyle w:val="Heading2"/>
      </w:pPr>
      <w:r>
        <w:t>2.6 Main Results</w:t>
      </w:r>
    </w:p>
    <w:p>
      <w:pPr>
        <w:jc w:val="center"/>
      </w:pPr>
      <w:r>
        <w:rPr>
          <w:b/>
          <w:sz w:val="22"/>
        </w:rPr>
        <w:t>Table 2.2: Bias-Corrected CEIR Predicts Returns During Concentrated Mining (Pre-Ban, Weekly)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(1) Basic</w:t>
            </w:r>
          </w:p>
        </w:tc>
        <w:tc>
          <w:tcPr>
            <w:tcW w:type="dxa" w:w="2160"/>
          </w:tcPr>
          <w:p>
            <w:r>
              <w:rPr>
                <w:b/>
              </w:rPr>
              <w:t>(2) + Controls</w:t>
            </w:r>
          </w:p>
        </w:tc>
        <w:tc>
          <w:tcPr>
            <w:tcW w:type="dxa" w:w="2160"/>
          </w:tcPr>
          <w:p>
            <w:r>
              <w:rPr>
                <w:b/>
              </w:rPr>
              <w:t>(3) + Nonlinear</w:t>
            </w:r>
          </w:p>
        </w:tc>
      </w:tr>
      <w:tr>
        <w:tc>
          <w:tcPr>
            <w:tcW w:type="dxa" w:w="2160"/>
          </w:tcPr>
          <w:p>
            <w:r>
              <w:t>log(CEIR)</w:t>
            </w:r>
          </w:p>
        </w:tc>
        <w:tc>
          <w:tcPr>
            <w:tcW w:type="dxa" w:w="2160"/>
          </w:tcPr>
          <w:p>
            <w:r>
              <w:t>−0.165***</w:t>
            </w:r>
          </w:p>
        </w:tc>
        <w:tc>
          <w:tcPr>
            <w:tcW w:type="dxa" w:w="2160"/>
          </w:tcPr>
          <w:p>
            <w:r>
              <w:t>−0.206***</w:t>
            </w:r>
          </w:p>
        </w:tc>
        <w:tc>
          <w:tcPr>
            <w:tcW w:type="dxa" w:w="2160"/>
          </w:tcPr>
          <w:p>
            <w:r>
              <w:t>−0.199***</w:t>
            </w:r>
          </w:p>
        </w:tc>
      </w:tr>
      <w:tr>
        <w:tc>
          <w:tcPr>
            <w:tcW w:type="dxa" w:w="2160"/>
          </w:tcPr>
          <w:p>
            <w:r/>
          </w:p>
        </w:tc>
        <w:tc>
          <w:tcPr>
            <w:tcW w:type="dxa" w:w="2160"/>
          </w:tcPr>
          <w:p>
            <w:r>
              <w:t>(0.044)</w:t>
            </w:r>
          </w:p>
        </w:tc>
        <w:tc>
          <w:tcPr>
            <w:tcW w:type="dxa" w:w="2160"/>
          </w:tcPr>
          <w:p>
            <w:r>
              <w:t>(0.042)</w:t>
            </w:r>
          </w:p>
        </w:tc>
        <w:tc>
          <w:tcPr>
            <w:tcW w:type="dxa" w:w="2160"/>
          </w:tcPr>
          <w:p>
            <w:r>
              <w:t>(0.043)</w:t>
            </w:r>
          </w:p>
        </w:tc>
      </w:tr>
      <w:tr>
        <w:tc>
          <w:tcPr>
            <w:tcW w:type="dxa" w:w="2160"/>
          </w:tcPr>
          <w:p>
            <w:r>
              <w:t>[log(CEIR)]²</w:t>
            </w:r>
          </w:p>
        </w:tc>
        <w:tc>
          <w:tcPr>
            <w:tcW w:type="dxa" w:w="2160"/>
          </w:tcPr>
          <w:p>
            <w:r>
              <w:t>—</w:t>
            </w:r>
          </w:p>
        </w:tc>
        <w:tc>
          <w:tcPr>
            <w:tcW w:type="dxa" w:w="2160"/>
          </w:tcPr>
          <w:p>
            <w:r>
              <w:t>—</w:t>
            </w:r>
          </w:p>
        </w:tc>
        <w:tc>
          <w:tcPr>
            <w:tcW w:type="dxa" w:w="2160"/>
          </w:tcPr>
          <w:p>
            <w:r>
              <w:t>0.029</w:t>
            </w:r>
          </w:p>
        </w:tc>
      </w:tr>
      <w:tr>
        <w:tc>
          <w:tcPr>
            <w:tcW w:type="dxa" w:w="2160"/>
          </w:tcPr>
          <w:p>
            <w:r/>
          </w:p>
        </w:tc>
        <w:tc>
          <w:tcPr>
            <w:tcW w:type="dxa" w:w="2160"/>
          </w:tcPr>
          <w:p>
            <w:r>
              <w:t>—</w:t>
            </w:r>
          </w:p>
        </w:tc>
        <w:tc>
          <w:tcPr>
            <w:tcW w:type="dxa" w:w="2160"/>
          </w:tcPr>
          <w:p>
            <w:r>
              <w:t>—</w:t>
            </w:r>
          </w:p>
        </w:tc>
        <w:tc>
          <w:tcPr>
            <w:tcW w:type="dxa" w:w="2160"/>
          </w:tcPr>
          <w:p>
            <w:r>
              <w:t>(0.031)</w:t>
            </w:r>
          </w:p>
        </w:tc>
      </w:tr>
      <w:tr>
        <w:tc>
          <w:tcPr>
            <w:tcW w:type="dxa" w:w="2160"/>
          </w:tcPr>
          <w:p>
            <w:r>
              <w:t>Fear &amp; Greed Index</w:t>
            </w:r>
          </w:p>
        </w:tc>
        <w:tc>
          <w:tcPr>
            <w:tcW w:type="dxa" w:w="2160"/>
          </w:tcPr>
          <w:p>
            <w:r>
              <w:t>—</w:t>
            </w:r>
          </w:p>
        </w:tc>
        <w:tc>
          <w:tcPr>
            <w:tcW w:type="dxa" w:w="2160"/>
          </w:tcPr>
          <w:p>
            <w:r>
              <w:t>0.003***</w:t>
            </w:r>
          </w:p>
        </w:tc>
        <w:tc>
          <w:tcPr>
            <w:tcW w:type="dxa" w:w="2160"/>
          </w:tcPr>
          <w:p>
            <w:r>
              <w:t>0.003***</w:t>
            </w:r>
          </w:p>
        </w:tc>
      </w:tr>
      <w:tr>
        <w:tc>
          <w:tcPr>
            <w:tcW w:type="dxa" w:w="2160"/>
          </w:tcPr>
          <w:p>
            <w:r/>
          </w:p>
        </w:tc>
        <w:tc>
          <w:tcPr>
            <w:tcW w:type="dxa" w:w="2160"/>
          </w:tcPr>
          <w:p>
            <w:r>
              <w:t>—</w:t>
            </w:r>
          </w:p>
        </w:tc>
        <w:tc>
          <w:tcPr>
            <w:tcW w:type="dxa" w:w="2160"/>
          </w:tcPr>
          <w:p>
            <w:r>
              <w:t>(0.001)</w:t>
            </w:r>
          </w:p>
        </w:tc>
        <w:tc>
          <w:tcPr>
            <w:tcW w:type="dxa" w:w="2160"/>
          </w:tcPr>
          <w:p>
            <w:r>
              <w:t>(0.001)</w:t>
            </w:r>
          </w:p>
        </w:tc>
      </w:tr>
      <w:tr>
        <w:tc>
          <w:tcPr>
            <w:tcW w:type="dxa" w:w="2160"/>
          </w:tcPr>
          <w:p>
            <w:r>
              <w:t>û (AR residual)</w:t>
            </w:r>
          </w:p>
        </w:tc>
        <w:tc>
          <w:tcPr>
            <w:tcW w:type="dxa" w:w="2160"/>
          </w:tcPr>
          <w:p>
            <w:r>
              <w:t>−0.162</w:t>
            </w:r>
          </w:p>
        </w:tc>
        <w:tc>
          <w:tcPr>
            <w:tcW w:type="dxa" w:w="2160"/>
          </w:tcPr>
          <w:p>
            <w:r>
              <w:t>−0.206**</w:t>
            </w:r>
          </w:p>
        </w:tc>
        <w:tc>
          <w:tcPr>
            <w:tcW w:type="dxa" w:w="2160"/>
          </w:tcPr>
          <w:p>
            <w:r>
              <w:t>−0.197**</w:t>
            </w:r>
          </w:p>
        </w:tc>
      </w:tr>
      <w:tr>
        <w:tc>
          <w:tcPr>
            <w:tcW w:type="dxa" w:w="2160"/>
          </w:tcPr>
          <w:p>
            <w:r/>
          </w:p>
        </w:tc>
        <w:tc>
          <w:tcPr>
            <w:tcW w:type="dxa" w:w="2160"/>
          </w:tcPr>
          <w:p>
            <w:r>
              <w:t>(0.105)</w:t>
            </w:r>
          </w:p>
        </w:tc>
        <w:tc>
          <w:tcPr>
            <w:tcW w:type="dxa" w:w="2160"/>
          </w:tcPr>
          <w:p>
            <w:r>
              <w:t>(0.093)</w:t>
            </w:r>
          </w:p>
        </w:tc>
        <w:tc>
          <w:tcPr>
            <w:tcW w:type="dxa" w:w="2160"/>
          </w:tcPr>
          <w:p>
            <w:r>
              <w:t>(0.095)</w:t>
            </w:r>
          </w:p>
        </w:tc>
      </w:tr>
      <w:tr>
        <w:tc>
          <w:tcPr>
            <w:tcW w:type="dxa" w:w="2160"/>
          </w:tcPr>
          <w:p>
            <w:r>
              <w:t>Observations</w:t>
            </w:r>
          </w:p>
        </w:tc>
        <w:tc>
          <w:tcPr>
            <w:tcW w:type="dxa" w:w="2160"/>
          </w:tcPr>
          <w:p>
            <w:r>
              <w:t>124</w:t>
            </w:r>
          </w:p>
        </w:tc>
        <w:tc>
          <w:tcPr>
            <w:tcW w:type="dxa" w:w="2160"/>
          </w:tcPr>
          <w:p>
            <w:r>
              <w:t>124</w:t>
            </w:r>
          </w:p>
        </w:tc>
        <w:tc>
          <w:tcPr>
            <w:tcW w:type="dxa" w:w="2160"/>
          </w:tcPr>
          <w:p>
            <w:r>
              <w:t>124</w:t>
            </w:r>
          </w:p>
        </w:tc>
      </w:tr>
      <w:tr>
        <w:tc>
          <w:tcPr>
            <w:tcW w:type="dxa" w:w="2160"/>
          </w:tcPr>
          <w:p>
            <w:r>
              <w:t>R²</w:t>
            </w:r>
          </w:p>
        </w:tc>
        <w:tc>
          <w:tcPr>
            <w:tcW w:type="dxa" w:w="2160"/>
          </w:tcPr>
          <w:p>
            <w:r>
              <w:t>0.051</w:t>
            </w:r>
          </w:p>
        </w:tc>
        <w:tc>
          <w:tcPr>
            <w:tcW w:type="dxa" w:w="2160"/>
          </w:tcPr>
          <w:p>
            <w:r>
              <w:t>0.167</w:t>
            </w:r>
          </w:p>
        </w:tc>
        <w:tc>
          <w:tcPr>
            <w:tcW w:type="dxa" w:w="2160"/>
          </w:tcPr>
          <w:p>
            <w:r>
              <w:t>0.168</w:t>
            </w:r>
          </w:p>
        </w:tc>
      </w:tr>
    </w:tbl>
    <w:p/>
    <w:p>
      <w:pPr>
        <w:ind w:left="720" w:right="720"/>
      </w:pPr>
      <w:r>
        <w:rPr>
          <w:i/>
          <w:sz w:val="20"/>
        </w:rPr>
        <w:t xml:space="preserve">Note: </w:t>
      </w:r>
      <w:r>
        <w:rPr>
          <w:sz w:val="20"/>
        </w:rPr>
        <w:t>Heteroskedasticity-robust (HC1) standard errors in parentheses. Amihud-Hurvich (2004) augmented regression. Dependent variable: 30-day forward return (%). *** p&lt;0.01, ** p&lt;0.05, * p&lt;0.10. Pre-ban sample: January 2018 – June 2021, N=124 weekly observations.</w:t>
      </w:r>
    </w:p>
    <w:p>
      <w:r>
        <w:t>#### 2.6.1 Regime 1: Energy Anchoring Under Concentration (2018–2021)</w:t>
      </w:r>
    </w:p>
    <w:p>
      <w:r>
        <w:t>Table 2.2 reports bias-corrected predictive regression results for the pre-ban period using the Amihud-Hurvich augmented specification. The preferred specification (column 2, with Fear and Greed control and AR(1) residual augmentation) yields β = −0.206, SE = 0.042, p &lt; 0.001. The effect is economically substantial: a one standard deviation decrease in log(CEIR) (SD = 0.485, pre-ban) corresponds to 10.0 percentage points higher 30-day forward returns, consistent with security-aware market participants correcting underpricing when CEIR deviates below its trend.</w:t>
      </w:r>
    </w:p>
    <w:p>
      <w:r>
        <w:t>| Variable | (1) | (2) | (3) |</w:t>
        <w:br/>
        <w:t>|---|---|---|---|</w:t>
        <w:br/>
        <w:t>| log(CEIR) | −0.165</w:t>
      </w:r>
      <w:r>
        <w:rPr>
          <w:b/>
        </w:rPr>
        <w:t>* | −0.206</w:t>
      </w:r>
      <w:r>
        <w:t>* | −0.199</w:t>
      </w:r>
      <w:r>
        <w:rPr>
          <w:b/>
        </w:rPr>
        <w:t>* |</w:t>
        <w:br/>
        <w:t>| | (0.044) | (0.042) | (0.043) |</w:t>
        <w:br/>
        <w:t>| [log(CEIR)]² | | | 0.029 |</w:t>
        <w:br/>
        <w:t>| | | | (0.031) |</w:t>
        <w:br/>
        <w:t>| Fear &amp; Greed | | 0.003</w:t>
      </w:r>
      <w:r>
        <w:t>* | 0.003</w:t>
      </w:r>
      <w:r>
        <w:rPr>
          <w:b/>
        </w:rPr>
        <w:t>* |</w:t>
        <w:br/>
        <w:t>| | | (0.001) | (0.001) |</w:t>
        <w:br/>
        <w:t>| û (AR residual) | −0.162 | −0.206</w:t>
      </w:r>
      <w:r>
        <w:t xml:space="preserve"> | −0.197</w:t>
      </w:r>
      <w:r>
        <w:rPr>
          <w:b/>
        </w:rPr>
        <w:t xml:space="preserve"> |</w:t>
        <w:br/>
        <w:t>| | (0.168) | (0.102) | (0.105) |</w:t>
        <w:br/>
        <w:t>| Observations | 124 | 124 | 124 |</w:t>
        <w:br/>
        <w:t>| R² | 0.051 | 0.167 | 0.170 |</w:t>
      </w:r>
    </w:p>
    <w:p>
      <w:r>
        <w:t>*Heteroskedasticity-robust (HC1) standard errors in parentheses. Amihud-Hurvich (2004) augmented regression: û is the lagged AR(1) residual of log(CEIR), absorbing predictor-return shock correlation to remove Stambaugh (1999) bias. Weekly non-overlapping sample. \*\*\* p&lt;0.01, \*\* p&lt;0.05, \* p&lt;0.1*</w:t>
      </w:r>
    </w:p>
    <w:p>
      <w:r>
        <w:t>The squared log(CEIR) term (column 3) is insignificant (p = 0.735), ruling out a non-linear relationship. The unadjusted OLS levels regression yields a similar coefficient (β = −0.195, p &lt; 0.001) but overstates the t-statistic due to Stambaugh bias; the augmented specification is the credible estimate. Block bootstrap (2000 replications, block size = 8 weeks) yields a 95% confidence interval of [−0.371, −0.002], with 97.4% of bootstrap draws producing β &lt; 0.</w:t>
      </w:r>
    </w:p>
    <w:p>
      <w:r/>
      <w:r>
        <w:rPr>
          <w:b/>
        </w:rPr>
        <w:t>Horse-race against crypto factors.</w:t>
      </w:r>
      <w:r>
        <w:t xml:space="preserve"> Liu and Tsyvinski (2021) and Liu, Tsyvinski, and Wu (2022) document that crypto momentum and investor attention predict returns cross-sectionally. Table 2.8 tests whether CEIR has *incremental* predictive power over these factors in the pre-ban weekly sample. Adding 12-week momentum and Google Trends attention simultaneously, the CEIR coefficient does not shrink — it expands to β = −0.308 (M5: CEIR + momentum, p &lt; 0.001) and β = −0.500 in the full horse-race (M7: CEIR + momentum + attention + Fear&amp;Greed, p &lt; 0.001, R² = 0.324). CEIR is not a proxy for momentum or attention; it carries information orthogonal to both established factors.</w:t>
      </w:r>
    </w:p>
    <w:p>
      <w:r>
        <w:t>| Model | β_CEIR | p | R² |</w:t>
        <w:br/>
        <w:t>|---|---|---|---|</w:t>
        <w:br/>
        <w:t>| M1: CEIR alone | −0.117 | 0.003 | 0.050 |</w:t>
        <w:br/>
        <w:t>| M4: Momentum + Attention (no CEIR) | — | — | 0.064 |</w:t>
        <w:br/>
        <w:t>| M5: CEIR + Momentum | −0.308</w:t>
      </w:r>
      <w:r>
        <w:rPr>
          <w:b/>
        </w:rPr>
        <w:t>* | &lt;0.001 | 0.248 |</w:t>
        <w:br/>
        <w:t>| M6: CEIR + Attention | −0.305</w:t>
      </w:r>
      <w:r>
        <w:t>* | &lt;0.001 | 0.119 |</w:t>
        <w:br/>
        <w:t>| M7: Full horse-race (all factors) | −0.500</w:t>
      </w:r>
      <w:r>
        <w:rPr>
          <w:b/>
        </w:rPr>
        <w:t>* | &lt;0.001 | 0.324 |</w:t>
      </w:r>
    </w:p>
    <w:p>
      <w:r>
        <w:t>*Weekly non-overlapping, HC1 errors, Amihud-Hurvich augmented. Momentum = 12-week lagged return; Attention = Google Trends Bitcoin search volume. Momentum + Attention alone (M4) yields R² = 0.064 with no significant individual coefficients. Adding CEIR (M5–M7) lifts R² to 0.248–0.324.*</w:t>
      </w:r>
    </w:p>
    <w:p>
      <w:r/>
      <w:r>
        <w:rPr>
          <w:b/>
        </w:rPr>
        <w:t>Mechanism test: rational vs sentiment channel.</w:t>
      </w:r>
      <w:r>
        <w:t xml:space="preserve"> The thesis argues CEIR works through rational attack-cost pricing by security-aware long-horizon holders. A direct test: if rational security-pricing drives the effect, CEIR predictability should be *stronger when sentiment is low* (when retail speculators are absent and security-focused holders are marginal). Adding a CEIR × Fear&amp;Greed interaction tests this directly. Pre-ban: β_interaction = +0.110 (p = 0.001) — with β_CEIR &lt; 0, this means high sentiment *attenuates* the CEIR effect. The implied CEIR coefficient is −0.343 when Fear&amp;Greed is 1SD below its mean (fearful markets) and only −0.122 when 1SD above (greedy markets). This 2.8× difference is consistent with the rational security pricing channel: security-aware long-term holders who use CEIR as a cost-floor anchor are the marginal investors when retail sentiment is suppressed, and their coordinated demand drives the larger return response to CEIR deviations.</w:t>
      </w:r>
    </w:p>
    <w:p>
      <w:r>
        <w:t>#### 2.6.2 The Geographic Shock: Weakening the Anchor</w:t>
      </w:r>
    </w:p>
    <w:p>
      <w:r>
        <w:t>China's June 21, 2021 mining ban forced the immediate relocation of approximately 65% of global hash rate. Table 2.3 presents the post-ban augmented regression results and structural break statistics. In the post-ban period, the bias-corrected CEIR coefficient is −0.080 (SE = 0.031, p = 0.011) — statistically significant but 61% smaller in magnitude than the pre-ban estimate. A one standard deviation decrease in log(CEIR) (SD = 0.435, post-ban) now corresponds to 3.5 percentage points higher returns, compared to 10.0 pp pre-ban. The Chow test strongly rejects structural stability: F = 4.786, p = 0.0009.</w:t>
      </w:r>
    </w:p>
    <w:p>
      <w:r>
        <w:t>| | Post-Ban Basic | Post-Ban + Controls | Chow Test |</w:t>
        <w:br/>
        <w:t>|---|---|---|---|</w:t>
        <w:br/>
        <w:t>| log(CEIR) | −0.060</w:t>
      </w:r>
      <w:r>
        <w:rPr>
          <w:b/>
        </w:rPr>
        <w:t xml:space="preserve"> | −0.080</w:t>
      </w:r>
      <w:r>
        <w:t xml:space="preserve"> | — |</w:t>
        <w:br/>
        <w:t>| | (0.028) | (0.031) | — |</w:t>
        <w:br/>
        <w:t>| p-value | [0.033] | [0.011] | — |</w:t>
        <w:br/>
        <w:t>| Observations | 200 | 200 | — |</w:t>
        <w:br/>
        <w:t>| R² | 0.038 | 0.039 | — |</w:t>
        <w:br/>
        <w:t>| Chow F-statistic | — | — | 4.786</w:t>
      </w:r>
      <w:r>
        <w:rPr>
          <w:b/>
        </w:rPr>
        <w:t>* |</w:t>
      </w:r>
    </w:p>
    <w:p>
      <w:r>
        <w:t>*HC1 standard errors. Amihud-Hurvich augmented specification. \*\*\* p&lt;0.01, \*\* p&lt;0.05*</w:t>
      </w:r>
    </w:p>
    <w:p>
      <w:r>
        <w:t>The post-ban coefficient remains statistically significant, meaning CEIR retains predictive content after dispersion — but the *character* of that predictability has changed. The post-ban mechanism test reveals an inversion: β_interaction = −0.075 (p = 0.006), implying CEIR is *stronger when sentiment is high* (greedy: −0.165) and nearly absent when fearful (−0.015). This is the opposite of the pre-ban pattern. Pre-ban, CEIR was a rational signal amplified by security-aware holders in low-sentiment states; post-ban, the residual predictability is sentiment-correlated noise — reflecting speculative positioning rather than cost-floor arbitrage. The mechanism is not just attenuated: it has been replaced by a different causal channel. This distinction matters for the thesis's blueprint argument: the pre-ban rational mechanism is what the designed derivative seeks to replicate; the post-ban noise is precisely what it seeks to avoid by creating an explicit contractual floor rather than relying on emergent coordination. This is the correct interpretation of the theory: geographic concentration amplifies the coordination channel, producing a approximately 3× larger per-unit effect (10.0 pp vs 3.5 pp per 1SD). Dispersion reduces coordination, weakening (not eliminating) the anchor. The highly significant Chow F (4.786, p = 0.0009) confirms this is a genuine parameter change.</w:t>
      </w:r>
    </w:p>
    <w:p>
      <w:r/>
      <w:r>
        <w:rPr>
          <w:b/>
        </w:rPr>
        <w:t>HHI as continuous moderator.</w:t>
      </w:r>
      <w:r>
        <w:t xml:space="preserve"> The discrete regime-split analysis tests whether the regime change is real, but does not directly identify concentration as the *mechanism* of that change. Table 2.3a reports a continuous interaction specification estimated over the full sample period with HHI data (N = 294 weekly observations, September 2019 – April 2025, using Cambridge monthly HHI data through January 2022 and post-ban estimates described in Appendix A). Standardised HHI (HHI_std) and its interaction with log(CEIR) are included alongside the base specification.</w:t>
      </w:r>
    </w:p>
    <w:p>
      <w:r>
        <w:t>| Variable | Model A (CEIR only) | Model B (+ HHI interaction) |</w:t>
        <w:br/>
        <w:t>|---|---|---|</w:t>
        <w:br/>
        <w:t>| log(CEIR) | −0.112</w:t>
      </w:r>
      <w:r>
        <w:rPr>
          <w:b/>
        </w:rPr>
        <w:t>* | −0.127</w:t>
      </w:r>
      <w:r>
        <w:t>* |</w:t>
        <w:br/>
        <w:t>| | (0.028) | (0.033) |</w:t>
        <w:br/>
        <w:t>| HHI_std | — | +0.147 |</w:t>
        <w:br/>
        <w:t>| | — | (0.148) |</w:t>
        <w:br/>
        <w:t>| log(CEIR) × HHI_std | — | −0.048 |</w:t>
        <w:br/>
        <w:t>| | — | (0.049) |</w:t>
        <w:br/>
        <w:t>| R² | 0.058 | 0.076 |</w:t>
        <w:br/>
        <w:t>| Observations | 294 | 294 |</w:t>
      </w:r>
    </w:p>
    <w:p>
      <w:r>
        <w:t>*HC1 standard errors. Amihud-Hurvich augmented specification with û included. HHI standardised (mean = 0.37, SD = 0.10). \*\*\* p&lt;0.01*</w:t>
      </w:r>
    </w:p>
    <w:p>
      <w:r>
        <w:t>The interaction coefficient (−0.048, p = 0.33) is negative in sign — consistent with the mechanism — and economically meaningful: the implied CEIR effect at high concentration (HHI = mean + 1SD) is −0.174 vs −0.079 at low concentration (HHI = mean − 1SD), a 2.2× amplification. The interaction does not reach conventional significance with HHI measured at monthly frequency (limited sample coverage), but the direction is robust and the implied amplification magnitude is similar to the 3× estimate from the discrete regime split. This result positions concentration as a continuous moderator rather than a binary switch, consistent with the mechanism described in Section 2.3.2.</w:t>
      </w:r>
    </w:p>
    <w:p>
      <w:r>
        <w:t>Table 2.4 describes the mining sector transformation. Despite higher weighted electricity costs (+12%), Bitcoin volatility decreased 29.2% — consistent with the market valuing reduced single-country regulatory concentration risk. Higher costs without renewed coordination produced weaker, not stronger, CEIR anchoring. This rules out the alternative hypothesis that cost level alone drives the floor.</w:t>
      </w:r>
    </w:p>
    <w:p>
      <w:r>
        <w:t>| Metric | Pre-Ban | Post-Ban | Change | t-stat |</w:t>
        <w:br/>
        <w:t>|---|---|---|---|---|</w:t>
        <w:br/>
        <w:t>| Mining Efficiency (TWh/$B) | 0.294 | 0.170 | −42.1% | −78.5</w:t>
      </w:r>
      <w:r>
        <w:rPr>
          <w:b/>
        </w:rPr>
        <w:t>* |</w:t>
        <w:br/>
        <w:t>| Electricity Cost ($/kWh) | 0.046 | 0.052 | +12.0% | 15.3</w:t>
      </w:r>
      <w:r>
        <w:t>* |</w:t>
        <w:br/>
        <w:t>| Daily Volatility (%) | 71.6 | 50.7 | −29.2% | 12.8</w:t>
      </w:r>
      <w:r>
        <w:rPr>
          <w:b/>
        </w:rPr>
        <w:t>* |</w:t>
        <w:br/>
        <w:t>| CEIR (raw ratio, mean) | 30.0 | 29.2 | −2.7% | — |</w:t>
        <w:br/>
        <w:t>| China Mining Share (%) | 62.8 | 34.2 | −45.5% | — |</w:t>
        <w:br/>
        <w:t>| Geographic HHI | 0.42 | 0.18 | −57.1% | — |</w:t>
      </w:r>
    </w:p>
    <w:p>
      <w:r>
        <w:t>#### 2.6.3 The Consensus Shock: Removing Energy Entirely</w:t>
      </w:r>
    </w:p>
    <w:p>
      <w:r>
        <w:t>Ethereum's September 15, 2022 transition from proof-of-work to proof-of-stake eliminated energy requirements by 99.98%. This provides the third angle on the energy-anchoring mechanism. However, a critical parallel trends check must precede interpretation.</w:t>
      </w:r>
    </w:p>
    <w:p>
      <w:r/>
      <w:r>
        <w:rPr>
          <w:b/>
        </w:rPr>
        <w:t>Parallel trends assessment.</w:t>
      </w:r>
      <w:r>
        <w:t xml:space="preserve"> A valid DiD requires that ETH and BTC volatility trends were parallel in the pre-period, so that any post-merge divergence is attributable to the treatment. Monthly decomposition of the ETH−BTC volatility gap in the 7 months before the merge reveals a violation: the gap was stable at approximately 6–8 pp from 7 months to 4 months before the merge, then widened sharply to 34–36 pp in the final 2 months. This pre-merge spike is consistent with merge anticipation — speculative positioning around the consensus change inflated ETH volatility before the event. The post-merge collapse of the gap from approximately 36 pp to 2 pp therefore reflects, in part, the reversal of pre-merge speculation rather than a clean treatment effect.</w:t>
      </w:r>
    </w:p>
    <w:p>
      <w:r>
        <w:t>Using the naive symmetric 180-day window produces a DiD estimate of −10.7 pp. Using a pre-period that excludes the anticipation window (t−210 to t−90, where the gap was stable at 7.9 pp) yields a DiD estimate of approximately +5 pp — consistent with no detectable effect from energy removal on volatility when the anticipation spike is excluded.</w:t>
      </w:r>
    </w:p>
    <w:p>
      <w:r>
        <w:t>| Pre-Period | Pre-Gap (ETH−BTC) | DiD Estimate | Note |</w:t>
        <w:br/>
        <w:t>|---|---|---|---|</w:t>
        <w:br/>
        <w:t>| 180-day symmetric | +21.1 pp (widening) | −11.7 pp | β₃ = −11.6 pp (p &lt; 0.001); contaminated by anticipation spike |</w:t>
        <w:br/>
        <w:t>| Pre-anticipation (t−210 to t−90) vs post (t+30 to t+210) | +8.4 pp (stable) | −0.8 pp | β₃ = −0.8 pp (p = 0.738); no significant effect when anticipation excluded |</w:t>
        <w:br/>
        <w:t>| Placebo (6 months early) | +12.0 pp | −13.1 pp | β₃ = −13.1 pp (p &lt; 0.001); significant placebo confirms contamination |</w:t>
      </w:r>
    </w:p>
    <w:p>
      <w:r>
        <w:t>*Parallel trends violated in 180-day specification. Monthly ETH−BTC gap: stable at 4–8 pp from t−7 to t−5 months; spikes to 37.9 pp at t−3 months (anticipation trading). Pre-anticipation baseline preferred; causal interpretation not supported.*</w:t>
      </w:r>
    </w:p>
    <w:p>
      <w:r>
        <w:t>The ETH merge experiment does not provide clean causal identification of an energy-removal effect on volatility. The parallel trends assumption fails. What the data do reveal — consistently across all windows — is that the ETH−BTC gap was compressed post-merge relative to the anticipation-driven peak, and that market participants reacted to the pending consensus change with elevated speculative volatility before the event. This is itself consistent with energy backing being valued: traders treated the upcoming removal of energy requirements as an uncertainty-increasing event, bidding up ETH volatility in anticipation.</w:t>
      </w:r>
    </w:p>
    <w:p>
      <w:r>
        <w:t>The ETH evidence is therefore treated as corroborative and descriptive — consistent with the energy-anchoring mechanism — rather than as a third causal identification source. The China ban results (Sections 2.6.1–2.6.2) carry the primary causal weight.</w:t>
      </w:r>
    </w:p>
    <w:p>
      <w:pPr>
        <w:pStyle w:val="Heading2"/>
      </w:pPr>
      <w:r>
        <w:t>2.7 Robustness</w:t>
      </w:r>
    </w:p>
    <w:p>
      <w:pPr>
        <w:jc w:val="center"/>
      </w:pPr>
      <w:r>
        <w:rPr>
          <w:b/>
          <w:sz w:val="22"/>
        </w:rPr>
        <w:t>Table 2.3: Structural Break at the China Mining Ban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Post-Ban Basic</w:t>
            </w:r>
          </w:p>
        </w:tc>
        <w:tc>
          <w:tcPr>
            <w:tcW w:type="dxa" w:w="2160"/>
          </w:tcPr>
          <w:p>
            <w:r>
              <w:rPr>
                <w:b/>
              </w:rPr>
              <w:t>Post-Ban + Controls</w:t>
            </w:r>
          </w:p>
        </w:tc>
        <w:tc>
          <w:tcPr>
            <w:tcW w:type="dxa" w:w="2160"/>
          </w:tcPr>
          <w:p>
            <w:r>
              <w:rPr>
                <w:b/>
              </w:rPr>
              <w:t>Chow Test</w:t>
            </w:r>
          </w:p>
        </w:tc>
      </w:tr>
      <w:tr>
        <w:tc>
          <w:tcPr>
            <w:tcW w:type="dxa" w:w="2160"/>
          </w:tcPr>
          <w:p>
            <w:r>
              <w:t>log(CEIR)</w:t>
            </w:r>
          </w:p>
        </w:tc>
        <w:tc>
          <w:tcPr>
            <w:tcW w:type="dxa" w:w="2160"/>
          </w:tcPr>
          <w:p>
            <w:r>
              <w:t>−0.060**</w:t>
            </w:r>
          </w:p>
        </w:tc>
        <w:tc>
          <w:tcPr>
            <w:tcW w:type="dxa" w:w="2160"/>
          </w:tcPr>
          <w:p>
            <w:r>
              <w:t>−0.080**</w:t>
            </w:r>
          </w:p>
        </w:tc>
        <w:tc>
          <w:tcPr>
            <w:tcW w:type="dxa" w:w="2160"/>
          </w:tcPr>
          <w:p>
            <w:r>
              <w:t>—</w:t>
            </w:r>
          </w:p>
        </w:tc>
      </w:tr>
      <w:tr>
        <w:tc>
          <w:tcPr>
            <w:tcW w:type="dxa" w:w="2160"/>
          </w:tcPr>
          <w:p>
            <w:r/>
          </w:p>
        </w:tc>
        <w:tc>
          <w:tcPr>
            <w:tcW w:type="dxa" w:w="2160"/>
          </w:tcPr>
          <w:p>
            <w:r>
              <w:t>(0.028)</w:t>
            </w:r>
          </w:p>
        </w:tc>
        <w:tc>
          <w:tcPr>
            <w:tcW w:type="dxa" w:w="2160"/>
          </w:tcPr>
          <w:p>
            <w:r>
              <w:t>(0.031)</w:t>
            </w:r>
          </w:p>
        </w:tc>
        <w:tc>
          <w:tcPr>
            <w:tcW w:type="dxa" w:w="2160"/>
          </w:tcPr>
          <w:p>
            <w:r>
              <w:t>—</w:t>
            </w:r>
          </w:p>
        </w:tc>
      </w:tr>
      <w:tr>
        <w:tc>
          <w:tcPr>
            <w:tcW w:type="dxa" w:w="2160"/>
          </w:tcPr>
          <w:p>
            <w:r>
              <w:t>p-value</w:t>
            </w:r>
          </w:p>
        </w:tc>
        <w:tc>
          <w:tcPr>
            <w:tcW w:type="dxa" w:w="2160"/>
          </w:tcPr>
          <w:p>
            <w:r>
              <w:t>[0.033]</w:t>
            </w:r>
          </w:p>
        </w:tc>
        <w:tc>
          <w:tcPr>
            <w:tcW w:type="dxa" w:w="2160"/>
          </w:tcPr>
          <w:p>
            <w:r>
              <w:t>[0.011]</w:t>
            </w:r>
          </w:p>
        </w:tc>
        <w:tc>
          <w:tcPr>
            <w:tcW w:type="dxa" w:w="2160"/>
          </w:tcPr>
          <w:p>
            <w:r>
              <w:t>—</w:t>
            </w:r>
          </w:p>
        </w:tc>
      </w:tr>
      <w:tr>
        <w:tc>
          <w:tcPr>
            <w:tcW w:type="dxa" w:w="2160"/>
          </w:tcPr>
          <w:p>
            <w:r>
              <w:t>Observations</w:t>
            </w:r>
          </w:p>
        </w:tc>
        <w:tc>
          <w:tcPr>
            <w:tcW w:type="dxa" w:w="2160"/>
          </w:tcPr>
          <w:p>
            <w:r>
              <w:t>200</w:t>
            </w:r>
          </w:p>
        </w:tc>
        <w:tc>
          <w:tcPr>
            <w:tcW w:type="dxa" w:w="2160"/>
          </w:tcPr>
          <w:p>
            <w:r>
              <w:t>200</w:t>
            </w:r>
          </w:p>
        </w:tc>
        <w:tc>
          <w:tcPr>
            <w:tcW w:type="dxa" w:w="2160"/>
          </w:tcPr>
          <w:p>
            <w:r>
              <w:t>—</w:t>
            </w:r>
          </w:p>
        </w:tc>
      </w:tr>
      <w:tr>
        <w:tc>
          <w:tcPr>
            <w:tcW w:type="dxa" w:w="2160"/>
          </w:tcPr>
          <w:p>
            <w:r>
              <w:t>R²</w:t>
            </w:r>
          </w:p>
        </w:tc>
        <w:tc>
          <w:tcPr>
            <w:tcW w:type="dxa" w:w="2160"/>
          </w:tcPr>
          <w:p>
            <w:r>
              <w:t>0.038</w:t>
            </w:r>
          </w:p>
        </w:tc>
        <w:tc>
          <w:tcPr>
            <w:tcW w:type="dxa" w:w="2160"/>
          </w:tcPr>
          <w:p>
            <w:r>
              <w:t>0.039</w:t>
            </w:r>
          </w:p>
        </w:tc>
        <w:tc>
          <w:tcPr>
            <w:tcW w:type="dxa" w:w="2160"/>
          </w:tcPr>
          <w:p>
            <w:r>
              <w:t>—</w:t>
            </w:r>
          </w:p>
        </w:tc>
      </w:tr>
      <w:tr>
        <w:tc>
          <w:tcPr>
            <w:tcW w:type="dxa" w:w="2160"/>
          </w:tcPr>
          <w:p>
            <w:r>
              <w:t>Chow F-statistic</w:t>
            </w:r>
          </w:p>
        </w:tc>
        <w:tc>
          <w:tcPr>
            <w:tcW w:type="dxa" w:w="2160"/>
          </w:tcPr>
          <w:p>
            <w:r>
              <w:t>—</w:t>
            </w:r>
          </w:p>
        </w:tc>
        <w:tc>
          <w:tcPr>
            <w:tcW w:type="dxa" w:w="2160"/>
          </w:tcPr>
          <w:p>
            <w:r>
              <w:t>—</w:t>
            </w:r>
          </w:p>
        </w:tc>
        <w:tc>
          <w:tcPr>
            <w:tcW w:type="dxa" w:w="2160"/>
          </w:tcPr>
          <w:p>
            <w:r>
              <w:t>4.786***</w:t>
            </w:r>
          </w:p>
        </w:tc>
      </w:tr>
      <w:tr>
        <w:tc>
          <w:tcPr>
            <w:tcW w:type="dxa" w:w="2160"/>
          </w:tcPr>
          <w:p>
            <w:r>
              <w:t>p-value</w:t>
            </w:r>
          </w:p>
        </w:tc>
        <w:tc>
          <w:tcPr>
            <w:tcW w:type="dxa" w:w="2160"/>
          </w:tcPr>
          <w:p>
            <w:r>
              <w:t>—</w:t>
            </w:r>
          </w:p>
        </w:tc>
        <w:tc>
          <w:tcPr>
            <w:tcW w:type="dxa" w:w="2160"/>
          </w:tcPr>
          <w:p>
            <w:r>
              <w:t>—</w:t>
            </w:r>
          </w:p>
        </w:tc>
        <w:tc>
          <w:tcPr>
            <w:tcW w:type="dxa" w:w="2160"/>
          </w:tcPr>
          <w:p>
            <w:r>
              <w:t>[0.0009]</w:t>
            </w:r>
          </w:p>
        </w:tc>
      </w:tr>
    </w:tbl>
    <w:p/>
    <w:p>
      <w:pPr>
        <w:ind w:left="720" w:right="720"/>
      </w:pPr>
      <w:r>
        <w:rPr>
          <w:i/>
          <w:sz w:val="20"/>
        </w:rPr>
        <w:t xml:space="preserve">Note: </w:t>
      </w:r>
      <w:r>
        <w:rPr>
          <w:sz w:val="20"/>
        </w:rPr>
        <w:t>HC1 standard errors. Amihud-Hurvich augmented specification. *** p&lt;0.01, ** p&lt;0.05. Post-ban sample: July 2021 – April 2025, N=200 weeks. Chow test compares pre-ban (N=124) and post-ban (N=200) coefficients on log(CEIR) from specification (2).</w:t>
      </w:r>
    </w:p>
    <w:p>
      <w:r>
        <w:t>Robustness checks use alternative return horizons (14-, 60-, and 90-day forward), alternative CEIR construction (moving average variants at 14, 30, and 60 days), sample exclusions (COVID period, 2019 start date), and HAC standard errors on the full daily sample. The pre-ban bias-corrected CEIR coefficient remains negative and significant (p &lt; 0.05) across all specifications.</w:t>
      </w:r>
    </w:p>
    <w:p>
      <w:r/>
      <w:r>
        <w:rPr>
          <w:b/>
        </w:rPr>
        <w:t>Placebo Chow tests.</w:t>
      </w:r>
      <w:r>
        <w:t xml:space="preserve"> Chow tests at six-month intervals from December 2019 through December 2024 confirm that the structural break is concentrated at the China ban date. All three pre-ban placebo dates (December 2019, June 2020, December 2020) yield F-statistics below 2.2 with p-values above 0.07, consistent with no structural break in that period. The June 2021 break date produces F = 4.638 (p = 0.0012), the highest F-statistic among pre-ban and near-ban dates. Post-2023 dates return to insignificance (F &lt; 2.4, p &gt; 0.05), confirming the break is not a persistent feature of the post-ban period but specifically tied to the regime transition.</w:t>
      </w:r>
    </w:p>
    <w:p>
      <w:r/>
      <w:r>
        <w:rPr>
          <w:b/>
        </w:rPr>
        <w:t>Block bootstrap.</w:t>
      </w:r>
      <w:r>
        <w:t xml:space="preserve"> 2000 block bootstrap replications (block size = 8 weeks) yield pre-ban 95% CI [−0.371, −0.002] and post-ban 95% CI [−0.210, 0.026]. The pre-ban interval excludes zero; 97.4% of pre-ban bootstrap draws produce β &lt; 0. The post-ban interval includes zero, consistent with the weaker but still positive directional signal documented in Table 2.3.</w:t>
      </w:r>
    </w:p>
    <w:p>
      <w:r/>
      <w:r>
        <w:rPr>
          <w:b/>
        </w:rPr>
        <w:t>Alternative sentiment proxy (Google Trends).</w:t>
      </w:r>
      <w:r>
        <w:t xml:space="preserve"> The Fear and Greed Index is a composite retail sentiment measure available only from 2018. As a robustness check, it is replaced with the monthly Google Trends search volume for "Bitcoin" — a documented attention proxy (Liu and Tsyvinski 2021, Panagiotidis et al. 2019). Table 2.6 reports the results. The pre-ban CEIR coefficient is −0.298 (SE = 0.062, p &lt; 0.001, N = 124), larger in magnitude than the baseline −0.206, confirming that the result is not an artefact of the specific sentiment control. The post-ban coefficient under Google Trends is −0.075 (SE = 0.043, p = 0.079), marginally less significant than the baseline −0.080 (p = 0.011), reflecting Google Trends' coarser monthly frequency.</w:t>
      </w:r>
    </w:p>
    <w:p>
      <w:r>
        <w:t>| Sentiment Proxy | Pre-Ban β | SE | p | Post-Ban β | SE | p |</w:t>
        <w:br/>
        <w:t>|---|---|---|---|---|---|---|</w:t>
        <w:br/>
        <w:t>| Fear &amp; Greed Index (baseline) | −0.206 | 0.042 | &lt;0.001 | −0.080 | 0.031 | 0.011 |</w:t>
        <w:br/>
        <w:t>| Google Trends: Bitcoin | −0.298 | 0.062 | &lt;0.001 | −0.075 | 0.043 | 0.079 |</w:t>
      </w:r>
    </w:p>
    <w:p>
      <w:r>
        <w:t>*N = 124 (pre-ban), N = 200 (post-ban), weekly non-overlapping, HC1 errors, Amihud-Hurvich augmented specification.*</w:t>
      </w:r>
    </w:p>
    <w:p>
      <w:r/>
      <w:r>
        <w:rPr>
          <w:b/>
        </w:rPr>
        <w:t>Rolling 52-week coefficient.</w:t>
      </w:r>
      <w:r>
        <w:t xml:space="preserve"> To examine the temporal evolution of CEIR predictability continuously rather than in two discrete regimes, a rolling 52-week window estimates the Amihud-Hurvich-corrected CEIR coefficient at each weekly observation point. Figure 2.1 (see `rolling_ceir_coefficient.csv`) plots this sequence. Over the pre-ban period, 84.9% of 52-week windows yield β &lt; 0. Post-ban, 93.0% of windows yield β &lt; 0 — consistent with CEIR predictability persisting after the regime shift, as reported in Table 2.3. The coefficient oscillates substantially week-to-week, as expected at the 52-week window scale (N ≈ 52 per estimate), but the directional dominance is consistent across both regimes. Selected coefficient estimates at year-end dates confirm the pattern: pre-ban 2020 (β = +0.09, driven by the COVID crash distortion); post-ban 2021H2 (β = −0.20, immediately post-ban); end-2021 (β = −1.02, during the crypto winter entry); and 2023 (β = −0.90). The 52-week rolling plot documents that CEIR's predictive content does not simply collapse after the regime break — it persists but at a lower average magnitude, consistent with the mechanism interpretation in Section 2.8.</w:t>
      </w:r>
    </w:p>
    <w:p>
      <w:r/>
      <w:r>
        <w:rPr>
          <w:b/>
        </w:rPr>
        <w:t>Regression discontinuity at the ban date.</w:t>
      </w:r>
      <w:r>
        <w:t xml:space="preserve"> A sharp regression discontinuity design provides a complementary identification strategy that does not rely on the full-sample split (Calonico, Cattaneo, and Titiunik 2014). Using a local linear estimator centred at June 21, 2021, the RD estimates the discontinuous jump in 30-day forward returns at the ban date. Table 2.7 reports results across four bandwidths.</w:t>
      </w:r>
    </w:p>
    <w:p>
      <w:r>
        <w:t>| Bandwidth | RD Estimate | SE | p | N |</w:t>
        <w:br/>
        <w:t>|---|---|---|---|---|</w:t>
        <w:br/>
        <w:t>| 60 days | +0.264 | 0.054 | &lt;0.001 | 121 |</w:t>
        <w:br/>
        <w:t>| 90 days | +0.410 | 0.046 | &lt;0.001 | 181 |</w:t>
        <w:br/>
        <w:t>| 120 days | +0.437 | 0.041 | &lt;0.001 | 241 |</w:t>
        <w:br/>
        <w:t>| 180 days | +0.586 | 0.037 | &lt;0.001 | 361 |</w:t>
      </w:r>
    </w:p>
    <w:p>
      <w:r>
        <w:t>*Local linear RD. Dependent variable: 30-day forward return. Bandwidth selection as shown; all use the same June 21, 2021 cutoff.*</w:t>
      </w:r>
    </w:p>
    <w:p>
      <w:r>
        <w:t>The RD estimates a large and significant upward jump in forward returns at the ban date (40–60 pp at the 90–180 day bandwidths), consistent with a market revaluation event at the geographic shock. A separate RD on the CEIR coefficient itself (estimated via subsample regressions on either side of the cutoff) finds a significant discontinuous shift at the 60- and 90-day bandwidths (Δβ ≈ −0.82, p = 0.0005 at 90 days), providing direct RD evidence that the predictive relationship changed at the ban date — not merely before vs after. The 120-day bandwidth estimate is insignificant (p = 0.75), likely because a 120-day window on each side incorporates too much pre-ban and post-ban variation to isolate the local discontinuity. The RD evidence reinforces the Chow test conclusion that June 2021 marks a genuine structural break.</w:t>
      </w:r>
    </w:p>
    <w:p>
      <w:r/>
      <w:r>
        <w:rPr>
          <w:b/>
        </w:rPr>
        <w:t>Kazakhstan confounding event check.</w:t>
      </w:r>
      <w:r>
        <w:t xml:space="preserve"> The January 2022 internet blackout and power rationing in Kazakhstan — which forced approximately 13% of global hash rate offline within days — provides a useful contrast with the China ban. A Chow test at January 5, 2022 yields F = 6.592 (p = 0.0001), highly significant. However, the concurrent HHI shift was negligible: HHI moved from 0.232 to approximately 0.225 (Δ = −0.007), compared with the China ban's Δ = −0.187. This dissociation is informative. The significant Chow break at January 2022 despite minimal HHI change is consistent with the 2022 crypto market correction (Bitcoin fell 60%+ during H1 2022, driven by macro tightening and the Terra/LUNA collapse in May 2022) producing a regime change in return dynamics independent of any geographic concentration shift. The key point: a large macro shock (crypto winter) can generate a significant Chow break in the return model *without* affecting the CEIR-HHI relationship. The China ban is distinct — it produced both a significant Chow break and a large HHI shift. This contrast confirms that the China ban Chow break is driven by the geographic concentration mechanism, not by generic market disruption: the Kazakhstan episode shows that market disruptions alone, in the absence of an HHI shock, produce a structurally different break pattern. This constitutes a falsification test for the mechanism interpretation.</w:t>
      </w:r>
    </w:p>
    <w:p>
      <w:r/>
      <w:r>
        <w:rPr>
          <w:b/>
        </w:rPr>
        <w:t>Carbon intensity control.</w:t>
      </w:r>
      <w:r>
        <w:t xml:space="preserve"> Mining geography correlates with carbon intensity: China's coal-heavy grid (581 gCO₂/kWh) was replaced post-ban by the US (386 gCO₂/kWh) and Kazakhstan (665 gCO₂/kWh). If investors priced ESG risk, carbon intensity may proxy for regulatory discount rather than CEIR, conflating the two. Pre-ban regression adding weighted carbon intensity (computed from Cambridge geography × IEA country emissions, gCO₂/kWh) yields β_CEIR = −0.342 (p &lt; 0.001) with β_carbon = −0.00524 (p = 0.008, N = 94). Post-ban: β_CEIR = −0.094 (p &lt; 0.001), β_carbon = +0.00204 (p = 0.338, N = 201). The CEIR coefficient survives carbon control in both periods — ruling out the alternative that CEIR is proxying for carbon-related ESG discounts. The pre-ban carbon coefficient is significant and negative (higher carbon → lower future returns), consistent with a regulatory risk discount on high-carbon mining, but this channel operates independently of the CEIR mechanism. The post-ban carbon coefficient is insignificant, consistent with geographic diversification reducing the salience of single-country carbon exposure. Note: the pre-ban N falls from 124 to 94 due to Cambridge coverage gaps for carbon weighting; the larger coefficient (−0.342 vs baseline −0.206) partly reflects the different sample.</w:t>
      </w:r>
    </w:p>
    <w:p>
      <w:r/>
      <w:r>
        <w:rPr>
          <w:b/>
        </w:rPr>
        <w:t>Post-ban sub-period analysis (daily OLS).</w:t>
      </w:r>
      <w:r>
        <w:t xml:space="preserve"> The post-ban CEIR coefficient's persistence (β = −0.080, p = 0.011) raises the question of whether residual coordination — US miners sharing similar regulatory and energy cost environments — gradually fades after 2021. Daily OLS regressions (HC1, CEIR-only specification for comparability across sub-periods) by sub-period yield: 2021H2 β = −1.094 (p &lt; 0.001, N = 194), 2022 β = −0.110 (p &lt; 0.001, N = 365), 2023+ β = −0.105 (p &lt; 0.001, N = 848). The sharp drop from 2021H2 to 2022 likely reflects the reordering of mining geography immediately after the ban — when US mining dominance was new and coordination comparatively high — rather than continued gradual decay. By 2022, the coefficient stabilises at a lower level consistent with the dispersed-but-not-zero coordination in the post-ban equilibrium. This pattern supports the interpretation that the remaining post-ban predictability reflects a persistent but attenuated coordination mechanism, not a temporary artefact.</w:t>
        <w:br/>
      </w:r>
    </w:p>
    <w:p>
      <w:pPr>
        <w:pStyle w:val="Heading2"/>
      </w:pPr>
      <w:r>
        <w:t>2.8 Implications</w:t>
      </w:r>
    </w:p>
    <w:p>
      <w:pPr>
        <w:jc w:val="center"/>
      </w:pPr>
      <w:r>
        <w:rPr>
          <w:b/>
          <w:sz w:val="22"/>
        </w:rPr>
        <w:t>Table 2.3: Structural Break at the China Mining Ban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Post-Ban Basic</w:t>
            </w:r>
          </w:p>
        </w:tc>
        <w:tc>
          <w:tcPr>
            <w:tcW w:type="dxa" w:w="2160"/>
          </w:tcPr>
          <w:p>
            <w:r>
              <w:rPr>
                <w:b/>
              </w:rPr>
              <w:t>Post-Ban + Controls</w:t>
            </w:r>
          </w:p>
        </w:tc>
        <w:tc>
          <w:tcPr>
            <w:tcW w:type="dxa" w:w="2160"/>
          </w:tcPr>
          <w:p>
            <w:r>
              <w:rPr>
                <w:b/>
              </w:rPr>
              <w:t>Chow Test</w:t>
            </w:r>
          </w:p>
        </w:tc>
      </w:tr>
      <w:tr>
        <w:tc>
          <w:tcPr>
            <w:tcW w:type="dxa" w:w="2160"/>
          </w:tcPr>
          <w:p>
            <w:r>
              <w:t>log(CEIR)</w:t>
            </w:r>
          </w:p>
        </w:tc>
        <w:tc>
          <w:tcPr>
            <w:tcW w:type="dxa" w:w="2160"/>
          </w:tcPr>
          <w:p>
            <w:r>
              <w:t>−0.060**</w:t>
            </w:r>
          </w:p>
        </w:tc>
        <w:tc>
          <w:tcPr>
            <w:tcW w:type="dxa" w:w="2160"/>
          </w:tcPr>
          <w:p>
            <w:r>
              <w:t>−0.080**</w:t>
            </w:r>
          </w:p>
        </w:tc>
        <w:tc>
          <w:tcPr>
            <w:tcW w:type="dxa" w:w="2160"/>
          </w:tcPr>
          <w:p>
            <w:r>
              <w:t>—</w:t>
            </w:r>
          </w:p>
        </w:tc>
      </w:tr>
      <w:tr>
        <w:tc>
          <w:tcPr>
            <w:tcW w:type="dxa" w:w="2160"/>
          </w:tcPr>
          <w:p>
            <w:r/>
          </w:p>
        </w:tc>
        <w:tc>
          <w:tcPr>
            <w:tcW w:type="dxa" w:w="2160"/>
          </w:tcPr>
          <w:p>
            <w:r>
              <w:t>(0.028)</w:t>
            </w:r>
          </w:p>
        </w:tc>
        <w:tc>
          <w:tcPr>
            <w:tcW w:type="dxa" w:w="2160"/>
          </w:tcPr>
          <w:p>
            <w:r>
              <w:t>(0.031)</w:t>
            </w:r>
          </w:p>
        </w:tc>
        <w:tc>
          <w:tcPr>
            <w:tcW w:type="dxa" w:w="2160"/>
          </w:tcPr>
          <w:p>
            <w:r>
              <w:t>—</w:t>
            </w:r>
          </w:p>
        </w:tc>
      </w:tr>
      <w:tr>
        <w:tc>
          <w:tcPr>
            <w:tcW w:type="dxa" w:w="2160"/>
          </w:tcPr>
          <w:p>
            <w:r>
              <w:t>p-value</w:t>
            </w:r>
          </w:p>
        </w:tc>
        <w:tc>
          <w:tcPr>
            <w:tcW w:type="dxa" w:w="2160"/>
          </w:tcPr>
          <w:p>
            <w:r>
              <w:t>[0.033]</w:t>
            </w:r>
          </w:p>
        </w:tc>
        <w:tc>
          <w:tcPr>
            <w:tcW w:type="dxa" w:w="2160"/>
          </w:tcPr>
          <w:p>
            <w:r>
              <w:t>[0.011]</w:t>
            </w:r>
          </w:p>
        </w:tc>
        <w:tc>
          <w:tcPr>
            <w:tcW w:type="dxa" w:w="2160"/>
          </w:tcPr>
          <w:p>
            <w:r>
              <w:t>—</w:t>
            </w:r>
          </w:p>
        </w:tc>
      </w:tr>
      <w:tr>
        <w:tc>
          <w:tcPr>
            <w:tcW w:type="dxa" w:w="2160"/>
          </w:tcPr>
          <w:p>
            <w:r>
              <w:t>Observations</w:t>
            </w:r>
          </w:p>
        </w:tc>
        <w:tc>
          <w:tcPr>
            <w:tcW w:type="dxa" w:w="2160"/>
          </w:tcPr>
          <w:p>
            <w:r>
              <w:t>200</w:t>
            </w:r>
          </w:p>
        </w:tc>
        <w:tc>
          <w:tcPr>
            <w:tcW w:type="dxa" w:w="2160"/>
          </w:tcPr>
          <w:p>
            <w:r>
              <w:t>200</w:t>
            </w:r>
          </w:p>
        </w:tc>
        <w:tc>
          <w:tcPr>
            <w:tcW w:type="dxa" w:w="2160"/>
          </w:tcPr>
          <w:p>
            <w:r>
              <w:t>—</w:t>
            </w:r>
          </w:p>
        </w:tc>
      </w:tr>
      <w:tr>
        <w:tc>
          <w:tcPr>
            <w:tcW w:type="dxa" w:w="2160"/>
          </w:tcPr>
          <w:p>
            <w:r>
              <w:t>R²</w:t>
            </w:r>
          </w:p>
        </w:tc>
        <w:tc>
          <w:tcPr>
            <w:tcW w:type="dxa" w:w="2160"/>
          </w:tcPr>
          <w:p>
            <w:r>
              <w:t>0.038</w:t>
            </w:r>
          </w:p>
        </w:tc>
        <w:tc>
          <w:tcPr>
            <w:tcW w:type="dxa" w:w="2160"/>
          </w:tcPr>
          <w:p>
            <w:r>
              <w:t>0.039</w:t>
            </w:r>
          </w:p>
        </w:tc>
        <w:tc>
          <w:tcPr>
            <w:tcW w:type="dxa" w:w="2160"/>
          </w:tcPr>
          <w:p>
            <w:r>
              <w:t>—</w:t>
            </w:r>
          </w:p>
        </w:tc>
      </w:tr>
      <w:tr>
        <w:tc>
          <w:tcPr>
            <w:tcW w:type="dxa" w:w="2160"/>
          </w:tcPr>
          <w:p>
            <w:r>
              <w:t>Chow F-statistic</w:t>
            </w:r>
          </w:p>
        </w:tc>
        <w:tc>
          <w:tcPr>
            <w:tcW w:type="dxa" w:w="2160"/>
          </w:tcPr>
          <w:p>
            <w:r>
              <w:t>—</w:t>
            </w:r>
          </w:p>
        </w:tc>
        <w:tc>
          <w:tcPr>
            <w:tcW w:type="dxa" w:w="2160"/>
          </w:tcPr>
          <w:p>
            <w:r>
              <w:t>—</w:t>
            </w:r>
          </w:p>
        </w:tc>
        <w:tc>
          <w:tcPr>
            <w:tcW w:type="dxa" w:w="2160"/>
          </w:tcPr>
          <w:p>
            <w:r>
              <w:t>4.786***</w:t>
            </w:r>
          </w:p>
        </w:tc>
      </w:tr>
      <w:tr>
        <w:tc>
          <w:tcPr>
            <w:tcW w:type="dxa" w:w="2160"/>
          </w:tcPr>
          <w:p>
            <w:r>
              <w:t>p-value</w:t>
            </w:r>
          </w:p>
        </w:tc>
        <w:tc>
          <w:tcPr>
            <w:tcW w:type="dxa" w:w="2160"/>
          </w:tcPr>
          <w:p>
            <w:r>
              <w:t>—</w:t>
            </w:r>
          </w:p>
        </w:tc>
        <w:tc>
          <w:tcPr>
            <w:tcW w:type="dxa" w:w="2160"/>
          </w:tcPr>
          <w:p>
            <w:r>
              <w:t>—</w:t>
            </w:r>
          </w:p>
        </w:tc>
        <w:tc>
          <w:tcPr>
            <w:tcW w:type="dxa" w:w="2160"/>
          </w:tcPr>
          <w:p>
            <w:r>
              <w:t>[0.0009]</w:t>
            </w:r>
          </w:p>
        </w:tc>
      </w:tr>
    </w:tbl>
    <w:p/>
    <w:p>
      <w:pPr>
        <w:ind w:left="720" w:right="720"/>
      </w:pPr>
      <w:r>
        <w:rPr>
          <w:i/>
          <w:sz w:val="20"/>
        </w:rPr>
        <w:t xml:space="preserve">Note: </w:t>
      </w:r>
      <w:r>
        <w:rPr>
          <w:sz w:val="20"/>
        </w:rPr>
        <w:t>HC1 standard errors. Amihud-Hurvich augmented specification. *** p&lt;0.01, ** p&lt;0.05. Post-ban sample: July 2021 – April 2025, N=200 weeks. Chow test compares pre-ban (N=124) and post-ban (N=200) coefficients on log(CEIR) from specification (2).</w:t>
      </w:r>
    </w:p>
    <w:p>
      <w:r>
        <w:t>The results establish three empirical facts with implications for the remainder of the thesis:</w:t>
      </w:r>
    </w:p>
    <w:p>
      <w:r/>
      <w:r>
        <w:rPr>
          <w:b/>
        </w:rPr>
        <w:t>Fact 1:</w:t>
      </w:r>
      <w:r>
        <w:t xml:space="preserve"> Energy anchoring is real and survives bias correction. The pre-ban CEIR results are robust to Stambaugh (1999) bias via Amihud-Hurvich (2004) augmented regression (β = −0.206, p &lt; 0.001), confirmed by block bootstrap with 97.4% of draws producing β &lt; 0. The China ban natural experiment provides credible causal identification.</w:t>
      </w:r>
    </w:p>
    <w:p>
      <w:r/>
      <w:r>
        <w:rPr>
          <w:b/>
        </w:rPr>
        <w:t>Fact 2:</w:t>
      </w:r>
      <w:r>
        <w:t xml:space="preserve"> Energy anchoring is coordination-dependent. Geographic concentration amplifies the mechanism approximately 3× (10.0 pp vs 3.5 pp per 1SD effect). Dispersion attenuates but does not eliminate the signal. Cost level alone is insufficient — the HHI drop from 0.42 to 0.18 is the operative variable, not the 12% rise in weighted electricity prices post-ban. The continuous HHI interaction (Table 2.3a) corroborates this: a 1SD increase in HHI amplifies the CEIR coefficient by an estimated 0.048 units (38%), consistent with concentration as a continuous moderator of the mechanism rather than a binary switch. Rolling coefficient analysis (Section 2.7) confirms the attenuation is not a statistical artefact of the regime split: 93% of post-ban 52-week windows yield β &lt; 0, compared to 85% pre-ban — the relationship persists but at reduced per-unit magnitude. Post-ban sub-period analysis further shows the coefficient stabilised quickly (at approximately −0.10) after an initial reordering period in 2021H2, consistent with a new lower-coordination equilibrium rather than continued decay.</w:t>
      </w:r>
    </w:p>
    <w:p>
      <w:r/>
      <w:r>
        <w:rPr>
          <w:b/>
        </w:rPr>
        <w:t>Fact 3:</w:t>
      </w:r>
      <w:r>
        <w:t xml:space="preserve"> The Ethereum merge is corroborative, not causal. Parallel trends are violated due to pre-merge anticipation spiking ETH vol. The ETH evidence is consistent with the energy-anchoring mechanism but cannot be treated as independent causal identification.</w:t>
      </w:r>
    </w:p>
    <w:p>
      <w:r>
        <w:t>These facts motivate the transition from passive to active anchoring. Bitcoin's passive mechanism relied on uncoordinated but structurally aligned incentives that dissolved with regulatory shock. Active anchoring — deliberately designed instruments whose payoffs explicitly encode energy-linked risk — can replicate the *credibility condition* that made Bitcoin's floor functional, without depending on geographic concentration to supply that credibility.</w:t>
      </w:r>
    </w:p>
    <w:p>
      <w:r>
        <w:t>The credibility condition, made explicit: in the pre-ban regime, market participants believed the energy floor was real because large-scale miner arbitrage enforced it visibly and continuously. In a designed derivative, that same credibility must come from contractual enforcement: oracle-verified settlement, posted margin, and automated liquidation. Chapters 3 and 4 establish these conditions analytically. The empirical contribution of Chapter 2 is to confirm that once such a credible floor exists — by whatever mechanism — markets do in fact price it. The two halves of the thesis are therefore connected not by mechanism identity but by the common requirement of credibility.</w:t>
      </w:r>
    </w:p>
    <w:p>
      <w:r>
        <w:t>---</w:t>
      </w:r>
    </w:p>
    <w:p>
      <w:pPr>
        <w:pStyle w:val="Heading1"/>
      </w:pPr>
      <w:r>
        <w:t>Chapter 3: Pricing Framework — Energy-Linked Derivatives</w:t>
      </w:r>
    </w:p>
    <w:p>
      <w:pPr>
        <w:pStyle w:val="Heading2"/>
      </w:pPr>
      <w:r>
        <w:t>3.1 The Cold-Start Problem</w:t>
      </w:r>
    </w:p>
    <w:p>
      <w:r>
        <w:t>The empirical findings in Chapter 2 establish both the motivation and the design requirement for energy-backed derivatives. The motivation is that markets price credible energy floors when enforcement is transparent and large-scale — established causally through the China ban experiment. The design requirement follows directly: for a designed instrument to command the same market recognition, its floor must be *credibly enforced*, which means it must be accurately priced and reliably settled. A poorly priced instrument — one whose premium is unjustifiable from first principles — cannot satisfy the credibility condition Chapter 2 identified as necessary, regardless of how well the contract is specified. Rigorous pricing is therefore not an academic exercise adjacent to the feasibility case; it is a load-bearing component of it.</w:t>
      </w:r>
    </w:p>
    <w:p>
      <w:r>
        <w:t>The practical obstacle is immediate: standard derivative pricing relies on market-implied volatility, calibrated from liquid options markets. No such market exists for distributed solar or wind energy production in emerging economies. This is not a minor data gap; it is the fundamental barrier to instrument design in these markets.</w:t>
      </w:r>
    </w:p>
    <w:p>
      <w:r>
        <w:t>This chapter solves the cold-start problem by replacing market-implied volatility with *physics-based volatility* calibrated directly from satellite irradiance data. The intuition is straightforward: if the underlying risk in a solar energy derivative is weather-driven production variation, then the volatility parameter in the pricing model should reflect actual physical variation in irradiance, not the price-discovered expectations of a market that does not exist.</w:t>
      </w:r>
    </w:p>
    <w:p>
      <w:r>
        <w:t>This approach places the instrument in the weather derivatives literature established by Cao and Wei (2004), who demonstrate that non-tradeable underlying assets (temperature indices, irradiance) require the volatility input to come from physical measurement rather than market calibration. The key distinction from standard weather derivatives is that solar energy output is a *continuous* function of irradiance measurable via satellite, allowing the volatility to be calibrated from a global, publicly available, tamper-resistant data source (NASA POWER) rather than from local ground stations with coverage gaps. This global availability is what makes the cold-start approach viable across emerging markets — the primary contribution relative to the Cao-Wei framework.</w:t>
      </w:r>
    </w:p>
    <w:p>
      <w:pPr>
        <w:pStyle w:val="Heading2"/>
      </w:pPr>
      <w:r>
        <w:t>3.2 Model Setup</w:t>
      </w:r>
    </w:p>
    <w:p>
      <w:r>
        <w:t>#### 3.2.1 GBM Justification for Energy Derivatives at Thesis Horizon</w:t>
      </w:r>
    </w:p>
    <w:p>
      <w:r>
        <w:t>The standard objection to GBM for electricity prices is well-founded at long horizons: spot electricity prices exhibit mean reversion, seasonality, and jump behaviour that GBM cannot capture (Schwartz 1997, Lucia and Schwartz 2002). This is not disputed. The relevant question is whether these properties matter *at the horizon and for the purpose* of this thesis.</w:t>
      </w:r>
    </w:p>
    <w:p>
      <w:r>
        <w:t>Three arguments justify GBM for T ≤ 1 year in this context.</w:t>
      </w:r>
    </w:p>
    <w:p>
      <w:r/>
      <w:r>
        <w:rPr>
          <w:b/>
        </w:rPr>
        <w:t>First, empirical:</w:t>
      </w:r>
      <w:r>
        <w:t xml:space="preserve"> The Jarque-Bera test on the log-returns of the NASA POWER irradiance series (Taiwan, 2019–2024) yields p = 0.743, failing to reject normality at any conventional level. Log-normality is a necessary implication of GBM. If the underlying irradiance data — which drives the physics-based volatility calibration — produces log-normal returns, the GBM assumption is consistent with the actual data generating process at this location and horizon.</w:t>
      </w:r>
    </w:p>
    <w:p>
      <w:r/>
      <w:r>
        <w:rPr>
          <w:b/>
        </w:rPr>
        <w:t>Second, dominance of high-frequency noise:</w:t>
      </w:r>
      <w:r>
        <w:t xml:space="preserve"> At quarterly horizons (T = 0.25 years), the variance from high-frequency weather-driven irradiance noise dwarfs the variance from seasonal drift. With σ = 189% annualised, a three-month GBM trajectory has a standard deviation of 189% × √0.25 = 94.5% — roughly doubling or halving the underlying value with equal probability. Mean reversion at the annual scale is economically negligible against this magnitude of short-term noise. The mean-reverting component becomes relevant only at T &gt; 2 years, where the seasonal cycle completes and the drift term begins to dominate.</w:t>
      </w:r>
    </w:p>
    <w:p>
      <w:r/>
      <w:r>
        <w:rPr>
          <w:b/>
        </w:rPr>
        <w:t>Third, the purpose is pricing, not simulation:</w:t>
      </w:r>
      <w:r>
        <w:t xml:space="preserve"> The GBM framework is used to price a European option, not to simulate realistic electricity price paths for operational planning. Option pricing under GBM requires only that the risk-neutral dynamics are approximately log-normal at maturity — a weaker condition than requiring the full price path to be realistic. At T = 0.25 years with the observed log-normality of irradiance returns, this condition is satisfied.</w:t>
      </w:r>
    </w:p>
    <w:p>
      <w:r/>
      <w:r>
        <w:rPr>
          <w:b/>
        </w:rPr>
        <w:t>A fourth point on conservatism:</w:t>
      </w:r>
      <w:r>
        <w:t xml:space="preserve"> Comparing GBM prices to the Schwartz (1997) one-factor Ornstein-Uhlenbeck model across maturities reveals that GBM *overprices* the option relative to mean-reverting dynamics at all horizons — making GBM a conservative upper bound from the seller's perspective. At T = 0.25 years with κ = 1.5 (an 8-month mean-reversion half-life within the empirical energy literature range), the OU effective volatility is σ_eff = 1.89 × √[(1−e^{−0.75})/0.75] = 1.59, producing a price 15% below GBM ($0.01629 vs $0.01918). At T = 1 year, σ_eff = 1.06, giving a 37% lower OU price. This conservatism property is practically valuable: sellers pricing at GBM are charging a premium that exceeds the mean-reverting fair value, providing a natural buffer for mean-reversion risk. For buyers seeking a revenue floor, the GBM price is an upper bound on what the instrument should rationally cost — any mean reversion in the underlying makes the option worth less, so GBM prices represent the most cautious buyer-side benchmark. </w:t>
      </w:r>
      <w:r>
        <w:rPr>
          <w:b/>
        </w:rPr>
        <w:t>Table 3.2a</w:t>
      </w:r>
      <w:r>
        <w:t xml:space="preserve"> in Section 3.7.3 quantifies this across maturities.</w:t>
      </w:r>
    </w:p>
    <w:p>
      <w:r>
        <w:t>We state explicitly that production-grade instruments at T &gt; 1 year should use Schwartz (1997) mean-reverting dynamics or seasonal extensions (Lucia and Schwartz 2002). The GBM framework here is scoped to its justifiable domain.</w:t>
      </w:r>
    </w:p>
    <w:p>
      <w:r>
        <w:t>The price process under the risk-neutral measure is:</w:t>
      </w:r>
    </w:p>
    <w:p>
      <w:r>
        <w:t>```</w:t>
        <w:br/>
        <w:t>dS = r·S·dt + σ·S·dW_t</w:t>
      </w:r>
    </w:p>
    <w:p>
      <w:r>
        <w:t>S_t = S_0 · exp((r - σ²/2)·t + σ·W_t)</w:t>
        <w:br/>
        <w:t>```</w:t>
      </w:r>
    </w:p>
    <w:p>
      <w:r>
        <w:t>Where S denotes the spot price of energy ($/kWh), r is the risk-free rate, σ is volatility calibrated from irradiance data, and W_t is a standard Brownian motion.</w:t>
      </w:r>
    </w:p>
    <w:p>
      <w:r>
        <w:t>#### 3.2.2 Parameter Calibration</w:t>
      </w:r>
    </w:p>
    <w:p>
      <w:r/>
      <w:r>
        <w:rPr>
          <w:b/>
        </w:rPr>
        <w:t>Spot price (S₀):</w:t>
      </w:r>
      <w:r>
        <w:t xml:space="preserve"> The current electricity spot price, set to the LCOE of solar installation in each location. For Taiwan (primary case): S₀ = $0.0525/kWh, sourced from Bureau of Energy Taiwan solar LCOE estimates. For cross-location validation, LCOE values are benchmarked against IRENA's global renewable power generation cost data (IRENA 2024), which reports a global weighted-average solar PV LCOE of $0.043/kWh in 2023, ranging from $0.025/kWh in Germany's large-scale installations to $0.095/kWh in Brazil's distributed generation context — consistent with the parameter set used in Table 3.4.</w:t>
      </w:r>
    </w:p>
    <w:p>
      <w:r/>
      <w:r>
        <w:rPr>
          <w:b/>
        </w:rPr>
        <w:t>Volatility (σ):</w:t>
      </w:r>
      <w:r>
        <w:t xml:space="preserve"> Annualised standard deviation of log-changes in daily irradiance from NASA POWER API, coordinates 23.5°N, 120.9°E (central Taiwan), 2019–2024. Computed as σ = std(Δ log(irradiance)) × √252 = 189%.</w:t>
      </w:r>
    </w:p>
    <w:p>
      <w:r>
        <w:t>The appropriate volatility input here is irradiance volatility, not electricity spot price volatility. Using electricity spot price volatility would create a calibration circularity: the instrument is designed for markets without a liquid electricity options market, and historical spot price volatility in such markets either does not exist or reflects regulated pricing that masks the true physical risk. Irradiance, by contrast, is the primary physical input driving generation uncertainty — the revenue risk that producers seek to hedge. Satellite-measured irradiance volatility is therefore the correct economic object: it measures the uncertainty in the asset that the option is written on. The practical difference is that irradiance volatility is higher and more stable across locations than electricity price volatility, which includes grid congestion and regulatory noise unrelated to generation risk.</w:t>
      </w:r>
    </w:p>
    <w:p>
      <w:r/>
      <w:r>
        <w:rPr>
          <w:b/>
        </w:rPr>
        <w:t>Risk-free rate (r):</w:t>
      </w:r>
      <w:r>
        <w:t xml:space="preserve"> 2.5%, corresponding to the Taiwan 1-year government bond yield.</w:t>
      </w:r>
    </w:p>
    <w:p>
      <w:r/>
      <w:r>
        <w:rPr>
          <w:b/>
        </w:rPr>
        <w:t>Strike (K):</w:t>
      </w:r>
      <w:r>
        <w:t xml:space="preserve"> Set to each location's LCOE, representing the producer's break-even price. Using LCOE as strike creates an at-the-money call option that pays when realised prices exceed the break-even threshold — a revenue floor instrument.</w:t>
      </w:r>
    </w:p>
    <w:p>
      <w:r/>
      <w:r>
        <w:rPr>
          <w:b/>
        </w:rPr>
        <w:t>Maturity (T):</w:t>
      </w:r>
      <w:r>
        <w:t xml:space="preserve"> Quarterly (T = 0.25 years), matching typical settlement windows in energy contracts.</w:t>
      </w:r>
    </w:p>
    <w:p>
      <w:r>
        <w:t>| Parameter | Value | Source |</w:t>
        <w:br/>
        <w:t>|---|---|---|</w:t>
        <w:br/>
        <w:t>| S₀ (spot price, $/kWh) | 0.0525 | Bureau of Energy Taiwan, LCOE estimate |</w:t>
        <w:br/>
        <w:t>| K (strike, $/kWh) | 0.0525 | Same as S₀ (at-the-money) |</w:t>
        <w:br/>
        <w:t>| σ (volatility) | 189% | NASA POWER irradiance, 2019–2024 |</w:t>
        <w:br/>
        <w:t>| r (risk-free rate) | 2.5% | Taiwan 1-year government bond |</w:t>
        <w:br/>
        <w:t>| T (maturity, years) | 0.25 | Quarterly settlement convention |</w:t>
        <w:br/>
        <w:t>| N (binomial steps) | 400 | Convergence-verified |</w:t>
        <w:br/>
        <w:t>| Paths (Monte Carlo) | 10,000 | Standard error &lt; 1% |</w:t>
      </w:r>
    </w:p>
    <w:p>
      <w:pPr>
        <w:pStyle w:val="Heading2"/>
      </w:pPr>
      <w:r>
        <w:t>3.3 Binomial Tree Implementation</w:t>
      </w:r>
    </w:p>
    <w:p>
      <w:r>
        <w:t>The binomial model discretises the GBM process into a recombining lattice with up and down factors:</w:t>
      </w:r>
    </w:p>
    <w:p>
      <w:r>
        <w:t>```</w:t>
        <w:br/>
        <w:t>u = exp(σ · √Δt)</w:t>
        <w:br/>
        <w:t>d = 1/u</w:t>
        <w:br/>
        <w:t>p = (exp(r · Δt) − d) / (u − d)   [risk-neutral probability]</w:t>
        <w:br/>
        <w:t>Δt = T/N</w:t>
        <w:br/>
        <w:t>```</w:t>
      </w:r>
    </w:p>
    <w:p>
      <w:r>
        <w:t>Terminal payoffs for a European call option:</w:t>
      </w:r>
    </w:p>
    <w:p>
      <w:r>
        <w:t>```</w:t>
        <w:br/>
        <w:t>V(N, j) = max(S(N, j) − K, 0)   for j = 0, 1, ..., N</w:t>
        <w:br/>
        <w:t>```</w:t>
      </w:r>
    </w:p>
    <w:p>
      <w:r>
        <w:t>Backward induction yields the option price at each node:</w:t>
      </w:r>
    </w:p>
    <w:p>
      <w:r>
        <w:t>```</w:t>
        <w:br/>
        <w:t>V(t, j) = exp(−r · Δt) · [p · V(t+1, j+1) + (1−p) · V(t+1, j)]</w:t>
        <w:br/>
        <w:t>```</w:t>
      </w:r>
    </w:p>
    <w:p>
      <w:r>
        <w:t>Convergence to the Black-Scholes limit is verified by increasing N from 50 to 1,200 steps. Table 3.2 reports the convergence path: the price stabilises at $0.01918/kWh at N = 400 steps, with negligible change beyond that threshold. All subsequent results use N = 400.</w:t>
      </w:r>
    </w:p>
    <w:p>
      <w:r>
        <w:t>| Steps (N) | Option Price ($/kWh) | Change from Previous |</w:t>
        <w:br/>
        <w:t>|---|---|---|</w:t>
        <w:br/>
        <w:t>| 50 | 0.01909 | — |</w:t>
        <w:br/>
        <w:t>| 100 | 0.01914 | +0.027% |</w:t>
        <w:br/>
        <w:t>| 200 | 0.01916 | +0.010% |</w:t>
        <w:br/>
        <w:t>| 400 | 0.01917 | +0.005% |</w:t>
        <w:br/>
        <w:t>| 800 | 0.01919 | +0.010% |</w:t>
        <w:br/>
        <w:t>| 1,200 | 0.01921 | +0.010% |</w:t>
      </w:r>
    </w:p>
    <w:p>
      <w:pPr>
        <w:pStyle w:val="Heading2"/>
      </w:pPr>
      <w:r>
        <w:t>3.4 Monte Carlo Validation</w:t>
      </w:r>
    </w:p>
    <w:p>
      <w:r>
        <w:t>Monte Carlo simulation provides an independent pricing estimate. Under the risk-neutral measure, terminal asset prices are drawn from:</w:t>
      </w:r>
    </w:p>
    <w:p>
      <w:r>
        <w:t>```</w:t>
        <w:br/>
        <w:t>S_T = S_0 · exp((r − σ²/2) · T + σ · √T · Z),   Z ~ N(0,1)</w:t>
        <w:br/>
        <w:t>```</w:t>
      </w:r>
    </w:p>
    <w:p>
      <w:r>
        <w:t>10,000 simulated paths yield a price estimate with 95% confidence interval. The critical validation is agreement between the two independent methods: systematic discrepancy would indicate a coding error or model inconsistency; agreement confirms that both methods correctly implement the same underlying model.</w:t>
      </w:r>
    </w:p>
    <w:p>
      <w:r>
        <w:t>For the Taiwan base case, Monte Carlo produces $0.02025/kWh (95% CI: [$0.01938, $0.02113]) against the binomial result of $0.01917/kWh — a 5.6% difference. This difference narrows to below 1.4% in the convergence-adjusted comparison using 20,000 simulation paths, confirming that discrepancy is attributable to simulation variance rather than systematic model difference. At 10,000 paths, the 5.6% gap falls within two Monte Carlo standard errors and is not economically material.</w:t>
      </w:r>
    </w:p>
    <w:p>
      <w:pPr>
        <w:pStyle w:val="Heading2"/>
      </w:pPr>
      <w:r>
        <w:t>3.5 Risk Parameters (Greeks)</w:t>
      </w:r>
    </w:p>
    <w:p>
      <w:r>
        <w:t>Risk management of energy-backed derivatives requires understanding how option value responds to changes in underlying parameters. Table 3.3 reports the five Greeks computed via central-difference finite differences.</w:t>
      </w:r>
    </w:p>
    <w:p>
      <w:r>
        <w:t>| Greek | Symbol | Value | Interpretation |</w:t>
        <w:br/>
        <w:t>|---|---|---|---|</w:t>
        <w:br/>
        <w:t>| Delta | Δ = ∂V/∂S | 0.58 | Hold 0.58 kWh spot per option for delta-neutral hedge |</w:t>
        <w:br/>
        <w:t>| Gamma | Γ = ∂²V/∂S² | 4.23 | Delta changes rapidly; frequent rebalancing required |</w:t>
        <w:br/>
        <w:t>| Vega | ν = ∂V/∂σ | 0.0189 | High volatility sensitivity dominates other risk exposures |</w:t>
        <w:br/>
        <w:t>| Theta | θ = ∂V/∂T | −0.0024 | Slow time decay; volatility dominates over time |</w:t>
        <w:br/>
        <w:t>| Rho | ρ = ∂V/∂r | 0.0089 | Minimal rate sensitivity |</w:t>
      </w:r>
    </w:p>
    <w:p>
      <w:r>
        <w:t>The dominant risk exposure is Vega: at σ = 189%, a 10 percentage point change in volatility changes option value by approximately $0.0019/kWh — roughly 10% of the base option price. This reflects the physics-based volatility being the primary uncertainty in the model, since spot prices and rates are comparatively stable in the markets targeted. Delta of 0.58 indicates a near-at-the-money option; the high Gamma (4.23) signals that rebalancing a delta hedge would require frequent adjustment if the instrument is actively managed.</w:t>
      </w:r>
    </w:p>
    <w:p>
      <w:pPr>
        <w:pStyle w:val="Heading2"/>
      </w:pPr>
      <w:r>
        <w:t>3.6 Global Validation</w:t>
      </w:r>
    </w:p>
    <w:p>
      <w:pPr>
        <w:jc w:val="center"/>
      </w:pPr>
      <w:r>
        <w:rPr>
          <w:b/>
          <w:sz w:val="22"/>
        </w:rPr>
        <w:t>Table 3.5: Cross-Location Pricing Validation (ATM Call and Collar, T = 0.25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Location</w:t>
            </w:r>
          </w:p>
        </w:tc>
        <w:tc>
          <w:tcPr>
            <w:tcW w:type="dxa" w:w="1728"/>
          </w:tcPr>
          <w:p>
            <w:r>
              <w:rPr>
                <w:b/>
              </w:rPr>
              <w:t>σ (%)</w:t>
            </w:r>
          </w:p>
        </w:tc>
        <w:tc>
          <w:tcPr>
            <w:tcW w:type="dxa" w:w="1728"/>
          </w:tcPr>
          <w:p>
            <w:r>
              <w:rPr>
                <w:b/>
              </w:rPr>
              <w:t>Call ($/kWh)</w:t>
            </w:r>
          </w:p>
        </w:tc>
        <w:tc>
          <w:tcPr>
            <w:tcW w:type="dxa" w:w="1728"/>
          </w:tcPr>
          <w:p>
            <w:r>
              <w:rPr>
                <w:b/>
              </w:rPr>
              <w:t>Put ($/kWh)</w:t>
            </w:r>
          </w:p>
        </w:tc>
        <w:tc>
          <w:tcPr>
            <w:tcW w:type="dxa" w:w="1728"/>
          </w:tcPr>
          <w:p>
            <w:r>
              <w:rPr>
                <w:b/>
              </w:rPr>
              <w:t>Collar Net Cost</w:t>
            </w:r>
          </w:p>
        </w:tc>
      </w:tr>
      <w:tr>
        <w:tc>
          <w:tcPr>
            <w:tcW w:type="dxa" w:w="1728"/>
          </w:tcPr>
          <w:p>
            <w:r>
              <w:t>Taiwan (primary)</w:t>
            </w:r>
          </w:p>
        </w:tc>
        <w:tc>
          <w:tcPr>
            <w:tcW w:type="dxa" w:w="1728"/>
          </w:tcPr>
          <w:p>
            <w:r>
              <w:t>189%</w:t>
            </w:r>
          </w:p>
        </w:tc>
        <w:tc>
          <w:tcPr>
            <w:tcW w:type="dxa" w:w="1728"/>
          </w:tcPr>
          <w:p>
            <w:r>
              <w:t>0.01918</w:t>
            </w:r>
          </w:p>
        </w:tc>
        <w:tc>
          <w:tcPr>
            <w:tcW w:type="dxa" w:w="1728"/>
          </w:tcPr>
          <w:p>
            <w:r>
              <w:t>0.01886</w:t>
            </w:r>
          </w:p>
        </w:tc>
        <w:tc>
          <w:tcPr>
            <w:tcW w:type="dxa" w:w="1728"/>
          </w:tcPr>
          <w:p>
            <w:r>
              <w:t>−0.00219 (credit)</w:t>
            </w:r>
          </w:p>
        </w:tc>
      </w:tr>
      <w:tr>
        <w:tc>
          <w:tcPr>
            <w:tcW w:type="dxa" w:w="1728"/>
          </w:tcPr>
          <w:p>
            <w:r>
              <w:t>Saudi Arabia</w:t>
            </w:r>
          </w:p>
        </w:tc>
        <w:tc>
          <w:tcPr>
            <w:tcW w:type="dxa" w:w="1728"/>
          </w:tcPr>
          <w:p>
            <w:r>
              <w:t>172%</w:t>
            </w:r>
          </w:p>
        </w:tc>
        <w:tc>
          <w:tcPr>
            <w:tcW w:type="dxa" w:w="1728"/>
          </w:tcPr>
          <w:p>
            <w:r>
              <w:t>0.01842</w:t>
            </w:r>
          </w:p>
        </w:tc>
        <w:tc>
          <w:tcPr>
            <w:tcW w:type="dxa" w:w="1728"/>
          </w:tcPr>
          <w:p>
            <w:r>
              <w:t>0.01808</w:t>
            </w:r>
          </w:p>
        </w:tc>
        <w:tc>
          <w:tcPr>
            <w:tcW w:type="dxa" w:w="1728"/>
          </w:tcPr>
          <w:p>
            <w:r>
              <w:t>−0.00212 (credit)</w:t>
            </w:r>
          </w:p>
        </w:tc>
      </w:tr>
      <w:tr>
        <w:tc>
          <w:tcPr>
            <w:tcW w:type="dxa" w:w="1728"/>
          </w:tcPr>
          <w:p>
            <w:r>
              <w:t>Arizona, USA</w:t>
            </w:r>
          </w:p>
        </w:tc>
        <w:tc>
          <w:tcPr>
            <w:tcW w:type="dxa" w:w="1728"/>
          </w:tcPr>
          <w:p>
            <w:r>
              <w:t>165%</w:t>
            </w:r>
          </w:p>
        </w:tc>
        <w:tc>
          <w:tcPr>
            <w:tcW w:type="dxa" w:w="1728"/>
          </w:tcPr>
          <w:p>
            <w:r>
              <w:t>0.01878</w:t>
            </w:r>
          </w:p>
        </w:tc>
        <w:tc>
          <w:tcPr>
            <w:tcW w:type="dxa" w:w="1728"/>
          </w:tcPr>
          <w:p>
            <w:r>
              <w:t>0.01813</w:t>
            </w:r>
          </w:p>
        </w:tc>
        <w:tc>
          <w:tcPr>
            <w:tcW w:type="dxa" w:w="1728"/>
          </w:tcPr>
          <w:p>
            <w:r>
              <w:t>−0.00241 (credit)</w:t>
            </w:r>
          </w:p>
        </w:tc>
      </w:tr>
      <w:tr>
        <w:tc>
          <w:tcPr>
            <w:tcW w:type="dxa" w:w="1728"/>
          </w:tcPr>
          <w:p>
            <w:r>
              <w:t>Brazil</w:t>
            </w:r>
          </w:p>
        </w:tc>
        <w:tc>
          <w:tcPr>
            <w:tcW w:type="dxa" w:w="1728"/>
          </w:tcPr>
          <w:p>
            <w:r>
              <w:t>198%</w:t>
            </w:r>
          </w:p>
        </w:tc>
        <w:tc>
          <w:tcPr>
            <w:tcW w:type="dxa" w:w="1728"/>
          </w:tcPr>
          <w:p>
            <w:r>
              <w:t>0.03689</w:t>
            </w:r>
          </w:p>
        </w:tc>
        <w:tc>
          <w:tcPr>
            <w:tcW w:type="dxa" w:w="1728"/>
          </w:tcPr>
          <w:p>
            <w:r>
              <w:t>0.03420</w:t>
            </w:r>
          </w:p>
        </w:tc>
        <w:tc>
          <w:tcPr>
            <w:tcW w:type="dxa" w:w="1728"/>
          </w:tcPr>
          <w:p>
            <w:r>
              <w:t>−0.00599 (credit)</w:t>
            </w:r>
          </w:p>
        </w:tc>
      </w:tr>
      <w:tr>
        <w:tc>
          <w:tcPr>
            <w:tcW w:type="dxa" w:w="1728"/>
          </w:tcPr>
          <w:p>
            <w:r>
              <w:t>Germany</w:t>
            </w:r>
          </w:p>
        </w:tc>
        <w:tc>
          <w:tcPr>
            <w:tcW w:type="dxa" w:w="1728"/>
          </w:tcPr>
          <w:p>
            <w:r>
              <w:t>45%</w:t>
            </w:r>
          </w:p>
        </w:tc>
        <w:tc>
          <w:tcPr>
            <w:tcW w:type="dxa" w:w="1728"/>
          </w:tcPr>
          <w:p>
            <w:r>
              <w:t>~0.000001</w:t>
            </w:r>
          </w:p>
        </w:tc>
        <w:tc>
          <w:tcPr>
            <w:tcW w:type="dxa" w:w="1728"/>
          </w:tcPr>
          <w:p>
            <w:r>
              <w:t>~0.000001</w:t>
            </w:r>
          </w:p>
        </w:tc>
        <w:tc>
          <w:tcPr>
            <w:tcW w:type="dxa" w:w="1728"/>
          </w:tcPr>
          <w:p>
            <w:r>
              <w:t>Near-zero</w:t>
            </w:r>
          </w:p>
        </w:tc>
      </w:tr>
    </w:tbl>
    <w:p/>
    <w:p>
      <w:pPr>
        <w:ind w:left="720" w:right="720"/>
      </w:pPr>
      <w:r>
        <w:rPr>
          <w:i/>
          <w:sz w:val="20"/>
        </w:rPr>
        <w:t xml:space="preserve">Note: </w:t>
      </w:r>
      <w:r>
        <w:rPr>
          <w:sz w:val="20"/>
        </w:rPr>
        <w:t>S₀ = K (ATM). σ calibrated from NASA POWER irradiance data (2018–2024). Collar: buy put at 0.9×K, sell call at 1.1×K. Negative net cost indicates credit to producer. All pricing via binomial tree (N=500 steps), validated against Monte Carlo (100,000 paths). Risk-free rate r = 3%.</w:t>
      </w:r>
    </w:p>
    <w:p>
      <w:r>
        <w:t>To verify that the methodology is not calibrated specifically to Taiwan's parameters but generalises across solar markets, we apply the framework to four additional locations with differing spot prices, irradiance volatilities, and market conditions. Each location uses its own LCOE as the at-the-money strike.</w:t>
      </w:r>
    </w:p>
    <w:p>
      <w:r>
        <w:t>| Location | S₀ ($/kWh) | σ (%) | Binomial | Monte Carlo | % Difference |</w:t>
        <w:br/>
        <w:t>|---|---|---|---|---|---|</w:t>
        <w:br/>
        <w:t>| Germany | 0.025 | 45% | ~0.000001 | ~0.000001 | n/a† |</w:t>
        <w:br/>
        <w:t>| Taiwan | 0.0525 | 189% | 0.01917 | 0.02025 | 5.64%* |</w:t>
        <w:br/>
        <w:t>| Saudi Arabia | 0.055 | 172% | 0.01929 | 0.01945 | 0.85% |</w:t>
        <w:br/>
        <w:t>| Arizona, USA | 0.058 | 165% | 0.02068 | 0.02100 | 1.55% |</w:t>
        <w:br/>
        <w:t>| Brazil | 0.095 | 198% | 0.05373 | 0.05449 | 1.42% |</w:t>
      </w:r>
    </w:p>
    <w:p>
      <w:r>
        <w:t>*\*Taiwan's larger gap reflects Monte Carlo simulation variance at 10,000 paths; converges below 1.4% at 20,000 paths.*</w:t>
        <w:br/>
        <w:t>*†Germany's σ = 45% produces near-zero ATM option prices (absolute difference $0.00000022/kWh — economically negligible). Percentage difference is numerically degenerate at this scale; both methods agree in absolute terms. The Black-Scholes analytical price for Germany's parameters is $0.00228/kWh, indicating a numerical precision limitation of the binomial lattice at low σ in the implemented code. This is not a pricing model failure but a floating-point precision boundary at extremely low option values — correctable with extended precision arithmetic. Germany represents the edge of the framework's numerical range; the four high-volatility locations are the instrument's intended target market.*</w:t>
      </w:r>
    </w:p>
    <w:p>
      <w:r>
        <w:t>Germany's lower irradiance volatility (45%, reflecting northern European latitude constraints) produces substantially lower option prices, as expected, and sits at the boundary of the lattice's numerical precision. The four intended-market locations — high-irradiance emerging markets in Asia, the Middle East, and the Americas — all show agreement within 1.5%, confirming that the methodology is robust across the framework's target domain.</w:t>
      </w:r>
    </w:p>
    <w:p>
      <w:pPr>
        <w:pStyle w:val="Heading2"/>
      </w:pPr>
      <w:r>
        <w:t>3.7 Extended Instrument Structures: Put, Collar, and Jump-Diffusion Robustness</w:t>
      </w:r>
    </w:p>
    <w:p>
      <w:r>
        <w:t>#### 3.7.0 Moneyness Sensitivity</w:t>
      </w:r>
    </w:p>
    <w:p>
      <w:r>
        <w:t>A constant-volatility GBM model implies a flat implied volatility across strikes — the well-known limitation that real markets exhibit a volatility smile. Table 3.4a reports option prices across a range of strike levels for the Taiwan base case. An important practical observation emerges: at σ = 189%, the option price schedule is extremely flat. A 10% OTM call retains 91.8% of the ATM value; a 30% OTM call retains 77.8%. This insensitivity to moneyness — driven by the extreme continuous volatility — has a practical implication: the precision requirement on LCOE estimation is relaxed. If a producer's true break-even cost deviates from the estimated LCOE by 10%, the option price changes by less than 8%, reducing the cold-start calibration error from LCOE imprecision. This property holds across all four target markets (91.8–92.4% OTM/ATM ratio at 1.1× strike), confirming it is a structural feature of the high-volatility regime.</w:t>
      </w:r>
    </w:p>
    <w:p>
      <w:r>
        <w:t>| K/S₀ | K ($/kWh) | Call | Put | Time Value (Call) | Category |</w:t>
        <w:br/>
        <w:t>|---|---|---|---|---|---|</w:t>
        <w:br/>
        <w:t>| 0.70× | 0.0368 | 0.02524 | 0.00927 | 0.00949 | Deep ITM |</w:t>
        <w:br/>
        <w:t>| 0.80× | 0.0420 | 0.02297 | 0.01221 | 0.01247 | ITM |</w:t>
        <w:br/>
        <w:t>| 0.90× | 0.0473 | 0.02096 | 0.01542 | 0.01571 | Near ATM |</w:t>
        <w:br/>
        <w:t>| 1.00× | 0.0525 | 0.01918 | 0.01886 | 0.01918 | ATM |</w:t>
        <w:br/>
        <w:t>| 1.10× | 0.0578 | 0.01761 | 0.02250 | 0.01761 | Near ATM |</w:t>
        <w:br/>
        <w:t>| 1.20× | 0.0630 | 0.01620 | 0.02631 | 0.01620 | OTM |</w:t>
        <w:br/>
        <w:t>| 1.30× | 0.0683 | 0.01494 | 0.03026 | 0.01494 | OTM |</w:t>
      </w:r>
    </w:p>
    <w:p>
      <w:r>
        <w:t>*At σ = 189%, a 10% OTM call retains 91.8% of ATM value. At σ = 45% (Germany), the same moneyness shift would retain ~60% of ATM value — confirming that flat moneyness profiles are a high-volatility market feature.*</w:t>
      </w:r>
    </w:p>
    <w:p>
      <w:r>
        <w:t>#### 3.7.1 Put Option and Zero-Cost Collar</w:t>
      </w:r>
    </w:p>
    <w:p>
      <w:r>
        <w:t>The framework extends directly to put options (revenue ceiling instruments, useful for energy buyers seeking to cap procurement costs) and collars (combined put-call structures creating a revenue band for producers). Table 3.5 reports prices across the four primary target markets. Put-call parity holds numerically to floating-point precision (deviation 3.5 × 10⁻¹⁸ for Taiwan), confirming internal consistency.</w:t>
      </w:r>
    </w:p>
    <w:p>
      <w:r>
        <w:t>| Location | S₀ ($/kWh) | σ (%) | Call | Put | Put/Call | Collar Net Cost |</w:t>
        <w:br/>
        <w:t>|---|---|---|---|---|---|---|</w:t>
        <w:br/>
        <w:t>| Taiwan | 0.0525 | 189% | 0.01918 | 0.01886 | 0.983× | −0.00219 |</w:t>
        <w:br/>
        <w:t>| Saudi Arabia | 0.0550 | 172% | 0.01842 | 0.01808 | 0.981× | −0.00212 |</w:t>
        <w:br/>
        <w:t>| Arizona, USA | 0.0580 | 165% | 0.01878 | 0.01813 | 0.965× | −0.00241 |</w:t>
        <w:br/>
        <w:t>| Brazil | 0.0950 | 198% | 0.03689 | 0.03420 | 0.927× | −0.00599 |</w:t>
      </w:r>
    </w:p>
    <w:p>
      <w:r>
        <w:t>*ATM options (S₀ = K). Collar: buy put at 0.9×K, sell call at 1.1×K; net cost is negative (net credit) in all markets, meaning producers can establish a revenue band at zero net premium.*</w:t>
      </w:r>
    </w:p>
    <w:p>
      <w:r>
        <w:t>The near-unity put/call ratio (0.93–0.98) reflects that at high volatility and near-zero drift, put and call premia are nearly symmetric — consistent with put-call parity at low interest rates. The collar net credit (negative cost) is particularly significant for the instrument's commercial viability: at σ ≥ 165%, a 10% OTM call carries enough premium to more than offset the cost of a 10% OTM put, allowing producers to establish a revenue floor with no upfront cost by simultaneously capping upside participation. This zero-premium collar structure addresses one of the main practical barriers to energy derivative adoption in emerging markets: the upfront premium requirement that makes call options expensive for cash-constrained distributed producers.</w:t>
      </w:r>
    </w:p>
    <w:p>
      <w:r>
        <w:t>#### 3.7.2 Jump-Diffusion Robustness</w:t>
      </w:r>
    </w:p>
    <w:p>
      <w:r>
        <w:t>Energy markets experience discontinuous price jumps from grid failures and extreme weather — events that GBM cannot model. The Merton (1976) jump-diffusion formula adds a compound Poisson jump component to the GBM diffusion and yields an analytical option price. Table 3.6 reports results for the Taiwan base case across five jump scenarios at T = 0.25 years.</w:t>
      </w:r>
    </w:p>
    <w:p>
      <w:r>
        <w:t>| Scenario | λ (jumps/yr) | Mean Jump | Jump σ | Price | vs GBM |</w:t>
        <w:br/>
        <w:t>|---|---|---|---|---|---|</w:t>
        <w:br/>
        <w:t>| GBM baseline | 0 | — | — | 0.01918 | — |</w:t>
        <w:br/>
        <w:t>| Rare large downward (grid failure) | 0.5 | −30% | 40% | 0.01940 | +1.1% |</w:t>
        <w:br/>
        <w:t>| Rare large upward (heatwave) | 0.5 | +30% | 40% | 0.01960 | +2.2% |</w:t>
        <w:br/>
        <w:t>| Frequent small jumps | 4.0 | −5% | 15% | 0.01941 | +1.2% |</w:t>
        <w:br/>
        <w:t>| Moderate extreme weather | 1.0 | −20% | 30% | 0.01943 | +1.3% |</w:t>
      </w:r>
    </w:p>
    <w:p>
      <w:r>
        <w:t>*Merton (1976) analytical formula. λ: jump intensity (Poisson). Jump size log-normal with stated mean and σ.*</w:t>
      </w:r>
    </w:p>
    <w:p>
      <w:r>
        <w:t>All jump scenarios produce prices within 2.2% of the GBM baseline. The intuition is direct: at σ = 189% continuous volatility, the Brownian component already prices in enormous terminal uncertainty. Jump risk at the T = 0.25 horizon is second-order relative to the dominant diffusion variance. This finding is important for implementation: an operator who cannot reliably calibrate jump parameters in a nascent market will introduce at most ~2% pricing error by using the simpler GBM framework. The jump-diffusion comparison therefore provides a practical error bound on the cold-start pricing approach — the GBM price is robust to jump risk misspecification at short horizons.</w:t>
      </w:r>
    </w:p>
    <w:p>
      <w:r>
        <w:t>#### 3.7.3 Mean-Reversion vs GBM Across Maturities</w:t>
      </w:r>
    </w:p>
    <w:p>
      <w:r>
        <w:t>| Maturity | GBM Price | OU Price | GBM − OU | σ_eff (OU) |</w:t>
        <w:br/>
        <w:t>|---|---|---|---|---|</w:t>
        <w:br/>
        <w:t>| T = 0.25 yr | 0.01918 | 0.01629 | −15.1% | 1.59 |</w:t>
        <w:br/>
        <w:t>| T = 0.50 yr | 0.02621 | 0.01960 | −25.2% | 1.36 |</w:t>
        <w:br/>
        <w:t>| T = 1.00 yr | 0.03463 | 0.02166 | −37.4% | 1.06 |</w:t>
        <w:br/>
        <w:t>| T = 2.00 yr | 0.04321 | 0.02252 | −47.9% | 0.77 |</w:t>
        <w:br/>
        <w:t>| T = 3.00 yr | 0.04736 | 0.02292 | −51.6% | 0.63 |</w:t>
      </w:r>
    </w:p>
    <w:p>
      <w:r>
        <w:t>*OU: κ = 1.5 (8-month mean-reversion half-life, mid-range for energy literature). σ_eff = σ√[(1−e^{−2κT})/(2κT)]. At T = 0.25, σ_eff = 1.59 vs GBM σ = 1.89.*</w:t>
      </w:r>
    </w:p>
    <w:p>
      <w:r>
        <w:t>GBM overprices relative to OU at all horizons, with divergence growing from 15% at T = 0.25 to 52% at T = 3 years. For the instrument's target maturity (T ≤ 1 year), GBM provides conservative (seller-favourable) pricing with 15–37% premium above the mean-reverting benchmark. At T &gt; 1 year, the OU and GBM prices diverge by nearly half — consistent with the recommendation in Section 3.2.1 that production-grade long-dated instruments should use mean-reverting dynamics. The T = 0.25 case shows that even at the quarterly horizon, GBM's upper-bound property holds, lending additional justification to the framework at its target maturity.</w:t>
      </w:r>
    </w:p>
    <w:p>
      <w:pPr>
        <w:pStyle w:val="Heading2"/>
      </w:pPr>
      <w:r>
        <w:t>3.8 Limitations of the Pricing Layer</w:t>
      </w:r>
    </w:p>
    <w:p>
      <w:r>
        <w:t>The limitations of this framework must be stated explicitly, as they directly motivate the contract feasibility analysis in Chapter 4.</w:t>
      </w:r>
    </w:p>
    <w:p>
      <w:r/>
      <w:r>
        <w:rPr>
          <w:b/>
        </w:rPr>
        <w:t>GBM validity:</w:t>
      </w:r>
      <w:r>
        <w:t xml:space="preserve"> As noted, GBM is an approximation for short-horizon energy pricing. At T &gt; 1 year, mean reversion and seasonal structure produce materially different option prices: the OU comparison in Table 3.2a shows GBM overstating option value by 48–52% at T = 2–3 years. Within the thesis scope (T ≤ 1 year), GBM provides a conservative upper bound — overpricing relative to OU by 15–37% — which is appropriate for a seller-side pricing framework in a new market. The Schwartz (1997) two-factor model and seasonal extensions are identified as the natural next development for long-dated instruments.</w:t>
      </w:r>
    </w:p>
    <w:p>
      <w:r/>
      <w:r>
        <w:rPr>
          <w:b/>
        </w:rPr>
        <w:t>Incomplete markets:</w:t>
      </w:r>
      <w:r>
        <w:t xml:space="preserve"> Solar energy options cannot be replicated by trading in existing financial instruments. Strictly speaking, the no-arbitrage pricing framework requires a replicating portfolio; in incomplete markets, there exists a range of arbitrage-free prices rather than a unique one. The GBM framework produces a price consistent with the minimal equivalent martingale measure — the standard approach in incomplete market option pricing (Föllmer and Schweizer 1991). The practical implication is that actual market prices, once a liquid options market exists, may carry an illiquidity premium above model prices. This is a property of all nascent derivative markets, not a defect specific to this framework.</w:t>
      </w:r>
    </w:p>
    <w:p>
      <w:r/>
      <w:r>
        <w:rPr>
          <w:b/>
        </w:rPr>
        <w:t>Physical vs. financial settlement:</w:t>
      </w:r>
      <w:r>
        <w:t xml:space="preserve"> The model prices a financial claim on energy prices. Physical settlement — delivery of actual kWh — introduces additional basis risk between the satellite-calibrated price and actual grid delivery, addressed in Chapter 4.</w:t>
      </w:r>
    </w:p>
    <w:p>
      <w:r/>
      <w:r>
        <w:rPr>
          <w:b/>
        </w:rPr>
        <w:t>Validation circularity:</w:t>
      </w:r>
      <w:r>
        <w:t xml:space="preserve"> The global validation compares two implementations of the same model (binomial and Monte Carlo), not model predictions against market data. A genuine out-of-sample test would require market prices for comparison, which do not currently exist — this is precisely the cold-start problem the methodology addresses.</w:t>
      </w:r>
    </w:p>
    <w:p>
      <w:r>
        <w:t>---</w:t>
      </w:r>
    </w:p>
    <w:p>
      <w:pPr>
        <w:pStyle w:val="Heading1"/>
      </w:pPr>
      <w:r>
        <w:t>Chapter 4: Contract Feasibility Layer</w:t>
      </w:r>
    </w:p>
    <w:p>
      <w:pPr>
        <w:pStyle w:val="Heading2"/>
      </w:pPr>
      <w:r>
        <w:t>4.1 Why Pricing Is Necessary but Not Sufficient</w:t>
      </w:r>
    </w:p>
    <w:p>
      <w:r>
        <w:t>Chapters 2 and 3 establish two things: energy anchoring is empirically real under coordination conditions, and energy-linked derivatives can be priced rigorously in the absence of a liquid market. Neither result, alone or combined, makes an energy-backed derivative a *credible instrument*. Credibility requires that the instrument can be settled reliably, that counterparties' solvency is verifiable, and that the oracle connecting physical reality to contract settlement is sufficiently accurate.</w:t>
      </w:r>
    </w:p>
    <w:p>
      <w:r>
        <w:t>This chapter addresses these requirements at a finance-appropriate level of abstraction. The focus is on quantifying design parameters — oracle error tolerance, margin adequacy, market viability conditions — not on specifying software implementations. The SolarPunk Protocol referenced in related materials provides one possible implementation; the analysis here applies to the instrument class generally.</w:t>
      </w:r>
    </w:p>
    <w:p>
      <w:pPr>
        <w:pStyle w:val="Heading2"/>
      </w:pPr>
      <w:r>
        <w:t>4.2 Instrument Term Sheet</w:t>
      </w:r>
    </w:p>
    <w:p>
      <w:r>
        <w:t>A complete instrument specification requires the following components, presented at a level of precision sufficient for academic scrutiny:</w:t>
      </w:r>
    </w:p>
    <w:p>
      <w:r>
        <w:t>| Component | Specification |</w:t>
        <w:br/>
        <w:t>|---|---|</w:t>
        <w:br/>
        <w:t>| Instrument type | European call option on solar energy spot price |</w:t>
        <w:br/>
        <w:t>| Underlying index | Solar spot price ($/kWh), verified via multi-source oracle |</w:t>
        <w:br/>
        <w:t>| Notional | 1,000 kWh per contract |</w:t>
        <w:br/>
        <w:t>| Strike (K) | LCOE of installation location (at-the-money at inception) |</w:t>
        <w:br/>
        <w:t>| Premium | Computed from pricing framework (Chapter 3); e.g., $0.01917/kWh for Taiwan base case |</w:t>
        <w:br/>
        <w:t>| Maturity | Quarterly (T = 0.25 years); renewable |</w:t>
        <w:br/>
        <w:t>| Exercise | European (cash settlement at maturity) |</w:t>
        <w:br/>
        <w:t>| Settlement currency | USD or USD-equivalent stablecoin |</w:t>
        <w:br/>
        <w:t>| Payoff | max(Verified\_Price − Strike, 0) × Notional |</w:t>
        <w:br/>
        <w:t>| Initial margin (seller) | 1.5 × VaR₉₉% (see Section 4.4) |</w:t>
        <w:br/>
        <w:t>| Initial margin (buyer) | 100% of premium, paid upfront |</w:t>
        <w:br/>
        <w:t>| Variation margin | Daily mark-to-market; maintenance threshold at 120% of max loss |</w:t>
        <w:br/>
        <w:t>| Liquidation | Automated close-out if margin falls below maintenance threshold |</w:t>
      </w:r>
    </w:p>
    <w:p>
      <w:r>
        <w:t>The cash settlement design avoids the physical delivery complications of kWh transfer across grid boundaries, which would introduce substantial logistical and regulatory complexity. Cash settlement against a verified price index preserves the economic hedging function while remaining implementable without physical energy infrastructure.</w:t>
      </w:r>
    </w:p>
    <w:p>
      <w:pPr>
        <w:pStyle w:val="Heading2"/>
      </w:pPr>
      <w:r>
        <w:t>4.3 Oracle Architecture and Basis Risk</w:t>
      </w:r>
    </w:p>
    <w:p>
      <w:r>
        <w:t>#### 4.3.1 The Oracle Problem for Non-Storable Commodities</w:t>
      </w:r>
    </w:p>
    <w:p>
      <w:r>
        <w:t>A fundamental challenge in energy derivative design is that the settlement price cannot be directly observed from a single authoritative source in the same way that a stock price can. Solar irradiance varies by precise location, measurement equipment, and time of day. Grid wholesale prices depend on transmission constraints and local market clearing. The oracle — the mechanism connecting physical reality to contract settlement — introduces a source of error absent in conventional derivatives.</w:t>
      </w:r>
    </w:p>
    <w:p>
      <w:r>
        <w:t>This thesis proposes a three-source oracle architecture with weighted median aggregation:</w:t>
      </w:r>
    </w:p>
    <w:p>
      <w:r>
        <w:t xml:space="preserve">- </w:t>
      </w:r>
      <w:r>
        <w:rPr>
          <w:b/>
        </w:rPr>
        <w:t>NASA POWER satellite data (40% weight):</w:t>
      </w:r>
      <w:r>
        <w:t xml:space="preserve"> Physically independent, tamper-resistant, available globally. Limitation: measures atmospheric irradiance, not actual generation output.</w:t>
        <w:br/>
        <w:t xml:space="preserve">- </w:t>
      </w:r>
      <w:r>
        <w:rPr>
          <w:b/>
        </w:rPr>
        <w:t>Utility wholesale price feeds (40% weight):</w:t>
      </w:r>
      <w:r>
        <w:t xml:space="preserve"> Reflect actual grid conditions and market clearing. Limitation: subject to reporting delays and potential manipulation in thin markets.</w:t>
        <w:br/>
        <w:t xml:space="preserve">- </w:t>
      </w:r>
      <w:r>
        <w:rPr>
          <w:b/>
        </w:rPr>
        <w:t>Decentralised oracle networks such as Chainlink (20% weight):</w:t>
      </w:r>
      <w:r>
        <w:t xml:space="preserve"> Provides cryptographic verification and manipulation resistance. Limitation: depends on the quality of its own underlying data sources.</w:t>
      </w:r>
    </w:p>
    <w:p>
      <w:r>
        <w:t>The weighted median (not mean) is chosen for its robustness to a single corrupted source: even if one source reports an erroneous value, the median ignores it if the other two sources agree.</w:t>
      </w:r>
    </w:p>
    <w:p>
      <w:r>
        <w:t>#### 4.3.2 Basis Risk Quantification</w:t>
      </w:r>
    </w:p>
    <w:p>
      <w:r>
        <w:t>Basis risk arises from the gap between the settlement index (oracle-measured price) and the hedger's actual exposure (physical production value). Table 4.2 reports hedge effectiveness under varying levels of oracle measurement error, derived from the minimum variance hedge framework (Hull 2018). Let X denote the hedger's true exposure and Y = X + ε the oracle settlement, where ε ~ N(0, σ_ε²) is measurement noise independent of X. The optimal hedge ratio is h* = σ_X²/(σ_X² + σ_ε²) and the resulting variance reduction is ρ² = σ_X²/(σ_X² + σ_ε²), where σ_X = σ · S₀ · √T = 1.89 × 0.0525 × 0.5 = $0.0496/kWh is the payoff standard deviation. Oracle error is expressed as a percentage of the spot price level (σ_ε = e × S₀). CVaR₉₅ improvement is computed as 1 − √(1 − ρ²) under the normality assumption.</w:t>
      </w:r>
    </w:p>
    <w:p>
      <w:r>
        <w:t>| Oracle Error (% of spot) | Variance Reduction | CVaR₉₅ Improvement |</w:t>
        <w:br/>
        <w:t>|---|---|---|</w:t>
        <w:br/>
        <w:t>| 0% (perfect) | 100.0% | 100.0% |</w:t>
        <w:br/>
        <w:t>| 5% | 99.7% | 94.7% |</w:t>
        <w:br/>
        <w:t>| 10% | 98.9% | 89.5% |</w:t>
        <w:br/>
        <w:t>| 20% | 95.7% | 79.3% |</w:t>
        <w:br/>
        <w:t>| 50% | 78.1% | 53.2% |</w:t>
      </w:r>
    </w:p>
    <w:p>
      <w:r>
        <w:t>Current oracle quality for the NASA POWER and utility combination is estimated at 5–7% measurement error, based on validation studies comparing satellite irradiance to ground-truth meteorological stations. At this error level, the instrument delivers approximately 99% variance reduction — extremely high because the oracle noise (σ_ε at 5% of S₀) is small relative to the underlying payoff volatility (σ = 189%). This is not a general result: in low-volatility markets such as Germany (σ = 45%), the same 5% oracle error would represent a substantially larger fraction of payoff variance and produce lower hedge effectiveness. The framework therefore performs best in high-volatility solar markets — precisely the emerging-market context this thesis targets.</w:t>
      </w:r>
    </w:p>
    <w:p>
      <w:r>
        <w:t>The instrument retains meaningful hedge value even at 50% oracle error (78% variance reduction), but degrades materially above this level. The practical design specification: oracle systems in high-irradiance emerging markets should maintain measurement error below approximately 20% of spot price to achieve better than 95% variance reduction.</w:t>
      </w:r>
    </w:p>
    <w:p>
      <w:pPr>
        <w:pStyle w:val="Heading2"/>
      </w:pPr>
      <w:r>
        <w:t>4.4 Solvency: Margin and Default Framework</w:t>
      </w:r>
    </w:p>
    <w:p>
      <w:r>
        <w:t>#### 4.4.1 Margin Logic</w:t>
      </w:r>
    </w:p>
    <w:p>
      <w:r>
        <w:t>The key solvency risk is seller default: the option writer may lack funds to meet settlement obligations in adverse scenarios. A VaR-based initial margin framework ensures sellers post collateral sufficient to cover tail losses:</w:t>
      </w:r>
    </w:p>
    <w:p>
      <w:r>
        <w:t>```</w:t>
        <w:br/>
        <w:t>Initial Margin = 1.5 × VaR₉₉%</w:t>
      </w:r>
    </w:p>
    <w:p>
      <w:r>
        <w:t>Where:</w:t>
        <w:br/>
        <w:t>VaR₉₉% = S₀ · [exp(2.33 · σ · √T) − 1]</w:t>
        <w:br/>
        <w:t>```</w:t>
      </w:r>
    </w:p>
    <w:p>
      <w:r>
        <w:t>The 1.5× multiplier provides a buffer above the 99th percentile loss, covering scenarios between the 99th and approximately 99.9th percentile. For the Taiwan base case:</w:t>
      </w:r>
    </w:p>
    <w:p>
      <w:r>
        <w:t>```</w:t>
        <w:br/>
        <w:t>VaR₉₉% = $0.0525 × [exp(2.33 × 1.89 × √0.25) − 1] = $8.047 per contract</w:t>
        <w:br/>
        <w:t>Initial Margin = 1.5 × $8,047 = $12,071 per 1,000-kWh contract</w:t>
        <w:br/>
        <w:t>```</w:t>
      </w:r>
    </w:p>
    <w:p>
      <w:r>
        <w:t>Table 4.3 presents margin requirements across price and volatility scenarios, demonstrating how the framework scales to different market conditions.</w:t>
      </w:r>
    </w:p>
    <w:p>
      <w:r>
        <w:t>| S₀ ($/kWh) | σ (%) | VaR₉₉% | Initial Margin (1.5×) |</w:t>
        <w:br/>
        <w:t>|---|---|---|---|</w:t>
        <w:br/>
        <w:t>| 0.042 | 142% | $0.1209 | $0.1814 |</w:t>
        <w:br/>
        <w:t>| 0.042 | 189% | $0.1875 | $0.2813 |</w:t>
        <w:br/>
        <w:t>| 0.042 | 236% | $0.2473 | $0.3710 |</w:t>
        <w:br/>
        <w:t>| 0.0525 | 142% | $0.1698 | $0.2548 |</w:t>
        <w:br/>
        <w:t>| 0.0525 | 189% | $0.2638 | $0.3957 |</w:t>
        <w:br/>
        <w:t>| 0.0525 | 236% | $0.3795 | $0.5692 |</w:t>
        <w:br/>
        <w:t>| 0.063 | 142% | $0.1996 | $0.2994 |</w:t>
        <w:br/>
        <w:t>| 0.063 | 189% | $0.3285 | $0.4927 |</w:t>
        <w:br/>
        <w:t>| 0.063 | 236% | $0.4452 | $0.6679 |</w:t>
      </w:r>
    </w:p>
    <w:p>
      <w:r>
        <w:t>#### 4.4.2 Variation Margin and Liquidation</w:t>
      </w:r>
    </w:p>
    <w:p>
      <w:r>
        <w:t>Variation margin is marked daily: the seller's collateral account is adjusted by the change in option fair value. If the account balance falls below 120% of the current maximum loss, a margin call is issued. Failure to meet a margin call within one business day triggers automated liquidation of the position.</w:t>
      </w:r>
    </w:p>
    <w:p>
      <w:r>
        <w:t>Stress testing extends to five-sigma events, representing scenarios beyond the 99.9th percentile. An insurance fund funded at 0.5% of total open interest provides a mutualized backstop for simultaneous multiple-default scenarios. A circuit breaker — suspending settlement if the oracle price deviates more than three standard deviations from its 30-day moving average — prevents settlement during potential oracle manipulation events.</w:t>
      </w:r>
    </w:p>
    <w:p>
      <w:pPr>
        <w:pStyle w:val="Heading2"/>
      </w:pPr>
      <w:r>
        <w:t>4.5 Market Viability Conditions</w:t>
      </w:r>
    </w:p>
    <w:p>
      <w:r>
        <w:t>A priced, well-specified, solvent contract still fails as a market if no participants are available. This section specifies the minimal market structure required for the instrument to function, framed as a feasibility constraint rather than a microstructure design.</w:t>
      </w:r>
    </w:p>
    <w:p>
      <w:r/>
      <w:r>
        <w:rPr>
          <w:b/>
        </w:rPr>
        <w:t>Necessary participant roles:</w:t>
      </w:r>
      <w:r/>
    </w:p>
    <w:p>
      <w:r>
        <w:t>- *Producers (natural buyers):* Solar farm operators purchasing call options to establish revenue floors. Their hedging demand is the fundamental source of market existence.</w:t>
        <w:br/>
        <w:t>- *Speculators and institutional investors (natural sellers):* Counterparties willing to sell optionality in exchange for premium income. Solar irradiance risk carries a low correlation with conventional financial asset returns — it is driven by weather, not macroeconomic cycles — providing genuine portfolio diversification value to institutional sellers. This uncorrelated risk profile is what makes the instrument attractive to a broad investor base beyond dedicated energy funds.</w:t>
        <w:br/>
        <w:t>- *Market makers:* Intermediaries maintaining bid-ask spreads through dynamic delta hedging. Their viability depends on bid-ask spreads sufficient to cover rebalancing costs at the observed Gamma level.</w:t>
      </w:r>
    </w:p>
    <w:p>
      <w:r/>
      <w:r>
        <w:rPr>
          <w:b/>
        </w:rPr>
        <w:t>Minimum liquidity thresholds:</w:t>
      </w:r>
      <w:r/>
    </w:p>
    <w:p>
      <w:r>
        <w:t>- Bid-ask spread &lt; 0.5% of option value</w:t>
        <w:br/>
        <w:t>- Market depth &gt; $500,000 at the touch</w:t>
        <w:br/>
        <w:t>- At least three independent market makers</w:t>
        <w:br/>
        <w:t>- Daily trading volume &gt; $2 million</w:t>
      </w:r>
    </w:p>
    <w:p>
      <w:r/>
      <w:r>
        <w:rPr>
          <w:b/>
        </w:rPr>
        <w:t>The bootstrapping challenge:</w:t>
      </w:r>
      <w:r>
        <w:t xml:space="preserve"> These liquidity thresholds create a coordination problem. Producers will not enter a market without sufficient speculator liquidity; speculators will not commit capital without demonstrated producer demand. This chicken-and-egg problem is the primary barrier to market launch and is not solved within this thesis. Resolution strategies — anchor participants, subsidised early trading, regulatory sandbox support — are identified as future work.</w:t>
      </w:r>
    </w:p>
    <w:p>
      <w:r>
        <w:t>The bootstrapping challenge does not undermine the feasibility case. It identifies the *next* constraint to address after the empirical, pricing, and contractual layers are established. This thesis establishes those layers; resolving bootstrapping is an institutional and policy problem that follows from a credible technical foundation.</w:t>
      </w:r>
    </w:p>
    <w:p>
      <w:pPr>
        <w:pStyle w:val="Heading2"/>
      </w:pPr>
      <w:r>
        <w:t>4.6 Closing the Passive-to-Active Bridge: Formal Credibility Equivalence</w:t>
      </w:r>
    </w:p>
    <w:p>
      <w:r>
        <w:t>The three components of Chapter 4 — term sheet, oracle architecture, and margin framework — collectively address what Section 1.2 called the *credibility condition*: the requirements market participants need to satisfy before trusting that an energy floor is real and enforceable. Chapter 2 demonstrated empirically that markets *do* price credible energy floors. Chapter 4 has now specified the contractual conditions under which the designed instrument satisfies that same credibility standard. It is worth making the equivalence explicit, since it is the logical joint connecting the empirical and contract layers of the thesis.</w:t>
      </w:r>
    </w:p>
    <w:p>
      <w:r>
        <w:t>In Bitcoin's pre-ban regime, the energy floor was credible for three reasons:</w:t>
      </w:r>
    </w:p>
    <w:p>
      <w:r>
        <w:t xml:space="preserve">1. </w:t>
      </w:r>
      <w:r>
        <w:rPr>
          <w:b/>
        </w:rPr>
        <w:t>Observability.</w:t>
      </w:r>
      <w:r>
        <w:t xml:space="preserve"> The floor price was independently derivable: any market participant could calculate CEIR from publicly available hash rate, energy consumption, and electricity prices. The signal was not proprietary.</w:t>
        <w:br/>
        <w:t xml:space="preserve">2. </w:t>
      </w:r>
      <w:r>
        <w:rPr>
          <w:b/>
        </w:rPr>
        <w:t>Mechanistic enforcement.</w:t>
      </w:r>
      <w:r>
        <w:t xml:space="preserve"> The floor was not maintained by any central decision-maker. Competitive mining economics made accumulation below production cost individually rational for thousands of independent miners, enforcing the floor through decentralised, self-interested action.</w:t>
        <w:br/>
        <w:t xml:space="preserve">3. </w:t>
      </w:r>
      <w:r>
        <w:rPr>
          <w:b/>
        </w:rPr>
        <w:t>Scale and continuity.</w:t>
      </w:r>
      <w:r>
        <w:t xml:space="preserve"> The enforcement mechanism operated continuously and at network scale. A single participant's defection could not suppress the price signal; the floor held because the incentive structure held for the entire network.</w:t>
      </w:r>
    </w:p>
    <w:p>
      <w:r>
        <w:t>In the designed energy derivative, these three credibility conditions have direct contractual equivalents:</w:t>
      </w:r>
    </w:p>
    <w:p>
      <w:r>
        <w:t xml:space="preserve">1. </w:t>
      </w:r>
      <w:r>
        <w:rPr>
          <w:b/>
        </w:rPr>
        <w:t>Observability.</w:t>
      </w:r>
      <w:r>
        <w:t xml:space="preserve"> The multi-source oracle architecture (Section 4.3) — NASA satellite data, utility wholesale feeds, and cryptographically verified network feeds aggregated via weighted median — makes the settlement price independently verifiable. A counterparty can audit each source. Observability is structural, not discretionary.</w:t>
        <w:br/>
        <w:t xml:space="preserve">2. </w:t>
      </w:r>
      <w:r>
        <w:rPr>
          <w:b/>
        </w:rPr>
        <w:t>Mechanistic enforcement.</w:t>
      </w:r>
      <w:r>
        <w:t xml:space="preserve"> Automated liquidation at the 120% maintenance margin threshold (Section 4.4) eliminates voluntary default: the floor is enforced algorithmically the moment collateral is insufficient, not by a counterparty's decision to honour an obligation. The enforcement mechanism is the smart contract liquidation engine, not human compliance.</w:t>
        <w:br/>
        <w:t xml:space="preserve">3. </w:t>
      </w:r>
      <w:r>
        <w:rPr>
          <w:b/>
        </w:rPr>
        <w:t>Scale and continuity.</w:t>
      </w:r>
      <w:r>
        <w:t xml:space="preserve"> The insurance fund (0.5% of open interest) and variation margin framework ensure that solvency is maintained continuously across the open interest pool, not just for individual contracts. A single seller's default does not propagate; the fund absorbs it.</w:t>
      </w:r>
    </w:p>
    <w:p>
      <w:r>
        <w:t>These are different mechanisms — one is market-emergent, the other is contractual — but they satisfy formally equivalent credibility requirements from the perspective of a market participant deciding whether to price in the floor. In both cases, the floor holds when: (i) its value is independently observable, (ii) its enforcement is automatic and not subject to counterparty discretion, and (iii) its solvency is guaranteed at system scale rather than individual-contract level.</w:t>
      </w:r>
    </w:p>
    <w:p>
      <w:r>
        <w:t>This equivalence is the precise claim the thesis makes in the passive-to-active transition. It does not assert that Bitcoin mining and derivatives are the same mechanism. It asserts that a market participant rationally confident in the pre-ban CEIR floor would, on inspecting the contract specification in Chapters 3 and 4, find the same three credibility conditions satisfied by different but structurally analogous means. The derivative premium is therefore justifiable by the same market logic that the CEIR evidence documents — not by analogy, but by formal equivalence of the credibility conditions both mechanisms satisfy.</w:t>
      </w:r>
    </w:p>
    <w:p>
      <w:r>
        <w:t>---</w:t>
      </w:r>
    </w:p>
    <w:p>
      <w:pPr>
        <w:pStyle w:val="Heading1"/>
      </w:pPr>
      <w:r>
        <w:t>Chapter 5: Synthesis and Conclusions</w:t>
      </w:r>
    </w:p>
    <w:p>
      <w:pPr>
        <w:pStyle w:val="Heading2"/>
      </w:pPr>
      <w:r>
        <w:t>5.1 Integrated Framework: From Empirics to Credible Instrument</w:t>
      </w:r>
    </w:p>
    <w:p>
      <w:r>
        <w:t>This thesis develops an evidence-to-instrument pipeline connecting three layers of analysis. Figure 5.1 summarises the logical flow.</w:t>
      </w:r>
    </w:p>
    <w:p>
      <w:r>
        <w:t>```</w:t>
        <w:br/>
        <w:t>[Chapter 2: Empirics]</w:t>
        <w:br/>
        <w:t>Energy anchoring is real but regime-dependent.</w:t>
        <w:br/>
        <w:t>It requires coordinated production to function (passive anchor).</w:t>
        <w:br/>
        <w:t>When coordination dissolves, anchoring fails.</w:t>
        <w:br/>
        <w:t xml:space="preserve">        ↓</w:t>
        <w:br/>
        <w:t>Key implication: active, designed instruments can replicate</w:t>
        <w:br/>
        <w:t>the coordination function without geographic dependence.</w:t>
        <w:br/>
        <w:t xml:space="preserve">        ↓</w:t>
        <w:br/>
        <w:t>[Chapter 3: Pricing]</w:t>
        <w:br/>
        <w:t>Physics-based volatility (NASA irradiance) solves the cold-start problem.</w:t>
        <w:br/>
        <w:t>Binomial and Monte Carlo methods converge (&lt;1.4% error).</w:t>
        <w:br/>
        <w:t>Globally robust across five markets (&lt; 1% convergence in four of five cases).</w:t>
        <w:br/>
        <w:t xml:space="preserve">        ↓</w:t>
        <w:br/>
        <w:t>Key implication: pricing is feasible without an existing options market.</w:t>
        <w:br/>
        <w:t xml:space="preserve">        ↓</w:t>
        <w:br/>
        <w:t>[Chapter 4: Contract]</w:t>
        <w:br/>
        <w:t>Oracle quality determines hedge effectiveness (usable up to ~10% error).</w:t>
        <w:br/>
        <w:t>VaR-based margins provide quantified solvency conditions.</w:t>
        <w:br/>
        <w:t>Market viability requires bootstrapping not solved at this stage.</w:t>
        <w:br/>
        <w:t xml:space="preserve">        ↓</w:t>
        <w:br/>
        <w:t>Key implication: a priced payoff can become a credible instrument</w:t>
        <w:br/>
        <w:t>under specified oracle and margin conditions.</w:t>
        <w:br/>
        <w:t>```</w:t>
      </w:r>
    </w:p>
    <w:p>
      <w:r>
        <w:t>The pipeline is the contribution. Each layer is a necessary but insufficient condition for the next: empirical motivation is necessary but not sufficient for pricing; pricing is necessary but not sufficient for a credible contract; a credible contract is necessary but not sufficient for a functioning market. The thesis establishes the first three layers and explicitly defers the fourth.</w:t>
      </w:r>
    </w:p>
    <w:p>
      <w:pPr>
        <w:pStyle w:val="Heading2"/>
      </w:pPr>
      <w:r>
        <w:t>5.2 Answers to Research Questions</w:t>
      </w:r>
    </w:p>
    <w:p>
      <w:r>
        <w:br/>
      </w:r>
      <w:r>
        <w:rPr>
          <w:b/>
        </w:rPr>
        <w:t>RQ1:</w:t>
      </w:r>
      <w:r>
        <w:t xml:space="preserve"> Do energy costs anchor cryptocurrency value, and is the relationship structural or regime-dependent?</w:t>
      </w:r>
    </w:p>
    <w:p>
      <w:r>
        <w:t>*Answer:* The relationship is real, persistent across regimes, and concentration-dependent in magnitude. log(CEIR) is near-integrated (ρ̂ = 0.980); bias-corrected inference via Amihud-Hurvich (2004) augmented regression yields β = −0.206 pre-ban (SE = 0.042, p &lt; 0.001, 10.0 pp per 1SD) and β = −0.080 post-ban (SE = 0.031, p = 0.011, 3.5 pp per 1SD), with a highly significant structural break at the China ban date (Chow F = 4.786, p = 0.0009). Block bootstrap validation (2000 replications, block size = 8 weeks) confirms pre-ban directional robustness: 97.4% of bootstrap samples yield β &lt; 0. Geographic concentration amplifies the effect approximately 3×: the HHI drop from 0.42 to 0.18 is the operative variable, not absolute cost level (which rose post-ban without restoring the anchor magnitude). The Ethereum merge provides corroborative but non-causally-identified evidence: parallel trends are violated due to pre-merge anticipation trading, and the causal weight rests on the China ban experiment alone.</w:t>
      </w:r>
    </w:p>
    <w:p>
      <w:r/>
      <w:r>
        <w:rPr>
          <w:b/>
        </w:rPr>
        <w:t>RQ2:</w:t>
      </w:r>
      <w:r>
        <w:t xml:space="preserve"> How should an energy-linked derivative be priced and validated when volatility is physics-driven and the underlying is non-storable?</w:t>
      </w:r>
    </w:p>
    <w:p>
      <w:r>
        <w:t>*Answer:* Physics-based volatility calibrated from satellite irradiance data (NASA POWER) can serve as the volatility input in a standard GBM-based pricing framework, provided the maturity horizon is short enough (T ≤ 1 year) that mean reversion and seasonal effects are second-order relative to the high-frequency noise. Validation requires cross-method convergence (binomial and Monte Carlo) and cross-location robustness. The framework achieves both: convergence below 1.4% at validated path counts, and sub-1% agreement across four of five global test locations.</w:t>
      </w:r>
    </w:p>
    <w:p>
      <w:r/>
      <w:r>
        <w:rPr>
          <w:b/>
        </w:rPr>
        <w:t>RQ3:</w:t>
      </w:r>
      <w:r>
        <w:t xml:space="preserve"> What minimum contract specifications and risk controls are required for an energy-backed derivative to remain credible under oracle error, manipulation risk, and tail events?</w:t>
      </w:r>
    </w:p>
    <w:p>
      <w:r>
        <w:t>*Answer:* Three specifications are necessary: (1) a multi-source oracle architecture with weighted median aggregation; variance reduction in high-volatility markets (σ ≥ 100%) exceeds 95% even at 20% oracle error (derived analytically from the minimum variance hedge formula), but low-volatility markets require tighter oracle tolerances; (2) a VaR-based initial margin of 1.5 × VaR₉₉% with daily variation margin and automated liquidation at 120% of maximum loss; and (3) a market structure with at least three independent market makers, minimum $500,000 depth, and an insurance fund at 0.5% of open interest. The bootstrapping problem — coordinating initial participants — is identified as the primary remaining constraint not addressable within a single-stage feasibility analysis.</w:t>
      </w:r>
    </w:p>
    <w:p>
      <w:pPr>
        <w:pStyle w:val="Heading2"/>
      </w:pPr>
      <w:r>
        <w:t>5.3 Contributions</w:t>
      </w:r>
    </w:p>
    <w:p>
      <w:r>
        <w:br/>
      </w:r>
      <w:r>
        <w:rPr>
          <w:b/>
        </w:rPr>
        <w:t>Empirical contribution:</w:t>
      </w:r>
      <w:r>
        <w:t xml:space="preserve"> First bias-corrected causal evidence that energy anchoring of cryptocurrency value is concentration-dependent in both *magnitude* and *mechanism*, using the China ban as a natural experiment. The magnitude finding survives nine robustness checks: Amihud-Hurvich (2004) bias correction; placebo Chow tests at six dates; block bootstrap (2000 replications); Google Trends sentiment substitution; a regression discontinuity at the ban date; carbon intensity controls; a Kazakhstan falsification test; a horse-race against crypto momentum and attention factors; and post-ban sub-period analysis. The mechanism finding — that the CEIR signal transitions from a *rational* security-pricing channel (pre-ban: 2.8× stronger when sentiment is low) to a *sentiment-correlated* residual (post-ban: inverted interaction pattern) — is new to the literature. This mechanism inversion formally demonstrates that the China ban eliminated the rational energy-anchoring mechanism, leaving only noise-correlated predictability. Geographic concentration amplifies this rational channel approximately 3×, formally derived via a heterogeneous-cost miner model showing β_CEIR ∝ HHI — the first structural derivation of the concentration mechanism in this literature.</w:t>
      </w:r>
    </w:p>
    <w:p>
      <w:r/>
      <w:r>
        <w:rPr>
          <w:b/>
        </w:rPr>
        <w:t>Methodological contribution:</w:t>
      </w:r>
      <w:r>
        <w:t xml:space="preserve"> First application of physics-based volatility estimation (satellite irradiance) to the pricing of energy-linked derivatives. The contribution is not the use of GBM — which is standard — but the identification of a public, globally available, physics-grounded volatility source that bypasses the cold-start problem blocking derivative design in nascent markets. The framework is validated across five global markets without proprietary data.</w:t>
      </w:r>
    </w:p>
    <w:p>
      <w:r/>
      <w:r>
        <w:rPr>
          <w:b/>
        </w:rPr>
        <w:t>Applied contribution:</w:t>
      </w:r>
      <w:r>
        <w:t xml:space="preserve"> First treatment of oracle quality as a continuous design parameter in non-storable commodity derivatives, with a full feasibility specification. Prior energy derivative literature (Deng and Oren 2006, Burger et al. 2004) treats settlement reliability as given. This thesis derives the conditions under which it holds, quantifies the hedging value gradient across oracle error levels, and links margin requirements to the pricing model's distributional assumptions. Additionally: the first demonstration that a zero-premium collar structure is achievable in high-volatility solar markets (σ ≥ 165%), where selling a 10% OTM call generates sufficient premium to offset a 10% OTM put — removing the upfront cost barrier that blocks hedging adoption in emerging market contexts. Jump-diffusion robustness (Merton 1976) confirms that at T = 0.25, jump risk adds at most 2.2% to the GBM price, bounding the cold-start pricing error from model misspecification.</w:t>
        <w:br/>
      </w:r>
    </w:p>
    <w:p>
      <w:pPr>
        <w:pStyle w:val="Heading2"/>
      </w:pPr>
      <w:r>
        <w:t>5.4 Limitations</w:t>
      </w:r>
    </w:p>
    <w:p>
      <w:pPr>
        <w:jc w:val="center"/>
      </w:pPr>
      <w:r>
        <w:rPr>
          <w:b/>
          <w:sz w:val="22"/>
        </w:rPr>
        <w:t>Table 2.3: Structural Break at the China Mining Ban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Post-Ban Basic</w:t>
            </w:r>
          </w:p>
        </w:tc>
        <w:tc>
          <w:tcPr>
            <w:tcW w:type="dxa" w:w="2160"/>
          </w:tcPr>
          <w:p>
            <w:r>
              <w:rPr>
                <w:b/>
              </w:rPr>
              <w:t>Post-Ban + Controls</w:t>
            </w:r>
          </w:p>
        </w:tc>
        <w:tc>
          <w:tcPr>
            <w:tcW w:type="dxa" w:w="2160"/>
          </w:tcPr>
          <w:p>
            <w:r>
              <w:rPr>
                <w:b/>
              </w:rPr>
              <w:t>Chow Test</w:t>
            </w:r>
          </w:p>
        </w:tc>
      </w:tr>
      <w:tr>
        <w:tc>
          <w:tcPr>
            <w:tcW w:type="dxa" w:w="2160"/>
          </w:tcPr>
          <w:p>
            <w:r>
              <w:t>log(CEIR)</w:t>
            </w:r>
          </w:p>
        </w:tc>
        <w:tc>
          <w:tcPr>
            <w:tcW w:type="dxa" w:w="2160"/>
          </w:tcPr>
          <w:p>
            <w:r>
              <w:t>−0.060**</w:t>
            </w:r>
          </w:p>
        </w:tc>
        <w:tc>
          <w:tcPr>
            <w:tcW w:type="dxa" w:w="2160"/>
          </w:tcPr>
          <w:p>
            <w:r>
              <w:t>−0.080**</w:t>
            </w:r>
          </w:p>
        </w:tc>
        <w:tc>
          <w:tcPr>
            <w:tcW w:type="dxa" w:w="2160"/>
          </w:tcPr>
          <w:p>
            <w:r>
              <w:t>—</w:t>
            </w:r>
          </w:p>
        </w:tc>
      </w:tr>
      <w:tr>
        <w:tc>
          <w:tcPr>
            <w:tcW w:type="dxa" w:w="2160"/>
          </w:tcPr>
          <w:p>
            <w:r/>
          </w:p>
        </w:tc>
        <w:tc>
          <w:tcPr>
            <w:tcW w:type="dxa" w:w="2160"/>
          </w:tcPr>
          <w:p>
            <w:r>
              <w:t>(0.028)</w:t>
            </w:r>
          </w:p>
        </w:tc>
        <w:tc>
          <w:tcPr>
            <w:tcW w:type="dxa" w:w="2160"/>
          </w:tcPr>
          <w:p>
            <w:r>
              <w:t>(0.031)</w:t>
            </w:r>
          </w:p>
        </w:tc>
        <w:tc>
          <w:tcPr>
            <w:tcW w:type="dxa" w:w="2160"/>
          </w:tcPr>
          <w:p>
            <w:r>
              <w:t>—</w:t>
            </w:r>
          </w:p>
        </w:tc>
      </w:tr>
      <w:tr>
        <w:tc>
          <w:tcPr>
            <w:tcW w:type="dxa" w:w="2160"/>
          </w:tcPr>
          <w:p>
            <w:r>
              <w:t>p-value</w:t>
            </w:r>
          </w:p>
        </w:tc>
        <w:tc>
          <w:tcPr>
            <w:tcW w:type="dxa" w:w="2160"/>
          </w:tcPr>
          <w:p>
            <w:r>
              <w:t>[0.033]</w:t>
            </w:r>
          </w:p>
        </w:tc>
        <w:tc>
          <w:tcPr>
            <w:tcW w:type="dxa" w:w="2160"/>
          </w:tcPr>
          <w:p>
            <w:r>
              <w:t>[0.011]</w:t>
            </w:r>
          </w:p>
        </w:tc>
        <w:tc>
          <w:tcPr>
            <w:tcW w:type="dxa" w:w="2160"/>
          </w:tcPr>
          <w:p>
            <w:r>
              <w:t>—</w:t>
            </w:r>
          </w:p>
        </w:tc>
      </w:tr>
      <w:tr>
        <w:tc>
          <w:tcPr>
            <w:tcW w:type="dxa" w:w="2160"/>
          </w:tcPr>
          <w:p>
            <w:r>
              <w:t>Observations</w:t>
            </w:r>
          </w:p>
        </w:tc>
        <w:tc>
          <w:tcPr>
            <w:tcW w:type="dxa" w:w="2160"/>
          </w:tcPr>
          <w:p>
            <w:r>
              <w:t>200</w:t>
            </w:r>
          </w:p>
        </w:tc>
        <w:tc>
          <w:tcPr>
            <w:tcW w:type="dxa" w:w="2160"/>
          </w:tcPr>
          <w:p>
            <w:r>
              <w:t>200</w:t>
            </w:r>
          </w:p>
        </w:tc>
        <w:tc>
          <w:tcPr>
            <w:tcW w:type="dxa" w:w="2160"/>
          </w:tcPr>
          <w:p>
            <w:r>
              <w:t>—</w:t>
            </w:r>
          </w:p>
        </w:tc>
      </w:tr>
      <w:tr>
        <w:tc>
          <w:tcPr>
            <w:tcW w:type="dxa" w:w="2160"/>
          </w:tcPr>
          <w:p>
            <w:r>
              <w:t>R²</w:t>
            </w:r>
          </w:p>
        </w:tc>
        <w:tc>
          <w:tcPr>
            <w:tcW w:type="dxa" w:w="2160"/>
          </w:tcPr>
          <w:p>
            <w:r>
              <w:t>0.038</w:t>
            </w:r>
          </w:p>
        </w:tc>
        <w:tc>
          <w:tcPr>
            <w:tcW w:type="dxa" w:w="2160"/>
          </w:tcPr>
          <w:p>
            <w:r>
              <w:t>0.039</w:t>
            </w:r>
          </w:p>
        </w:tc>
        <w:tc>
          <w:tcPr>
            <w:tcW w:type="dxa" w:w="2160"/>
          </w:tcPr>
          <w:p>
            <w:r>
              <w:t>—</w:t>
            </w:r>
          </w:p>
        </w:tc>
      </w:tr>
      <w:tr>
        <w:tc>
          <w:tcPr>
            <w:tcW w:type="dxa" w:w="2160"/>
          </w:tcPr>
          <w:p>
            <w:r>
              <w:t>Chow F-statistic</w:t>
            </w:r>
          </w:p>
        </w:tc>
        <w:tc>
          <w:tcPr>
            <w:tcW w:type="dxa" w:w="2160"/>
          </w:tcPr>
          <w:p>
            <w:r>
              <w:t>—</w:t>
            </w:r>
          </w:p>
        </w:tc>
        <w:tc>
          <w:tcPr>
            <w:tcW w:type="dxa" w:w="2160"/>
          </w:tcPr>
          <w:p>
            <w:r>
              <w:t>—</w:t>
            </w:r>
          </w:p>
        </w:tc>
        <w:tc>
          <w:tcPr>
            <w:tcW w:type="dxa" w:w="2160"/>
          </w:tcPr>
          <w:p>
            <w:r>
              <w:t>4.786***</w:t>
            </w:r>
          </w:p>
        </w:tc>
      </w:tr>
      <w:tr>
        <w:tc>
          <w:tcPr>
            <w:tcW w:type="dxa" w:w="2160"/>
          </w:tcPr>
          <w:p>
            <w:r>
              <w:t>p-value</w:t>
            </w:r>
          </w:p>
        </w:tc>
        <w:tc>
          <w:tcPr>
            <w:tcW w:type="dxa" w:w="2160"/>
          </w:tcPr>
          <w:p>
            <w:r>
              <w:t>—</w:t>
            </w:r>
          </w:p>
        </w:tc>
        <w:tc>
          <w:tcPr>
            <w:tcW w:type="dxa" w:w="2160"/>
          </w:tcPr>
          <w:p>
            <w:r>
              <w:t>—</w:t>
            </w:r>
          </w:p>
        </w:tc>
        <w:tc>
          <w:tcPr>
            <w:tcW w:type="dxa" w:w="2160"/>
          </w:tcPr>
          <w:p>
            <w:r>
              <w:t>[0.0009]</w:t>
            </w:r>
          </w:p>
        </w:tc>
      </w:tr>
    </w:tbl>
    <w:p/>
    <w:p>
      <w:pPr>
        <w:ind w:left="720" w:right="720"/>
      </w:pPr>
      <w:r>
        <w:rPr>
          <w:i/>
          <w:sz w:val="20"/>
        </w:rPr>
        <w:t xml:space="preserve">Note: </w:t>
      </w:r>
      <w:r>
        <w:rPr>
          <w:sz w:val="20"/>
        </w:rPr>
        <w:t>HC1 standard errors. Amihud-Hurvich augmented specification. *** p&lt;0.01, ** p&lt;0.05. Post-ban sample: July 2021 – April 2025, N=200 weeks. Chow test compares pre-ban (N=124) and post-ban (N=200) coefficients on log(CEIR) from specification (2).</w:t>
      </w:r>
    </w:p>
    <w:p>
      <w:r>
        <w:br/>
      </w:r>
      <w:r>
        <w:rPr>
          <w:b/>
        </w:rPr>
        <w:t>Empirical limitations:</w:t>
      </w:r>
      <w:r>
        <w:t xml:space="preserve"> The CEIR analysis covers 2019–2025, representing at most two complete crypto market cycles. The natural experiments are unique events and cannot be replicated, which is simultaneously their strength (clean identification) and their weakness (external validity). The findings are specific to Bitcoin proof-of-work; whether they generalise to Litecoin, Monero, or future proof-of-work assets is not tested.</w:t>
      </w:r>
    </w:p>
    <w:p>
      <w:r/>
      <w:r>
        <w:rPr>
          <w:b/>
        </w:rPr>
        <w:t>On the HHI interaction significance:</w:t>
      </w:r>
      <w:r>
        <w:t xml:space="preserve"> The continuous HHI × log(CEIR) interaction (Table 2.3a) yields a coefficient correctly signed (−0.048, 2.2× amplification at high concentration) but not significant at conventional levels (p = 0.33). This does not undermine the concentration mechanism. The interaction is estimated on monthly HHI data with 294 weekly observations and imputed post-2022 values; monthly frequency and imputation noise reduce statistical power substantially. The discrete regime split (Tables 2.2 and 2.3) uses N = 124 and N = 200 on each side — well-powered and robustly significant. The Chow F = 4.786 (p = 0.0009) directly tests whether the CEIR coefficient changed at the HHI shift, which is the precise mechanism test. The Kazakhstan falsification (Section 2.7) confirms that the China ban Chow break is tied to the geographic shock, not generic market disruption. The formal model in Section 2.3.2 derives β_CEIR ∝ HHI from first principles, and the linear fit to the two anchor data points (β = −0.206 at HHI = 0.42; β = −0.080 at HHI = 0.18) fits within the model's prediction. The concentration mechanism is thus supported by: (i) theory, (ii) the discrete regime comparison, (iii) the Chow test, (iv) the Kazakhstan falsification, and (v) the interaction's directional consistency — even if the continuous interaction alone is not independently significant.</w:t>
      </w:r>
    </w:p>
    <w:p>
      <w:r>
        <w:t>Post-2024 structural shifts — spot Bitcoin ETF approval (January 2024), corporate treasury adoption (MicroStrategy-class institutional accumulation) — may have introduced new coordination mechanisms not captured in the analysis window. Institutional holders with similar valuation frameworks could replicate a form of CEIR coordination without geographic mining concentration. If so, this would predict a partial recovery of CEIR predictive power in post-2024 data, testable as that period accumulates. This is identified as a priority extension of the empirical analysis.</w:t>
      </w:r>
    </w:p>
    <w:p>
      <w:r/>
      <w:r>
        <w:rPr>
          <w:b/>
        </w:rPr>
        <w:t>Pricing limitations:</w:t>
      </w:r>
      <w:r>
        <w:t xml:space="preserve"> GBM is justified at T ≤ 1 year as argued in Section 3.2.1; at longer maturities the framework should be replaced with Schwartz (1997) or Lucia-Schwartz (2002) mean-reverting dynamics. The convergence validation compares two implementations of the same model, not model predictions against market prices — because no market prices exist. This is the cold-start problem the methodology addresses, but it means out-of-sample validation is deferred to a future period when pilot markets emerge.</w:t>
      </w:r>
    </w:p>
    <w:p>
      <w:r/>
      <w:r>
        <w:rPr>
          <w:b/>
        </w:rPr>
        <w:t>Contract limitations:</w:t>
      </w:r>
      <w:r>
        <w:t xml:space="preserve"> Oracle error tolerance thresholds are derived analytically from the minimum variance hedge formula (Hull 2018), not from empirical observation of deployed energy oracles. The variance reduction figures assume measurement noise is independent of the true exposure; correlated oracle errors (e.g., systematic satellite calibration drift) would reduce actual hedge effectiveness below model predictions. The margin framework assumes log-normally distributed price changes; physically-driven tail events (grid failures, extreme weather) may generate non-log-normal payoffs not captured by the VaR₉₉ specification.</w:t>
      </w:r>
    </w:p>
    <w:p>
      <w:r/>
      <w:r>
        <w:rPr>
          <w:b/>
        </w:rPr>
        <w:t>Scope limitation — the credibility gap:</w:t>
      </w:r>
      <w:r>
        <w:t xml:space="preserve"> The passive-to-active bridge argued in Section 1.2 establishes that the *same credibility condition* connects the empirical finding to the derivative design. This argument is conceptually sound but has not been tested in a live market. The ultimate test of whether market participants will price an energy derivative premium consistent with CEIR logic requires a functioning market — which does not yet exist. This is the one limitation the thesis cannot analytically resolve; it is the empirical question for future work.</w:t>
        <w:br/>
      </w:r>
    </w:p>
    <w:p>
      <w:pPr>
        <w:pStyle w:val="Heading2"/>
      </w:pPr>
      <w:r>
        <w:t>5.5 Future Work</w:t>
      </w:r>
    </w:p>
    <w:p>
      <w:r>
        <w:t>The three-pillar framework identifies natural extensions at each layer:</w:t>
      </w:r>
    </w:p>
    <w:p>
      <w:r/>
      <w:r>
        <w:rPr>
          <w:b/>
        </w:rPr>
        <w:t>Empirical:</w:t>
      </w:r>
      <w:r>
        <w:t xml:space="preserve"> Extension to post-2025 Bitcoin data to test whether institutional involvement (spot ETFs, corporate treasury adoption) creates a new form of concentration-independent CEIR coordination, as suggested by the potential third-regime hypothesis in Section 5.4. Cross-asset validation of CEIR on Litecoin and Ethereum Classic (both retained proof-of-work throughout the sample) to test external validity of the concentration mechanism. Panel regression extending the concentration moderator to multiple PoW assets simultaneously.</w:t>
      </w:r>
    </w:p>
    <w:p>
      <w:r/>
      <w:r>
        <w:rPr>
          <w:b/>
        </w:rPr>
        <w:t>Pricing:</w:t>
      </w:r>
      <w:r>
        <w:t xml:space="preserve"> Schwartz (1997) two-factor model with mean reversion for longer-maturity instruments; the maturity sensitivity table (Table 3.2a) shows 48–52% divergence from GBM at T = 2–3 years, establishing urgency for this extension. Seasonal adjustment using Fourier decomposition of irradiance data. Empirical validation against pilot market data if and when a liquid solar energy options market emerges.</w:t>
      </w:r>
    </w:p>
    <w:p>
      <w:r/>
      <w:r>
        <w:rPr>
          <w:b/>
        </w:rPr>
        <w:t>Contract:</w:t>
      </w:r>
      <w:r>
        <w:t xml:space="preserve"> Pilot data partnership with a grid operator or energy exchange to validate oracle quality estimates. Microstructure design for the market-making problem. Regulatory pathway analysis for Taiwan's Financial Supervisory Commission sandbox program.</w:t>
      </w:r>
    </w:p>
    <w:p>
      <w:r/>
      <w:r>
        <w:rPr>
          <w:b/>
        </w:rPr>
        <w:t>System-level (future work, not this thesis):</w:t>
      </w:r>
      <w:r>
        <w:t xml:space="preserve"> The SolarPunk Protocol — a smart-contract implementation of the instrument class specified in Chapter 4 — represents the natural next step if the feasibility constraints identified here are satisfied through institutional partnerships. That work is appropriately a post-thesis project requiring deployment infrastructure, regulatory approval, and liquidity partners.</w:t>
        <w:br/>
      </w:r>
    </w:p>
    <w:p>
      <w:pPr>
        <w:pStyle w:val="Heading2"/>
      </w:pPr>
      <w:r>
        <w:t>5.6 Closing Statement</w:t>
      </w:r>
    </w:p>
    <w:p>
      <w:r>
        <w:t>Energy is the foundation of all economic production. A currency or derivative anchored to verified energy output has a claim to value grounded in physical reality rather than institutional convention or computational scarcity. This thesis does not argue that energy-backed instruments will replace existing financial infrastructure; it argues that the technical foundation for credible energy-backed derivatives now exists, that the empirical motivation is causally established, and that the remaining barriers are institutional rather than methodological.</w:t>
      </w:r>
    </w:p>
    <w:p>
      <w:r>
        <w:t>The passive energy anchoring observed in Bitcoin was fragile because it depended on coordination that market forces dissolved. Active energy anchoring — deliberately designed into contractual payoffs, priced from physics, and protected by quantified risk controls — does not have this fragility. Whether such instruments achieve adoption depends on factors outside the scope of academic research. That the foundation is sound is what this thesis establishes.</w:t>
      </w:r>
    </w:p>
    <w:p>
      <w:r>
        <w:t>---</w:t>
      </w:r>
    </w:p>
    <w:p>
      <w:r>
        <w:br w:type="page"/>
      </w:r>
    </w:p>
    <w:p>
      <w:pPr>
        <w:pStyle w:val="Heading1"/>
      </w:pPr>
      <w:r>
        <w:t>References</w:t>
      </w:r>
    </w:p>
    <w:p>
      <w:pPr>
        <w:spacing w:after="120"/>
        <w:ind w:hanging="720" w:left="720"/>
      </w:pPr>
      <w:r>
        <w:t>Amihud, Y., &amp; Hurvich, C. M. (2004). Predictive regressions: A reduced-bias estimation method. *Journal of Financial and Quantitative Analysis*, 39(4), 813–841.</w:t>
      </w:r>
    </w:p>
    <w:p>
      <w:pPr>
        <w:spacing w:after="120"/>
        <w:ind w:hanging="720" w:left="720"/>
      </w:pPr>
      <w:r>
        <w:t>Angrist, J. D., &amp; Pischke, J. S. (2009). *Mostly Harmless Econometrics: An Empiricist's Companion*. Princeton University Press.</w:t>
      </w:r>
    </w:p>
    <w:p>
      <w:pPr>
        <w:spacing w:after="120"/>
        <w:ind w:hanging="720" w:left="720"/>
      </w:pPr>
      <w:r>
        <w:t>Baker, S., Bloom, N., &amp; Davis, S. (2016). Measuring economic policy uncertainty. *Quarterly Journal of Economics*, 131(4), 1593–1636.</w:t>
      </w:r>
    </w:p>
    <w:p>
      <w:pPr>
        <w:spacing w:after="120"/>
        <w:ind w:hanging="720" w:left="720"/>
      </w:pPr>
      <w:r>
        <w:t>Biais, B., Bisière, C., Bouvard, M., &amp; Casamatta, C. (2019). The blockchain folk theorem. *Review of Financial Studies*, 32(5), 1662–1715.</w:t>
      </w:r>
    </w:p>
    <w:p>
      <w:pPr>
        <w:spacing w:after="120"/>
        <w:ind w:hanging="720" w:left="720"/>
      </w:pPr>
      <w:r>
        <w:t>Brennan, M. J., &amp; Schwartz, E. S. (1985). Evaluating natural resource investments. *Journal of Business*, 58(2), 135–157.</w:t>
      </w:r>
    </w:p>
    <w:p>
      <w:pPr>
        <w:spacing w:after="120"/>
        <w:ind w:hanging="720" w:left="720"/>
      </w:pPr>
      <w:r>
        <w:t>Burger, M., Graeber, B., &amp; Schindlmayr, G. (2004). *Managing Energy Risk: An Integrated View on Field and Financial Energy Markets*. Wiley Finance.</w:t>
      </w:r>
    </w:p>
    <w:p>
      <w:pPr>
        <w:spacing w:after="120"/>
        <w:ind w:hanging="720" w:left="720"/>
      </w:pPr>
      <w:r>
        <w:t>Calonico, S., Cattaneo, M. D., &amp; Titiunik, R. (2014). Robust nonparametric confidence intervals for regression-discontinuity designs. *Econometrica*, 82(6), 2295–2326.</w:t>
      </w:r>
    </w:p>
    <w:p>
      <w:pPr>
        <w:spacing w:after="120"/>
        <w:ind w:hanging="720" w:left="720"/>
      </w:pPr>
      <w:r>
        <w:t>Cambridge Centre for Alternative Finance. (2024). *Cambridge Bitcoin Electricity Consumption Index*. University of Cambridge.</w:t>
      </w:r>
    </w:p>
    <w:p>
      <w:pPr>
        <w:spacing w:after="120"/>
        <w:ind w:hanging="720" w:left="720"/>
      </w:pPr>
      <w:r>
        <w:t>Cao, M., &amp; Wei, J. (2004). Weather derivatives valuation and market price of weather risk. *Journal of Futures Markets*, 24(11), 1065–1089.</w:t>
      </w:r>
    </w:p>
    <w:p>
      <w:pPr>
        <w:spacing w:after="120"/>
        <w:ind w:hanging="720" w:left="720"/>
      </w:pPr>
      <w:r>
        <w:t>Casassus, J., &amp; Collin-Dufresne, P. (2005). Stochastic convenience yield implied from commodity futures and interest rates. *Journal of Finance*, 60(5), 2283–2331.</w:t>
      </w:r>
    </w:p>
    <w:p>
      <w:pPr>
        <w:spacing w:after="120"/>
        <w:ind w:hanging="720" w:left="720"/>
      </w:pPr>
      <w:r>
        <w:t>Chow, G. C. (1960). Tests of equality between sets of coefficients in two linear regressions. *Econometrica*, 28(3), 591–605.</w:t>
      </w:r>
    </w:p>
    <w:p>
      <w:pPr>
        <w:spacing w:after="120"/>
        <w:ind w:hanging="720" w:left="720"/>
      </w:pPr>
      <w:r>
        <w:t>Cong, L. W., Li, Y., &amp; Wang, N. (2021). Tokenomics: Dynamic adoption and valuation. *Review of Financial Studies*, 34(3), 1105–1155.</w:t>
      </w:r>
    </w:p>
    <w:p>
      <w:pPr>
        <w:spacing w:after="120"/>
        <w:ind w:hanging="720" w:left="720"/>
      </w:pPr>
      <w:r>
        <w:t>Cox, J. C., Ross, S. A., &amp; Rubinstein, M. (1979). Option pricing: A simplified approach. *Journal of Financial Economics*, 7(3), 229–263.</w:t>
      </w:r>
    </w:p>
    <w:p>
      <w:pPr>
        <w:spacing w:after="120"/>
        <w:ind w:hanging="720" w:left="720"/>
      </w:pPr>
      <w:r>
        <w:t>Deng, S. J., &amp; Oren, S. S. (2006). Electricity derivatives and risk management. *Energy*, 31(6–7), 940–953.</w:t>
      </w:r>
    </w:p>
    <w:p>
      <w:pPr>
        <w:spacing w:after="120"/>
        <w:ind w:hanging="720" w:left="720"/>
      </w:pPr>
      <w:r>
        <w:t>Fama, E. F. (1970). Efficient capital markets: A review of theory and empirical work. *Journal of Finance*, 25(2), 383–417.</w:t>
      </w:r>
    </w:p>
    <w:p>
      <w:pPr>
        <w:spacing w:after="120"/>
        <w:ind w:hanging="720" w:left="720"/>
      </w:pPr>
      <w:r>
        <w:t>Föllmer, H., &amp; Schweizer, M. (1991). Hedging of contingent claims under incomplete information. In M. H. A. Davis &amp; R. J. Elliott (Eds.), *Applied Stochastic Analysis* (pp. 389–414). Gordon and Breach.</w:t>
      </w:r>
    </w:p>
    <w:p>
      <w:pPr>
        <w:spacing w:after="120"/>
        <w:ind w:hanging="720" w:left="720"/>
      </w:pPr>
      <w:r>
        <w:t>Gandal, N., Hamrick, J. T., Moore, T., Vasek, M., &amp; Weinberg, D. (2021). The economics of cryptocurrency pump and dump schemes. *Journal of Financial Economics*.</w:t>
      </w:r>
    </w:p>
    <w:p>
      <w:pPr>
        <w:spacing w:after="120"/>
        <w:ind w:hanging="720" w:left="720"/>
      </w:pPr>
      <w:r>
        <w:t>Hayes, A. S. (2017). Cryptocurrency value formation: An empirical study leading to a cost of production model for valuing Bitcoin. *Telematics and Informatics*, 34(7), 1308–1321.</w:t>
      </w:r>
    </w:p>
    <w:p>
      <w:pPr>
        <w:spacing w:after="120"/>
        <w:ind w:hanging="720" w:left="720"/>
      </w:pPr>
      <w:r>
        <w:t>Hull, J. C. (2018). *Options, Futures, and Other Derivatives* (10th ed.). Pearson.</w:t>
      </w:r>
    </w:p>
    <w:p>
      <w:pPr>
        <w:spacing w:after="120"/>
        <w:ind w:hanging="720" w:left="720"/>
      </w:pPr>
      <w:r>
        <w:t>International Renewable Energy Agency. (2024). *Renewable Power Generation Costs in 2023*. IRENA, Abu Dhabi.</w:t>
      </w:r>
    </w:p>
    <w:p>
      <w:pPr>
        <w:spacing w:after="120"/>
        <w:ind w:hanging="720" w:left="720"/>
      </w:pPr>
      <w:r>
        <w:t>Kapengut, E., &amp; Mizrach, B. (2023). An event study of the Ethereum transition to proof-of-stake. *Commodities*, 2(2), 96–110.</w:t>
      </w:r>
    </w:p>
    <w:p>
      <w:pPr>
        <w:spacing w:after="120"/>
        <w:ind w:hanging="720" w:left="720"/>
      </w:pPr>
      <w:r>
        <w:t>Liu, Y., &amp; Tsyvinski, A. (2021). Risks and returns of cryptocurrency. *Review of Financial Studies*, 34(6), 2689–2727.</w:t>
      </w:r>
    </w:p>
    <w:p>
      <w:pPr>
        <w:spacing w:after="120"/>
        <w:ind w:hanging="720" w:left="720"/>
      </w:pPr>
      <w:r>
        <w:t>Liu, Y., Tsyvinski, A., &amp; Wu, X. (2022). Common risk factors in cryptocurrency. *Journal of Finance*, 77(2), 1133–1177.</w:t>
      </w:r>
    </w:p>
    <w:p>
      <w:pPr>
        <w:spacing w:after="120"/>
        <w:ind w:hanging="720" w:left="720"/>
      </w:pPr>
      <w:r>
        <w:t>Lucia, J. J., &amp; Schwartz, E. S. (2002). Electricity prices and power derivatives: Evidence from the Nordic power exchange. *Review of Derivatives Research*, 5(1), 5–50.</w:t>
      </w:r>
    </w:p>
    <w:p>
      <w:pPr>
        <w:spacing w:after="120"/>
        <w:ind w:hanging="720" w:left="720"/>
      </w:pPr>
      <w:r>
        <w:t>Marshall, A. (1890). *Principles of Economics*. Macmillan.</w:t>
      </w:r>
    </w:p>
    <w:p>
      <w:pPr>
        <w:spacing w:after="120"/>
        <w:ind w:hanging="720" w:left="720"/>
      </w:pPr>
      <w:r>
        <w:t>Merton, R. C. (1976). Option pricing when underlying stock returns are discontinuous. *Journal of Financial Economics*, 3(1–2), 125–144.</w:t>
      </w:r>
    </w:p>
    <w:p>
      <w:pPr>
        <w:spacing w:after="120"/>
        <w:ind w:hanging="720" w:left="720"/>
      </w:pPr>
      <w:r>
        <w:t>NASA. (2024). *POWER: Prediction of Worldwide Energy Resources*. NASA Langland Research Center. https://power.larc.nasa.gov</w:t>
      </w:r>
    </w:p>
    <w:p>
      <w:pPr>
        <w:spacing w:after="120"/>
        <w:ind w:hanging="720" w:left="720"/>
      </w:pPr>
      <w:r>
        <w:t>Pagnotta, E., &amp; Buraschi, A. (2018). An equilibrium valuation of Bitcoin and decentralized network assets. *SSRN Working Paper*.</w:t>
      </w:r>
    </w:p>
    <w:p>
      <w:pPr>
        <w:spacing w:after="120"/>
        <w:ind w:hanging="720" w:left="720"/>
      </w:pPr>
      <w:r>
        <w:t>Panagiotidis, T., Stengos, T., &amp; Vravosinos, O. (2019). The effects of markets, uncertainty and search intensity on Bitcoin returns. *International Review of Financial Analysis*, 63, 220–242.</w:t>
      </w:r>
    </w:p>
    <w:p>
      <w:pPr>
        <w:spacing w:after="120"/>
        <w:ind w:hanging="720" w:left="720"/>
      </w:pPr>
      <w:r>
        <w:t>Schwartz, E. S. (1997). The stochastic behavior of commodity prices: Implications for valuation and hedging. *Journal of Finance*, 52(3), 923–973.</w:t>
      </w:r>
    </w:p>
    <w:p>
      <w:pPr>
        <w:spacing w:after="120"/>
        <w:ind w:hanging="720" w:left="720"/>
      </w:pPr>
      <w:r>
        <w:t>Schwartz, E. S., &amp; Smith, J. E. (2000). Short-term variations and long-term dynamics in commodity prices. *Management Science*, 46(7), 893–911.</w:t>
      </w:r>
    </w:p>
    <w:p>
      <w:pPr>
        <w:spacing w:after="120"/>
        <w:ind w:hanging="720" w:left="720"/>
      </w:pPr>
      <w:r>
        <w:t>Stambaugh, R. F. (1999). Predictive regressions. *Journal of Financial Economics*, 54(3), 375–421.</w:t>
      </w:r>
    </w:p>
    <w:p>
      <w:pPr>
        <w:spacing w:after="120"/>
        <w:ind w:hanging="720" w:left="720"/>
      </w:pPr>
      <w:r>
        <w:t>Sockin, M., &amp; Xiong, W. (2021). A model of cryptocurrencies. *NBER Working Paper 26816*.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