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Energy-Backed Derivatives: From Empirical Validation to a Credible Pricing-and-Contract Framework</w:t>
      </w:r>
    </w:p>
    <w:p>
      <w:pPr>
        <w:spacing w:after="60" w:before="0"/>
        <w:jc w:val="center"/>
      </w:pPr>
      <w:r>
        <w:rPr>
          <w:rFonts w:ascii="Times New Roman" w:cs="Times New Roman" w:eastAsia="Times New Roman" w:hAnsi="Times New Roman"/>
          <w:sz w:val="22"/>
          <w:szCs w:val="22"/>
        </w:rPr>
        <w:t xml:space="preserve">Christopher Ongko</w:t>
      </w:r>
    </w:p>
    <w:p>
      <w:pPr>
        <w:spacing w:after="60" w:before="0"/>
        <w:jc w:val="center"/>
      </w:pPr>
      <w:r>
        <w:rPr>
          <w:rFonts w:ascii="Times New Roman" w:cs="Times New Roman" w:eastAsia="Times New Roman" w:hAnsi="Times New Roman"/>
          <w:sz w:val="22"/>
          <w:szCs w:val="22"/>
        </w:rPr>
        <w:t xml:space="preserve">Department of Finance, Yuan Ze University</w:t>
      </w:r>
    </w:p>
    <w:p>
      <w:pPr>
        <w:spacing w:after="300" w:before="0"/>
        <w:jc w:val="center"/>
      </w:pPr>
      <w:r>
        <w:rPr>
          <w:rFonts w:ascii="Times New Roman" w:cs="Times New Roman" w:eastAsia="Times New Roman" w:hAnsi="Times New Roman"/>
          <w:sz w:val="22"/>
          <w:szCs w:val="22"/>
        </w:rPr>
        <w:t xml:space="preserve">Advisor: Dr. De-Rong Kong | April 2025</w:t>
      </w:r>
    </w:p>
    <w:p>
      <w:pPr>
        <w:spacing w:after="120" w:before="0"/>
        <w:jc w:val="center"/>
      </w:pPr>
      <w:r>
        <w:rPr>
          <w:rFonts w:ascii="Times New Roman" w:cs="Times New Roman" w:eastAsia="Times New Roman" w:hAnsi="Times New Roman"/>
          <w:b/>
          <w:bCs/>
          <w:sz w:val="22"/>
          <w:szCs w:val="22"/>
        </w:rPr>
        <w:t xml:space="preserve">Abstract</w:t>
      </w:r>
    </w:p>
    <w:p>
      <w:pPr>
        <w:spacing w:after="180" w:before="180" w:line="360" w:lineRule="auto"/>
        <w:jc w:val="both"/>
      </w:pPr>
      <w:r>
        <w:rPr>
          <w:rFonts w:ascii="Times New Roman" w:cs="Times New Roman" w:eastAsia="Times New Roman" w:hAnsi="Times New Roman"/>
          <w:sz w:val="22"/>
          <w:szCs w:val="22"/>
        </w:rPr>
        <w:t xml:space="preserve">This thesis develops a three-pillar framework connecting energy economics to renewable energy finance. Using China's June 2021 mining ban as a natural experiment, we provide causal evidence that energy costs anchor cryptocurrency value in a concentration-dependent manner — with a bias-corrected coefficient of β = −0.206 (p &lt; 0.001) pre-ban versus β = −0.080 (p = 0.011) post-ban, and a structural break confirmed at Chow F = 4.786. A mechanism test reveals the pre-ban signal operates through rational security pricing, while the post-ban signal inverts to a sentiment-correlated pattern, demonstrating that geographic dispersion dissolved the rational anchor. Building on this empirical foundation, we develop a physics-based pricing framework using NASA satellite irradiance data to solve the cold-start problem in nascent solar derivative markets, and specify the oracle architecture, margin requirements, and contract terms necessary for credible energy-backed instruments. At Taiwan's irradiance volatility (σ = 189%), a zero-premium collar structure achieves a net credit to the producer, removing the upfront cost barrier to hedging adoption.</w:t>
      </w:r>
    </w:p>
    <w:p>
      <w:pPr>
        <w:spacing w:after="0" w:before="0"/>
      </w:pPr>
      <w:r>
        <w:t xml:space="preserve"/>
      </w:r>
    </w:p>
    <w:p>
      <w:pPr>
        <w:spacing w:after="180" w:before="180" w:line="360" w:lineRule="auto"/>
        <w:ind w:firstLine="240"/>
        <w:jc w:val="both"/>
      </w:pPr>
      <w:r>
        <w:rPr>
          <w:rFonts w:ascii="Times New Roman" w:cs="Times New Roman" w:eastAsia="Times New Roman" w:hAnsi="Times New Roman"/>
          <w:b/>
          <w:bCs/>
          <w:sz w:val="22"/>
          <w:szCs w:val="22"/>
        </w:rPr>
        <w:t xml:space="preserve">JEL Classifications: </w:t>
      </w:r>
      <w:r>
        <w:rPr>
          <w:rFonts w:ascii="Times New Roman" w:cs="Times New Roman" w:eastAsia="Times New Roman" w:hAnsi="Times New Roman"/>
          <w:sz w:val="22"/>
          <w:szCs w:val="22"/>
        </w:rPr>
        <w:t xml:space="preserve">G12, G13, Q42, Q47, C63</w:t>
      </w:r>
    </w:p>
    <w:p>
      <w:pPr>
        <w:spacing w:after="180" w:before="180" w:line="360" w:lineRule="auto"/>
        <w:ind w:firstLine="24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Energy-backed derivatives, CEIR, cryptocurrency valuation, renewable energy hedging, physics-based pricing, natural experiment</w:t>
      </w:r>
    </w:p>
    <w:p>
      <w:pPr>
        <w:spacing w:after="120" w:before="360" w:line="360" w:lineRule="auto"/>
      </w:pPr>
      <w:r>
        <w:rPr>
          <w:rFonts w:ascii="Times New Roman" w:cs="Times New Roman" w:eastAsia="Times New Roman" w:hAnsi="Times New Roman"/>
          <w:b/>
          <w:bCs/>
          <w:sz w:val="22"/>
          <w:szCs w:val="22"/>
        </w:rPr>
        <w:t xml:space="preserve">1. Research Background and Motivation</w:t>
      </w:r>
    </w:p>
    <w:p>
      <w:pPr>
        <w:spacing w:after="180" w:before="180" w:line="360" w:lineRule="auto"/>
        <w:ind w:firstLine="240"/>
        <w:jc w:val="both"/>
      </w:pPr>
      <w:r>
        <w:rPr>
          <w:rFonts w:ascii="Times New Roman" w:cs="Times New Roman" w:eastAsia="Times New Roman" w:hAnsi="Times New Roman"/>
          <w:sz w:val="22"/>
          <w:szCs w:val="22"/>
        </w:rPr>
        <w:t xml:space="preserve">Two separate literatures converge at an underexplored intersection. The first concerns cryptocurrency valuation: proof-of-work assets such as Bitcoin lack conventional fundamental anchors, yet a persistent hypothesis holds that cumulative energy expenditure creates value floors analogous to cost-of-production floors in commodity markets. The second concerns renewable energy finance: solar producers face revenue volatility of up to 189% annualised, severe enough to systematically block project finance access for distributed operators. This thesis argues these two problems share a common solution logic and addresses both through a three-pillar framework.</w:t>
      </w:r>
    </w:p>
    <w:p>
      <w:pPr>
        <w:spacing w:after="180" w:before="180" w:line="360" w:lineRule="auto"/>
        <w:ind w:firstLine="240"/>
        <w:jc w:val="both"/>
      </w:pPr>
      <w:r>
        <w:rPr>
          <w:rFonts w:ascii="Times New Roman" w:cs="Times New Roman" w:eastAsia="Times New Roman" w:hAnsi="Times New Roman"/>
          <w:sz w:val="22"/>
          <w:szCs w:val="22"/>
        </w:rPr>
        <w:t xml:space="preserve">The central empirical finding is that Bitcoin's energy anchoring was real but fragile — functioning under geographic mining concentration and breaking when dispersion eliminated the coordinating mechanism. This is not merely a negative result. It identifies precisely the conditions under which energy anchoring works, and therefore the design requirements for instruments that seek to replicate it deliberately. The transition from passive to active energy anchoring — from emergent miner arbitrage to designed derivatives with explicit energy linkage — is the conceptual core of the thesis.</w:t>
      </w:r>
    </w:p>
    <w:p>
      <w:pPr>
        <w:spacing w:after="180" w:before="180" w:line="360" w:lineRule="auto"/>
        <w:ind w:firstLine="240"/>
        <w:jc w:val="both"/>
      </w:pPr>
      <w:r>
        <w:rPr>
          <w:rFonts w:ascii="Times New Roman" w:cs="Times New Roman" w:eastAsia="Times New Roman" w:hAnsi="Times New Roman"/>
          <w:sz w:val="22"/>
          <w:szCs w:val="22"/>
        </w:rPr>
        <w:t xml:space="preserve">The instrument class addresses a documented financing gap. Power Purchase Agreements require creditworthy counterparties unavailable to small operators. Exchange-listed derivatives require institutional membership inaccessible below a certain scale. No liquid options market exists for distributed solar producers in emerging economies, blocking standard derivative pricing. The methodology developed here solves this cold-start problem by calibrating volatility from physical irradiance data rather than from market prices that do not yet exist.</w:t>
      </w:r>
    </w:p>
    <w:p>
      <w:pPr>
        <w:spacing w:after="80" w:before="240" w:line="360" w:lineRule="auto"/>
      </w:pPr>
      <w:r>
        <w:rPr>
          <w:rFonts w:ascii="Times New Roman" w:cs="Times New Roman" w:eastAsia="Times New Roman" w:hAnsi="Times New Roman"/>
          <w:b/>
          <w:bCs/>
          <w:sz w:val="22"/>
          <w:szCs w:val="22"/>
        </w:rPr>
        <w:t xml:space="preserve">1.1 Research Questions</w:t>
      </w:r>
    </w:p>
    <w:p>
      <w:pPr>
        <w:spacing w:after="180" w:before="180" w:line="360" w:lineRule="auto"/>
        <w:ind w:firstLine="240"/>
        <w:jc w:val="both"/>
      </w:pPr>
      <w:r>
        <w:rPr>
          <w:rFonts w:ascii="Times New Roman" w:cs="Times New Roman" w:eastAsia="Times New Roman" w:hAnsi="Times New Roman"/>
          <w:b/>
          <w:bCs/>
          <w:sz w:val="22"/>
          <w:szCs w:val="22"/>
        </w:rPr>
        <w:t xml:space="preserve">RQ1 (Empirical): </w:t>
      </w:r>
      <w:r>
        <w:rPr>
          <w:rFonts w:ascii="Times New Roman" w:cs="Times New Roman" w:eastAsia="Times New Roman" w:hAnsi="Times New Roman"/>
          <w:sz w:val="22"/>
          <w:szCs w:val="22"/>
        </w:rPr>
        <w:t xml:space="preserve">Do energy costs anchor cryptocurrency value, and is the relationship structural or regime-dependent?</w:t>
      </w:r>
    </w:p>
    <w:p>
      <w:pPr>
        <w:spacing w:after="180" w:before="180" w:line="360" w:lineRule="auto"/>
        <w:ind w:firstLine="240"/>
        <w:jc w:val="both"/>
      </w:pPr>
      <w:r>
        <w:rPr>
          <w:rFonts w:ascii="Times New Roman" w:cs="Times New Roman" w:eastAsia="Times New Roman" w:hAnsi="Times New Roman"/>
          <w:b/>
          <w:bCs/>
          <w:sz w:val="22"/>
          <w:szCs w:val="22"/>
        </w:rPr>
        <w:t xml:space="preserve">RQ2 (Pricing): </w:t>
      </w:r>
      <w:r>
        <w:rPr>
          <w:rFonts w:ascii="Times New Roman" w:cs="Times New Roman" w:eastAsia="Times New Roman" w:hAnsi="Times New Roman"/>
          <w:sz w:val="22"/>
          <w:szCs w:val="22"/>
        </w:rPr>
        <w:t xml:space="preserve">How should an energy-linked derivative be priced when volatility is physics-driven and the underlying is non-storable?</w:t>
      </w:r>
    </w:p>
    <w:p>
      <w:pPr>
        <w:spacing w:after="180" w:before="180" w:line="360" w:lineRule="auto"/>
        <w:ind w:firstLine="240"/>
        <w:jc w:val="both"/>
      </w:pPr>
      <w:r>
        <w:rPr>
          <w:rFonts w:ascii="Times New Roman" w:cs="Times New Roman" w:eastAsia="Times New Roman" w:hAnsi="Times New Roman"/>
          <w:b/>
          <w:bCs/>
          <w:sz w:val="22"/>
          <w:szCs w:val="22"/>
        </w:rPr>
        <w:t xml:space="preserve">RQ3 (Feasibility): </w:t>
      </w:r>
      <w:r>
        <w:rPr>
          <w:rFonts w:ascii="Times New Roman" w:cs="Times New Roman" w:eastAsia="Times New Roman" w:hAnsi="Times New Roman"/>
          <w:sz w:val="22"/>
          <w:szCs w:val="22"/>
        </w:rPr>
        <w:t xml:space="preserve">What minimum contract specifications are required for an energy-backed derivative to remain credible under oracle error and tail events?</w:t>
      </w:r>
    </w:p>
    <w:p>
      <w:pPr>
        <w:spacing w:after="80" w:before="240" w:line="360" w:lineRule="auto"/>
      </w:pPr>
      <w:r>
        <w:rPr>
          <w:rFonts w:ascii="Times New Roman" w:cs="Times New Roman" w:eastAsia="Times New Roman" w:hAnsi="Times New Roman"/>
          <w:b/>
          <w:bCs/>
          <w:sz w:val="22"/>
          <w:szCs w:val="22"/>
        </w:rPr>
        <w:t xml:space="preserve">1.2 Contributions</w:t>
      </w:r>
    </w:p>
    <w:p>
      <w:pPr>
        <w:spacing w:after="180" w:before="180" w:line="360" w:lineRule="auto"/>
        <w:ind w:firstLine="240"/>
        <w:jc w:val="both"/>
      </w:pPr>
      <w:r>
        <w:rPr>
          <w:rFonts w:ascii="Times New Roman" w:cs="Times New Roman" w:eastAsia="Times New Roman" w:hAnsi="Times New Roman"/>
          <w:b/>
          <w:bCs/>
          <w:sz w:val="22"/>
          <w:szCs w:val="22"/>
        </w:rPr>
        <w:t xml:space="preserve">Contribution 1: </w:t>
      </w:r>
      <w:r>
        <w:rPr>
          <w:rFonts w:ascii="Times New Roman" w:cs="Times New Roman" w:eastAsia="Times New Roman" w:hAnsi="Times New Roman"/>
          <w:sz w:val="22"/>
          <w:szCs w:val="22"/>
        </w:rPr>
        <w:t xml:space="preserve">First causal evidence that energy anchoring of cryptocurrency value is concentration-dependent in both magnitude and mechanism. The mechanism inversion finding — rational security pricing pre-ban (2.8× stronger in fearful markets), sentiment-correlated residual post-ban (pattern inverts, p = 0.006) — is new to the literature.</w:t>
      </w:r>
    </w:p>
    <w:p>
      <w:pPr>
        <w:spacing w:after="180" w:before="180" w:line="360" w:lineRule="auto"/>
        <w:ind w:firstLine="240"/>
        <w:jc w:val="both"/>
      </w:pPr>
      <w:r>
        <w:rPr>
          <w:rFonts w:ascii="Times New Roman" w:cs="Times New Roman" w:eastAsia="Times New Roman" w:hAnsi="Times New Roman"/>
          <w:b/>
          <w:bCs/>
          <w:sz w:val="22"/>
          <w:szCs w:val="22"/>
        </w:rPr>
        <w:t xml:space="preserve">Contribution 2: </w:t>
      </w:r>
      <w:r>
        <w:rPr>
          <w:rFonts w:ascii="Times New Roman" w:cs="Times New Roman" w:eastAsia="Times New Roman" w:hAnsi="Times New Roman"/>
          <w:sz w:val="22"/>
          <w:szCs w:val="22"/>
        </w:rPr>
        <w:t xml:space="preserve">First application of physics-based volatility from satellite irradiance data to calibrate the GBM σ parameter for energy-linked derivative pricing, bypassing the cold-start calibration problem in nascent solar markets.</w:t>
      </w:r>
    </w:p>
    <w:p>
      <w:pPr>
        <w:spacing w:after="180" w:before="180" w:line="360" w:lineRule="auto"/>
        <w:ind w:firstLine="240"/>
        <w:jc w:val="both"/>
      </w:pPr>
      <w:r>
        <w:rPr>
          <w:rFonts w:ascii="Times New Roman" w:cs="Times New Roman" w:eastAsia="Times New Roman" w:hAnsi="Times New Roman"/>
          <w:b/>
          <w:bCs/>
          <w:sz w:val="22"/>
          <w:szCs w:val="22"/>
        </w:rPr>
        <w:t xml:space="preserve">Contribution 3: </w:t>
      </w:r>
      <w:r>
        <w:rPr>
          <w:rFonts w:ascii="Times New Roman" w:cs="Times New Roman" w:eastAsia="Times New Roman" w:hAnsi="Times New Roman"/>
          <w:sz w:val="22"/>
          <w:szCs w:val="22"/>
        </w:rPr>
        <w:t xml:space="preserve">First analytical treatment of oracle quality as a continuous design parameter in non-storable commodity derivatives, with a derived hedge effectiveness formula and zero-premium collar demonstration at σ ≥ 165%.</w:t>
      </w:r>
    </w:p>
    <w:p>
      <w:pPr>
        <w:spacing w:after="120" w:before="360" w:line="360" w:lineRule="auto"/>
      </w:pPr>
      <w:r>
        <w:rPr>
          <w:rFonts w:ascii="Times New Roman" w:cs="Times New Roman" w:eastAsia="Times New Roman" w:hAnsi="Times New Roman"/>
          <w:b/>
          <w:bCs/>
          <w:sz w:val="22"/>
          <w:szCs w:val="22"/>
        </w:rPr>
        <w:t xml:space="preserve">2. Literature Review</w:t>
      </w:r>
    </w:p>
    <w:p>
      <w:pPr>
        <w:spacing w:after="80" w:before="240" w:line="360" w:lineRule="auto"/>
      </w:pPr>
      <w:r>
        <w:rPr>
          <w:rFonts w:ascii="Times New Roman" w:cs="Times New Roman" w:eastAsia="Times New Roman" w:hAnsi="Times New Roman"/>
          <w:b/>
          <w:bCs/>
          <w:sz w:val="22"/>
          <w:szCs w:val="22"/>
        </w:rPr>
        <w:t xml:space="preserve">2.1 Cryptocurrency Valuation and Production Costs</w:t>
      </w:r>
    </w:p>
    <w:p>
      <w:pPr>
        <w:spacing w:after="180" w:before="180" w:line="360" w:lineRule="auto"/>
        <w:ind w:firstLine="240"/>
        <w:jc w:val="both"/>
      </w:pPr>
      <w:r>
        <w:rPr>
          <w:rFonts w:ascii="Times New Roman" w:cs="Times New Roman" w:eastAsia="Times New Roman" w:hAnsi="Times New Roman"/>
          <w:sz w:val="22"/>
          <w:szCs w:val="22"/>
        </w:rPr>
        <w:t xml:space="preserve">The literature on cryptocurrency fundamental valuation remains contested. Pagnotta and Buraschi (2018) model Bitcoin as a network good with jointly determined security and price. Sockin and Xiong (2021) develop an information-based model where prices reflect user value rather than production cost. Cong, Li, and Wang (2021) formalise token economics focusing on user participation. None of these models generate the regime-dependent, concentration-conditional prediction tested here.</w:t>
      </w:r>
    </w:p>
    <w:p>
      <w:pPr>
        <w:spacing w:after="180" w:before="180" w:line="360" w:lineRule="auto"/>
        <w:ind w:firstLine="240"/>
        <w:jc w:val="both"/>
      </w:pPr>
      <w:r>
        <w:rPr>
          <w:rFonts w:ascii="Times New Roman" w:cs="Times New Roman" w:eastAsia="Times New Roman" w:hAnsi="Times New Roman"/>
          <w:sz w:val="22"/>
          <w:szCs w:val="22"/>
        </w:rPr>
        <w:t xml:space="preserve">Liu and Tsyvinski (2021) and Liu, Tsyvinski, and Wu (2022) establish a three-factor model for crypto returns — market, size, and momentum — finding negligible exposure to conventional risk factors. Critically, no energy-based metric appears in these factor models, establishing the benchmark against which this thesis's CEIR predictor is tested in the horse-race analysis. Hayes (2017) documents a contemporaneous correlation between marginal mining costs and Bitcoin prices, but does not test predictive power, does not address cumulation, and lacks exogenous variation for causal identification.</w:t>
      </w:r>
    </w:p>
    <w:p>
      <w:pPr>
        <w:spacing w:after="180" w:before="180" w:line="360" w:lineRule="auto"/>
        <w:ind w:firstLine="240"/>
        <w:jc w:val="both"/>
      </w:pPr>
      <w:r>
        <w:rPr>
          <w:rFonts w:ascii="Times New Roman" w:cs="Times New Roman" w:eastAsia="Times New Roman" w:hAnsi="Times New Roman"/>
          <w:sz w:val="22"/>
          <w:szCs w:val="22"/>
        </w:rPr>
        <w:t xml:space="preserve">Production cost theory provides the theoretical grounding. Marshall (1890) establishes that prices gravitate toward marginal production costs under competition. Brennan and Schwartz (1985) formalise conditions under which extraction costs bound commodity prices from below, assuming homogeneous producers — the geographic concentration condition this thesis identifies as critical. The attack-cost pricing mechanism developed here is theoretically distinct from Hayes (2017): marginal cost is a flow, CEIR is a stock, and rational security-pricing actors consult the stock.</w:t>
      </w:r>
    </w:p>
    <w:p>
      <w:pPr>
        <w:spacing w:after="80" w:before="240" w:line="360" w:lineRule="auto"/>
      </w:pPr>
      <w:r>
        <w:rPr>
          <w:rFonts w:ascii="Times New Roman" w:cs="Times New Roman" w:eastAsia="Times New Roman" w:hAnsi="Times New Roman"/>
          <w:b/>
          <w:bCs/>
          <w:sz w:val="22"/>
          <w:szCs w:val="22"/>
        </w:rPr>
        <w:t xml:space="preserve">2.2 Energy Derivatives and Weather Risk</w:t>
      </w:r>
    </w:p>
    <w:p>
      <w:pPr>
        <w:spacing w:after="180" w:before="180" w:line="360" w:lineRule="auto"/>
        <w:ind w:firstLine="240"/>
        <w:jc w:val="both"/>
      </w:pPr>
      <w:r>
        <w:rPr>
          <w:rFonts w:ascii="Times New Roman" w:cs="Times New Roman" w:eastAsia="Times New Roman" w:hAnsi="Times New Roman"/>
          <w:sz w:val="22"/>
          <w:szCs w:val="22"/>
        </w:rPr>
        <w:t xml:space="preserve">Deng and Oren (2006) survey energy derivatives, noting mean reversion, seasonality, and spikes incompatible with GBM at multi-year horizons. Lucia and Schwartz (2002) demonstrate that Nordic power markets require two-factor stochastic models for long-dated contracts. This thesis responds by scoping GBM to T ≤ 1 year, where high-frequency irradiance noise dominates mean-reverting drift, and explicitly recommends Schwartz (1997) dynamics for longer maturities.</w:t>
      </w:r>
    </w:p>
    <w:p>
      <w:pPr>
        <w:spacing w:after="180" w:before="180" w:line="360" w:lineRule="auto"/>
        <w:ind w:firstLine="240"/>
        <w:jc w:val="both"/>
      </w:pPr>
      <w:r>
        <w:rPr>
          <w:rFonts w:ascii="Times New Roman" w:cs="Times New Roman" w:eastAsia="Times New Roman" w:hAnsi="Times New Roman"/>
          <w:sz w:val="22"/>
          <w:szCs w:val="22"/>
        </w:rPr>
        <w:t xml:space="preserve">Cao and Wei (2004) price weather derivatives when the underlying is non-tradeable, establishing that volatility must be inferred from equilibrium rather than hedging. Their approach of grounding volatility in physical data directly informs this thesis. Moreno-Leiva et al. (2021) develop an irradiance-based weather derivative for Chilean mines using irradiance as the payoff index. This thesis takes a distinct approach: irradiance serves as the volatility calibration source for a standard European option on an energy price, not as the payoff index itself. This distinction enables compatibility with standard derivative infrastructure and solves the cold-start problem in markets without existing options.</w:t>
      </w:r>
    </w:p>
    <w:p>
      <w:pPr>
        <w:spacing w:after="80" w:before="240" w:line="360" w:lineRule="auto"/>
      </w:pPr>
      <w:r>
        <w:rPr>
          <w:rFonts w:ascii="Times New Roman" w:cs="Times New Roman" w:eastAsia="Times New Roman" w:hAnsi="Times New Roman"/>
          <w:b/>
          <w:bCs/>
          <w:sz w:val="22"/>
          <w:szCs w:val="22"/>
        </w:rPr>
        <w:t xml:space="preserve">2.3 Natural Experiments and Causal Identification</w:t>
      </w:r>
    </w:p>
    <w:p>
      <w:pPr>
        <w:spacing w:after="180" w:before="180" w:line="360" w:lineRule="auto"/>
        <w:ind w:firstLine="240"/>
        <w:jc w:val="both"/>
      </w:pPr>
      <w:r>
        <w:rPr>
          <w:rFonts w:ascii="Times New Roman" w:cs="Times New Roman" w:eastAsia="Times New Roman" w:hAnsi="Times New Roman"/>
          <w:sz w:val="22"/>
          <w:szCs w:val="22"/>
        </w:rPr>
        <w:t xml:space="preserve">The use of natural experiments for causal identification follows Angrist and Pischke (2009). China's June 2021 mining ban constitutes a near-ideal natural experiment: driven by domestic energy policy orthogonal to Bitcoin's market dynamics, affecting approximately 65% of global hash rate, and producing a dramatic HHI shift from 0.42 to 0.18 without a corresponding change in weighted electricity cost levels. The regression discontinuity approach of Calonico, Cattaneo, and Titiunik (2014) provides complementary identification. Kapengut and Mizrach (2023) study the Ethereum proof-of-stake transition as a corroborative event; this thesis finds the parallel trends assumption violated by pre-merge anticipation trading and treats the ETH evidence as descriptive rather than causal.</w:t>
      </w:r>
    </w:p>
    <w:p>
      <w:pPr>
        <w:spacing w:after="120" w:before="360" w:line="360" w:lineRule="auto"/>
      </w:pPr>
      <w:r>
        <w:rPr>
          <w:rFonts w:ascii="Times New Roman" w:cs="Times New Roman" w:eastAsia="Times New Roman" w:hAnsi="Times New Roman"/>
          <w:b/>
          <w:bCs/>
          <w:sz w:val="22"/>
          <w:szCs w:val="22"/>
        </w:rPr>
        <w:t xml:space="preserve">3. Preliminary Results</w:t>
      </w:r>
    </w:p>
    <w:p>
      <w:pPr>
        <w:spacing w:after="80" w:before="240" w:line="360" w:lineRule="auto"/>
      </w:pPr>
      <w:r>
        <w:rPr>
          <w:rFonts w:ascii="Times New Roman" w:cs="Times New Roman" w:eastAsia="Times New Roman" w:hAnsi="Times New Roman"/>
          <w:b/>
          <w:bCs/>
          <w:sz w:val="22"/>
          <w:szCs w:val="22"/>
        </w:rPr>
        <w:t xml:space="preserve">3.1 Data and Summary Statistics</w:t>
      </w:r>
    </w:p>
    <w:p>
      <w:pPr>
        <w:spacing w:after="180" w:before="180" w:line="360" w:lineRule="auto"/>
        <w:ind w:firstLine="240"/>
        <w:jc w:val="both"/>
      </w:pPr>
      <w:r>
        <w:rPr>
          <w:rFonts w:ascii="Times New Roman" w:cs="Times New Roman" w:eastAsia="Times New Roman" w:hAnsi="Times New Roman"/>
          <w:sz w:val="22"/>
          <w:szCs w:val="22"/>
        </w:rPr>
        <w:t xml:space="preserve">The primary variable of interest is the Cumulative Energy Investment Ratio (CEIR), defined as CEIR_t = Market_Cap_t / Σ(s=0 to t)[Energy_consumed_s × Electricity_price_s]. Cryptocurrency prices and market capitalisation are from CoinGecko API (daily, January 2018 to April 2025; Bitcoin: 2,620 observations). Hash rate, energy consumption, and mining geography are from the Cambridge Centre for Alternative Finance (CCAF). Electricity prices are IEA country-level data weighted by mining share. Solar irradiance volatility is calibrated from NASA POWER API (23.5°N, 120.9°E, Taiwan, 2019–2024), yielding σ = 189% annualised.</w:t>
      </w:r>
    </w:p>
    <w:p>
      <w:pPr>
        <w:spacing w:after="0" w:before="0"/>
      </w:pPr>
      <w:r>
        <w:t xml:space="preserve"/>
      </w:r>
    </w:p>
    <w:p>
      <w:pPr>
        <w:spacing w:after="80" w:before="240"/>
        <w:jc w:val="center"/>
      </w:pPr>
      <w:r>
        <w:rPr>
          <w:rFonts w:ascii="Times New Roman" w:cs="Times New Roman" w:eastAsia="Times New Roman" w:hAnsi="Times New Roman"/>
          <w:b/>
          <w:bCs/>
          <w:sz w:val="22"/>
          <w:szCs w:val="22"/>
        </w:rPr>
        <w:t xml:space="preserve">Table 1: Summary Statistics by Regime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300"/>
        <w:gridCol w:w="1600"/>
        <w:gridCol w:w="1300"/>
      </w:tblGrid>
      <w:tr>
        <w:trPr>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0"/>
                <w:szCs w:val="20"/>
              </w:rPr>
              <w:t xml:space="preserve">Variable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Pre-Ban Mean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Pre-Ban SD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Post-Ban Mean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Post-Ban SD</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Bitcoin Price ($)</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14,820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18,340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32,640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21,150</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CEIR (raw ratio)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30.0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17.2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29.2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12.9</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log(CEIR)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3.273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0.483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3.281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0.436</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30-day Forward Return (ann. %)</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80.7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58.2</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Mining HHI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0.42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0.18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0.06</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Electricity Cost ($/kWh)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0.059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0.008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0.065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0.014</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Observations (weekly)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129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202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r>
    </w:tbl>
    <w:p>
      <w:pPr>
        <w:spacing w:after="180" w:before="60"/>
      </w:pPr>
      <w:r>
        <w:rPr>
          <w:rFonts w:ascii="Times New Roman" w:cs="Times New Roman" w:eastAsia="Times New Roman" w:hAnsi="Times New Roman"/>
          <w:i/>
          <w:iCs/>
          <w:sz w:val="20"/>
          <w:szCs w:val="20"/>
        </w:rPr>
        <w:t xml:space="preserve">Note: Pre-ban: January 2018 – June 2021. Post-ban: July 2021 – April 2025. HHI = Herfindahl-Hirschman Index of geographic mining concentration. CEIR = Cumulative Energy Investment Ratio. Weekly non-overlapping observations.</w:t>
      </w:r>
    </w:p>
    <w:p>
      <w:pPr>
        <w:spacing w:after="0" w:before="0"/>
      </w:pPr>
      <w:r>
        <w:t xml:space="preserve"/>
      </w:r>
    </w:p>
    <w:p>
      <w:pPr>
        <w:spacing w:after="180" w:before="180" w:line="360" w:lineRule="auto"/>
        <w:ind w:firstLine="240"/>
        <w:jc w:val="both"/>
      </w:pPr>
      <w:r>
        <w:rPr>
          <w:rFonts w:ascii="Times New Roman" w:cs="Times New Roman" w:eastAsia="Times New Roman" w:hAnsi="Times New Roman"/>
          <w:sz w:val="22"/>
          <w:szCs w:val="22"/>
        </w:rPr>
        <w:t xml:space="preserve">A key identification point is that mean CEIR levels are nearly identical across regimes (30.0 vs. 29.2). The structural break is therefore not driven by a level shift in CEIR but by a change in how markets respond to CEIR signals — consistent with a coordination mechanism rather than a simple repricing narrative.</w:t>
      </w:r>
    </w:p>
    <w:p>
      <w:pPr>
        <w:spacing w:after="80" w:before="240" w:line="360" w:lineRule="auto"/>
      </w:pPr>
      <w:r>
        <w:rPr>
          <w:rFonts w:ascii="Times New Roman" w:cs="Times New Roman" w:eastAsia="Times New Roman" w:hAnsi="Times New Roman"/>
          <w:b/>
          <w:bCs/>
          <w:sz w:val="22"/>
          <w:szCs w:val="22"/>
        </w:rPr>
        <w:t xml:space="preserve">3.2 Main Empirical Results</w:t>
      </w:r>
    </w:p>
    <w:p>
      <w:pPr>
        <w:spacing w:after="180" w:before="180" w:line="360" w:lineRule="auto"/>
        <w:ind w:firstLine="240"/>
        <w:jc w:val="both"/>
      </w:pPr>
      <w:r>
        <w:rPr>
          <w:rFonts w:ascii="Times New Roman" w:cs="Times New Roman" w:eastAsia="Times New Roman" w:hAnsi="Times New Roman"/>
          <w:sz w:val="22"/>
          <w:szCs w:val="22"/>
        </w:rPr>
        <w:t xml:space="preserve">The primary specification applies the Amihud and Hurvich (2004) augmented regression to obtain bias-corrected inference. log(CEIR) is highly persistent (AR(1) ρ̂ = 0.980), creating Stambaugh (1999) finite-sample bias. The augmented specification includes the AR(1) residual û_t as an additional regressor, absorbing the component of return shocks correlated with predictor innovations.</w:t>
      </w:r>
    </w:p>
    <w:p>
      <w:pPr>
        <w:spacing w:after="0" w:before="0"/>
      </w:pPr>
      <w:r>
        <w:t xml:space="preserve"/>
      </w:r>
    </w:p>
    <w:p>
      <w:pPr>
        <w:spacing w:after="80" w:before="240"/>
        <w:jc w:val="center"/>
      </w:pPr>
      <w:r>
        <w:rPr>
          <w:rFonts w:ascii="Times New Roman" w:cs="Times New Roman" w:eastAsia="Times New Roman" w:hAnsi="Times New Roman"/>
          <w:b/>
          <w:bCs/>
          <w:sz w:val="22"/>
          <w:szCs w:val="22"/>
        </w:rPr>
        <w:t xml:space="preserve">Table 2: Bias-Corrected CEIR Predictive Regressions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625"/>
        <w:gridCol w:w="1625"/>
        <w:gridCol w:w="1625"/>
        <w:gridCol w:w="1125"/>
      </w:tblGrid>
      <w:tr>
        <w:trPr>
          <w:tblHeader/>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0"/>
                <w:szCs w:val="20"/>
              </w:rPr>
              <w:t xml:space="preserve">Variable</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Pre-Ban (1)</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Pre-Ban (2)</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Post-Ban</w:t>
            </w:r>
          </w:p>
        </w:tc>
        <w:tc>
          <w:tcPr>
            <w:tcW w:type="dxa" w:w="1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Chow Test</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log(CEIR)</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−0.165***</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−0.206***</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−0.080**</w:t>
            </w:r>
          </w:p>
        </w:tc>
        <w:tc>
          <w:tcPr>
            <w:tcW w:type="dxa" w:w="1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(0.044)</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(0.042)</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(0.031)</w:t>
            </w:r>
          </w:p>
        </w:tc>
        <w:tc>
          <w:tcPr>
            <w:tcW w:type="dxa" w:w="1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Fear &amp; Greed Index</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0.003***</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0.001</w:t>
            </w:r>
          </w:p>
        </w:tc>
        <w:tc>
          <w:tcPr>
            <w:tcW w:type="dxa" w:w="1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û (AR residual)</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−0.162</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−0.206**</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−0.151*</w:t>
            </w:r>
          </w:p>
        </w:tc>
        <w:tc>
          <w:tcPr>
            <w:tcW w:type="dxa" w:w="1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Observations</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124</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124</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200</w:t>
            </w:r>
          </w:p>
        </w:tc>
        <w:tc>
          <w:tcPr>
            <w:tcW w:type="dxa" w:w="1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R²</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0.051</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0.167</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0.039</w:t>
            </w:r>
          </w:p>
        </w:tc>
        <w:tc>
          <w:tcPr>
            <w:tcW w:type="dxa" w:w="1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Chow F-statistic</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w:t>
            </w:r>
          </w:p>
        </w:tc>
        <w:tc>
          <w:tcPr>
            <w:tcW w:type="dxa" w:w="1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4.786***</w:t>
            </w:r>
          </w:p>
        </w:tc>
      </w:tr>
    </w:tbl>
    <w:p>
      <w:pPr>
        <w:spacing w:after="180" w:before="60"/>
      </w:pPr>
      <w:r>
        <w:rPr>
          <w:rFonts w:ascii="Times New Roman" w:cs="Times New Roman" w:eastAsia="Times New Roman" w:hAnsi="Times New Roman"/>
          <w:i/>
          <w:iCs/>
          <w:sz w:val="20"/>
          <w:szCs w:val="20"/>
        </w:rPr>
        <w:t xml:space="preserve">Note: HC1 standard errors in parentheses. Amihud-Hurvich (2004) augmented regression. Dependent variable: 30-day forward return. Weekly non-overlapping. *** p&lt;0.01, ** p&lt;0.05, * p&lt;0.10.</w:t>
      </w:r>
    </w:p>
    <w:p>
      <w:pPr>
        <w:spacing w:after="0" w:before="0"/>
      </w:pPr>
      <w:r>
        <w:t xml:space="preserve"/>
      </w:r>
    </w:p>
    <w:p>
      <w:pPr>
        <w:spacing w:after="180" w:before="180" w:line="360" w:lineRule="auto"/>
        <w:ind w:firstLine="240"/>
        <w:jc w:val="both"/>
      </w:pPr>
      <w:r>
        <w:rPr>
          <w:rFonts w:ascii="Times New Roman" w:cs="Times New Roman" w:eastAsia="Times New Roman" w:hAnsi="Times New Roman"/>
          <w:sz w:val="22"/>
          <w:szCs w:val="22"/>
        </w:rPr>
        <w:t xml:space="preserve">The preferred pre-ban specification (column 2) yields β = −0.206, SE = 0.042, p &lt; 0.001. A one standard deviation decrease in log(CEIR) corresponds to 10.0 percentage points higher 30-day returns — consistent with security-aware investors correcting underpricing when CEIR deviates below trend. Post-ban, the coefficient shrinks to β = −0.080 (p = 0.011), statistically significant but 61% smaller. The Chow test strongly rejects structural stability: F = 4.786, p = 0.0009. Block bootstrap (2,000 replications) confirms pre-ban directional robustness: 97.4% of draws yield β &lt; 0.</w:t>
      </w:r>
    </w:p>
    <w:p>
      <w:pPr>
        <w:spacing w:after="80" w:before="240" w:line="360" w:lineRule="auto"/>
      </w:pPr>
      <w:r>
        <w:rPr>
          <w:rFonts w:ascii="Times New Roman" w:cs="Times New Roman" w:eastAsia="Times New Roman" w:hAnsi="Times New Roman"/>
          <w:b/>
          <w:bCs/>
          <w:sz w:val="22"/>
          <w:szCs w:val="22"/>
        </w:rPr>
        <w:t xml:space="preserve">3.3 Mechanism Test</w:t>
      </w:r>
    </w:p>
    <w:p>
      <w:pPr>
        <w:spacing w:after="180" w:before="180" w:line="360" w:lineRule="auto"/>
        <w:ind w:firstLine="240"/>
        <w:jc w:val="both"/>
      </w:pPr>
      <w:r>
        <w:rPr>
          <w:rFonts w:ascii="Times New Roman" w:cs="Times New Roman" w:eastAsia="Times New Roman" w:hAnsi="Times New Roman"/>
          <w:sz w:val="22"/>
          <w:szCs w:val="22"/>
        </w:rPr>
        <w:t xml:space="preserve">A CEIR × Fear&amp;Greed interaction distinguishes the rational security pricing channel from sentiment-driven noise. Pre-ban: β_interaction = +0.110 (p = 0.001), implying the CEIR effect is 2.8× stronger in fearful markets (β = −0.343) than in greedy markets (β = −0.122) — consistent with security-aware long-horizon holders as the marginal investor when retail sentiment is suppressed. Post-ban, the pattern inverts: β_interaction = −0.075 (p = 0.006), with CEIR stronger in greedy markets and nearly absent when fearful. This mechanism inversion formally demonstrates that geographic dispersion dissolved the rational energy-anchoring channel, leaving sentiment-correlated noise. A horse-race against Liu-Tsyvinski (2021) crypto momentum and attention factors confirms CEIR carries incremental information orthogonal to both: R² rises from 0.064 (factors alone) to 0.324 (full model with CEIR).</w:t>
      </w:r>
    </w:p>
    <w:p>
      <w:pPr>
        <w:spacing w:after="80" w:before="240" w:line="360" w:lineRule="auto"/>
      </w:pPr>
      <w:r>
        <w:rPr>
          <w:rFonts w:ascii="Times New Roman" w:cs="Times New Roman" w:eastAsia="Times New Roman" w:hAnsi="Times New Roman"/>
          <w:b/>
          <w:bCs/>
          <w:sz w:val="22"/>
          <w:szCs w:val="22"/>
        </w:rPr>
        <w:t xml:space="preserve">3.4 Preliminary Pricing Results</w:t>
      </w:r>
    </w:p>
    <w:p>
      <w:pPr>
        <w:spacing w:after="0" w:before="0"/>
      </w:pPr>
      <w:r>
        <w:t xml:space="preserve"/>
      </w:r>
    </w:p>
    <w:p>
      <w:pPr>
        <w:spacing w:after="80" w:before="240"/>
        <w:jc w:val="center"/>
      </w:pPr>
      <w:r>
        <w:rPr>
          <w:rFonts w:ascii="Times New Roman" w:cs="Times New Roman" w:eastAsia="Times New Roman" w:hAnsi="Times New Roman"/>
          <w:b/>
          <w:bCs/>
          <w:sz w:val="22"/>
          <w:szCs w:val="22"/>
        </w:rPr>
        <w:t xml:space="preserve">Table 3: Cross-Location Pricing Validation (ATM Call and Collar, T = 0.25 years)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1400"/>
        <w:gridCol w:w="2000"/>
      </w:tblGrid>
      <w:tr>
        <w:trPr>
          <w:tblHeader/>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0"/>
                <w:szCs w:val="20"/>
              </w:rPr>
              <w:t xml:space="preserve">Location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σ (%)</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Call ($/kWh)</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Put ($/kWh)</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bCs/>
                <w:sz w:val="20"/>
                <w:szCs w:val="20"/>
              </w:rPr>
              <w:t xml:space="preserve">Collar Net Cost</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Taiwan (primary)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189%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0.01918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0.01886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−0.00219 (credit)</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Saudi Arabia</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172%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0.01842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0.01808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−0.00212 (credit)</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Arizona, USA</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165%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0.01878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0.01813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−0.00241 (credit)</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Brazil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198%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0.03689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0.03420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−0.00599 (credit)</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val="false"/>
                <w:bCs w:val="false"/>
                <w:sz w:val="20"/>
                <w:szCs w:val="20"/>
              </w:rPr>
              <w:t xml:space="preserve">Germany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45%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~0.000001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~0.000001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360" w:lineRule="auto"/>
              <w:jc w:val="center"/>
            </w:pPr>
            <w:r>
              <w:rPr>
                <w:rFonts w:ascii="Times New Roman" w:cs="Times New Roman" w:eastAsia="Times New Roman" w:hAnsi="Times New Roman"/>
                <w:b w:val="false"/>
                <w:bCs w:val="false"/>
                <w:sz w:val="20"/>
                <w:szCs w:val="20"/>
              </w:rPr>
              <w:t xml:space="preserve">Near-zero</w:t>
            </w:r>
          </w:p>
        </w:tc>
      </w:tr>
    </w:tbl>
    <w:p>
      <w:pPr>
        <w:spacing w:after="180" w:before="60"/>
      </w:pPr>
      <w:r>
        <w:rPr>
          <w:rFonts w:ascii="Times New Roman" w:cs="Times New Roman" w:eastAsia="Times New Roman" w:hAnsi="Times New Roman"/>
          <w:i/>
          <w:iCs/>
          <w:sz w:val="20"/>
          <w:szCs w:val="20"/>
        </w:rPr>
        <w:t xml:space="preserve">Note: S₀ = K (ATM). σ calibrated from NASA POWER irradiance data. Collar: buy put at 0.9×K, sell call at 1.1×K. Negative net cost = net credit to producer. Binomial tree N = 400; Monte Carlo convergence &lt; 1.4% at 20,000 paths. Germany at boundary of numerical precision at low σ.</w:t>
      </w:r>
    </w:p>
    <w:p>
      <w:pPr>
        <w:spacing w:after="0" w:before="0"/>
      </w:pPr>
      <w:r>
        <w:t xml:space="preserve"/>
      </w:r>
    </w:p>
    <w:p>
      <w:pPr>
        <w:spacing w:after="180" w:before="180" w:line="360" w:lineRule="auto"/>
        <w:ind w:firstLine="240"/>
        <w:jc w:val="both"/>
      </w:pPr>
      <w:r>
        <w:rPr>
          <w:rFonts w:ascii="Times New Roman" w:cs="Times New Roman" w:eastAsia="Times New Roman" w:hAnsi="Times New Roman"/>
          <w:sz w:val="22"/>
          <w:szCs w:val="22"/>
        </w:rPr>
        <w:t xml:space="preserve">At σ ≥ 165%, the zero-premium collar structure achieves a net credit to the producer — the revenue floor costs nothing upfront. This result directly addresses the primary commercial barrier to derivative adoption in emerging solar markets. Cross-method convergence between binomial tree and Monte Carlo narrows below 1.4% at 20,000 simulation paths, confirming methodological consistency. Put-call parity holds to floating-point precision (deviation 3.5 × 10⁻¹⁸), confirming internal consistency.</w:t>
      </w:r>
    </w:p>
    <w:p>
      <w:r>
        <w:br w:type="page"/>
      </w:r>
    </w:p>
    <w:p>
      <w:pPr>
        <w:spacing w:after="120" w:before="360" w:line="360" w:lineRule="auto"/>
      </w:pPr>
      <w:r>
        <w:rPr>
          <w:rFonts w:ascii="Times New Roman" w:cs="Times New Roman" w:eastAsia="Times New Roman" w:hAnsi="Times New Roman"/>
          <w:b/>
          <w:bCs/>
          <w:sz w:val="22"/>
          <w:szCs w:val="22"/>
        </w:rPr>
        <w:t xml:space="preserve">. References</w:t>
      </w:r>
    </w:p>
    <w:p>
      <w:pPr>
        <w:spacing w:after="0" w:before="0" w:line="360" w:lineRule="auto"/>
        <w:ind w:left="720" w:hanging="720"/>
        <w:jc w:val="both"/>
      </w:pPr>
      <w:r>
        <w:rPr>
          <w:rFonts w:ascii="Times New Roman" w:cs="Times New Roman" w:eastAsia="Times New Roman" w:hAnsi="Times New Roman"/>
          <w:sz w:val="22"/>
          <w:szCs w:val="22"/>
        </w:rPr>
        <w:t xml:space="preserve">Amihud, Y., &amp; Hurvich, C. M. (2004). Predictive regressions: A reduced-bias estimation method. Journal of Financial and Quantitative Analysis, 39(4), 813–841.</w:t>
      </w:r>
    </w:p>
    <w:p>
      <w:pPr>
        <w:spacing w:after="0" w:before="0" w:line="360" w:lineRule="auto"/>
        <w:ind w:left="720" w:hanging="720"/>
        <w:jc w:val="both"/>
      </w:pPr>
      <w:r>
        <w:rPr>
          <w:rFonts w:ascii="Times New Roman" w:cs="Times New Roman" w:eastAsia="Times New Roman" w:hAnsi="Times New Roman"/>
          <w:sz w:val="22"/>
          <w:szCs w:val="22"/>
        </w:rPr>
        <w:t xml:space="preserve">Angrist, J. D., &amp; Pischke, J. S. (2009). Mostly Harmless Econometrics. Princeton University Press.</w:t>
      </w:r>
    </w:p>
    <w:p>
      <w:pPr>
        <w:spacing w:after="0" w:before="0" w:line="360" w:lineRule="auto"/>
        <w:ind w:left="720" w:hanging="720"/>
        <w:jc w:val="both"/>
      </w:pPr>
      <w:r>
        <w:rPr>
          <w:rFonts w:ascii="Times New Roman" w:cs="Times New Roman" w:eastAsia="Times New Roman" w:hAnsi="Times New Roman"/>
          <w:sz w:val="22"/>
          <w:szCs w:val="22"/>
        </w:rPr>
        <w:t xml:space="preserve">Biais, B., Bisière, C., Bouvard, M., &amp; Casamatta, C. (2019). The blockchain folk theorem. Review of Financial Studies, 32(5), 1662–1715.</w:t>
      </w:r>
    </w:p>
    <w:p>
      <w:pPr>
        <w:spacing w:after="0" w:before="0" w:line="360" w:lineRule="auto"/>
        <w:ind w:left="720" w:hanging="720"/>
        <w:jc w:val="both"/>
      </w:pPr>
      <w:r>
        <w:rPr>
          <w:rFonts w:ascii="Times New Roman" w:cs="Times New Roman" w:eastAsia="Times New Roman" w:hAnsi="Times New Roman"/>
          <w:sz w:val="22"/>
          <w:szCs w:val="22"/>
        </w:rPr>
        <w:t xml:space="preserve">Brennan, M. J., &amp; Schwartz, E. S. (1985). Evaluating natural resource investments. Journal of Business, 58(2), 135–157.</w:t>
      </w:r>
    </w:p>
    <w:p>
      <w:pPr>
        <w:spacing w:after="0" w:before="0" w:line="360" w:lineRule="auto"/>
        <w:ind w:left="720" w:hanging="720"/>
        <w:jc w:val="both"/>
      </w:pPr>
      <w:r>
        <w:rPr>
          <w:rFonts w:ascii="Times New Roman" w:cs="Times New Roman" w:eastAsia="Times New Roman" w:hAnsi="Times New Roman"/>
          <w:sz w:val="22"/>
          <w:szCs w:val="22"/>
        </w:rPr>
        <w:t xml:space="preserve">Calonico, S., Cattaneo, M. D., &amp; Titiunik, R. (2014). Robust nonparametric confidence intervals for regression-discontinuity designs. Econometrica, 82(6), 2295–2326.</w:t>
      </w:r>
    </w:p>
    <w:p>
      <w:pPr>
        <w:spacing w:after="0" w:before="0" w:line="360" w:lineRule="auto"/>
        <w:ind w:left="720" w:hanging="720"/>
        <w:jc w:val="both"/>
      </w:pPr>
      <w:r>
        <w:rPr>
          <w:rFonts w:ascii="Times New Roman" w:cs="Times New Roman" w:eastAsia="Times New Roman" w:hAnsi="Times New Roman"/>
          <w:sz w:val="22"/>
          <w:szCs w:val="22"/>
        </w:rPr>
        <w:t xml:space="preserve">Cao, M., &amp; Wei, J. (2004). Weather derivatives valuation and market price of weather risk. Journal of Futures Markets, 24(11), 1065–1089.</w:t>
      </w:r>
    </w:p>
    <w:p>
      <w:pPr>
        <w:spacing w:after="0" w:before="0" w:line="360" w:lineRule="auto"/>
        <w:ind w:left="720" w:hanging="720"/>
        <w:jc w:val="both"/>
      </w:pPr>
      <w:r>
        <w:rPr>
          <w:rFonts w:ascii="Times New Roman" w:cs="Times New Roman" w:eastAsia="Times New Roman" w:hAnsi="Times New Roman"/>
          <w:sz w:val="22"/>
          <w:szCs w:val="22"/>
        </w:rPr>
        <w:t xml:space="preserve">Cambridge Centre for Alternative Finance. (2024). Cambridge Bitcoin Electricity Consumption Index. University of Cambridge.</w:t>
      </w:r>
    </w:p>
    <w:p>
      <w:pPr>
        <w:spacing w:after="0" w:before="0" w:line="360" w:lineRule="auto"/>
        <w:ind w:left="720" w:hanging="720"/>
        <w:jc w:val="both"/>
      </w:pPr>
      <w:r>
        <w:rPr>
          <w:rFonts w:ascii="Times New Roman" w:cs="Times New Roman" w:eastAsia="Times New Roman" w:hAnsi="Times New Roman"/>
          <w:sz w:val="22"/>
          <w:szCs w:val="22"/>
        </w:rPr>
        <w:t xml:space="preserve">Cong, L. W., Li, Y., &amp; Wang, N. (2021). Tokenomics: Dynamic adoption and valuation. Review of Financial Studies, 34(3), 1105–1155.</w:t>
      </w:r>
    </w:p>
    <w:p>
      <w:pPr>
        <w:spacing w:after="0" w:before="0" w:line="360" w:lineRule="auto"/>
        <w:ind w:left="720" w:hanging="720"/>
        <w:jc w:val="both"/>
      </w:pPr>
      <w:r>
        <w:rPr>
          <w:rFonts w:ascii="Times New Roman" w:cs="Times New Roman" w:eastAsia="Times New Roman" w:hAnsi="Times New Roman"/>
          <w:sz w:val="22"/>
          <w:szCs w:val="22"/>
        </w:rPr>
        <w:t xml:space="preserve">Deng, S. J., &amp; Oren, S. S. (2006). Electricity derivatives and risk management. Energy, 31(6–7), 940–953.</w:t>
      </w:r>
    </w:p>
    <w:p>
      <w:pPr>
        <w:spacing w:after="0" w:before="0" w:line="360" w:lineRule="auto"/>
        <w:ind w:left="720" w:hanging="720"/>
        <w:jc w:val="both"/>
      </w:pPr>
      <w:r>
        <w:rPr>
          <w:rFonts w:ascii="Times New Roman" w:cs="Times New Roman" w:eastAsia="Times New Roman" w:hAnsi="Times New Roman"/>
          <w:sz w:val="22"/>
          <w:szCs w:val="22"/>
        </w:rPr>
        <w:t xml:space="preserve">Hayes, A. S. (2017). Cryptocurrency value formation: An empirical study leading to a cost of production model for valuing Bitcoin. Telematics and Informatics, 34(7), 1308–1321.</w:t>
      </w:r>
    </w:p>
    <w:p>
      <w:pPr>
        <w:spacing w:after="0" w:before="0" w:line="360" w:lineRule="auto"/>
        <w:ind w:left="720" w:hanging="720"/>
        <w:jc w:val="both"/>
      </w:pPr>
      <w:r>
        <w:rPr>
          <w:rFonts w:ascii="Times New Roman" w:cs="Times New Roman" w:eastAsia="Times New Roman" w:hAnsi="Times New Roman"/>
          <w:sz w:val="22"/>
          <w:szCs w:val="22"/>
        </w:rPr>
        <w:t xml:space="preserve">Hull, J. C. (2018). Options, Futures, and Other Derivatives (10th ed.). Pearson.</w:t>
      </w:r>
    </w:p>
    <w:p>
      <w:pPr>
        <w:spacing w:after="0" w:before="0" w:line="360" w:lineRule="auto"/>
        <w:ind w:left="720" w:hanging="720"/>
        <w:jc w:val="both"/>
      </w:pPr>
      <w:r>
        <w:rPr>
          <w:rFonts w:ascii="Times New Roman" w:cs="Times New Roman" w:eastAsia="Times New Roman" w:hAnsi="Times New Roman"/>
          <w:sz w:val="22"/>
          <w:szCs w:val="22"/>
        </w:rPr>
        <w:t xml:space="preserve">International Renewable Energy Agency. (2024). Renewable Power Generation Costs in 2023. IRENA.</w:t>
      </w:r>
    </w:p>
    <w:p>
      <w:pPr>
        <w:spacing w:after="0" w:before="0" w:line="360" w:lineRule="auto"/>
        <w:ind w:left="720" w:hanging="720"/>
        <w:jc w:val="both"/>
      </w:pPr>
      <w:r>
        <w:rPr>
          <w:rFonts w:ascii="Times New Roman" w:cs="Times New Roman" w:eastAsia="Times New Roman" w:hAnsi="Times New Roman"/>
          <w:sz w:val="22"/>
          <w:szCs w:val="22"/>
        </w:rPr>
        <w:t xml:space="preserve">Kapengut, E., &amp; Mizrach, B. (2023). An event study of the Ethereum transition to proof-of-stake. Commodities, 2(2), 96–110.</w:t>
      </w:r>
    </w:p>
    <w:p>
      <w:pPr>
        <w:spacing w:after="0" w:before="0" w:line="360" w:lineRule="auto"/>
        <w:ind w:left="720" w:hanging="720"/>
        <w:jc w:val="both"/>
      </w:pPr>
      <w:r>
        <w:rPr>
          <w:rFonts w:ascii="Times New Roman" w:cs="Times New Roman" w:eastAsia="Times New Roman" w:hAnsi="Times New Roman"/>
          <w:sz w:val="22"/>
          <w:szCs w:val="22"/>
        </w:rPr>
        <w:t xml:space="preserve">Liu, Y., &amp; Tsyvinski, A. (2021). Risks and returns of cryptocurrency. Review of Financial Studies, 34(6), 2689–2727.</w:t>
      </w:r>
    </w:p>
    <w:p>
      <w:pPr>
        <w:spacing w:after="0" w:before="0" w:line="360" w:lineRule="auto"/>
        <w:ind w:left="720" w:hanging="720"/>
        <w:jc w:val="both"/>
      </w:pPr>
      <w:r>
        <w:rPr>
          <w:rFonts w:ascii="Times New Roman" w:cs="Times New Roman" w:eastAsia="Times New Roman" w:hAnsi="Times New Roman"/>
          <w:sz w:val="22"/>
          <w:szCs w:val="22"/>
        </w:rPr>
        <w:t xml:space="preserve">Liu, Y., Tsyvinski, A., &amp; Wu, X. (2022). Common risk factors in cryptocurrency. Journal of Finance, 77(2), 1133–1177.</w:t>
      </w:r>
    </w:p>
    <w:p>
      <w:pPr>
        <w:spacing w:after="0" w:before="0" w:line="360" w:lineRule="auto"/>
        <w:ind w:left="720" w:hanging="720"/>
        <w:jc w:val="both"/>
      </w:pPr>
      <w:r>
        <w:rPr>
          <w:rFonts w:ascii="Times New Roman" w:cs="Times New Roman" w:eastAsia="Times New Roman" w:hAnsi="Times New Roman"/>
          <w:sz w:val="22"/>
          <w:szCs w:val="22"/>
        </w:rPr>
        <w:t xml:space="preserve">Lucia, J. J., &amp; Schwartz, E. S. (2002). Electricity prices and power derivatives: Evidence from the Nordic power exchange. Review of Derivatives Research, 5(1), 5–50.</w:t>
      </w:r>
    </w:p>
    <w:p>
      <w:pPr>
        <w:spacing w:after="0" w:before="0" w:line="360" w:lineRule="auto"/>
        <w:ind w:left="720" w:hanging="720"/>
        <w:jc w:val="both"/>
      </w:pPr>
      <w:r>
        <w:rPr>
          <w:rFonts w:ascii="Times New Roman" w:cs="Times New Roman" w:eastAsia="Times New Roman" w:hAnsi="Times New Roman"/>
          <w:sz w:val="22"/>
          <w:szCs w:val="22"/>
        </w:rPr>
        <w:t xml:space="preserve">Marshall, A. (1890). Principles of Economics. Macmillan.</w:t>
      </w:r>
    </w:p>
    <w:p>
      <w:pPr>
        <w:spacing w:after="0" w:before="0" w:line="360" w:lineRule="auto"/>
        <w:ind w:left="720" w:hanging="720"/>
        <w:jc w:val="both"/>
      </w:pPr>
      <w:r>
        <w:rPr>
          <w:rFonts w:ascii="Times New Roman" w:cs="Times New Roman" w:eastAsia="Times New Roman" w:hAnsi="Times New Roman"/>
          <w:sz w:val="22"/>
          <w:szCs w:val="22"/>
        </w:rPr>
        <w:t xml:space="preserve">Moreno-Leiva, S., Haas, J., Nowak, W., Kracht, W., Eltrop, L., &amp; Breyer, C. (2021). Development of an irradiance-based weather derivative to hedge cloud risk for solar energy systems. Renewable Energy, 164, 1230–1243.</w:t>
      </w:r>
    </w:p>
    <w:p>
      <w:pPr>
        <w:spacing w:after="0" w:before="0" w:line="360" w:lineRule="auto"/>
        <w:ind w:left="720" w:hanging="720"/>
        <w:jc w:val="both"/>
      </w:pPr>
      <w:r>
        <w:rPr>
          <w:rFonts w:ascii="Times New Roman" w:cs="Times New Roman" w:eastAsia="Times New Roman" w:hAnsi="Times New Roman"/>
          <w:sz w:val="22"/>
          <w:szCs w:val="22"/>
        </w:rPr>
        <w:t xml:space="preserve">NASA. (2024). POWER: Prediction of Worldwide Energy Resources. https://power.larc.nasa.gov</w:t>
      </w:r>
    </w:p>
    <w:p>
      <w:pPr>
        <w:spacing w:after="0" w:before="0" w:line="360" w:lineRule="auto"/>
        <w:ind w:left="720" w:hanging="720"/>
        <w:jc w:val="both"/>
      </w:pPr>
      <w:r>
        <w:rPr>
          <w:rFonts w:ascii="Times New Roman" w:cs="Times New Roman" w:eastAsia="Times New Roman" w:hAnsi="Times New Roman"/>
          <w:sz w:val="22"/>
          <w:szCs w:val="22"/>
        </w:rPr>
        <w:t xml:space="preserve">Pagnotta, E., &amp; Buraschi, A. (2018). An equilibrium valuation of Bitcoin and decentralized network assets. SSRN Working Paper.</w:t>
      </w:r>
    </w:p>
    <w:p>
      <w:pPr>
        <w:spacing w:after="0" w:before="0" w:line="360" w:lineRule="auto"/>
        <w:ind w:left="720" w:hanging="720"/>
        <w:jc w:val="both"/>
      </w:pPr>
      <w:r>
        <w:rPr>
          <w:rFonts w:ascii="Times New Roman" w:cs="Times New Roman" w:eastAsia="Times New Roman" w:hAnsi="Times New Roman"/>
          <w:sz w:val="22"/>
          <w:szCs w:val="22"/>
        </w:rPr>
        <w:t xml:space="preserve">Schwartz, E. S. (1997). The stochastic behavior of commodity prices. Journal of Finance, 52(3), 923–973.</w:t>
      </w:r>
    </w:p>
    <w:p>
      <w:pPr>
        <w:spacing w:after="0" w:before="0" w:line="360" w:lineRule="auto"/>
        <w:ind w:left="720" w:hanging="720"/>
        <w:jc w:val="both"/>
      </w:pPr>
      <w:r>
        <w:rPr>
          <w:rFonts w:ascii="Times New Roman" w:cs="Times New Roman" w:eastAsia="Times New Roman" w:hAnsi="Times New Roman"/>
          <w:sz w:val="22"/>
          <w:szCs w:val="22"/>
        </w:rPr>
        <w:t xml:space="preserve">Sockin, M., &amp; Xiong, W. (2021). A model of cryptocurrencies. NBER Working Paper 26816.</w:t>
      </w:r>
    </w:p>
    <w:p>
      <w:pPr>
        <w:spacing w:after="0" w:before="0" w:line="360" w:lineRule="auto"/>
        <w:ind w:left="720" w:hanging="720"/>
        <w:jc w:val="both"/>
      </w:pPr>
      <w:r>
        <w:rPr>
          <w:rFonts w:ascii="Times New Roman" w:cs="Times New Roman" w:eastAsia="Times New Roman" w:hAnsi="Times New Roman"/>
          <w:sz w:val="22"/>
          <w:szCs w:val="22"/>
        </w:rPr>
        <w:t xml:space="preserve">Stambaugh, R. F. (1999). Predictive regressions. Journal of Financial Economics, 54(3), 375–421.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2026-03-27T10:46:02.491Z</dcterms:created>
  <dcterms:modified xsi:type="dcterms:W3CDTF">2026-03-27T10:46:02.492Z</dcterms:modified>
</cp:coreProperties>
</file>

<file path=docProps/custom.xml><?xml version="1.0" encoding="utf-8"?>
<Properties xmlns="http://schemas.openxmlformats.org/officeDocument/2006/custom-properties" xmlns:vt="http://schemas.openxmlformats.org/officeDocument/2006/docPropsVTypes"/>
</file>