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3 - Empirical Evidence from Bitcoin Energy Costs</w:t>
      </w:r>
    </w:p>
    <w:p>
      <w:pPr>
        <w:pStyle w:val="Heading2"/>
      </w:pPr>
      <w:r>
        <w:rPr>
          <w:color w:val="000000"/>
        </w:rPr>
        <w:t>At a glance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r>
          </w:p>
        </w:tc>
        <w:tc>
          <w:tcPr>
            <w:tcW w:type="dxa" w:w="4680"/>
          </w:tcPr>
          <w:p>
            <w:pPr>
              <w:spacing w:line="240" w:lineRule="auto" w:before="0" w:after="0"/>
              <w:ind w:firstLine="0"/>
              <w:jc w:val="center"/>
            </w:pPr>
            <w:r>
              <w:rPr>
                <w:sz w:val="20"/>
              </w:rPr>
            </w:r>
            <w:r>
              <w:rPr>
                <w:b/>
                <w:i w:val="0"/>
                <w:sz w:val="20"/>
                <w:u w:val="none"/>
              </w:rPr>
            </w:r>
          </w:p>
        </w:tc>
      </w:tr>
      <w:tr>
        <w:tc>
          <w:tcPr>
            <w:tcW w:type="dxa" w:w="4680"/>
          </w:tcPr>
          <w:p>
            <w:pPr>
              <w:spacing w:line="240" w:lineRule="auto" w:before="0" w:after="0"/>
              <w:ind w:firstLine="0"/>
              <w:jc w:val="center"/>
            </w:pPr>
            <w:r>
              <w:rPr>
                <w:sz w:val="20"/>
              </w:rPr>
            </w:r>
            <w:r>
              <w:rPr>
                <w:b/>
                <w:i w:val="0"/>
                <w:sz w:val="20"/>
                <w:u w:val="none"/>
              </w:rPr>
              <w:t>Question</w:t>
            </w:r>
          </w:p>
        </w:tc>
        <w:tc>
          <w:tcPr>
            <w:tcW w:type="dxa" w:w="4680"/>
          </w:tcPr>
          <w:p>
            <w:pPr>
              <w:spacing w:line="240" w:lineRule="auto" w:before="0" w:after="0"/>
              <w:ind w:firstLine="0"/>
            </w:pPr>
            <w:r>
              <w:rPr>
                <w:sz w:val="20"/>
              </w:rPr>
            </w:r>
            <w:r>
              <w:rPr>
                <w:b w:val="0"/>
                <w:i w:val="0"/>
                <w:sz w:val="20"/>
                <w:u w:val="none"/>
              </w:rPr>
              <w:t>Does Bitcoin’s energy cost help explain its value — and when does that link break?</w:t>
            </w:r>
          </w:p>
        </w:tc>
      </w:tr>
      <w:tr>
        <w:tc>
          <w:tcPr>
            <w:tcW w:type="dxa" w:w="4680"/>
          </w:tcPr>
          <w:p>
            <w:pPr>
              <w:spacing w:line="240" w:lineRule="auto" w:before="0" w:after="0"/>
              <w:ind w:firstLine="0"/>
              <w:jc w:val="center"/>
            </w:pPr>
            <w:r>
              <w:rPr>
                <w:sz w:val="20"/>
              </w:rPr>
            </w:r>
            <w:r>
              <w:rPr>
                <w:b/>
                <w:i w:val="0"/>
                <w:sz w:val="20"/>
                <w:u w:val="none"/>
              </w:rPr>
              <w:t>Measure</w:t>
            </w:r>
          </w:p>
        </w:tc>
        <w:tc>
          <w:tcPr>
            <w:tcW w:type="dxa" w:w="4680"/>
          </w:tcPr>
          <w:p>
            <w:pPr>
              <w:spacing w:line="240" w:lineRule="auto" w:before="0" w:after="0"/>
              <w:ind w:firstLine="0"/>
            </w:pPr>
            <w:r>
              <w:rPr>
                <w:sz w:val="20"/>
              </w:rPr>
            </w:r>
            <w:r>
              <w:rPr>
                <w:b w:val="0"/>
                <w:i w:val="0"/>
                <w:sz w:val="20"/>
                <w:u w:val="none"/>
              </w:rPr>
              <w:t>CEIR = market cap ÷ cumulative mining electricity cost</w:t>
            </w:r>
          </w:p>
        </w:tc>
      </w:tr>
      <w:tr>
        <w:tc>
          <w:tcPr>
            <w:tcW w:type="dxa" w:w="4680"/>
          </w:tcPr>
          <w:p>
            <w:pPr>
              <w:spacing w:line="240" w:lineRule="auto" w:before="0" w:after="0"/>
              <w:ind w:firstLine="0"/>
              <w:jc w:val="center"/>
            </w:pPr>
            <w:r>
              <w:rPr>
                <w:sz w:val="20"/>
              </w:rPr>
            </w:r>
            <w:r>
              <w:rPr>
                <w:b/>
                <w:i w:val="0"/>
                <w:sz w:val="20"/>
                <w:u w:val="none"/>
              </w:rPr>
              <w:t>Main result</w:t>
            </w:r>
          </w:p>
        </w:tc>
        <w:tc>
          <w:tcPr>
            <w:tcW w:type="dxa" w:w="4680"/>
          </w:tcPr>
          <w:p>
            <w:pPr>
              <w:spacing w:line="240" w:lineRule="auto" w:before="0" w:after="0"/>
              <w:ind w:firstLine="0"/>
            </w:pPr>
            <w:r>
              <w:rPr>
                <w:sz w:val="20"/>
              </w:rPr>
            </w:r>
            <w:r>
              <w:rPr>
                <w:b w:val="0"/>
                <w:i w:val="0"/>
                <w:sz w:val="20"/>
                <w:u w:val="none"/>
              </w:rPr>
              <w:t>Preferred level spec: β ≈ −0.26 pre-ban (significant); β ≈ −0.07 post-ban (weaker, not significant); Chow break; trading rule underperforms (+176% vs +2771%)</w:t>
            </w:r>
          </w:p>
        </w:tc>
      </w:tr>
      <w:tr>
        <w:tc>
          <w:tcPr>
            <w:tcW w:type="dxa" w:w="4680"/>
          </w:tcPr>
          <w:p>
            <w:pPr>
              <w:spacing w:line="240" w:lineRule="auto" w:before="0" w:after="0"/>
              <w:ind w:firstLine="0"/>
              <w:jc w:val="center"/>
            </w:pPr>
            <w:r>
              <w:rPr>
                <w:sz w:val="20"/>
              </w:rPr>
            </w:r>
            <w:r>
              <w:rPr>
                <w:b/>
                <w:i w:val="0"/>
                <w:sz w:val="20"/>
                <w:u w:val="none"/>
              </w:rPr>
              <w:t>Boundary</w:t>
            </w:r>
          </w:p>
        </w:tc>
        <w:tc>
          <w:tcPr>
            <w:tcW w:type="dxa" w:w="4680"/>
          </w:tcPr>
          <w:p>
            <w:pPr>
              <w:spacing w:line="240" w:lineRule="auto" w:before="0" w:after="0"/>
              <w:ind w:firstLine="0"/>
            </w:pPr>
            <w:r>
              <w:rPr>
                <w:sz w:val="20"/>
              </w:rPr>
            </w:r>
            <w:r>
              <w:rPr>
                <w:b w:val="0"/>
                <w:i w:val="0"/>
                <w:sz w:val="20"/>
                <w:u w:val="none"/>
              </w:rPr>
              <w:t>Differenced spec weaker; no profitable trading rule; Bitcoin-only</w:t>
            </w:r>
          </w:p>
        </w:tc>
      </w:tr>
      <w:tr>
        <w:tc>
          <w:tcPr>
            <w:tcW w:type="dxa" w:w="4680"/>
          </w:tcPr>
          <w:p>
            <w:pPr>
              <w:spacing w:line="240" w:lineRule="auto" w:before="0" w:after="0"/>
              <w:ind w:firstLine="0"/>
              <w:jc w:val="center"/>
            </w:pPr>
            <w:r>
              <w:rPr>
                <w:sz w:val="20"/>
              </w:rPr>
            </w:r>
            <w:r>
              <w:rPr>
                <w:b/>
                <w:i w:val="0"/>
                <w:sz w:val="20"/>
                <w:u w:val="none"/>
              </w:rPr>
              <w:t>Takeaway</w:t>
            </w:r>
          </w:p>
        </w:tc>
        <w:tc>
          <w:tcPr>
            <w:tcW w:type="dxa" w:w="4680"/>
          </w:tcPr>
          <w:p>
            <w:pPr>
              <w:spacing w:line="240" w:lineRule="auto" w:before="0" w:after="0"/>
              <w:ind w:firstLine="0"/>
            </w:pPr>
            <w:r>
              <w:rPr>
                <w:sz w:val="20"/>
              </w:rPr>
            </w:r>
            <w:r>
              <w:rPr>
                <w:b w:val="0"/>
                <w:i w:val="0"/>
                <w:sz w:val="20"/>
                <w:u w:val="none"/>
              </w:rPr>
              <w:t xml:space="preserve">Energy can matter </w:t>
            </w:r>
            <w:r>
              <w:rPr>
                <w:b/>
                <w:i w:val="0"/>
                <w:sz w:val="20"/>
                <w:u w:val="none"/>
              </w:rPr>
              <w:t>conditionally</w:t>
            </w:r>
            <w:r>
              <w:rPr>
                <w:b w:val="0"/>
                <w:i w:val="0"/>
                <w:sz w:val="20"/>
                <w:u w:val="none"/>
              </w:rPr>
              <w:t xml:space="preserve"> — passive anchoring is not enough</w:t>
            </w:r>
          </w:p>
        </w:tc>
      </w:tr>
      <w:tr>
        <w:tc>
          <w:tcPr>
            <w:tcW w:type="dxa" w:w="4680"/>
          </w:tcPr>
          <w:p>
            <w:pPr>
              <w:spacing w:line="240" w:lineRule="auto" w:before="0" w:after="0"/>
              <w:ind w:firstLine="0"/>
              <w:jc w:val="center"/>
            </w:pPr>
            <w:r>
              <w:rPr>
                <w:sz w:val="20"/>
              </w:rPr>
            </w:r>
            <w:r>
              <w:rPr>
                <w:b/>
                <w:i w:val="0"/>
                <w:sz w:val="20"/>
                <w:u w:val="none"/>
              </w:rPr>
              <w:t>Next chapter</w:t>
            </w:r>
          </w:p>
        </w:tc>
        <w:tc>
          <w:tcPr>
            <w:tcW w:type="dxa" w:w="4680"/>
          </w:tcPr>
          <w:p>
            <w:pPr>
              <w:spacing w:line="240" w:lineRule="auto" w:before="0" w:after="0"/>
              <w:ind w:firstLine="0"/>
            </w:pPr>
            <w:r>
              <w:rPr>
                <w:sz w:val="20"/>
              </w:rPr>
            </w:r>
            <w:r>
              <w:rPr>
                <w:b w:val="0"/>
                <w:i w:val="0"/>
                <w:sz w:val="20"/>
                <w:u w:val="none"/>
              </w:rPr>
              <w:t>Ch 4 — how to price renewable-energy risk in contracts</w:t>
            </w:r>
          </w:p>
        </w:tc>
      </w:tr>
    </w:tbl>
    <w:p>
      <w:pPr>
        <w:pStyle w:val="Heading2"/>
      </w:pPr>
      <w:r>
        <w:rPr>
          <w:color w:val="000000"/>
        </w:rPr>
        <w:t>3.1 Purpose of the Chapter</w:t>
      </w:r>
    </w:p>
    <w:p>
      <w:r>
        <w:rPr>
          <w:b w:val="0"/>
          <w:i w:val="0"/>
          <w:color w:val="000000"/>
          <w:u w:val="none"/>
        </w:rPr>
        <w:t>Chapter 2 reviewed the literatures on monetary credibility, Bitcoin energy cost, renewable-energy finance, pricing theory, and programmable settlement. This chapter moves from that foundation to empirical evidence by asking whether energy cost appears to matter in an existing digital market.</w:t>
      </w:r>
    </w:p>
    <w:p>
      <w:r>
        <w:rPr>
          <w:b w:val="0"/>
          <w:i w:val="0"/>
          <w:color w:val="000000"/>
          <w:u w:val="none"/>
        </w:rPr>
        <w:t>Bitcoin is the natural empirical case. Chapter 2 already established its relevance: protocol-based issuance, proof-of-work expenditure, and an indirect but measurable link between digital scarcity and electricity cost (Nakamoto, 2008; Hayes, 2019). Holders still do not receive a claim on electricity. The question here is narrower and empirical: does cumulative mining electricity cost contain information about Bitcoin valuation, and does that relationship change when mining conditions change?</w:t>
      </w:r>
    </w:p>
    <w:p>
      <w:r>
        <w:rPr>
          <w:b w:val="0"/>
          <w:i w:val="0"/>
          <w:color w:val="000000"/>
          <w:u w:val="none"/>
        </w:rPr>
        <w:t>The answer developed in this chapter is cautious. In the preferred level specification, valuation relative to cumulative energy cost is related to future returns before the China mining ban, but the link weakens afterward. The evidence is not a mechanical law of value. The relationship is specification-sensitive, does not support a useful trading rule, and does not generalise beyond Bitcoin. That bounded finding is sufficient for the thesis: energy can matter in digital markets, but passive energy anchoring is not a substitute for explicit data, pricing, settlement, and governance rules.</w:t>
      </w:r>
    </w:p>
    <w:p>
      <w:pPr>
        <w:pStyle w:val="Heading2"/>
      </w:pPr>
      <w:r>
        <w:rPr>
          <w:color w:val="000000"/>
        </w:rPr>
        <w:t>3.2 Why Bitcoin Is a Useful Case</w:t>
      </w:r>
    </w:p>
    <w:p>
      <w:r>
        <w:rPr>
          <w:b w:val="0"/>
          <w:i w:val="0"/>
          <w:color w:val="000000"/>
          <w:u w:val="none"/>
        </w:rPr>
        <w:t>Chapter 2 explained why Bitcoin connects digital scarcity to costly electricity use without creating direct energy redemption rights. This section states why that case is empirically testable in the present chapter.</w:t>
      </w:r>
    </w:p>
    <w:p>
      <w:r>
        <w:rPr>
          <w:b w:val="0"/>
          <w:i w:val="0"/>
          <w:color w:val="000000"/>
          <w:u w:val="none"/>
        </w:rPr>
        <w:t>Bitcoin combines three features that matter for identification.</w:t>
      </w:r>
    </w:p>
    <w:p>
      <w:r>
        <w:rPr>
          <w:b w:val="0"/>
          <w:i w:val="0"/>
          <w:color w:val="000000"/>
          <w:u w:val="none"/>
        </w:rPr>
        <w:t xml:space="preserve">First, mining creates a </w:t>
      </w:r>
      <w:r>
        <w:rPr>
          <w:b/>
          <w:i w:val="0"/>
          <w:color w:val="000000"/>
          <w:u w:val="none"/>
        </w:rPr>
        <w:t>cumulative electricity-cost base</w:t>
      </w:r>
      <w:r>
        <w:rPr>
          <w:b w:val="0"/>
          <w:i w:val="0"/>
          <w:color w:val="000000"/>
          <w:u w:val="none"/>
        </w:rPr>
        <w:t xml:space="preserve"> that can be compared with market capitalisation. That comparison is operationalised as CEIR in §3.3.</w:t>
      </w:r>
    </w:p>
    <w:p>
      <w:r>
        <w:rPr>
          <w:b w:val="0"/>
          <w:i w:val="0"/>
          <w:color w:val="000000"/>
          <w:u w:val="none"/>
        </w:rPr>
        <w:t>Second, Bitcoin experienced a major external shock in 2021, when China's mining restrictions sharply changed the geographic distribution of hashrate (Cambridge Centre for Alternative Finance, n.d.-b). If energy anchoring depends on how the mining network is organised, the CEIR–return relationship should not be stable across that shock.</w:t>
      </w:r>
    </w:p>
    <w:p>
      <w:r>
        <w:rPr>
          <w:b w:val="0"/>
          <w:i w:val="0"/>
          <w:color w:val="000000"/>
          <w:u w:val="none"/>
        </w:rPr>
        <w:t xml:space="preserve">Third, the ban provides a </w:t>
      </w:r>
      <w:r>
        <w:rPr>
          <w:b/>
          <w:i w:val="0"/>
          <w:color w:val="000000"/>
          <w:u w:val="none"/>
        </w:rPr>
        <w:t>regime-change</w:t>
      </w:r>
      <w:r>
        <w:rPr>
          <w:b w:val="0"/>
          <w:i w:val="0"/>
          <w:color w:val="000000"/>
          <w:u w:val="none"/>
        </w:rPr>
        <w:t xml:space="preserve"> setting. The chapter does not use regression-discontinuity language; it tests whether pre- and post-ban coefficients differ in the preferred level specification, alongside a Chow-type break test reported in Table 3.7.</w:t>
      </w:r>
    </w:p>
    <w:p>
      <w:r>
        <w:rPr>
          <w:b w:val="0"/>
          <w:i w:val="0"/>
          <w:color w:val="000000"/>
          <w:u w:val="none"/>
        </w:rPr>
        <w:t>When mining was geographically concentrated, miners faced more similar electricity costs, policy conditions, and operational constraints. In that setting, aggregate energy cost may act more like a common production-cost reference. After dispersion, the same aggregate benchmark maps onto a more heterogeneous cost base. That is the economic reason the China period matters, not only because it was a large news event.</w:t>
      </w:r>
    </w:p>
    <w:p>
      <w:r>
        <w:rPr>
          <w:b w:val="0"/>
          <w:i w:val="0"/>
          <w:color w:val="000000"/>
          <w:u w:val="none"/>
        </w:rPr>
        <w:t xml:space="preserve">Ethereum's move from proof-of-work to proof-of-stake is a </w:t>
      </w:r>
      <w:r>
        <w:rPr>
          <w:b/>
          <w:i w:val="0"/>
          <w:color w:val="000000"/>
          <w:u w:val="none"/>
        </w:rPr>
        <w:t>supporting comparison only</w:t>
      </w:r>
      <w:r>
        <w:rPr>
          <w:b w:val="0"/>
          <w:i w:val="0"/>
          <w:color w:val="000000"/>
          <w:u w:val="none"/>
        </w:rPr>
        <w:t xml:space="preserve"> (Ethereum.org, n.d.). Bitcoin preserves proof-of-work throughout the sample and therefore remains the primary empirical object. Readers unfamiliar with proof-of-work need only this minimal definition: miners compete to add blocks by solving costly computations that consume electricity. Fuller discussion is in Chapter 2 §§2.5–2.6.</w:t>
      </w:r>
    </w:p>
    <w:p>
      <w:pPr>
        <w:pStyle w:val="Heading2"/>
      </w:pPr>
      <w:r>
        <w:rPr>
          <w:color w:val="000000"/>
        </w:rPr>
        <w:t>3.3 Measuring the Energy-Valuation Relationship</w:t>
      </w:r>
    </w:p>
    <w:p>
      <w:r>
        <w:rPr>
          <w:b w:val="0"/>
          <w:i w:val="0"/>
          <w:color w:val="000000"/>
          <w:u w:val="none"/>
        </w:rPr>
        <w:t xml:space="preserve">The chapter uses a measure called the </w:t>
      </w:r>
      <w:r>
        <w:rPr>
          <w:b/>
          <w:i w:val="0"/>
          <w:color w:val="000000"/>
          <w:u w:val="none"/>
        </w:rPr>
        <w:t>Cumulative Energy Investment Ratio</w:t>
      </w:r>
      <w:r>
        <w:rPr>
          <w:b w:val="0"/>
          <w:i w:val="0"/>
          <w:color w:val="000000"/>
          <w:u w:val="none"/>
        </w:rPr>
        <w:t>, abbreviated as CEIR.</w:t>
      </w:r>
    </w:p>
    <w:p>
      <w:r>
        <w:rPr>
          <w:b w:val="0"/>
          <w:i w:val="0"/>
          <w:color w:val="000000"/>
          <w:u w:val="none"/>
        </w:rPr>
        <w:t>The working definition is:</w:t>
      </w:r>
    </w:p>
    <w:p>
      <w:pPr>
        <w:pStyle w:val="EquationLabel"/>
      </w:pPr>
      <w:r>
        <w:t>Equation 3.1</w:t>
      </w:r>
    </w:p>
    <w:p>
      <w:pPr>
        <w:pStyle w:val="Equation"/>
      </w:pPr>
      <w:r>
        <w:t>CEIRₜ = MarketCapₜ / CumulativeEnergyCostₜ</w:t>
      </w:r>
    </w:p>
    <w:p>
      <w:r>
        <w:rPr>
          <w:b w:val="0"/>
          <w:i w:val="0"/>
          <w:color w:val="000000"/>
          <w:u w:val="none"/>
        </w:rPr>
        <w:t xml:space="preserve">In the empirical tests, the main explanatory variable is usually </w:t>
      </w:r>
      <w:r>
        <w:rPr>
          <w:rFonts w:ascii="Courier New" w:hAnsi="Courier New"/>
          <w:b w:val="0"/>
          <w:i w:val="0"/>
          <w:color w:val="000000"/>
          <w:sz w:val="21"/>
          <w:u w:val="none"/>
        </w:rPr>
        <w:t>log(CEIR_t)</w:t>
      </w:r>
      <w:r>
        <w:rPr>
          <w:b w:val="0"/>
          <w:i w:val="0"/>
          <w:color w:val="000000"/>
          <w:u w:val="none"/>
        </w:rPr>
        <w:t>. A higher CEIR means Bitcoin is expensive relative to its cumulative mining-electricity cost base; a lower CEIR means it is cheaper relative to that base. Because of this definition, the expected sign is negative: if Bitcoin is expensive relative to cumulative energy cost, later returns should be weaker.</w:t>
      </w:r>
    </w:p>
    <w:p>
      <w:r>
        <w:rPr>
          <w:b w:val="0"/>
          <w:i w:val="0"/>
          <w:color w:val="000000"/>
          <w:u w:val="none"/>
        </w:rPr>
        <w:t>The basic logic is similar to valuation ratios used in finance. Bitcoin does not have earnings or dividends, so this thesis compares market value with cumulative mining energy cost. CEIR is not treated as intrinsic value. It is a way to test whether energy cost contains information about Bitcoin valuation.</w:t>
      </w:r>
    </w:p>
    <w:p>
      <w:r>
        <w:rPr>
          <w:b w:val="0"/>
          <w:i w:val="0"/>
          <w:color w:val="000000"/>
          <w:u w:val="none"/>
        </w:rPr>
        <w:t>The data and descriptive evidence for the regression panel appear in Tables 3.2–3.6. Table 3.2 lists the main series and sources. Table 3.3 gives sample dates and observation counts. Table 3.4 defines the regression variables. Tables 3.5 and 3.6 report descriptive statistics and correlations on the regression-ready panel (Cambridge Centre for Alternative Finance, n.d.-a; Cambridge Centre for Alternative Finance, n.d.-b). Table 3.7 summarises the chapter's main quantitative claims and boundaries.</w:t>
      </w:r>
    </w:p>
    <w:p>
      <w:pPr>
        <w:pStyle w:val="Heading3"/>
      </w:pPr>
      <w:r>
        <w:rPr>
          <w:color w:val="000000"/>
        </w:rPr>
        <w:t>3.3.1 Data sources and sample</w:t>
      </w:r>
    </w:p>
    <w:p>
      <w:r>
        <w:rPr>
          <w:b w:val="0"/>
          <w:i w:val="0"/>
          <w:color w:val="000000"/>
          <w:u w:val="none"/>
        </w:rPr>
        <w:t>Table 3.2 lists the main data series used in Chapter 3. Table 3.3 summarises the sample period and observation counts. The regression sample is smaller than the full panel because 30-day forward returns, rolling volatility, and winsorized regressors require non-missing controls.</w:t>
      </w:r>
    </w:p>
    <w:p>
      <w:pPr>
        <w:pStyle w:val="Caption"/>
        <w:keepNext/>
        <w:spacing w:after="120"/>
        <w:ind w:firstLine="0"/>
        <w:jc w:val="center"/>
      </w:pPr>
      <w:r>
        <w:rPr>
          <w:b/>
          <w:i w:val="0"/>
          <w:color w:val="000000"/>
          <w:u w:val="none"/>
        </w:rPr>
        <w:t>Table 3.2. Data sources (Chapter 3 empirical panel)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before="0" w:after="0"/>
              <w:ind w:firstLine="0"/>
              <w:jc w:val="center"/>
            </w:pPr>
            <w:r>
              <w:rPr>
                <w:sz w:val="20"/>
              </w:rPr>
            </w:r>
            <w:r>
              <w:rPr>
                <w:b/>
                <w:i w:val="0"/>
                <w:sz w:val="20"/>
                <w:u w:val="none"/>
              </w:rPr>
              <w:t>Series</w:t>
            </w:r>
          </w:p>
        </w:tc>
        <w:tc>
          <w:tcPr>
            <w:tcW w:type="dxa" w:w="2340"/>
          </w:tcPr>
          <w:p>
            <w:pPr>
              <w:spacing w:line="240" w:lineRule="auto" w:before="0" w:after="0"/>
              <w:ind w:firstLine="0"/>
              <w:jc w:val="center"/>
            </w:pPr>
            <w:r>
              <w:rPr>
                <w:sz w:val="20"/>
              </w:rPr>
            </w:r>
            <w:r>
              <w:rPr>
                <w:b/>
                <w:i w:val="0"/>
                <w:sz w:val="20"/>
                <w:u w:val="none"/>
              </w:rPr>
              <w:t>Source</w:t>
            </w:r>
          </w:p>
        </w:tc>
        <w:tc>
          <w:tcPr>
            <w:tcW w:type="dxa" w:w="2340"/>
          </w:tcPr>
          <w:p>
            <w:pPr>
              <w:spacing w:line="240" w:lineRule="auto" w:before="0" w:after="0"/>
              <w:ind w:firstLine="0"/>
              <w:jc w:val="center"/>
            </w:pPr>
            <w:r>
              <w:rPr>
                <w:sz w:val="20"/>
              </w:rPr>
            </w:r>
            <w:r>
              <w:rPr>
                <w:b/>
                <w:i w:val="0"/>
                <w:sz w:val="20"/>
                <w:u w:val="none"/>
              </w:rPr>
              <w:t>Frequency</w:t>
            </w:r>
          </w:p>
        </w:tc>
        <w:tc>
          <w:tcPr>
            <w:tcW w:type="dxa" w:w="2340"/>
          </w:tcPr>
          <w:p>
            <w:pPr>
              <w:spacing w:line="240" w:lineRule="auto" w:before="0" w:after="0"/>
              <w:ind w:firstLine="0"/>
              <w:jc w:val="center"/>
            </w:pPr>
            <w:r>
              <w:rPr>
                <w:sz w:val="20"/>
              </w:rPr>
            </w:r>
            <w:r>
              <w:rPr>
                <w:b/>
                <w:i w:val="0"/>
                <w:sz w:val="20"/>
                <w:u w:val="none"/>
              </w:rPr>
              <w:t>Role</w:t>
            </w:r>
          </w:p>
        </w:tc>
      </w:tr>
      <w:tr>
        <w:tc>
          <w:tcPr>
            <w:tcW w:type="dxa" w:w="2340"/>
          </w:tcPr>
          <w:p>
            <w:pPr>
              <w:spacing w:line="240" w:lineRule="auto" w:before="0" w:after="0"/>
              <w:ind w:firstLine="0"/>
              <w:jc w:val="center"/>
            </w:pPr>
            <w:r>
              <w:rPr>
                <w:sz w:val="20"/>
              </w:rPr>
            </w:r>
            <w:r>
              <w:rPr>
                <w:b w:val="0"/>
                <w:i w:val="0"/>
                <w:sz w:val="20"/>
                <w:u w:val="none"/>
              </w:rPr>
              <w:t>Bitcoin price &amp; market cap</w:t>
            </w:r>
          </w:p>
        </w:tc>
        <w:tc>
          <w:tcPr>
            <w:tcW w:type="dxa" w:w="2340"/>
          </w:tcPr>
          <w:p>
            <w:pPr>
              <w:spacing w:line="240" w:lineRule="auto" w:before="0" w:after="0"/>
              <w:ind w:firstLine="0"/>
            </w:pPr>
            <w:r>
              <w:rPr>
                <w:sz w:val="20"/>
              </w:rPr>
            </w:r>
            <w:r>
              <w:rPr>
                <w:b w:val="0"/>
                <w:i w:val="0"/>
                <w:sz w:val="20"/>
                <w:u w:val="none"/>
              </w:rPr>
              <w:t>CoinGecko / parsed daily panel (</w:t>
            </w:r>
            <w:r>
              <w:rPr>
                <w:rFonts w:ascii="Courier New" w:hAnsi="Courier New"/>
                <w:b w:val="0"/>
                <w:i w:val="0"/>
                <w:sz w:val="20"/>
                <w:u w:val="none"/>
              </w:rPr>
              <w:t>btc_ds_parsed.csv</w:t>
            </w:r>
            <w:r>
              <w:rPr>
                <w:b w:val="0"/>
                <w:i w:val="0"/>
                <w:sz w:val="20"/>
                <w:u w:val="none"/>
              </w:rPr>
              <w:t>)</w:t>
            </w:r>
          </w:p>
        </w:tc>
        <w:tc>
          <w:tcPr>
            <w:tcW w:type="dxa" w:w="2340"/>
          </w:tcPr>
          <w:p>
            <w:pPr>
              <w:spacing w:line="240" w:lineRule="auto" w:before="0" w:after="0"/>
              <w:ind w:firstLine="0"/>
            </w:pPr>
            <w:r>
              <w:rPr>
                <w:sz w:val="20"/>
              </w:rPr>
            </w:r>
            <w:r>
              <w:rPr>
                <w:b w:val="0"/>
                <w:i w:val="0"/>
                <w:sz w:val="20"/>
                <w:u w:val="none"/>
              </w:rPr>
              <w:t>Daily</w:t>
            </w:r>
          </w:p>
        </w:tc>
        <w:tc>
          <w:tcPr>
            <w:tcW w:type="dxa" w:w="2340"/>
          </w:tcPr>
          <w:p>
            <w:pPr>
              <w:spacing w:line="240" w:lineRule="auto" w:before="0" w:after="0"/>
              <w:ind w:firstLine="0"/>
            </w:pPr>
            <w:r>
              <w:rPr>
                <w:sz w:val="20"/>
              </w:rPr>
            </w:r>
            <w:r>
              <w:rPr>
                <w:b w:val="0"/>
                <w:i w:val="0"/>
                <w:sz w:val="20"/>
                <w:u w:val="none"/>
              </w:rPr>
              <w:t>Outcome and CEIR numerator</w:t>
            </w:r>
          </w:p>
        </w:tc>
      </w:tr>
      <w:tr>
        <w:tc>
          <w:tcPr>
            <w:tcW w:type="dxa" w:w="2340"/>
          </w:tcPr>
          <w:p>
            <w:pPr>
              <w:spacing w:line="240" w:lineRule="auto" w:before="0" w:after="0"/>
              <w:ind w:firstLine="0"/>
              <w:jc w:val="center"/>
            </w:pPr>
            <w:r>
              <w:rPr>
                <w:sz w:val="20"/>
              </w:rPr>
            </w:r>
            <w:r>
              <w:rPr>
                <w:b w:val="0"/>
                <w:i w:val="0"/>
                <w:sz w:val="20"/>
                <w:u w:val="none"/>
              </w:rPr>
              <w:t>Mining electricity (TWh, annualised)</w:t>
            </w:r>
          </w:p>
        </w:tc>
        <w:tc>
          <w:tcPr>
            <w:tcW w:type="dxa" w:w="2340"/>
          </w:tcPr>
          <w:p>
            <w:pPr>
              <w:spacing w:line="240" w:lineRule="auto" w:before="0" w:after="0"/>
              <w:ind w:firstLine="0"/>
            </w:pPr>
            <w:r>
              <w:rPr>
                <w:sz w:val="20"/>
              </w:rPr>
            </w:r>
            <w:r>
              <w:rPr>
                <w:b w:val="0"/>
                <w:i w:val="0"/>
                <w:sz w:val="20"/>
                <w:u w:val="none"/>
              </w:rPr>
              <w:t>Cambridge Bitcoin Electricity Consumption Index (CBECI)</w:t>
            </w:r>
          </w:p>
        </w:tc>
        <w:tc>
          <w:tcPr>
            <w:tcW w:type="dxa" w:w="2340"/>
          </w:tcPr>
          <w:p>
            <w:pPr>
              <w:spacing w:line="240" w:lineRule="auto" w:before="0" w:after="0"/>
              <w:ind w:firstLine="0"/>
            </w:pPr>
            <w:r>
              <w:rPr>
                <w:sz w:val="20"/>
              </w:rPr>
            </w:r>
            <w:r>
              <w:rPr>
                <w:b w:val="0"/>
                <w:i w:val="0"/>
                <w:sz w:val="20"/>
                <w:u w:val="none"/>
              </w:rPr>
              <w:t>Daily (interpolated annual rate)</w:t>
            </w:r>
          </w:p>
        </w:tc>
        <w:tc>
          <w:tcPr>
            <w:tcW w:type="dxa" w:w="2340"/>
          </w:tcPr>
          <w:p>
            <w:pPr>
              <w:spacing w:line="240" w:lineRule="auto" w:before="0" w:after="0"/>
              <w:ind w:firstLine="0"/>
            </w:pPr>
            <w:r>
              <w:rPr>
                <w:sz w:val="20"/>
              </w:rPr>
            </w:r>
            <w:r>
              <w:rPr>
                <w:b w:val="0"/>
                <w:i w:val="0"/>
                <w:sz w:val="20"/>
                <w:u w:val="none"/>
              </w:rPr>
              <w:t>Cumulative energy-cost base</w:t>
            </w:r>
          </w:p>
        </w:tc>
      </w:tr>
      <w:tr>
        <w:tc>
          <w:tcPr>
            <w:tcW w:type="dxa" w:w="2340"/>
          </w:tcPr>
          <w:p>
            <w:pPr>
              <w:spacing w:line="240" w:lineRule="auto" w:before="0" w:after="0"/>
              <w:ind w:firstLine="0"/>
              <w:jc w:val="center"/>
            </w:pPr>
            <w:r>
              <w:rPr>
                <w:sz w:val="20"/>
              </w:rPr>
            </w:r>
            <w:r>
              <w:rPr>
                <w:b w:val="0"/>
                <w:i w:val="0"/>
                <w:sz w:val="20"/>
                <w:u w:val="none"/>
              </w:rPr>
              <w:t>Weighted electricity price</w:t>
            </w:r>
          </w:p>
        </w:tc>
        <w:tc>
          <w:tcPr>
            <w:tcW w:type="dxa" w:w="2340"/>
          </w:tcPr>
          <w:p>
            <w:pPr>
              <w:spacing w:line="240" w:lineRule="auto" w:before="0" w:after="0"/>
              <w:ind w:firstLine="0"/>
            </w:pPr>
            <w:r>
              <w:rPr>
                <w:sz w:val="20"/>
              </w:rPr>
            </w:r>
            <w:r>
              <w:rPr>
                <w:b w:val="0"/>
                <w:i w:val="0"/>
                <w:sz w:val="20"/>
                <w:u w:val="none"/>
              </w:rPr>
              <w:t>Cambridge mining-map weighted prices (</w:t>
            </w:r>
            <w:r>
              <w:rPr>
                <w:rFonts w:ascii="Courier New" w:hAnsi="Courier New"/>
                <w:b w:val="0"/>
                <w:i w:val="0"/>
                <w:sz w:val="20"/>
                <w:u w:val="none"/>
              </w:rPr>
              <w:t>weighted_electricity_prices_monthly.csv</w:t>
            </w:r>
            <w:r>
              <w:rPr>
                <w:b w:val="0"/>
                <w:i w:val="0"/>
                <w:sz w:val="20"/>
                <w:u w:val="none"/>
              </w:rPr>
              <w:t>)</w:t>
            </w:r>
          </w:p>
        </w:tc>
        <w:tc>
          <w:tcPr>
            <w:tcW w:type="dxa" w:w="2340"/>
          </w:tcPr>
          <w:p>
            <w:pPr>
              <w:spacing w:line="240" w:lineRule="auto" w:before="0" w:after="0"/>
              <w:ind w:firstLine="0"/>
            </w:pPr>
            <w:r>
              <w:rPr>
                <w:sz w:val="20"/>
              </w:rPr>
            </w:r>
            <w:r>
              <w:rPr>
                <w:b w:val="0"/>
                <w:i w:val="0"/>
                <w:sz w:val="20"/>
                <w:u w:val="none"/>
              </w:rPr>
              <w:t>Monthly → daily</w:t>
            </w:r>
          </w:p>
        </w:tc>
        <w:tc>
          <w:tcPr>
            <w:tcW w:type="dxa" w:w="2340"/>
          </w:tcPr>
          <w:p>
            <w:pPr>
              <w:spacing w:line="240" w:lineRule="auto" w:before="0" w:after="0"/>
              <w:ind w:firstLine="0"/>
            </w:pPr>
            <w:r>
              <w:rPr>
                <w:sz w:val="20"/>
              </w:rPr>
            </w:r>
            <w:r>
              <w:rPr>
                <w:b w:val="0"/>
                <w:i w:val="0"/>
                <w:sz w:val="20"/>
                <w:u w:val="none"/>
              </w:rPr>
              <w:t>USD cost per kWh for cumulative cost</w:t>
            </w:r>
          </w:p>
        </w:tc>
      </w:tr>
      <w:tr>
        <w:tc>
          <w:tcPr>
            <w:tcW w:type="dxa" w:w="2340"/>
          </w:tcPr>
          <w:p>
            <w:pPr>
              <w:spacing w:line="240" w:lineRule="auto" w:before="0" w:after="0"/>
              <w:ind w:firstLine="0"/>
              <w:jc w:val="center"/>
            </w:pPr>
            <w:r>
              <w:rPr>
                <w:sz w:val="20"/>
              </w:rPr>
            </w:r>
            <w:r>
              <w:rPr>
                <w:b w:val="0"/>
                <w:i w:val="0"/>
                <w:sz w:val="20"/>
                <w:u w:val="none"/>
              </w:rPr>
              <w:t>Mining geography / ban split</w:t>
            </w:r>
          </w:p>
        </w:tc>
        <w:tc>
          <w:tcPr>
            <w:tcW w:type="dxa" w:w="2340"/>
          </w:tcPr>
          <w:p>
            <w:pPr>
              <w:spacing w:line="240" w:lineRule="auto" w:before="0" w:after="0"/>
              <w:ind w:firstLine="0"/>
            </w:pPr>
            <w:r>
              <w:rPr>
                <w:sz w:val="20"/>
              </w:rPr>
            </w:r>
            <w:r>
              <w:rPr>
                <w:b w:val="0"/>
                <w:i w:val="0"/>
                <w:sz w:val="20"/>
                <w:u w:val="none"/>
              </w:rPr>
              <w:t>Cambridge mining map; China ban date 2021-06-20</w:t>
            </w:r>
          </w:p>
        </w:tc>
        <w:tc>
          <w:tcPr>
            <w:tcW w:type="dxa" w:w="2340"/>
          </w:tcPr>
          <w:p>
            <w:pPr>
              <w:spacing w:line="240" w:lineRule="auto" w:before="0" w:after="0"/>
              <w:ind w:firstLine="0"/>
            </w:pPr>
            <w:r>
              <w:rPr>
                <w:sz w:val="20"/>
              </w:rPr>
            </w:r>
            <w:r>
              <w:rPr>
                <w:b w:val="0"/>
                <w:i w:val="0"/>
                <w:sz w:val="20"/>
                <w:u w:val="none"/>
              </w:rPr>
              <w:t>Event split</w:t>
            </w:r>
          </w:p>
        </w:tc>
        <w:tc>
          <w:tcPr>
            <w:tcW w:type="dxa" w:w="2340"/>
          </w:tcPr>
          <w:p>
            <w:pPr>
              <w:spacing w:line="240" w:lineRule="auto" w:before="0" w:after="0"/>
              <w:ind w:firstLine="0"/>
            </w:pPr>
            <w:r>
              <w:rPr>
                <w:sz w:val="20"/>
              </w:rPr>
            </w:r>
            <w:r>
              <w:rPr>
                <w:b w:val="0"/>
                <w:i w:val="0"/>
                <w:sz w:val="20"/>
                <w:u w:val="none"/>
              </w:rPr>
              <w:t>Regime indicator (</w:t>
            </w:r>
            <w:r>
              <w:rPr>
                <w:rFonts w:ascii="Courier New" w:hAnsi="Courier New"/>
                <w:b w:val="0"/>
                <w:i w:val="0"/>
                <w:sz w:val="20"/>
                <w:u w:val="none"/>
              </w:rPr>
              <w:t>post_china_ban</w:t>
            </w:r>
            <w:r>
              <w:rPr>
                <w:b w:val="0"/>
                <w:i w:val="0"/>
                <w:sz w:val="20"/>
                <w:u w:val="none"/>
              </w:rPr>
              <w:t>)</w:t>
            </w:r>
          </w:p>
        </w:tc>
      </w:tr>
      <w:tr>
        <w:tc>
          <w:tcPr>
            <w:tcW w:type="dxa" w:w="2340"/>
          </w:tcPr>
          <w:p>
            <w:pPr>
              <w:spacing w:line="240" w:lineRule="auto" w:before="0" w:after="0"/>
              <w:ind w:firstLine="0"/>
              <w:jc w:val="center"/>
            </w:pPr>
            <w:r>
              <w:rPr>
                <w:sz w:val="20"/>
              </w:rPr>
            </w:r>
            <w:r>
              <w:rPr>
                <w:b w:val="0"/>
                <w:i w:val="0"/>
                <w:sz w:val="20"/>
                <w:u w:val="none"/>
              </w:rPr>
              <w:t>Fear &amp; Greed Index</w:t>
            </w:r>
          </w:p>
        </w:tc>
        <w:tc>
          <w:tcPr>
            <w:tcW w:type="dxa" w:w="2340"/>
          </w:tcPr>
          <w:p>
            <w:pPr>
              <w:spacing w:line="240" w:lineRule="auto" w:before="0" w:after="0"/>
              <w:ind w:firstLine="0"/>
            </w:pPr>
            <w:r>
              <w:rPr>
                <w:sz w:val="20"/>
              </w:rPr>
            </w:r>
            <w:r>
              <w:rPr>
                <w:b w:val="0"/>
                <w:i w:val="0"/>
                <w:sz w:val="20"/>
                <w:u w:val="none"/>
              </w:rPr>
              <w:t>Alternative.me crypto sentiment index</w:t>
            </w:r>
          </w:p>
        </w:tc>
        <w:tc>
          <w:tcPr>
            <w:tcW w:type="dxa" w:w="2340"/>
          </w:tcPr>
          <w:p>
            <w:pPr>
              <w:spacing w:line="240" w:lineRule="auto" w:before="0" w:after="0"/>
              <w:ind w:firstLine="0"/>
            </w:pPr>
            <w:r>
              <w:rPr>
                <w:sz w:val="20"/>
              </w:rPr>
            </w:r>
            <w:r>
              <w:rPr>
                <w:b w:val="0"/>
                <w:i w:val="0"/>
                <w:sz w:val="20"/>
                <w:u w:val="none"/>
              </w:rPr>
              <w:t>Daily</w:t>
            </w:r>
          </w:p>
        </w:tc>
        <w:tc>
          <w:tcPr>
            <w:tcW w:type="dxa" w:w="2340"/>
          </w:tcPr>
          <w:p>
            <w:pPr>
              <w:spacing w:line="240" w:lineRule="auto" w:before="0" w:after="0"/>
              <w:ind w:firstLine="0"/>
            </w:pPr>
            <w:r>
              <w:rPr>
                <w:sz w:val="20"/>
              </w:rPr>
            </w:r>
            <w:r>
              <w:rPr>
                <w:b w:val="0"/>
                <w:i w:val="0"/>
                <w:sz w:val="20"/>
                <w:u w:val="none"/>
              </w:rPr>
              <w:t>Control (standardised in regression)</w:t>
            </w:r>
          </w:p>
        </w:tc>
      </w:tr>
    </w:tbl>
    <w:p>
      <w:r>
        <w:rPr>
          <w:b w:val="0"/>
          <w:i/>
          <w:color w:val="000000"/>
          <w:u w:val="none"/>
        </w:rPr>
        <w:t xml:space="preserve">Sources: Cambridge Centre for Alternative Finance (CBECI, mining map); panel assembled in </w:t>
      </w:r>
      <w:r>
        <w:rPr>
          <w:rFonts w:ascii="Courier New" w:hAnsi="Courier New"/>
          <w:b w:val="0"/>
          <w:i/>
          <w:color w:val="000000"/>
          <w:sz w:val="21"/>
          <w:u w:val="none"/>
        </w:rPr>
        <w:t>bitcoin_ceir_analysis_ready.csv</w:t>
      </w:r>
      <w:r>
        <w:rPr>
          <w:b w:val="0"/>
          <w:i/>
          <w:color w:val="000000"/>
          <w:u w:val="none"/>
        </w:rPr>
        <w:t xml:space="preserve">. Reproduce: </w:t>
      </w:r>
      <w:r>
        <w:rPr>
          <w:rFonts w:ascii="Courier New" w:hAnsi="Courier New"/>
          <w:b w:val="0"/>
          <w:i/>
          <w:color w:val="000000"/>
          <w:sz w:val="21"/>
          <w:u w:val="none"/>
        </w:rPr>
        <w:t>python thesis_package/ceir_regression.py --refresh-panel</w:t>
      </w:r>
      <w:r>
        <w:rPr>
          <w:b w:val="0"/>
          <w:i/>
          <w:color w:val="000000"/>
          <w:u w:val="none"/>
        </w:rPr>
        <w:t>.</w:t>
      </w:r>
    </w:p>
    <w:p>
      <w:pPr>
        <w:pStyle w:val="Caption"/>
        <w:keepNext/>
        <w:spacing w:after="120"/>
        <w:ind w:firstLine="0"/>
        <w:jc w:val="center"/>
      </w:pPr>
      <w:r>
        <w:rPr>
          <w:b/>
          <w:i w:val="0"/>
          <w:color w:val="000000"/>
          <w:u w:val="none"/>
        </w:rPr>
        <w:t>Table 3.3. Sample period and observation counts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0"/>
              <w:ind w:firstLine="0"/>
              <w:jc w:val="center"/>
            </w:pPr>
            <w:r>
              <w:rPr>
                <w:sz w:val="16"/>
              </w:rPr>
            </w:r>
            <w:r>
              <w:rPr>
                <w:b/>
                <w:i w:val="0"/>
                <w:sz w:val="16"/>
                <w:u w:val="none"/>
              </w:rPr>
              <w:t>Sample</w:t>
            </w:r>
          </w:p>
        </w:tc>
        <w:tc>
          <w:tcPr>
            <w:tcW w:type="dxa" w:w="1560"/>
          </w:tcPr>
          <w:p>
            <w:pPr>
              <w:spacing w:line="240" w:lineRule="auto" w:before="0" w:after="0"/>
              <w:ind w:firstLine="0"/>
              <w:jc w:val="center"/>
            </w:pPr>
            <w:r>
              <w:rPr>
                <w:sz w:val="16"/>
              </w:rPr>
            </w:r>
            <w:r>
              <w:rPr>
                <w:b/>
                <w:i w:val="0"/>
                <w:sz w:val="16"/>
                <w:u w:val="none"/>
              </w:rPr>
              <w:t>Start</w:t>
            </w:r>
          </w:p>
        </w:tc>
        <w:tc>
          <w:tcPr>
            <w:tcW w:type="dxa" w:w="1560"/>
          </w:tcPr>
          <w:p>
            <w:pPr>
              <w:spacing w:line="240" w:lineRule="auto" w:before="0" w:after="0"/>
              <w:ind w:firstLine="0"/>
              <w:jc w:val="center"/>
            </w:pPr>
            <w:r>
              <w:rPr>
                <w:sz w:val="16"/>
              </w:rPr>
            </w:r>
            <w:r>
              <w:rPr>
                <w:b/>
                <w:i w:val="0"/>
                <w:sz w:val="16"/>
                <w:u w:val="none"/>
              </w:rPr>
              <w:t>End</w:t>
            </w:r>
          </w:p>
        </w:tc>
        <w:tc>
          <w:tcPr>
            <w:tcW w:type="dxa" w:w="1560"/>
          </w:tcPr>
          <w:p>
            <w:pPr>
              <w:spacing w:line="240" w:lineRule="auto" w:before="0" w:after="0"/>
              <w:ind w:firstLine="0"/>
              <w:jc w:val="center"/>
            </w:pPr>
            <w:r>
              <w:rPr>
                <w:sz w:val="16"/>
              </w:rPr>
            </w:r>
            <w:r>
              <w:rPr>
                <w:b/>
                <w:i w:val="0"/>
                <w:sz w:val="16"/>
                <w:u w:val="none"/>
              </w:rPr>
              <w:t>N (days)</w:t>
            </w:r>
          </w:p>
        </w:tc>
        <w:tc>
          <w:tcPr>
            <w:tcW w:type="dxa" w:w="1560"/>
          </w:tcPr>
          <w:p>
            <w:pPr>
              <w:spacing w:line="240" w:lineRule="auto" w:before="0" w:after="0"/>
              <w:ind w:firstLine="0"/>
              <w:jc w:val="center"/>
            </w:pPr>
            <w:r>
              <w:rPr>
                <w:sz w:val="16"/>
              </w:rPr>
            </w:r>
            <w:r>
              <w:rPr>
                <w:b/>
                <w:i w:val="0"/>
                <w:sz w:val="16"/>
                <w:u w:val="none"/>
              </w:rPr>
              <w:t>Pre-ban</w:t>
            </w:r>
          </w:p>
        </w:tc>
        <w:tc>
          <w:tcPr>
            <w:tcW w:type="dxa" w:w="1560"/>
          </w:tcPr>
          <w:p>
            <w:pPr>
              <w:spacing w:line="240" w:lineRule="auto" w:before="0" w:after="0"/>
              <w:ind w:firstLine="0"/>
              <w:jc w:val="center"/>
            </w:pPr>
            <w:r>
              <w:rPr>
                <w:sz w:val="16"/>
              </w:rPr>
            </w:r>
            <w:r>
              <w:rPr>
                <w:b/>
                <w:i w:val="0"/>
                <w:sz w:val="16"/>
                <w:u w:val="none"/>
              </w:rPr>
              <w:t>Post-ban</w:t>
            </w:r>
          </w:p>
        </w:tc>
      </w:tr>
      <w:tr>
        <w:tc>
          <w:tcPr>
            <w:tcW w:type="dxa" w:w="1560"/>
          </w:tcPr>
          <w:p>
            <w:pPr>
              <w:spacing w:line="240" w:lineRule="auto" w:before="0" w:after="0"/>
              <w:ind w:firstLine="0"/>
              <w:jc w:val="center"/>
            </w:pPr>
            <w:r>
              <w:rPr>
                <w:sz w:val="16"/>
              </w:rPr>
            </w:r>
            <w:r>
              <w:rPr>
                <w:b w:val="0"/>
                <w:i w:val="0"/>
                <w:sz w:val="16"/>
                <w:u w:val="none"/>
              </w:rPr>
              <w:t>Full analysis panel</w:t>
            </w:r>
          </w:p>
        </w:tc>
        <w:tc>
          <w:tcPr>
            <w:tcW w:type="dxa" w:w="1560"/>
          </w:tcPr>
          <w:p>
            <w:pPr>
              <w:spacing w:line="240" w:lineRule="auto" w:before="0" w:after="0"/>
              <w:ind w:firstLine="0"/>
            </w:pPr>
            <w:r>
              <w:rPr>
                <w:sz w:val="16"/>
              </w:rPr>
            </w:r>
            <w:r>
              <w:rPr>
                <w:b w:val="0"/>
                <w:i w:val="0"/>
                <w:sz w:val="16"/>
                <w:u w:val="none"/>
              </w:rPr>
              <w:t>2019-01-01</w:t>
            </w:r>
          </w:p>
        </w:tc>
        <w:tc>
          <w:tcPr>
            <w:tcW w:type="dxa" w:w="1560"/>
          </w:tcPr>
          <w:p>
            <w:pPr>
              <w:spacing w:line="240" w:lineRule="auto" w:before="0" w:after="0"/>
              <w:ind w:firstLine="0"/>
            </w:pPr>
            <w:r>
              <w:rPr>
                <w:sz w:val="16"/>
              </w:rPr>
            </w:r>
            <w:r>
              <w:rPr>
                <w:b w:val="0"/>
                <w:i w:val="0"/>
                <w:sz w:val="16"/>
                <w:u w:val="none"/>
              </w:rPr>
              <w:t>2025-05-28</w:t>
            </w:r>
          </w:p>
        </w:tc>
        <w:tc>
          <w:tcPr>
            <w:tcW w:type="dxa" w:w="1560"/>
          </w:tcPr>
          <w:p>
            <w:pPr>
              <w:spacing w:line="240" w:lineRule="auto" w:before="0" w:after="0"/>
              <w:ind w:firstLine="0"/>
            </w:pPr>
            <w:r>
              <w:rPr>
                <w:sz w:val="16"/>
              </w:rPr>
            </w:r>
            <w:r>
              <w:rPr>
                <w:b w:val="0"/>
                <w:i w:val="0"/>
                <w:sz w:val="16"/>
                <w:u w:val="none"/>
              </w:rPr>
              <w:t>2340</w:t>
            </w:r>
          </w:p>
        </w:tc>
        <w:tc>
          <w:tcPr>
            <w:tcW w:type="dxa" w:w="1560"/>
          </w:tcPr>
          <w:p>
            <w:pPr>
              <w:spacing w:line="240" w:lineRule="auto" w:before="0" w:after="0"/>
              <w:ind w:firstLine="0"/>
            </w:pPr>
            <w:r>
              <w:rPr>
                <w:sz w:val="16"/>
              </w:rPr>
            </w:r>
            <w:r>
              <w:rPr>
                <w:b w:val="0"/>
                <w:i w:val="0"/>
                <w:sz w:val="16"/>
                <w:u w:val="none"/>
              </w:rPr>
              <w:t>901</w:t>
            </w:r>
          </w:p>
        </w:tc>
        <w:tc>
          <w:tcPr>
            <w:tcW w:type="dxa" w:w="1560"/>
          </w:tcPr>
          <w:p>
            <w:pPr>
              <w:spacing w:line="240" w:lineRule="auto" w:before="0" w:after="0"/>
              <w:ind w:firstLine="0"/>
            </w:pPr>
            <w:r>
              <w:rPr>
                <w:sz w:val="16"/>
              </w:rPr>
            </w:r>
            <w:r>
              <w:rPr>
                <w:b w:val="0"/>
                <w:i w:val="0"/>
                <w:sz w:val="16"/>
                <w:u w:val="none"/>
              </w:rPr>
              <w:t>1439</w:t>
            </w:r>
          </w:p>
        </w:tc>
      </w:tr>
      <w:tr>
        <w:tc>
          <w:tcPr>
            <w:tcW w:type="dxa" w:w="1560"/>
          </w:tcPr>
          <w:p>
            <w:pPr>
              <w:spacing w:line="240" w:lineRule="auto" w:before="0" w:after="0"/>
              <w:ind w:firstLine="0"/>
              <w:jc w:val="center"/>
            </w:pPr>
            <w:r>
              <w:rPr>
                <w:sz w:val="16"/>
              </w:rPr>
            </w:r>
            <w:r>
              <w:rPr>
                <w:b w:val="0"/>
                <w:i w:val="0"/>
                <w:sz w:val="16"/>
                <w:u w:val="none"/>
              </w:rPr>
              <w:t>Regression sample (controls complete)</w:t>
            </w:r>
          </w:p>
        </w:tc>
        <w:tc>
          <w:tcPr>
            <w:tcW w:type="dxa" w:w="1560"/>
          </w:tcPr>
          <w:p>
            <w:pPr>
              <w:spacing w:line="240" w:lineRule="auto" w:before="0" w:after="0"/>
              <w:ind w:firstLine="0"/>
            </w:pPr>
            <w:r>
              <w:rPr>
                <w:sz w:val="16"/>
              </w:rPr>
            </w:r>
            <w:r>
              <w:rPr>
                <w:b w:val="0"/>
                <w:i w:val="0"/>
                <w:sz w:val="16"/>
                <w:u w:val="none"/>
              </w:rPr>
              <w:t>2019-01-30</w:t>
            </w:r>
          </w:p>
        </w:tc>
        <w:tc>
          <w:tcPr>
            <w:tcW w:type="dxa" w:w="1560"/>
          </w:tcPr>
          <w:p>
            <w:pPr>
              <w:spacing w:line="240" w:lineRule="auto" w:before="0" w:after="0"/>
              <w:ind w:firstLine="0"/>
            </w:pPr>
            <w:r>
              <w:rPr>
                <w:sz w:val="16"/>
              </w:rPr>
            </w:r>
            <w:r>
              <w:rPr>
                <w:b w:val="0"/>
                <w:i w:val="0"/>
                <w:sz w:val="16"/>
                <w:u w:val="none"/>
              </w:rPr>
              <w:t>2025-04-28</w:t>
            </w:r>
          </w:p>
        </w:tc>
        <w:tc>
          <w:tcPr>
            <w:tcW w:type="dxa" w:w="1560"/>
          </w:tcPr>
          <w:p>
            <w:pPr>
              <w:spacing w:line="240" w:lineRule="auto" w:before="0" w:after="0"/>
              <w:ind w:firstLine="0"/>
            </w:pPr>
            <w:r>
              <w:rPr>
                <w:sz w:val="16"/>
              </w:rPr>
            </w:r>
            <w:r>
              <w:rPr>
                <w:b w:val="0"/>
                <w:i w:val="0"/>
                <w:sz w:val="16"/>
                <w:u w:val="none"/>
              </w:rPr>
              <w:t>2280</w:t>
            </w:r>
          </w:p>
        </w:tc>
        <w:tc>
          <w:tcPr>
            <w:tcW w:type="dxa" w:w="1560"/>
          </w:tcPr>
          <w:p>
            <w:pPr>
              <w:spacing w:line="240" w:lineRule="auto" w:before="0" w:after="0"/>
              <w:ind w:firstLine="0"/>
            </w:pPr>
            <w:r>
              <w:rPr>
                <w:sz w:val="16"/>
              </w:rPr>
            </w:r>
            <w:r>
              <w:rPr>
                <w:b w:val="0"/>
                <w:i w:val="0"/>
                <w:sz w:val="16"/>
                <w:u w:val="none"/>
              </w:rPr>
              <w:t>872</w:t>
            </w:r>
          </w:p>
        </w:tc>
        <w:tc>
          <w:tcPr>
            <w:tcW w:type="dxa" w:w="1560"/>
          </w:tcPr>
          <w:p>
            <w:pPr>
              <w:spacing w:line="240" w:lineRule="auto" w:before="0" w:after="0"/>
              <w:ind w:firstLine="0"/>
            </w:pPr>
            <w:r>
              <w:rPr>
                <w:sz w:val="16"/>
              </w:rPr>
            </w:r>
            <w:r>
              <w:rPr>
                <w:b w:val="0"/>
                <w:i w:val="0"/>
                <w:sz w:val="16"/>
                <w:u w:val="none"/>
              </w:rPr>
              <w:t>1408</w:t>
            </w:r>
          </w:p>
        </w:tc>
      </w:tr>
    </w:tbl>
    <w:p>
      <w:r>
        <w:rPr>
          <w:b w:val="0"/>
          <w:i/>
          <w:color w:val="000000"/>
          <w:u w:val="none"/>
        </w:rPr>
        <w:t>Structural split: China mining-ban date = 2021-06-20.</w:t>
      </w:r>
    </w:p>
    <w:p>
      <w:pPr>
        <w:pStyle w:val="Caption"/>
        <w:keepNext/>
        <w:spacing w:after="120"/>
        <w:ind w:firstLine="0"/>
        <w:jc w:val="center"/>
      </w:pPr>
      <w:r>
        <w:rPr>
          <w:b/>
          <w:i w:val="0"/>
          <w:color w:val="000000"/>
          <w:u w:val="none"/>
        </w:rPr>
        <w:t>Table 3.4. Variable definitions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Symbol</w:t>
            </w:r>
          </w:p>
        </w:tc>
        <w:tc>
          <w:tcPr>
            <w:tcW w:type="dxa" w:w="3120"/>
          </w:tcPr>
          <w:p>
            <w:pPr>
              <w:spacing w:line="240" w:lineRule="auto" w:before="0" w:after="0"/>
              <w:ind w:firstLine="0"/>
              <w:jc w:val="center"/>
            </w:pPr>
            <w:r>
              <w:rPr>
                <w:sz w:val="20"/>
              </w:rPr>
            </w:r>
            <w:r>
              <w:rPr>
                <w:b/>
                <w:i w:val="0"/>
                <w:sz w:val="20"/>
                <w:u w:val="none"/>
              </w:rPr>
              <w:t>Definition</w:t>
            </w:r>
          </w:p>
        </w:tc>
        <w:tc>
          <w:tcPr>
            <w:tcW w:type="dxa" w:w="3120"/>
          </w:tcPr>
          <w:p>
            <w:pPr>
              <w:spacing w:line="240" w:lineRule="auto" w:before="0" w:after="0"/>
              <w:ind w:firstLine="0"/>
              <w:jc w:val="center"/>
            </w:pPr>
            <w:r>
              <w:rPr>
                <w:sz w:val="20"/>
              </w:rPr>
            </w:r>
            <w:r>
              <w:rPr>
                <w:b/>
                <w:i w:val="0"/>
                <w:sz w:val="20"/>
                <w:u w:val="none"/>
              </w:rPr>
              <w:t>Units</w:t>
            </w:r>
          </w:p>
        </w:tc>
      </w:tr>
      <w:tr>
        <w:tc>
          <w:tcPr>
            <w:tcW w:type="dxa" w:w="3120"/>
          </w:tcPr>
          <w:p>
            <w:pPr>
              <w:spacing w:line="240" w:lineRule="auto" w:before="0" w:after="0"/>
              <w:ind w:firstLine="0"/>
              <w:jc w:val="center"/>
            </w:pPr>
            <w:r>
              <w:rPr>
                <w:sz w:val="20"/>
              </w:rPr>
            </w:r>
            <w:r>
              <w:rPr>
                <w:b w:val="0"/>
                <w:i w:val="0"/>
                <w:sz w:val="20"/>
                <w:u w:val="none"/>
              </w:rPr>
              <w:t>CEIR_t</w:t>
            </w:r>
          </w:p>
        </w:tc>
        <w:tc>
          <w:tcPr>
            <w:tcW w:type="dxa" w:w="3120"/>
          </w:tcPr>
          <w:p>
            <w:pPr>
              <w:spacing w:line="240" w:lineRule="auto" w:before="0" w:after="0"/>
              <w:ind w:firstLine="0"/>
            </w:pPr>
            <w:r>
              <w:rPr>
                <w:sz w:val="20"/>
              </w:rPr>
            </w:r>
            <w:r>
              <w:rPr>
                <w:b w:val="0"/>
                <w:i w:val="0"/>
                <w:sz w:val="20"/>
                <w:u w:val="none"/>
              </w:rPr>
              <w:t>MarketCap_t / CumulativeEnergyCost_t</w:t>
            </w:r>
          </w:p>
        </w:tc>
        <w:tc>
          <w:tcPr>
            <w:tcW w:type="dxa" w:w="3120"/>
          </w:tcPr>
          <w:p>
            <w:pPr>
              <w:spacing w:line="240" w:lineRule="auto" w:before="0" w:after="0"/>
              <w:ind w:firstLine="0"/>
            </w:pPr>
            <w:r>
              <w:rPr>
                <w:sz w:val="20"/>
              </w:rPr>
            </w:r>
            <w:r>
              <w:rPr>
                <w:b w:val="0"/>
                <w:i w:val="0"/>
                <w:sz w:val="20"/>
                <w:u w:val="none"/>
              </w:rPr>
              <w:t>Ratio (×)</w:t>
            </w:r>
          </w:p>
        </w:tc>
      </w:tr>
      <w:tr>
        <w:tc>
          <w:tcPr>
            <w:tcW w:type="dxa" w:w="3120"/>
          </w:tcPr>
          <w:p>
            <w:pPr>
              <w:spacing w:line="240" w:lineRule="auto" w:before="0" w:after="0"/>
              <w:ind w:firstLine="0"/>
              <w:jc w:val="center"/>
            </w:pPr>
            <w:r>
              <w:rPr>
                <w:sz w:val="20"/>
              </w:rPr>
            </w:r>
            <w:r>
              <w:rPr>
                <w:b w:val="0"/>
                <w:i w:val="0"/>
                <w:sz w:val="20"/>
                <w:u w:val="none"/>
              </w:rPr>
              <w:t>log(CEIR_t)</w:t>
            </w:r>
          </w:p>
        </w:tc>
        <w:tc>
          <w:tcPr>
            <w:tcW w:type="dxa" w:w="3120"/>
          </w:tcPr>
          <w:p>
            <w:pPr>
              <w:spacing w:line="240" w:lineRule="auto" w:before="0" w:after="0"/>
              <w:ind w:firstLine="0"/>
            </w:pPr>
            <w:r>
              <w:rPr>
                <w:sz w:val="20"/>
              </w:rPr>
            </w:r>
            <w:r>
              <w:rPr>
                <w:b w:val="0"/>
                <w:i w:val="0"/>
                <w:sz w:val="20"/>
                <w:u w:val="none"/>
              </w:rPr>
              <w:t>Natural log of CEIR; 1% winsorized in preferred regression (</w:t>
            </w:r>
            <w:r>
              <w:rPr>
                <w:rFonts w:ascii="Courier New" w:hAnsi="Courier New"/>
                <w:b w:val="0"/>
                <w:i w:val="0"/>
                <w:sz w:val="20"/>
                <w:u w:val="none"/>
              </w:rPr>
              <w:t>log_ceir_w</w:t>
            </w:r>
            <w:r>
              <w:rPr>
                <w:b w:val="0"/>
                <w:i w:val="0"/>
                <w:sz w:val="20"/>
                <w:u w:val="none"/>
              </w:rPr>
              <w:t>)</w:t>
            </w:r>
          </w:p>
        </w:tc>
        <w:tc>
          <w:tcPr>
            <w:tcW w:type="dxa" w:w="3120"/>
          </w:tcPr>
          <w:p>
            <w:pPr>
              <w:spacing w:line="240" w:lineRule="auto" w:before="0" w:after="0"/>
              <w:ind w:firstLine="0"/>
            </w:pPr>
            <w:r>
              <w:rPr>
                <w:sz w:val="20"/>
              </w:rPr>
            </w:r>
            <w:r>
              <w:rPr>
                <w:b w:val="0"/>
                <w:i w:val="0"/>
                <w:sz w:val="20"/>
                <w:u w:val="none"/>
              </w:rPr>
              <w:t>log points</w:t>
            </w:r>
          </w:p>
        </w:tc>
      </w:tr>
      <w:tr>
        <w:tc>
          <w:tcPr>
            <w:tcW w:type="dxa" w:w="3120"/>
          </w:tcPr>
          <w:p>
            <w:pPr>
              <w:spacing w:line="240" w:lineRule="auto" w:before="0" w:after="0"/>
              <w:ind w:firstLine="0"/>
              <w:jc w:val="center"/>
            </w:pPr>
            <w:r>
              <w:rPr>
                <w:sz w:val="20"/>
              </w:rPr>
            </w:r>
            <w:r>
              <w:rPr>
                <w:b w:val="0"/>
                <w:i w:val="0"/>
                <w:sz w:val="20"/>
                <w:u w:val="none"/>
              </w:rPr>
              <w:t>R_{t,t+30}</w:t>
            </w:r>
          </w:p>
        </w:tc>
        <w:tc>
          <w:tcPr>
            <w:tcW w:type="dxa" w:w="3120"/>
          </w:tcPr>
          <w:p>
            <w:pPr>
              <w:spacing w:line="240" w:lineRule="auto" w:before="0" w:after="0"/>
              <w:ind w:firstLine="0"/>
            </w:pPr>
            <w:r>
              <w:rPr>
                <w:sz w:val="20"/>
              </w:rPr>
            </w:r>
            <w:r>
              <w:rPr>
                <w:b w:val="0"/>
                <w:i w:val="0"/>
                <w:sz w:val="20"/>
                <w:u w:val="none"/>
              </w:rPr>
              <w:t>Price_{t+30}/Price_t − 1</w:t>
            </w:r>
          </w:p>
        </w:tc>
        <w:tc>
          <w:tcPr>
            <w:tcW w:type="dxa" w:w="3120"/>
          </w:tcPr>
          <w:p>
            <w:pPr>
              <w:spacing w:line="240" w:lineRule="auto" w:before="0" w:after="0"/>
              <w:ind w:firstLine="0"/>
            </w:pPr>
            <w:r>
              <w:rPr>
                <w:sz w:val="20"/>
              </w:rPr>
            </w:r>
            <w:r>
              <w:rPr>
                <w:b w:val="0"/>
                <w:i w:val="0"/>
                <w:sz w:val="20"/>
                <w:u w:val="none"/>
              </w:rPr>
              <w:t>Proportion</w:t>
            </w:r>
          </w:p>
        </w:tc>
      </w:tr>
      <w:tr>
        <w:tc>
          <w:tcPr>
            <w:tcW w:type="dxa" w:w="3120"/>
          </w:tcPr>
          <w:p>
            <w:pPr>
              <w:spacing w:line="240" w:lineRule="auto" w:before="0" w:after="0"/>
              <w:ind w:firstLine="0"/>
              <w:jc w:val="center"/>
            </w:pPr>
            <w:r>
              <w:rPr>
                <w:sz w:val="20"/>
              </w:rPr>
            </w:r>
            <w:r>
              <w:rPr>
                <w:b w:val="0"/>
                <w:i w:val="0"/>
                <w:sz w:val="20"/>
                <w:u w:val="none"/>
              </w:rPr>
              <w:t>vol30</w:t>
            </w:r>
          </w:p>
        </w:tc>
        <w:tc>
          <w:tcPr>
            <w:tcW w:type="dxa" w:w="3120"/>
          </w:tcPr>
          <w:p>
            <w:pPr>
              <w:spacing w:line="240" w:lineRule="auto" w:before="0" w:after="0"/>
              <w:ind w:firstLine="0"/>
            </w:pPr>
            <w:r>
              <w:rPr>
                <w:sz w:val="20"/>
              </w:rPr>
            </w:r>
            <w:r>
              <w:rPr>
                <w:b w:val="0"/>
                <w:i w:val="0"/>
                <w:sz w:val="20"/>
                <w:u w:val="none"/>
              </w:rPr>
              <w:t>Rolling 30-day std of daily returns</w:t>
            </w:r>
          </w:p>
        </w:tc>
        <w:tc>
          <w:tcPr>
            <w:tcW w:type="dxa" w:w="3120"/>
          </w:tcPr>
          <w:p>
            <w:pPr>
              <w:spacing w:line="240" w:lineRule="auto" w:before="0" w:after="0"/>
              <w:ind w:firstLine="0"/>
            </w:pPr>
            <w:r>
              <w:rPr>
                <w:sz w:val="20"/>
              </w:rPr>
            </w:r>
            <w:r>
              <w:rPr>
                <w:b w:val="0"/>
                <w:i w:val="0"/>
                <w:sz w:val="20"/>
                <w:u w:val="none"/>
              </w:rPr>
              <w:t>Proportion</w:t>
            </w:r>
          </w:p>
        </w:tc>
      </w:tr>
      <w:tr>
        <w:tc>
          <w:tcPr>
            <w:tcW w:type="dxa" w:w="3120"/>
          </w:tcPr>
          <w:p>
            <w:pPr>
              <w:spacing w:line="240" w:lineRule="auto" w:before="0" w:after="0"/>
              <w:ind w:firstLine="0"/>
              <w:jc w:val="center"/>
            </w:pPr>
            <w:r>
              <w:rPr>
                <w:sz w:val="20"/>
              </w:rPr>
            </w:r>
            <w:r>
              <w:rPr>
                <w:b w:val="0"/>
                <w:i w:val="0"/>
                <w:sz w:val="20"/>
                <w:u w:val="none"/>
              </w:rPr>
              <w:t>fg</w:t>
            </w:r>
          </w:p>
        </w:tc>
        <w:tc>
          <w:tcPr>
            <w:tcW w:type="dxa" w:w="3120"/>
          </w:tcPr>
          <w:p>
            <w:pPr>
              <w:spacing w:line="240" w:lineRule="auto" w:before="0" w:after="0"/>
              <w:ind w:firstLine="0"/>
            </w:pPr>
            <w:r>
              <w:rPr>
                <w:sz w:val="20"/>
              </w:rPr>
            </w:r>
            <w:r>
              <w:rPr>
                <w:b w:val="0"/>
                <w:i w:val="0"/>
                <w:sz w:val="20"/>
                <w:u w:val="none"/>
              </w:rPr>
              <w:t>Standardised Fear &amp; Greed Index</w:t>
            </w:r>
          </w:p>
        </w:tc>
        <w:tc>
          <w:tcPr>
            <w:tcW w:type="dxa" w:w="3120"/>
          </w:tcPr>
          <w:p>
            <w:pPr>
              <w:spacing w:line="240" w:lineRule="auto" w:before="0" w:after="0"/>
              <w:ind w:firstLine="0"/>
            </w:pPr>
            <w:r>
              <w:rPr>
                <w:sz w:val="20"/>
              </w:rPr>
            </w:r>
            <w:r>
              <w:rPr>
                <w:b w:val="0"/>
                <w:i w:val="0"/>
                <w:sz w:val="20"/>
                <w:u w:val="none"/>
              </w:rPr>
              <w:t>z-score</w:t>
            </w:r>
          </w:p>
        </w:tc>
      </w:tr>
      <w:tr>
        <w:tc>
          <w:tcPr>
            <w:tcW w:type="dxa" w:w="3120"/>
          </w:tcPr>
          <w:p>
            <w:pPr>
              <w:spacing w:line="240" w:lineRule="auto" w:before="0" w:after="0"/>
              <w:ind w:firstLine="0"/>
              <w:jc w:val="center"/>
            </w:pPr>
            <w:r>
              <w:rPr>
                <w:sz w:val="20"/>
              </w:rPr>
            </w:r>
            <w:r>
              <w:rPr>
                <w:b w:val="0"/>
                <w:i w:val="0"/>
                <w:sz w:val="20"/>
                <w:u w:val="none"/>
              </w:rPr>
              <w:t>trend</w:t>
            </w:r>
          </w:p>
        </w:tc>
        <w:tc>
          <w:tcPr>
            <w:tcW w:type="dxa" w:w="3120"/>
          </w:tcPr>
          <w:p>
            <w:pPr>
              <w:spacing w:line="240" w:lineRule="auto" w:before="0" w:after="0"/>
              <w:ind w:firstLine="0"/>
            </w:pPr>
            <w:r>
              <w:rPr>
                <w:sz w:val="20"/>
              </w:rPr>
            </w:r>
            <w:r>
              <w:rPr>
                <w:b w:val="0"/>
                <w:i w:val="0"/>
                <w:sz w:val="20"/>
                <w:u w:val="none"/>
              </w:rPr>
              <w:t>Linear time index (0 … T)</w:t>
            </w:r>
          </w:p>
        </w:tc>
        <w:tc>
          <w:tcPr>
            <w:tcW w:type="dxa" w:w="3120"/>
          </w:tcPr>
          <w:p>
            <w:pPr>
              <w:spacing w:line="240" w:lineRule="auto" w:before="0" w:after="0"/>
              <w:ind w:firstLine="0"/>
            </w:pPr>
            <w:r>
              <w:rPr>
                <w:sz w:val="20"/>
              </w:rPr>
            </w:r>
            <w:r>
              <w:rPr>
                <w:b w:val="0"/>
                <w:i w:val="0"/>
                <w:sz w:val="20"/>
                <w:u w:val="none"/>
              </w:rPr>
              <w:t>Days</w:t>
            </w:r>
          </w:p>
        </w:tc>
      </w:tr>
      <w:tr>
        <w:tc>
          <w:tcPr>
            <w:tcW w:type="dxa" w:w="3120"/>
          </w:tcPr>
          <w:p>
            <w:pPr>
              <w:spacing w:line="240" w:lineRule="auto" w:before="0" w:after="0"/>
              <w:ind w:firstLine="0"/>
              <w:jc w:val="center"/>
            </w:pPr>
            <w:r>
              <w:rPr>
                <w:sz w:val="20"/>
              </w:rPr>
            </w:r>
            <w:r>
              <w:rPr>
                <w:b w:val="0"/>
                <w:i w:val="0"/>
                <w:sz w:val="20"/>
                <w:u w:val="none"/>
              </w:rPr>
              <w:t>post_china_ban</w:t>
            </w:r>
          </w:p>
        </w:tc>
        <w:tc>
          <w:tcPr>
            <w:tcW w:type="dxa" w:w="3120"/>
          </w:tcPr>
          <w:p>
            <w:pPr>
              <w:spacing w:line="240" w:lineRule="auto" w:before="0" w:after="0"/>
              <w:ind w:firstLine="0"/>
            </w:pPr>
            <w:r>
              <w:rPr>
                <w:sz w:val="20"/>
              </w:rPr>
            </w:r>
            <w:r>
              <w:rPr>
                <w:b w:val="0"/>
                <w:i w:val="0"/>
                <w:sz w:val="20"/>
                <w:u w:val="none"/>
              </w:rPr>
              <w:t>1 if Date ≥ 2021-06-20</w:t>
            </w:r>
          </w:p>
        </w:tc>
        <w:tc>
          <w:tcPr>
            <w:tcW w:type="dxa" w:w="3120"/>
          </w:tcPr>
          <w:p>
            <w:pPr>
              <w:spacing w:line="240" w:lineRule="auto" w:before="0" w:after="0"/>
              <w:ind w:firstLine="0"/>
            </w:pPr>
            <w:r>
              <w:rPr>
                <w:sz w:val="20"/>
              </w:rPr>
            </w:r>
            <w:r>
              <w:rPr>
                <w:b w:val="0"/>
                <w:i w:val="0"/>
                <w:sz w:val="20"/>
                <w:u w:val="none"/>
              </w:rPr>
              <w:t>Indicator</w:t>
            </w:r>
          </w:p>
        </w:tc>
      </w:tr>
    </w:tbl>
    <w:p>
      <w:pPr>
        <w:pStyle w:val="Caption"/>
        <w:keepNext/>
        <w:spacing w:after="120"/>
        <w:ind w:firstLine="0"/>
        <w:jc w:val="center"/>
      </w:pPr>
      <w:r>
        <w:rPr>
          <w:b/>
          <w:i w:val="0"/>
          <w:color w:val="000000"/>
          <w:u w:val="none"/>
        </w:rPr>
        <w:t>Table 3.5. Descriptive statistics (regression sample)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0"/>
              <w:ind w:firstLine="0"/>
              <w:jc w:val="center"/>
            </w:pPr>
            <w:r>
              <w:rPr>
                <w:sz w:val="16"/>
              </w:rPr>
            </w:r>
            <w:r>
              <w:rPr>
                <w:b/>
                <w:i w:val="0"/>
                <w:sz w:val="16"/>
                <w:u w:val="none"/>
              </w:rPr>
              <w:t>Variable</w:t>
            </w:r>
          </w:p>
        </w:tc>
        <w:tc>
          <w:tcPr>
            <w:tcW w:type="dxa" w:w="1872"/>
          </w:tcPr>
          <w:p>
            <w:pPr>
              <w:spacing w:line="240" w:lineRule="auto" w:before="0" w:after="0"/>
              <w:ind w:firstLine="0"/>
              <w:jc w:val="center"/>
            </w:pPr>
            <w:r>
              <w:rPr>
                <w:sz w:val="16"/>
              </w:rPr>
            </w:r>
            <w:r>
              <w:rPr>
                <w:b/>
                <w:i w:val="0"/>
                <w:sz w:val="16"/>
                <w:u w:val="none"/>
              </w:rPr>
              <w:t>Mean (full)</w:t>
            </w:r>
          </w:p>
        </w:tc>
        <w:tc>
          <w:tcPr>
            <w:tcW w:type="dxa" w:w="1872"/>
          </w:tcPr>
          <w:p>
            <w:pPr>
              <w:spacing w:line="240" w:lineRule="auto" w:before="0" w:after="0"/>
              <w:ind w:firstLine="0"/>
              <w:jc w:val="center"/>
            </w:pPr>
            <w:r>
              <w:rPr>
                <w:sz w:val="16"/>
              </w:rPr>
            </w:r>
            <w:r>
              <w:rPr>
                <w:b/>
                <w:i w:val="0"/>
                <w:sz w:val="16"/>
                <w:u w:val="none"/>
              </w:rPr>
              <w:t>Mean (pre-ban)</w:t>
            </w:r>
          </w:p>
        </w:tc>
        <w:tc>
          <w:tcPr>
            <w:tcW w:type="dxa" w:w="1872"/>
          </w:tcPr>
          <w:p>
            <w:pPr>
              <w:spacing w:line="240" w:lineRule="auto" w:before="0" w:after="0"/>
              <w:ind w:firstLine="0"/>
              <w:jc w:val="center"/>
            </w:pPr>
            <w:r>
              <w:rPr>
                <w:sz w:val="16"/>
              </w:rPr>
            </w:r>
            <w:r>
              <w:rPr>
                <w:b/>
                <w:i w:val="0"/>
                <w:sz w:val="16"/>
                <w:u w:val="none"/>
              </w:rPr>
              <w:t>Mean (post-ban)</w:t>
            </w:r>
          </w:p>
        </w:tc>
        <w:tc>
          <w:tcPr>
            <w:tcW w:type="dxa" w:w="1872"/>
          </w:tcPr>
          <w:p>
            <w:pPr>
              <w:spacing w:line="240" w:lineRule="auto" w:before="0" w:after="0"/>
              <w:ind w:firstLine="0"/>
              <w:jc w:val="center"/>
            </w:pPr>
            <w:r>
              <w:rPr>
                <w:sz w:val="16"/>
              </w:rPr>
            </w:r>
            <w:r>
              <w:rPr>
                <w:b/>
                <w:i w:val="0"/>
                <w:sz w:val="16"/>
                <w:u w:val="none"/>
              </w:rPr>
              <w:t>Std (full)</w:t>
            </w:r>
          </w:p>
        </w:tc>
      </w:tr>
      <w:tr>
        <w:tc>
          <w:tcPr>
            <w:tcW w:type="dxa" w:w="1872"/>
          </w:tcPr>
          <w:p>
            <w:pPr>
              <w:spacing w:line="240" w:lineRule="auto" w:before="0" w:after="0"/>
              <w:ind w:firstLine="0"/>
              <w:jc w:val="center"/>
            </w:pPr>
            <w:r>
              <w:rPr>
                <w:sz w:val="16"/>
              </w:rPr>
            </w:r>
            <w:r>
              <w:rPr>
                <w:b w:val="0"/>
                <w:i w:val="0"/>
                <w:sz w:val="16"/>
                <w:u w:val="none"/>
              </w:rPr>
              <w:t>Bitcoin price (USD)</w:t>
            </w:r>
          </w:p>
        </w:tc>
        <w:tc>
          <w:tcPr>
            <w:tcW w:type="dxa" w:w="1872"/>
          </w:tcPr>
          <w:p>
            <w:pPr>
              <w:spacing w:line="240" w:lineRule="auto" w:before="0" w:after="0"/>
              <w:ind w:firstLine="0"/>
            </w:pPr>
            <w:r>
              <w:rPr>
                <w:sz w:val="16"/>
              </w:rPr>
            </w:r>
            <w:r>
              <w:rPr>
                <w:b w:val="0"/>
                <w:i w:val="0"/>
                <w:sz w:val="16"/>
                <w:u w:val="none"/>
              </w:rPr>
              <w:t>34,881</w:t>
            </w:r>
          </w:p>
        </w:tc>
        <w:tc>
          <w:tcPr>
            <w:tcW w:type="dxa" w:w="1872"/>
          </w:tcPr>
          <w:p>
            <w:pPr>
              <w:spacing w:line="240" w:lineRule="auto" w:before="0" w:after="0"/>
              <w:ind w:firstLine="0"/>
            </w:pPr>
            <w:r>
              <w:rPr>
                <w:sz w:val="16"/>
              </w:rPr>
            </w:r>
            <w:r>
              <w:rPr>
                <w:b w:val="0"/>
                <w:i w:val="0"/>
                <w:sz w:val="16"/>
                <w:u w:val="none"/>
              </w:rPr>
              <w:t>16,666</w:t>
            </w:r>
          </w:p>
        </w:tc>
        <w:tc>
          <w:tcPr>
            <w:tcW w:type="dxa" w:w="1872"/>
          </w:tcPr>
          <w:p>
            <w:pPr>
              <w:spacing w:line="240" w:lineRule="auto" w:before="0" w:after="0"/>
              <w:ind w:firstLine="0"/>
            </w:pPr>
            <w:r>
              <w:rPr>
                <w:sz w:val="16"/>
              </w:rPr>
            </w:r>
            <w:r>
              <w:rPr>
                <w:b w:val="0"/>
                <w:i w:val="0"/>
                <w:sz w:val="16"/>
                <w:u w:val="none"/>
              </w:rPr>
              <w:t>46,161</w:t>
            </w:r>
          </w:p>
        </w:tc>
        <w:tc>
          <w:tcPr>
            <w:tcW w:type="dxa" w:w="1872"/>
          </w:tcPr>
          <w:p>
            <w:pPr>
              <w:spacing w:line="240" w:lineRule="auto" w:before="0" w:after="0"/>
              <w:ind w:firstLine="0"/>
            </w:pPr>
            <w:r>
              <w:rPr>
                <w:sz w:val="16"/>
              </w:rPr>
            </w:r>
            <w:r>
              <w:rPr>
                <w:b w:val="0"/>
                <w:i w:val="0"/>
                <w:sz w:val="16"/>
                <w:u w:val="none"/>
              </w:rPr>
              <w:t>25,236</w:t>
            </w:r>
          </w:p>
        </w:tc>
      </w:tr>
      <w:tr>
        <w:tc>
          <w:tcPr>
            <w:tcW w:type="dxa" w:w="1872"/>
          </w:tcPr>
          <w:p>
            <w:pPr>
              <w:spacing w:line="240" w:lineRule="auto" w:before="0" w:after="0"/>
              <w:ind w:firstLine="0"/>
              <w:jc w:val="center"/>
            </w:pPr>
            <w:r>
              <w:rPr>
                <w:sz w:val="16"/>
              </w:rPr>
            </w:r>
            <w:r>
              <w:rPr>
                <w:b w:val="0"/>
                <w:i w:val="0"/>
                <w:sz w:val="16"/>
                <w:u w:val="none"/>
              </w:rPr>
              <w:t>Market capitalisation (USD)</w:t>
            </w:r>
          </w:p>
        </w:tc>
        <w:tc>
          <w:tcPr>
            <w:tcW w:type="dxa" w:w="1872"/>
          </w:tcPr>
          <w:p>
            <w:pPr>
              <w:spacing w:line="240" w:lineRule="auto" w:before="0" w:after="0"/>
              <w:ind w:firstLine="0"/>
            </w:pPr>
            <w:r>
              <w:rPr>
                <w:sz w:val="16"/>
              </w:rPr>
            </w:r>
            <w:r>
              <w:rPr>
                <w:b w:val="0"/>
                <w:i w:val="0"/>
                <w:sz w:val="16"/>
                <w:u w:val="none"/>
              </w:rPr>
              <w:t>673,488,636,070</w:t>
            </w:r>
          </w:p>
        </w:tc>
        <w:tc>
          <w:tcPr>
            <w:tcW w:type="dxa" w:w="1872"/>
          </w:tcPr>
          <w:p>
            <w:pPr>
              <w:spacing w:line="240" w:lineRule="auto" w:before="0" w:after="0"/>
              <w:ind w:firstLine="0"/>
            </w:pPr>
            <w:r>
              <w:rPr>
                <w:sz w:val="16"/>
              </w:rPr>
            </w:r>
            <w:r>
              <w:rPr>
                <w:b w:val="0"/>
                <w:i w:val="0"/>
                <w:sz w:val="16"/>
                <w:u w:val="none"/>
              </w:rPr>
              <w:t>308,430,925,588</w:t>
            </w:r>
          </w:p>
        </w:tc>
        <w:tc>
          <w:tcPr>
            <w:tcW w:type="dxa" w:w="1872"/>
          </w:tcPr>
          <w:p>
            <w:pPr>
              <w:spacing w:line="240" w:lineRule="auto" w:before="0" w:after="0"/>
              <w:ind w:firstLine="0"/>
            </w:pPr>
            <w:r>
              <w:rPr>
                <w:sz w:val="16"/>
              </w:rPr>
            </w:r>
            <w:r>
              <w:rPr>
                <w:b w:val="0"/>
                <w:i w:val="0"/>
                <w:sz w:val="16"/>
                <w:u w:val="none"/>
              </w:rPr>
              <w:t>899,575,513,584</w:t>
            </w:r>
          </w:p>
        </w:tc>
        <w:tc>
          <w:tcPr>
            <w:tcW w:type="dxa" w:w="1872"/>
          </w:tcPr>
          <w:p>
            <w:pPr>
              <w:spacing w:line="240" w:lineRule="auto" w:before="0" w:after="0"/>
              <w:ind w:firstLine="0"/>
            </w:pPr>
            <w:r>
              <w:rPr>
                <w:sz w:val="16"/>
              </w:rPr>
            </w:r>
            <w:r>
              <w:rPr>
                <w:b w:val="0"/>
                <w:i w:val="0"/>
                <w:sz w:val="16"/>
                <w:u w:val="none"/>
              </w:rPr>
              <w:t>500,162,791,854</w:t>
            </w:r>
          </w:p>
        </w:tc>
      </w:tr>
      <w:tr>
        <w:tc>
          <w:tcPr>
            <w:tcW w:type="dxa" w:w="1872"/>
          </w:tcPr>
          <w:p>
            <w:pPr>
              <w:spacing w:line="240" w:lineRule="auto" w:before="0" w:after="0"/>
              <w:ind w:firstLine="0"/>
              <w:jc w:val="center"/>
            </w:pPr>
            <w:r>
              <w:rPr>
                <w:sz w:val="16"/>
              </w:rPr>
            </w:r>
            <w:r>
              <w:rPr>
                <w:b w:val="0"/>
                <w:i w:val="0"/>
                <w:sz w:val="16"/>
                <w:u w:val="none"/>
              </w:rPr>
              <w:t>CEIR = MarketCap / CumulativeEnergyCost</w:t>
            </w:r>
          </w:p>
        </w:tc>
        <w:tc>
          <w:tcPr>
            <w:tcW w:type="dxa" w:w="1872"/>
          </w:tcPr>
          <w:p>
            <w:pPr>
              <w:spacing w:line="240" w:lineRule="auto" w:before="0" w:after="0"/>
              <w:ind w:firstLine="0"/>
            </w:pPr>
            <w:r>
              <w:rPr>
                <w:sz w:val="16"/>
              </w:rPr>
            </w:r>
            <w:r>
              <w:rPr>
                <w:b w:val="0"/>
                <w:i w:val="0"/>
                <w:sz w:val="16"/>
                <w:u w:val="none"/>
              </w:rPr>
              <w:t>29.6516</w:t>
            </w:r>
          </w:p>
        </w:tc>
        <w:tc>
          <w:tcPr>
            <w:tcW w:type="dxa" w:w="1872"/>
          </w:tcPr>
          <w:p>
            <w:pPr>
              <w:spacing w:line="240" w:lineRule="auto" w:before="0" w:after="0"/>
              <w:ind w:firstLine="0"/>
            </w:pPr>
            <w:r>
              <w:rPr>
                <w:sz w:val="16"/>
              </w:rPr>
            </w:r>
            <w:r>
              <w:rPr>
                <w:b w:val="0"/>
                <w:i w:val="0"/>
                <w:sz w:val="16"/>
                <w:u w:val="none"/>
              </w:rPr>
              <w:t>30.3994</w:t>
            </w:r>
          </w:p>
        </w:tc>
        <w:tc>
          <w:tcPr>
            <w:tcW w:type="dxa" w:w="1872"/>
          </w:tcPr>
          <w:p>
            <w:pPr>
              <w:spacing w:line="240" w:lineRule="auto" w:before="0" w:after="0"/>
              <w:ind w:firstLine="0"/>
            </w:pPr>
            <w:r>
              <w:rPr>
                <w:sz w:val="16"/>
              </w:rPr>
            </w:r>
            <w:r>
              <w:rPr>
                <w:b w:val="0"/>
                <w:i w:val="0"/>
                <w:sz w:val="16"/>
                <w:u w:val="none"/>
              </w:rPr>
              <w:t>29.1885</w:t>
            </w:r>
          </w:p>
        </w:tc>
        <w:tc>
          <w:tcPr>
            <w:tcW w:type="dxa" w:w="1872"/>
          </w:tcPr>
          <w:p>
            <w:pPr>
              <w:spacing w:line="240" w:lineRule="auto" w:before="0" w:after="0"/>
              <w:ind w:firstLine="0"/>
            </w:pPr>
            <w:r>
              <w:rPr>
                <w:sz w:val="16"/>
              </w:rPr>
            </w:r>
            <w:r>
              <w:rPr>
                <w:b w:val="0"/>
                <w:i w:val="0"/>
                <w:sz w:val="16"/>
                <w:u w:val="none"/>
              </w:rPr>
              <w:t>14.7314</w:t>
            </w:r>
          </w:p>
        </w:tc>
      </w:tr>
      <w:tr>
        <w:tc>
          <w:tcPr>
            <w:tcW w:type="dxa" w:w="1872"/>
          </w:tcPr>
          <w:p>
            <w:pPr>
              <w:spacing w:line="240" w:lineRule="auto" w:before="0" w:after="0"/>
              <w:ind w:firstLine="0"/>
              <w:jc w:val="center"/>
            </w:pPr>
            <w:r>
              <w:rPr>
                <w:sz w:val="16"/>
              </w:rPr>
            </w:r>
            <w:r>
              <w:rPr>
                <w:b w:val="0"/>
                <w:i w:val="0"/>
                <w:sz w:val="16"/>
                <w:u w:val="none"/>
              </w:rPr>
              <w:t>log(CEIR)</w:t>
            </w:r>
          </w:p>
        </w:tc>
        <w:tc>
          <w:tcPr>
            <w:tcW w:type="dxa" w:w="1872"/>
          </w:tcPr>
          <w:p>
            <w:pPr>
              <w:spacing w:line="240" w:lineRule="auto" w:before="0" w:after="0"/>
              <w:ind w:firstLine="0"/>
            </w:pPr>
            <w:r>
              <w:rPr>
                <w:sz w:val="16"/>
              </w:rPr>
            </w:r>
            <w:r>
              <w:rPr>
                <w:b w:val="0"/>
                <w:i w:val="0"/>
                <w:sz w:val="16"/>
                <w:u w:val="none"/>
              </w:rPr>
              <w:t>3.2819</w:t>
            </w:r>
          </w:p>
        </w:tc>
        <w:tc>
          <w:tcPr>
            <w:tcW w:type="dxa" w:w="1872"/>
          </w:tcPr>
          <w:p>
            <w:pPr>
              <w:spacing w:line="240" w:lineRule="auto" w:before="0" w:after="0"/>
              <w:ind w:firstLine="0"/>
            </w:pPr>
            <w:r>
              <w:rPr>
                <w:sz w:val="16"/>
              </w:rPr>
            </w:r>
            <w:r>
              <w:rPr>
                <w:b w:val="0"/>
                <w:i w:val="0"/>
                <w:sz w:val="16"/>
                <w:u w:val="none"/>
              </w:rPr>
              <w:t>3.2850</w:t>
            </w:r>
          </w:p>
        </w:tc>
        <w:tc>
          <w:tcPr>
            <w:tcW w:type="dxa" w:w="1872"/>
          </w:tcPr>
          <w:p>
            <w:pPr>
              <w:spacing w:line="240" w:lineRule="auto" w:before="0" w:after="0"/>
              <w:ind w:firstLine="0"/>
            </w:pPr>
            <w:r>
              <w:rPr>
                <w:sz w:val="16"/>
              </w:rPr>
            </w:r>
            <w:r>
              <w:rPr>
                <w:b w:val="0"/>
                <w:i w:val="0"/>
                <w:sz w:val="16"/>
                <w:u w:val="none"/>
              </w:rPr>
              <w:t>3.2800</w:t>
            </w:r>
          </w:p>
        </w:tc>
        <w:tc>
          <w:tcPr>
            <w:tcW w:type="dxa" w:w="1872"/>
          </w:tcPr>
          <w:p>
            <w:pPr>
              <w:spacing w:line="240" w:lineRule="auto" w:before="0" w:after="0"/>
              <w:ind w:firstLine="0"/>
            </w:pPr>
            <w:r>
              <w:rPr>
                <w:sz w:val="16"/>
              </w:rPr>
            </w:r>
            <w:r>
              <w:rPr>
                <w:b w:val="0"/>
                <w:i w:val="0"/>
                <w:sz w:val="16"/>
                <w:u w:val="none"/>
              </w:rPr>
              <w:t>0.4536</w:t>
            </w:r>
          </w:p>
        </w:tc>
      </w:tr>
      <w:tr>
        <w:tc>
          <w:tcPr>
            <w:tcW w:type="dxa" w:w="1872"/>
          </w:tcPr>
          <w:p>
            <w:pPr>
              <w:spacing w:line="240" w:lineRule="auto" w:before="0" w:after="0"/>
              <w:ind w:firstLine="0"/>
              <w:jc w:val="center"/>
            </w:pPr>
            <w:r>
              <w:rPr>
                <w:sz w:val="16"/>
              </w:rPr>
            </w:r>
            <w:r>
              <w:rPr>
                <w:b w:val="0"/>
                <w:i w:val="0"/>
                <w:sz w:val="16"/>
                <w:u w:val="none"/>
              </w:rPr>
              <w:t>Daily return</w:t>
            </w:r>
          </w:p>
        </w:tc>
        <w:tc>
          <w:tcPr>
            <w:tcW w:type="dxa" w:w="1872"/>
          </w:tcPr>
          <w:p>
            <w:pPr>
              <w:spacing w:line="240" w:lineRule="auto" w:before="0" w:after="0"/>
              <w:ind w:firstLine="0"/>
            </w:pPr>
            <w:r>
              <w:rPr>
                <w:sz w:val="16"/>
              </w:rPr>
            </w:r>
            <w:r>
              <w:rPr>
                <w:b w:val="0"/>
                <w:i w:val="0"/>
                <w:sz w:val="16"/>
                <w:u w:val="none"/>
              </w:rPr>
              <w:t>2.05e-03</w:t>
            </w:r>
          </w:p>
        </w:tc>
        <w:tc>
          <w:tcPr>
            <w:tcW w:type="dxa" w:w="1872"/>
          </w:tcPr>
          <w:p>
            <w:pPr>
              <w:spacing w:line="240" w:lineRule="auto" w:before="0" w:after="0"/>
              <w:ind w:firstLine="0"/>
            </w:pPr>
            <w:r>
              <w:rPr>
                <w:sz w:val="16"/>
              </w:rPr>
            </w:r>
            <w:r>
              <w:rPr>
                <w:b w:val="0"/>
                <w:i w:val="0"/>
                <w:sz w:val="16"/>
                <w:u w:val="none"/>
              </w:rPr>
              <w:t>3.51e-03</w:t>
            </w:r>
          </w:p>
        </w:tc>
        <w:tc>
          <w:tcPr>
            <w:tcW w:type="dxa" w:w="1872"/>
          </w:tcPr>
          <w:p>
            <w:pPr>
              <w:spacing w:line="240" w:lineRule="auto" w:before="0" w:after="0"/>
              <w:ind w:firstLine="0"/>
            </w:pPr>
            <w:r>
              <w:rPr>
                <w:sz w:val="16"/>
              </w:rPr>
            </w:r>
            <w:r>
              <w:rPr>
                <w:b w:val="0"/>
                <w:i w:val="0"/>
                <w:sz w:val="16"/>
                <w:u w:val="none"/>
              </w:rPr>
              <w:t>1.14e-03</w:t>
            </w:r>
          </w:p>
        </w:tc>
        <w:tc>
          <w:tcPr>
            <w:tcW w:type="dxa" w:w="1872"/>
          </w:tcPr>
          <w:p>
            <w:pPr>
              <w:spacing w:line="240" w:lineRule="auto" w:before="0" w:after="0"/>
              <w:ind w:firstLine="0"/>
            </w:pPr>
            <w:r>
              <w:rPr>
                <w:sz w:val="16"/>
              </w:rPr>
            </w:r>
            <w:r>
              <w:rPr>
                <w:b w:val="0"/>
                <w:i w:val="0"/>
                <w:sz w:val="16"/>
                <w:u w:val="none"/>
              </w:rPr>
              <w:t>0.0341</w:t>
            </w:r>
          </w:p>
        </w:tc>
      </w:tr>
      <w:tr>
        <w:tc>
          <w:tcPr>
            <w:tcW w:type="dxa" w:w="1872"/>
          </w:tcPr>
          <w:p>
            <w:pPr>
              <w:spacing w:line="240" w:lineRule="auto" w:before="0" w:after="0"/>
              <w:ind w:firstLine="0"/>
              <w:jc w:val="center"/>
            </w:pPr>
            <w:r>
              <w:rPr>
                <w:sz w:val="16"/>
              </w:rPr>
            </w:r>
            <w:r>
              <w:rPr>
                <w:b w:val="0"/>
                <w:i w:val="0"/>
                <w:sz w:val="16"/>
                <w:u w:val="none"/>
              </w:rPr>
              <w:t>30-day forward return</w:t>
            </w:r>
          </w:p>
        </w:tc>
        <w:tc>
          <w:tcPr>
            <w:tcW w:type="dxa" w:w="1872"/>
          </w:tcPr>
          <w:p>
            <w:pPr>
              <w:spacing w:line="240" w:lineRule="auto" w:before="0" w:after="0"/>
              <w:ind w:firstLine="0"/>
            </w:pPr>
            <w:r>
              <w:rPr>
                <w:sz w:val="16"/>
              </w:rPr>
            </w:r>
            <w:r>
              <w:rPr>
                <w:b w:val="0"/>
                <w:i w:val="0"/>
                <w:sz w:val="16"/>
                <w:u w:val="none"/>
              </w:rPr>
              <w:t>0.0644</w:t>
            </w:r>
          </w:p>
        </w:tc>
        <w:tc>
          <w:tcPr>
            <w:tcW w:type="dxa" w:w="1872"/>
          </w:tcPr>
          <w:p>
            <w:pPr>
              <w:spacing w:line="240" w:lineRule="auto" w:before="0" w:after="0"/>
              <w:ind w:firstLine="0"/>
            </w:pPr>
            <w:r>
              <w:rPr>
                <w:sz w:val="16"/>
              </w:rPr>
            </w:r>
            <w:r>
              <w:rPr>
                <w:b w:val="0"/>
                <w:i w:val="0"/>
                <w:sz w:val="16"/>
                <w:u w:val="none"/>
              </w:rPr>
              <w:t>0.1072</w:t>
            </w:r>
          </w:p>
        </w:tc>
        <w:tc>
          <w:tcPr>
            <w:tcW w:type="dxa" w:w="1872"/>
          </w:tcPr>
          <w:p>
            <w:pPr>
              <w:spacing w:line="240" w:lineRule="auto" w:before="0" w:after="0"/>
              <w:ind w:firstLine="0"/>
            </w:pPr>
            <w:r>
              <w:rPr>
                <w:sz w:val="16"/>
              </w:rPr>
            </w:r>
            <w:r>
              <w:rPr>
                <w:b w:val="0"/>
                <w:i w:val="0"/>
                <w:sz w:val="16"/>
                <w:u w:val="none"/>
              </w:rPr>
              <w:t>0.0379</w:t>
            </w:r>
          </w:p>
        </w:tc>
        <w:tc>
          <w:tcPr>
            <w:tcW w:type="dxa" w:w="1872"/>
          </w:tcPr>
          <w:p>
            <w:pPr>
              <w:spacing w:line="240" w:lineRule="auto" w:before="0" w:after="0"/>
              <w:ind w:firstLine="0"/>
            </w:pPr>
            <w:r>
              <w:rPr>
                <w:sz w:val="16"/>
              </w:rPr>
            </w:r>
            <w:r>
              <w:rPr>
                <w:b w:val="0"/>
                <w:i w:val="0"/>
                <w:sz w:val="16"/>
                <w:u w:val="none"/>
              </w:rPr>
              <w:t>0.2080</w:t>
            </w:r>
          </w:p>
        </w:tc>
      </w:tr>
      <w:tr>
        <w:tc>
          <w:tcPr>
            <w:tcW w:type="dxa" w:w="1872"/>
          </w:tcPr>
          <w:p>
            <w:pPr>
              <w:spacing w:line="240" w:lineRule="auto" w:before="0" w:after="0"/>
              <w:ind w:firstLine="0"/>
              <w:jc w:val="center"/>
            </w:pPr>
            <w:r>
              <w:rPr>
                <w:sz w:val="16"/>
              </w:rPr>
            </w:r>
            <w:r>
              <w:rPr>
                <w:b w:val="0"/>
                <w:i w:val="0"/>
                <w:sz w:val="16"/>
                <w:u w:val="none"/>
              </w:rPr>
              <w:t>Fear &amp; Greed Index (0–100)</w:t>
            </w:r>
          </w:p>
        </w:tc>
        <w:tc>
          <w:tcPr>
            <w:tcW w:type="dxa" w:w="1872"/>
          </w:tcPr>
          <w:p>
            <w:pPr>
              <w:spacing w:line="240" w:lineRule="auto" w:before="0" w:after="0"/>
              <w:ind w:firstLine="0"/>
            </w:pPr>
            <w:r>
              <w:rPr>
                <w:sz w:val="16"/>
              </w:rPr>
            </w:r>
            <w:r>
              <w:rPr>
                <w:b w:val="0"/>
                <w:i w:val="0"/>
                <w:sz w:val="16"/>
                <w:u w:val="none"/>
              </w:rPr>
              <w:t>49.5009</w:t>
            </w:r>
          </w:p>
        </w:tc>
        <w:tc>
          <w:tcPr>
            <w:tcW w:type="dxa" w:w="1872"/>
          </w:tcPr>
          <w:p>
            <w:pPr>
              <w:spacing w:line="240" w:lineRule="auto" w:before="0" w:after="0"/>
              <w:ind w:firstLine="0"/>
            </w:pPr>
            <w:r>
              <w:rPr>
                <w:sz w:val="16"/>
              </w:rPr>
            </w:r>
            <w:r>
              <w:rPr>
                <w:b w:val="0"/>
                <w:i w:val="0"/>
                <w:sz w:val="16"/>
                <w:u w:val="none"/>
              </w:rPr>
              <w:t>52.2867</w:t>
            </w:r>
          </w:p>
        </w:tc>
        <w:tc>
          <w:tcPr>
            <w:tcW w:type="dxa" w:w="1872"/>
          </w:tcPr>
          <w:p>
            <w:pPr>
              <w:spacing w:line="240" w:lineRule="auto" w:before="0" w:after="0"/>
              <w:ind w:firstLine="0"/>
            </w:pPr>
            <w:r>
              <w:rPr>
                <w:sz w:val="16"/>
              </w:rPr>
            </w:r>
            <w:r>
              <w:rPr>
                <w:b w:val="0"/>
                <w:i w:val="0"/>
                <w:sz w:val="16"/>
                <w:u w:val="none"/>
              </w:rPr>
              <w:t>47.7756</w:t>
            </w:r>
          </w:p>
        </w:tc>
        <w:tc>
          <w:tcPr>
            <w:tcW w:type="dxa" w:w="1872"/>
          </w:tcPr>
          <w:p>
            <w:pPr>
              <w:spacing w:line="240" w:lineRule="auto" w:before="0" w:after="0"/>
              <w:ind w:firstLine="0"/>
            </w:pPr>
            <w:r>
              <w:rPr>
                <w:sz w:val="16"/>
              </w:rPr>
            </w:r>
            <w:r>
              <w:rPr>
                <w:b w:val="0"/>
                <w:i w:val="0"/>
                <w:sz w:val="16"/>
                <w:u w:val="none"/>
              </w:rPr>
              <w:t>21.8552</w:t>
            </w:r>
          </w:p>
        </w:tc>
      </w:tr>
      <w:tr>
        <w:tc>
          <w:tcPr>
            <w:tcW w:type="dxa" w:w="1872"/>
          </w:tcPr>
          <w:p>
            <w:pPr>
              <w:spacing w:line="240" w:lineRule="auto" w:before="0" w:after="0"/>
              <w:ind w:firstLine="0"/>
              <w:jc w:val="center"/>
            </w:pPr>
            <w:r>
              <w:rPr>
                <w:sz w:val="16"/>
              </w:rPr>
            </w:r>
            <w:r>
              <w:rPr>
                <w:b w:val="0"/>
                <w:i w:val="0"/>
                <w:sz w:val="16"/>
                <w:u w:val="none"/>
              </w:rPr>
              <w:t>30-day return volatility</w:t>
            </w:r>
          </w:p>
        </w:tc>
        <w:tc>
          <w:tcPr>
            <w:tcW w:type="dxa" w:w="1872"/>
          </w:tcPr>
          <w:p>
            <w:pPr>
              <w:spacing w:line="240" w:lineRule="auto" w:before="0" w:after="0"/>
              <w:ind w:firstLine="0"/>
            </w:pPr>
            <w:r>
              <w:rPr>
                <w:sz w:val="16"/>
              </w:rPr>
            </w:r>
            <w:r>
              <w:rPr>
                <w:b w:val="0"/>
                <w:i w:val="0"/>
                <w:sz w:val="16"/>
                <w:u w:val="none"/>
              </w:rPr>
              <w:t>0.0318</w:t>
            </w:r>
          </w:p>
        </w:tc>
        <w:tc>
          <w:tcPr>
            <w:tcW w:type="dxa" w:w="1872"/>
          </w:tcPr>
          <w:p>
            <w:pPr>
              <w:spacing w:line="240" w:lineRule="auto" w:before="0" w:after="0"/>
              <w:ind w:firstLine="0"/>
            </w:pPr>
            <w:r>
              <w:rPr>
                <w:sz w:val="16"/>
              </w:rPr>
            </w:r>
            <w:r>
              <w:rPr>
                <w:b w:val="0"/>
                <w:i w:val="0"/>
                <w:sz w:val="16"/>
                <w:u w:val="none"/>
              </w:rPr>
              <w:t>0.0373</w:t>
            </w:r>
          </w:p>
        </w:tc>
        <w:tc>
          <w:tcPr>
            <w:tcW w:type="dxa" w:w="1872"/>
          </w:tcPr>
          <w:p>
            <w:pPr>
              <w:spacing w:line="240" w:lineRule="auto" w:before="0" w:after="0"/>
              <w:ind w:firstLine="0"/>
            </w:pPr>
            <w:r>
              <w:rPr>
                <w:sz w:val="16"/>
              </w:rPr>
            </w:r>
            <w:r>
              <w:rPr>
                <w:b w:val="0"/>
                <w:i w:val="0"/>
                <w:sz w:val="16"/>
                <w:u w:val="none"/>
              </w:rPr>
              <w:t>0.0283</w:t>
            </w:r>
          </w:p>
        </w:tc>
        <w:tc>
          <w:tcPr>
            <w:tcW w:type="dxa" w:w="1872"/>
          </w:tcPr>
          <w:p>
            <w:pPr>
              <w:spacing w:line="240" w:lineRule="auto" w:before="0" w:after="0"/>
              <w:ind w:firstLine="0"/>
            </w:pPr>
            <w:r>
              <w:rPr>
                <w:sz w:val="16"/>
              </w:rPr>
            </w:r>
            <w:r>
              <w:rPr>
                <w:b w:val="0"/>
                <w:i w:val="0"/>
                <w:sz w:val="16"/>
                <w:u w:val="none"/>
              </w:rPr>
              <w:t>0.0124</w:t>
            </w:r>
          </w:p>
        </w:tc>
      </w:tr>
    </w:tbl>
    <w:p>
      <w:r>
        <w:rPr>
          <w:b w:val="0"/>
          <w:i/>
          <w:color w:val="000000"/>
          <w:u w:val="none"/>
        </w:rPr>
        <w:t xml:space="preserve">Means and standard deviations on the regression-ready sample (N = 2280: pre-ban 872, post-ban 1408). Full distributional detail in </w:t>
      </w:r>
      <w:r>
        <w:rPr>
          <w:rFonts w:ascii="Courier New" w:hAnsi="Courier New"/>
          <w:b w:val="0"/>
          <w:i/>
          <w:color w:val="000000"/>
          <w:sz w:val="21"/>
          <w:u w:val="none"/>
        </w:rPr>
        <w:t>empirical_results/tables/ceir_descriptive_statistics.csv</w:t>
      </w:r>
      <w:r>
        <w:rPr>
          <w:b w:val="0"/>
          <w:i/>
          <w:color w:val="000000"/>
          <w:u w:val="none"/>
        </w:rPr>
        <w:t>.</w:t>
      </w:r>
    </w:p>
    <w:p>
      <w:pPr>
        <w:pStyle w:val="Caption"/>
        <w:keepNext/>
        <w:spacing w:after="120"/>
        <w:ind w:firstLine="0"/>
        <w:jc w:val="center"/>
      </w:pPr>
      <w:r>
        <w:rPr>
          <w:b/>
          <w:i w:val="0"/>
          <w:color w:val="000000"/>
          <w:u w:val="none"/>
        </w:rPr>
        <w:t>Table 3.6. Correlation matrix (regression sample)</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0"/>
              <w:ind w:firstLine="0"/>
              <w:jc w:val="center"/>
            </w:pPr>
            <w:r>
              <w:rPr>
                <w:sz w:val="16"/>
              </w:rPr>
            </w:r>
            <w:r>
              <w:rPr>
                <w:b/>
                <w:i w:val="0"/>
                <w:sz w:val="16"/>
                <w:u w:val="none"/>
              </w:rPr>
              <w:t>Variable</w:t>
            </w:r>
          </w:p>
        </w:tc>
        <w:tc>
          <w:tcPr>
            <w:tcW w:type="dxa" w:w="1560"/>
          </w:tcPr>
          <w:p>
            <w:pPr>
              <w:spacing w:line="240" w:lineRule="auto" w:before="0" w:after="0"/>
              <w:ind w:firstLine="0"/>
              <w:jc w:val="center"/>
            </w:pPr>
            <w:r>
              <w:rPr>
                <w:sz w:val="16"/>
              </w:rPr>
            </w:r>
            <w:r>
              <w:rPr>
                <w:b/>
                <w:i w:val="0"/>
                <w:sz w:val="16"/>
                <w:u w:val="none"/>
              </w:rPr>
              <w:t>log(CEIR)</w:t>
            </w:r>
          </w:p>
        </w:tc>
        <w:tc>
          <w:tcPr>
            <w:tcW w:type="dxa" w:w="1560"/>
          </w:tcPr>
          <w:p>
            <w:pPr>
              <w:spacing w:line="240" w:lineRule="auto" w:before="0" w:after="0"/>
              <w:ind w:firstLine="0"/>
              <w:jc w:val="center"/>
            </w:pPr>
            <w:r>
              <w:rPr>
                <w:sz w:val="16"/>
              </w:rPr>
            </w:r>
            <w:r>
              <w:rPr>
                <w:b/>
                <w:i w:val="0"/>
                <w:sz w:val="16"/>
                <w:u w:val="none"/>
              </w:rPr>
              <w:t>30d forward return</w:t>
            </w:r>
          </w:p>
        </w:tc>
        <w:tc>
          <w:tcPr>
            <w:tcW w:type="dxa" w:w="1560"/>
          </w:tcPr>
          <w:p>
            <w:pPr>
              <w:spacing w:line="240" w:lineRule="auto" w:before="0" w:after="0"/>
              <w:ind w:firstLine="0"/>
              <w:jc w:val="center"/>
            </w:pPr>
            <w:r>
              <w:rPr>
                <w:sz w:val="16"/>
              </w:rPr>
            </w:r>
            <w:r>
              <w:rPr>
                <w:b/>
                <w:i w:val="0"/>
                <w:sz w:val="16"/>
                <w:u w:val="none"/>
              </w:rPr>
              <w:t>Daily return</w:t>
            </w:r>
          </w:p>
        </w:tc>
        <w:tc>
          <w:tcPr>
            <w:tcW w:type="dxa" w:w="1560"/>
          </w:tcPr>
          <w:p>
            <w:pPr>
              <w:spacing w:line="240" w:lineRule="auto" w:before="0" w:after="0"/>
              <w:ind w:firstLine="0"/>
              <w:jc w:val="center"/>
            </w:pPr>
            <w:r>
              <w:rPr>
                <w:sz w:val="16"/>
              </w:rPr>
            </w:r>
            <w:r>
              <w:rPr>
                <w:b/>
                <w:i w:val="0"/>
                <w:sz w:val="16"/>
                <w:u w:val="none"/>
              </w:rPr>
              <w:t>30d volatility</w:t>
            </w:r>
          </w:p>
        </w:tc>
        <w:tc>
          <w:tcPr>
            <w:tcW w:type="dxa" w:w="1560"/>
          </w:tcPr>
          <w:p>
            <w:pPr>
              <w:spacing w:line="240" w:lineRule="auto" w:before="0" w:after="0"/>
              <w:ind w:firstLine="0"/>
              <w:jc w:val="center"/>
            </w:pPr>
            <w:r>
              <w:rPr>
                <w:sz w:val="16"/>
              </w:rPr>
            </w:r>
            <w:r>
              <w:rPr>
                <w:b/>
                <w:i w:val="0"/>
                <w:sz w:val="16"/>
                <w:u w:val="none"/>
              </w:rPr>
              <w:t>Fear &amp; Greed</w:t>
            </w:r>
          </w:p>
        </w:tc>
      </w:tr>
      <w:tr>
        <w:tc>
          <w:tcPr>
            <w:tcW w:type="dxa" w:w="1560"/>
          </w:tcPr>
          <w:p>
            <w:pPr>
              <w:spacing w:line="240" w:lineRule="auto" w:before="0" w:after="0"/>
              <w:ind w:firstLine="0"/>
              <w:jc w:val="center"/>
            </w:pPr>
            <w:r>
              <w:rPr>
                <w:sz w:val="16"/>
              </w:rPr>
            </w:r>
            <w:r>
              <w:rPr>
                <w:b w:val="0"/>
                <w:i w:val="0"/>
                <w:sz w:val="16"/>
                <w:u w:val="none"/>
              </w:rPr>
              <w:t>log(CEIR)</w:t>
            </w:r>
          </w:p>
        </w:tc>
        <w:tc>
          <w:tcPr>
            <w:tcW w:type="dxa" w:w="1560"/>
          </w:tcPr>
          <w:p>
            <w:pPr>
              <w:spacing w:line="240" w:lineRule="auto" w:before="0" w:after="0"/>
              <w:ind w:firstLine="0"/>
            </w:pPr>
            <w:r>
              <w:rPr>
                <w:sz w:val="16"/>
              </w:rPr>
            </w:r>
            <w:r>
              <w:rPr>
                <w:b w:val="0"/>
                <w:i w:val="0"/>
                <w:sz w:val="16"/>
                <w:u w:val="none"/>
              </w:rPr>
              <w:t>1.000</w:t>
            </w:r>
          </w:p>
        </w:tc>
        <w:tc>
          <w:tcPr>
            <w:tcW w:type="dxa" w:w="1560"/>
          </w:tcPr>
          <w:p>
            <w:pPr>
              <w:spacing w:line="240" w:lineRule="auto" w:before="0" w:after="0"/>
              <w:ind w:firstLine="0"/>
            </w:pPr>
            <w:r>
              <w:rPr>
                <w:sz w:val="16"/>
              </w:rPr>
            </w:r>
            <w:r>
              <w:rPr>
                <w:b w:val="0"/>
                <w:i w:val="0"/>
                <w:sz w:val="16"/>
                <w:u w:val="none"/>
              </w:rPr>
              <w:t>-0.189</w:t>
            </w:r>
          </w:p>
        </w:tc>
        <w:tc>
          <w:tcPr>
            <w:tcW w:type="dxa" w:w="1560"/>
          </w:tcPr>
          <w:p>
            <w:pPr>
              <w:spacing w:line="240" w:lineRule="auto" w:before="0" w:after="0"/>
              <w:ind w:firstLine="0"/>
            </w:pPr>
            <w:r>
              <w:rPr>
                <w:sz w:val="16"/>
              </w:rPr>
            </w:r>
            <w:r>
              <w:rPr>
                <w:b w:val="0"/>
                <w:i w:val="0"/>
                <w:sz w:val="16"/>
                <w:u w:val="none"/>
              </w:rPr>
              <w:t>0.040</w:t>
            </w:r>
          </w:p>
        </w:tc>
        <w:tc>
          <w:tcPr>
            <w:tcW w:type="dxa" w:w="1560"/>
          </w:tcPr>
          <w:p>
            <w:pPr>
              <w:spacing w:line="240" w:lineRule="auto" w:before="0" w:after="0"/>
              <w:ind w:firstLine="0"/>
            </w:pPr>
            <w:r>
              <w:rPr>
                <w:sz w:val="16"/>
              </w:rPr>
            </w:r>
            <w:r>
              <w:rPr>
                <w:b w:val="0"/>
                <w:i w:val="0"/>
                <w:sz w:val="16"/>
                <w:u w:val="none"/>
              </w:rPr>
              <w:t>0.273</w:t>
            </w:r>
          </w:p>
        </w:tc>
        <w:tc>
          <w:tcPr>
            <w:tcW w:type="dxa" w:w="1560"/>
          </w:tcPr>
          <w:p>
            <w:pPr>
              <w:spacing w:line="240" w:lineRule="auto" w:before="0" w:after="0"/>
              <w:ind w:firstLine="0"/>
            </w:pPr>
            <w:r>
              <w:rPr>
                <w:sz w:val="16"/>
              </w:rPr>
            </w:r>
            <w:r>
              <w:rPr>
                <w:b w:val="0"/>
                <w:i w:val="0"/>
                <w:sz w:val="16"/>
                <w:u w:val="none"/>
              </w:rPr>
              <w:t>0.353</w:t>
            </w:r>
          </w:p>
        </w:tc>
      </w:tr>
      <w:tr>
        <w:tc>
          <w:tcPr>
            <w:tcW w:type="dxa" w:w="1560"/>
          </w:tcPr>
          <w:p>
            <w:pPr>
              <w:spacing w:line="240" w:lineRule="auto" w:before="0" w:after="0"/>
              <w:ind w:firstLine="0"/>
              <w:jc w:val="center"/>
            </w:pPr>
            <w:r>
              <w:rPr>
                <w:sz w:val="16"/>
              </w:rPr>
            </w:r>
            <w:r>
              <w:rPr>
                <w:b w:val="0"/>
                <w:i w:val="0"/>
                <w:sz w:val="16"/>
                <w:u w:val="none"/>
              </w:rPr>
              <w:t>30d forward return</w:t>
            </w:r>
          </w:p>
        </w:tc>
        <w:tc>
          <w:tcPr>
            <w:tcW w:type="dxa" w:w="1560"/>
          </w:tcPr>
          <w:p>
            <w:pPr>
              <w:spacing w:line="240" w:lineRule="auto" w:before="0" w:after="0"/>
              <w:ind w:firstLine="0"/>
            </w:pPr>
            <w:r>
              <w:rPr>
                <w:sz w:val="16"/>
              </w:rPr>
            </w:r>
            <w:r>
              <w:rPr>
                <w:b w:val="0"/>
                <w:i w:val="0"/>
                <w:sz w:val="16"/>
                <w:u w:val="none"/>
              </w:rPr>
              <w:t>-0.189</w:t>
            </w:r>
          </w:p>
        </w:tc>
        <w:tc>
          <w:tcPr>
            <w:tcW w:type="dxa" w:w="1560"/>
          </w:tcPr>
          <w:p>
            <w:pPr>
              <w:spacing w:line="240" w:lineRule="auto" w:before="0" w:after="0"/>
              <w:ind w:firstLine="0"/>
            </w:pPr>
            <w:r>
              <w:rPr>
                <w:sz w:val="16"/>
              </w:rPr>
            </w:r>
            <w:r>
              <w:rPr>
                <w:b w:val="0"/>
                <w:i w:val="0"/>
                <w:sz w:val="16"/>
                <w:u w:val="none"/>
              </w:rPr>
              <w:t>1.000</w:t>
            </w:r>
          </w:p>
        </w:tc>
        <w:tc>
          <w:tcPr>
            <w:tcW w:type="dxa" w:w="1560"/>
          </w:tcPr>
          <w:p>
            <w:pPr>
              <w:spacing w:line="240" w:lineRule="auto" w:before="0" w:after="0"/>
              <w:ind w:firstLine="0"/>
            </w:pPr>
            <w:r>
              <w:rPr>
                <w:sz w:val="16"/>
              </w:rPr>
            </w:r>
            <w:r>
              <w:rPr>
                <w:b w:val="0"/>
                <w:i w:val="0"/>
                <w:sz w:val="16"/>
                <w:u w:val="none"/>
              </w:rPr>
              <w:t>0.021</w:t>
            </w:r>
          </w:p>
        </w:tc>
        <w:tc>
          <w:tcPr>
            <w:tcW w:type="dxa" w:w="1560"/>
          </w:tcPr>
          <w:p>
            <w:pPr>
              <w:spacing w:line="240" w:lineRule="auto" w:before="0" w:after="0"/>
              <w:ind w:firstLine="0"/>
            </w:pPr>
            <w:r>
              <w:rPr>
                <w:sz w:val="16"/>
              </w:rPr>
            </w:r>
            <w:r>
              <w:rPr>
                <w:b w:val="0"/>
                <w:i w:val="0"/>
                <w:sz w:val="16"/>
                <w:u w:val="none"/>
              </w:rPr>
              <w:t>0.015</w:t>
            </w:r>
          </w:p>
        </w:tc>
        <w:tc>
          <w:tcPr>
            <w:tcW w:type="dxa" w:w="1560"/>
          </w:tcPr>
          <w:p>
            <w:pPr>
              <w:spacing w:line="240" w:lineRule="auto" w:before="0" w:after="0"/>
              <w:ind w:firstLine="0"/>
            </w:pPr>
            <w:r>
              <w:rPr>
                <w:sz w:val="16"/>
              </w:rPr>
            </w:r>
            <w:r>
              <w:rPr>
                <w:b w:val="0"/>
                <w:i w:val="0"/>
                <w:sz w:val="16"/>
                <w:u w:val="none"/>
              </w:rPr>
              <w:t>0.134</w:t>
            </w:r>
          </w:p>
        </w:tc>
      </w:tr>
      <w:tr>
        <w:tc>
          <w:tcPr>
            <w:tcW w:type="dxa" w:w="1560"/>
          </w:tcPr>
          <w:p>
            <w:pPr>
              <w:spacing w:line="240" w:lineRule="auto" w:before="0" w:after="0"/>
              <w:ind w:firstLine="0"/>
              <w:jc w:val="center"/>
            </w:pPr>
            <w:r>
              <w:rPr>
                <w:sz w:val="16"/>
              </w:rPr>
            </w:r>
            <w:r>
              <w:rPr>
                <w:b w:val="0"/>
                <w:i w:val="0"/>
                <w:sz w:val="16"/>
                <w:u w:val="none"/>
              </w:rPr>
              <w:t>Daily return</w:t>
            </w:r>
          </w:p>
        </w:tc>
        <w:tc>
          <w:tcPr>
            <w:tcW w:type="dxa" w:w="1560"/>
          </w:tcPr>
          <w:p>
            <w:pPr>
              <w:spacing w:line="240" w:lineRule="auto" w:before="0" w:after="0"/>
              <w:ind w:firstLine="0"/>
            </w:pPr>
            <w:r>
              <w:rPr>
                <w:sz w:val="16"/>
              </w:rPr>
            </w:r>
            <w:r>
              <w:rPr>
                <w:b w:val="0"/>
                <w:i w:val="0"/>
                <w:sz w:val="16"/>
                <w:u w:val="none"/>
              </w:rPr>
              <w:t>0.040</w:t>
            </w:r>
          </w:p>
        </w:tc>
        <w:tc>
          <w:tcPr>
            <w:tcW w:type="dxa" w:w="1560"/>
          </w:tcPr>
          <w:p>
            <w:pPr>
              <w:spacing w:line="240" w:lineRule="auto" w:before="0" w:after="0"/>
              <w:ind w:firstLine="0"/>
            </w:pPr>
            <w:r>
              <w:rPr>
                <w:sz w:val="16"/>
              </w:rPr>
            </w:r>
            <w:r>
              <w:rPr>
                <w:b w:val="0"/>
                <w:i w:val="0"/>
                <w:sz w:val="16"/>
                <w:u w:val="none"/>
              </w:rPr>
              <w:t>0.021</w:t>
            </w:r>
          </w:p>
        </w:tc>
        <w:tc>
          <w:tcPr>
            <w:tcW w:type="dxa" w:w="1560"/>
          </w:tcPr>
          <w:p>
            <w:pPr>
              <w:spacing w:line="240" w:lineRule="auto" w:before="0" w:after="0"/>
              <w:ind w:firstLine="0"/>
            </w:pPr>
            <w:r>
              <w:rPr>
                <w:sz w:val="16"/>
              </w:rPr>
            </w:r>
            <w:r>
              <w:rPr>
                <w:b w:val="0"/>
                <w:i w:val="0"/>
                <w:sz w:val="16"/>
                <w:u w:val="none"/>
              </w:rPr>
              <w:t>1.000</w:t>
            </w:r>
          </w:p>
        </w:tc>
        <w:tc>
          <w:tcPr>
            <w:tcW w:type="dxa" w:w="1560"/>
          </w:tcPr>
          <w:p>
            <w:pPr>
              <w:spacing w:line="240" w:lineRule="auto" w:before="0" w:after="0"/>
              <w:ind w:firstLine="0"/>
            </w:pPr>
            <w:r>
              <w:rPr>
                <w:sz w:val="16"/>
              </w:rPr>
            </w:r>
            <w:r>
              <w:rPr>
                <w:b w:val="0"/>
                <w:i w:val="0"/>
                <w:sz w:val="16"/>
                <w:u w:val="none"/>
              </w:rPr>
              <w:t>9.76e-03</w:t>
            </w:r>
          </w:p>
        </w:tc>
        <w:tc>
          <w:tcPr>
            <w:tcW w:type="dxa" w:w="1560"/>
          </w:tcPr>
          <w:p>
            <w:pPr>
              <w:spacing w:line="240" w:lineRule="auto" w:before="0" w:after="0"/>
              <w:ind w:firstLine="0"/>
            </w:pPr>
            <w:r>
              <w:rPr>
                <w:sz w:val="16"/>
              </w:rPr>
            </w:r>
            <w:r>
              <w:rPr>
                <w:b w:val="0"/>
                <w:i w:val="0"/>
                <w:sz w:val="16"/>
                <w:u w:val="none"/>
              </w:rPr>
              <w:t>0.211</w:t>
            </w:r>
          </w:p>
        </w:tc>
      </w:tr>
      <w:tr>
        <w:tc>
          <w:tcPr>
            <w:tcW w:type="dxa" w:w="1560"/>
          </w:tcPr>
          <w:p>
            <w:pPr>
              <w:spacing w:line="240" w:lineRule="auto" w:before="0" w:after="0"/>
              <w:ind w:firstLine="0"/>
              <w:jc w:val="center"/>
            </w:pPr>
            <w:r>
              <w:rPr>
                <w:sz w:val="16"/>
              </w:rPr>
            </w:r>
            <w:r>
              <w:rPr>
                <w:b w:val="0"/>
                <w:i w:val="0"/>
                <w:sz w:val="16"/>
                <w:u w:val="none"/>
              </w:rPr>
              <w:t>30d volatility</w:t>
            </w:r>
          </w:p>
        </w:tc>
        <w:tc>
          <w:tcPr>
            <w:tcW w:type="dxa" w:w="1560"/>
          </w:tcPr>
          <w:p>
            <w:pPr>
              <w:spacing w:line="240" w:lineRule="auto" w:before="0" w:after="0"/>
              <w:ind w:firstLine="0"/>
            </w:pPr>
            <w:r>
              <w:rPr>
                <w:sz w:val="16"/>
              </w:rPr>
            </w:r>
            <w:r>
              <w:rPr>
                <w:b w:val="0"/>
                <w:i w:val="0"/>
                <w:sz w:val="16"/>
                <w:u w:val="none"/>
              </w:rPr>
              <w:t>0.273</w:t>
            </w:r>
          </w:p>
        </w:tc>
        <w:tc>
          <w:tcPr>
            <w:tcW w:type="dxa" w:w="1560"/>
          </w:tcPr>
          <w:p>
            <w:pPr>
              <w:spacing w:line="240" w:lineRule="auto" w:before="0" w:after="0"/>
              <w:ind w:firstLine="0"/>
            </w:pPr>
            <w:r>
              <w:rPr>
                <w:sz w:val="16"/>
              </w:rPr>
            </w:r>
            <w:r>
              <w:rPr>
                <w:b w:val="0"/>
                <w:i w:val="0"/>
                <w:sz w:val="16"/>
                <w:u w:val="none"/>
              </w:rPr>
              <w:t>0.015</w:t>
            </w:r>
          </w:p>
        </w:tc>
        <w:tc>
          <w:tcPr>
            <w:tcW w:type="dxa" w:w="1560"/>
          </w:tcPr>
          <w:p>
            <w:pPr>
              <w:spacing w:line="240" w:lineRule="auto" w:before="0" w:after="0"/>
              <w:ind w:firstLine="0"/>
            </w:pPr>
            <w:r>
              <w:rPr>
                <w:sz w:val="16"/>
              </w:rPr>
            </w:r>
            <w:r>
              <w:rPr>
                <w:b w:val="0"/>
                <w:i w:val="0"/>
                <w:sz w:val="16"/>
                <w:u w:val="none"/>
              </w:rPr>
              <w:t>9.76e-03</w:t>
            </w:r>
          </w:p>
        </w:tc>
        <w:tc>
          <w:tcPr>
            <w:tcW w:type="dxa" w:w="1560"/>
          </w:tcPr>
          <w:p>
            <w:pPr>
              <w:spacing w:line="240" w:lineRule="auto" w:before="0" w:after="0"/>
              <w:ind w:firstLine="0"/>
            </w:pPr>
            <w:r>
              <w:rPr>
                <w:sz w:val="16"/>
              </w:rPr>
            </w:r>
            <w:r>
              <w:rPr>
                <w:b w:val="0"/>
                <w:i w:val="0"/>
                <w:sz w:val="16"/>
                <w:u w:val="none"/>
              </w:rPr>
              <w:t>1.000</w:t>
            </w:r>
          </w:p>
        </w:tc>
        <w:tc>
          <w:tcPr>
            <w:tcW w:type="dxa" w:w="1560"/>
          </w:tcPr>
          <w:p>
            <w:pPr>
              <w:spacing w:line="240" w:lineRule="auto" w:before="0" w:after="0"/>
              <w:ind w:firstLine="0"/>
            </w:pPr>
            <w:r>
              <w:rPr>
                <w:sz w:val="16"/>
              </w:rPr>
            </w:r>
            <w:r>
              <w:rPr>
                <w:b w:val="0"/>
                <w:i w:val="0"/>
                <w:sz w:val="16"/>
                <w:u w:val="none"/>
              </w:rPr>
              <w:t>-0.141</w:t>
            </w:r>
          </w:p>
        </w:tc>
      </w:tr>
      <w:tr>
        <w:tc>
          <w:tcPr>
            <w:tcW w:type="dxa" w:w="1560"/>
          </w:tcPr>
          <w:p>
            <w:pPr>
              <w:spacing w:line="240" w:lineRule="auto" w:before="0" w:after="0"/>
              <w:ind w:firstLine="0"/>
              <w:jc w:val="center"/>
            </w:pPr>
            <w:r>
              <w:rPr>
                <w:sz w:val="16"/>
              </w:rPr>
            </w:r>
            <w:r>
              <w:rPr>
                <w:b w:val="0"/>
                <w:i w:val="0"/>
                <w:sz w:val="16"/>
                <w:u w:val="none"/>
              </w:rPr>
              <w:t>Fear &amp; Greed</w:t>
            </w:r>
          </w:p>
        </w:tc>
        <w:tc>
          <w:tcPr>
            <w:tcW w:type="dxa" w:w="1560"/>
          </w:tcPr>
          <w:p>
            <w:pPr>
              <w:spacing w:line="240" w:lineRule="auto" w:before="0" w:after="0"/>
              <w:ind w:firstLine="0"/>
            </w:pPr>
            <w:r>
              <w:rPr>
                <w:sz w:val="16"/>
              </w:rPr>
            </w:r>
            <w:r>
              <w:rPr>
                <w:b w:val="0"/>
                <w:i w:val="0"/>
                <w:sz w:val="16"/>
                <w:u w:val="none"/>
              </w:rPr>
              <w:t>0.353</w:t>
            </w:r>
          </w:p>
        </w:tc>
        <w:tc>
          <w:tcPr>
            <w:tcW w:type="dxa" w:w="1560"/>
          </w:tcPr>
          <w:p>
            <w:pPr>
              <w:spacing w:line="240" w:lineRule="auto" w:before="0" w:after="0"/>
              <w:ind w:firstLine="0"/>
            </w:pPr>
            <w:r>
              <w:rPr>
                <w:sz w:val="16"/>
              </w:rPr>
            </w:r>
            <w:r>
              <w:rPr>
                <w:b w:val="0"/>
                <w:i w:val="0"/>
                <w:sz w:val="16"/>
                <w:u w:val="none"/>
              </w:rPr>
              <w:t>0.134</w:t>
            </w:r>
          </w:p>
        </w:tc>
        <w:tc>
          <w:tcPr>
            <w:tcW w:type="dxa" w:w="1560"/>
          </w:tcPr>
          <w:p>
            <w:pPr>
              <w:spacing w:line="240" w:lineRule="auto" w:before="0" w:after="0"/>
              <w:ind w:firstLine="0"/>
            </w:pPr>
            <w:r>
              <w:rPr>
                <w:sz w:val="16"/>
              </w:rPr>
            </w:r>
            <w:r>
              <w:rPr>
                <w:b w:val="0"/>
                <w:i w:val="0"/>
                <w:sz w:val="16"/>
                <w:u w:val="none"/>
              </w:rPr>
              <w:t>0.211</w:t>
            </w:r>
          </w:p>
        </w:tc>
        <w:tc>
          <w:tcPr>
            <w:tcW w:type="dxa" w:w="1560"/>
          </w:tcPr>
          <w:p>
            <w:pPr>
              <w:spacing w:line="240" w:lineRule="auto" w:before="0" w:after="0"/>
              <w:ind w:firstLine="0"/>
            </w:pPr>
            <w:r>
              <w:rPr>
                <w:sz w:val="16"/>
              </w:rPr>
            </w:r>
            <w:r>
              <w:rPr>
                <w:b w:val="0"/>
                <w:i w:val="0"/>
                <w:sz w:val="16"/>
                <w:u w:val="none"/>
              </w:rPr>
              <w:t>-0.141</w:t>
            </w:r>
          </w:p>
        </w:tc>
        <w:tc>
          <w:tcPr>
            <w:tcW w:type="dxa" w:w="1560"/>
          </w:tcPr>
          <w:p>
            <w:pPr>
              <w:spacing w:line="240" w:lineRule="auto" w:before="0" w:after="0"/>
              <w:ind w:firstLine="0"/>
            </w:pPr>
            <w:r>
              <w:rPr>
                <w:sz w:val="16"/>
              </w:rPr>
            </w:r>
            <w:r>
              <w:rPr>
                <w:b w:val="0"/>
                <w:i w:val="0"/>
                <w:sz w:val="16"/>
                <w:u w:val="none"/>
              </w:rPr>
              <w:t>1.000</w:t>
            </w:r>
          </w:p>
        </w:tc>
      </w:tr>
    </w:tbl>
    <w:p>
      <w:r>
        <w:rPr>
          <w:b w:val="0"/>
          <w:i/>
          <w:color w:val="000000"/>
          <w:u w:val="none"/>
        </w:rPr>
        <w:t>Pearson correlations on the same regression sample. Overlapping 30-day returns induce serial correlation; inference uses HAC(30) in Table 3.7.</w:t>
      </w:r>
    </w:p>
    <w:p>
      <w:pPr>
        <w:pStyle w:val="Heading2"/>
      </w:pPr>
      <w:r>
        <w:rPr>
          <w:color w:val="000000"/>
        </w:rPr>
        <w:t>3.4 Empirical Design</w:t>
      </w:r>
    </w:p>
    <w:p>
      <w:r>
        <w:rPr>
          <w:b w:val="0"/>
          <w:i w:val="0"/>
          <w:color w:val="000000"/>
          <w:u w:val="none"/>
        </w:rPr>
        <w:t>Tables 3.2–3.6 describe the panel used in this chapter. This section states the identification strategy applied to that panel.</w:t>
      </w:r>
    </w:p>
    <w:p>
      <w:r>
        <w:rPr>
          <w:b w:val="0"/>
          <w:i w:val="0"/>
          <w:color w:val="000000"/>
          <w:u w:val="none"/>
        </w:rPr>
        <w:t>The empirical design has three parts.</w:t>
      </w:r>
    </w:p>
    <w:p>
      <w:r>
        <w:rPr>
          <w:b w:val="0"/>
          <w:i w:val="0"/>
          <w:color w:val="000000"/>
          <w:u w:val="none"/>
        </w:rPr>
        <w:t xml:space="preserve">First, the chapter tests whether Bitcoin valuation relative to cumulative energy cost predicts forward 30-day returns. In regression terms, this predicts a negative coefficient on </w:t>
      </w:r>
      <w:r>
        <w:rPr>
          <w:rFonts w:ascii="Courier New" w:hAnsi="Courier New"/>
          <w:b w:val="0"/>
          <w:i w:val="0"/>
          <w:color w:val="000000"/>
          <w:sz w:val="21"/>
          <w:u w:val="none"/>
        </w:rPr>
        <w:t>log(CEIR)</w:t>
      </w:r>
      <w:r>
        <w:rPr>
          <w:b w:val="0"/>
          <w:i w:val="0"/>
          <w:color w:val="000000"/>
          <w:u w:val="none"/>
        </w:rPr>
        <w:t>.</w:t>
      </w:r>
    </w:p>
    <w:p>
      <w:r>
        <w:rPr>
          <w:b w:val="0"/>
          <w:i w:val="0"/>
          <w:color w:val="000000"/>
          <w:u w:val="none"/>
        </w:rPr>
        <w:t>The baseline predictive regression can be written as:</w:t>
      </w:r>
    </w:p>
    <w:p>
      <w:pPr>
        <w:pStyle w:val="EquationLabel"/>
      </w:pPr>
      <w:r>
        <w:t>Equation 3.2</w:t>
      </w:r>
    </w:p>
    <w:p>
      <w:pPr>
        <w:pStyle w:val="Equation"/>
      </w:pPr>
      <w:r>
        <w:t>R₍t,t+30₎ = α + β log(CEIRₜ) + γ' Controlsₜ + epsilonₜ</w:t>
      </w:r>
    </w:p>
    <w:p>
      <w:r>
        <w:rPr>
          <w:rFonts w:ascii="Courier New" w:hAnsi="Courier New"/>
          <w:b w:val="0"/>
          <w:i w:val="0"/>
          <w:color w:val="000000"/>
          <w:sz w:val="21"/>
          <w:u w:val="none"/>
        </w:rPr>
        <w:t>R_{t,t+30}</w:t>
      </w:r>
      <w:r>
        <w:rPr>
          <w:b w:val="0"/>
          <w:i w:val="0"/>
          <w:color w:val="000000"/>
          <w:u w:val="none"/>
        </w:rPr>
        <w:t xml:space="preserve"> is the forward 30-day Bitcoin return. The control set includes trend, sentiment, and volatility where available. Because 30-day forward returns overlap in daily data, inference uses HAC(30) standard errors, month clustering, and differenced specifications as discipline checks—not a single naive regression claim.</w:t>
      </w:r>
    </w:p>
    <w:p>
      <w:r>
        <w:rPr>
          <w:b w:val="0"/>
          <w:i w:val="0"/>
          <w:color w:val="000000"/>
          <w:u w:val="none"/>
        </w:rPr>
        <w:t>Second, the chapter tests whether the relationship changes around the China mining-ban period (2021-06-20). A structural break would suggest that the energy–valuation link depends on mining geography and coordination, not on a universal constant.</w:t>
      </w:r>
    </w:p>
    <w:p>
      <w:r>
        <w:rPr>
          <w:b w:val="0"/>
          <w:i w:val="0"/>
          <w:color w:val="000000"/>
          <w:u w:val="none"/>
        </w:rPr>
        <w:t>Third, the chapter uses robustness checks to avoid overstating the finding: differenced CEIR, alternative error structures, and a simple trading backtest.</w:t>
      </w:r>
    </w:p>
    <w:p>
      <w:r>
        <w:rPr>
          <w:b w:val="0"/>
          <w:i w:val="0"/>
          <w:color w:val="000000"/>
          <w:u w:val="none"/>
        </w:rPr>
        <w:t>The purpose is not to prove that energy mechanically determines Bitcoin's price. It is to test whether energy cost appears to be part of the valuation structure, and whether that structure is stable or conditional.</w:t>
      </w:r>
    </w:p>
    <w:p>
      <w:pPr>
        <w:pStyle w:val="Heading2"/>
      </w:pPr>
      <w:r>
        <w:rPr>
          <w:color w:val="000000"/>
        </w:rPr>
        <w:t>3.5 Main Results</w:t>
      </w:r>
    </w:p>
    <w:p>
      <w:r>
        <w:rPr>
          <w:b w:val="0"/>
          <w:i w:val="0"/>
          <w:color w:val="000000"/>
          <w:u w:val="none"/>
        </w:rPr>
        <w:t>The preferred level specification supports a relationship between Bitcoin valuation and cumulative energy cost. Table 3.7 reports the full regression summary.</w:t>
      </w:r>
    </w:p>
    <w:p>
      <w:r>
        <w:rPr>
          <w:b w:val="0"/>
          <w:i w:val="0"/>
          <w:color w:val="000000"/>
          <w:u w:val="none"/>
        </w:rPr>
        <w:t xml:space="preserve">Pre-ban, the coefficient on winsorized </w:t>
      </w:r>
      <w:r>
        <w:rPr>
          <w:rFonts w:ascii="Courier New" w:hAnsi="Courier New"/>
          <w:b w:val="0"/>
          <w:i w:val="0"/>
          <w:color w:val="000000"/>
          <w:sz w:val="21"/>
          <w:u w:val="none"/>
        </w:rPr>
        <w:t>log(CEIR)</w:t>
      </w:r>
      <w:r>
        <w:rPr>
          <w:b w:val="0"/>
          <w:i w:val="0"/>
          <w:color w:val="000000"/>
          <w:u w:val="none"/>
        </w:rPr>
        <w:t xml:space="preserve"> is negative and statistically significant. Post-ban, the estimate remains negative but is smaller and not significant at conventional levels. A Chow test rejects coefficient equality across the split. The break is therefore real, but the post-ban regime shows a weaker energy-valuation link, not a stronger one.</w:t>
      </w:r>
    </w:p>
    <w:p>
      <w:pPr>
        <w:keepNext/>
        <w:spacing w:before="120"/>
        <w:ind w:firstLine="0"/>
        <w:jc w:val="center"/>
      </w:pPr>
      <w:r>
        <w:drawing>
          <wp:inline xmlns:a="http://schemas.openxmlformats.org/drawingml/2006/main" xmlns:pic="http://schemas.openxmlformats.org/drawingml/2006/picture">
            <wp:extent cx="4572000" cy="3302000"/>
            <wp:docPr id="1" name="Picture 1"/>
            <wp:cNvGraphicFramePr>
              <a:graphicFrameLocks noChangeAspect="1"/>
            </wp:cNvGraphicFramePr>
            <a:graphic>
              <a:graphicData uri="http://schemas.openxmlformats.org/drawingml/2006/picture">
                <pic:pic>
                  <pic:nvPicPr>
                    <pic:cNvPr id="0" name="ceir_coef_pre_post.png"/>
                    <pic:cNvPicPr/>
                  </pic:nvPicPr>
                  <pic:blipFill>
                    <a:blip r:embed="rId9"/>
                    <a:stretch>
                      <a:fillRect/>
                    </a:stretch>
                  </pic:blipFill>
                  <pic:spPr>
                    <a:xfrm>
                      <a:off x="0" y="0"/>
                      <a:ext cx="4572000" cy="3302000"/>
                    </a:xfrm>
                    <a:prstGeom prst="rect"/>
                  </pic:spPr>
                </pic:pic>
              </a:graphicData>
            </a:graphic>
          </wp:inline>
        </w:drawing>
      </w:r>
    </w:p>
    <w:p>
      <w:pPr>
        <w:pStyle w:val="Caption"/>
        <w:ind w:firstLine="0"/>
        <w:jc w:val="center"/>
      </w:pPr>
      <w:r>
        <w:rPr>
          <w:color w:val="000000"/>
        </w:rPr>
        <w:t>Figure 3.1. Regime split (Table 3.7).</w:t>
      </w:r>
    </w:p>
    <w:p>
      <w:r>
        <w:rPr>
          <w:b w:val="0"/>
          <w:i w:val="0"/>
          <w:color w:val="000000"/>
          <w:u w:val="none"/>
        </w:rPr>
        <w:t xml:space="preserve">Table 3.5 and Figure 3.1b help interpret the split without overclaiming causality. Mean Bitcoin price rises sharply post-ban while mean CEIR remains in a similar range; </w:t>
      </w:r>
      <w:r>
        <w:rPr>
          <w:rFonts w:ascii="Courier New" w:hAnsi="Courier New"/>
          <w:b w:val="0"/>
          <w:i w:val="0"/>
          <w:color w:val="000000"/>
          <w:sz w:val="21"/>
          <w:u w:val="none"/>
        </w:rPr>
        <w:t>log(CEIR)</w:t>
      </w:r>
      <w:r>
        <w:rPr>
          <w:b w:val="0"/>
          <w:i w:val="0"/>
          <w:color w:val="000000"/>
          <w:u w:val="none"/>
        </w:rPr>
        <w:t xml:space="preserve"> distributions overlap but shift. Table 3.6 reports a negative correlation between </w:t>
      </w:r>
      <w:r>
        <w:rPr>
          <w:rFonts w:ascii="Courier New" w:hAnsi="Courier New"/>
          <w:b w:val="0"/>
          <w:i w:val="0"/>
          <w:color w:val="000000"/>
          <w:sz w:val="21"/>
          <w:u w:val="none"/>
        </w:rPr>
        <w:t>log(CEIR)</w:t>
      </w:r>
      <w:r>
        <w:rPr>
          <w:b w:val="0"/>
          <w:i w:val="0"/>
          <w:color w:val="000000"/>
          <w:u w:val="none"/>
        </w:rPr>
        <w:t xml:space="preserve"> and forward returns, consistent with the preferred sign—though overlapping windows mean formal inference still relies on HAC(30), not raw correlations alone.</w:t>
      </w:r>
    </w:p>
    <w:p>
      <w:pPr>
        <w:keepNext/>
        <w:spacing w:before="120"/>
        <w:ind w:firstLine="0"/>
        <w:jc w:val="center"/>
      </w:pPr>
      <w:r>
        <w:drawing>
          <wp:inline xmlns:a="http://schemas.openxmlformats.org/drawingml/2006/main" xmlns:pic="http://schemas.openxmlformats.org/drawingml/2006/picture">
            <wp:extent cx="4572000" cy="2788968"/>
            <wp:docPr id="2" name="Picture 2"/>
            <wp:cNvGraphicFramePr>
              <a:graphicFrameLocks noChangeAspect="1"/>
            </wp:cNvGraphicFramePr>
            <a:graphic>
              <a:graphicData uri="http://schemas.openxmlformats.org/drawingml/2006/picture">
                <pic:pic>
                  <pic:nvPicPr>
                    <pic:cNvPr id="0" name="ceir_distribution_by_regime.png"/>
                    <pic:cNvPicPr/>
                  </pic:nvPicPr>
                  <pic:blipFill>
                    <a:blip r:embed="rId10"/>
                    <a:stretch>
                      <a:fillRect/>
                    </a:stretch>
                  </pic:blipFill>
                  <pic:spPr>
                    <a:xfrm>
                      <a:off x="0" y="0"/>
                      <a:ext cx="4572000" cy="2788968"/>
                    </a:xfrm>
                    <a:prstGeom prst="rect"/>
                  </pic:spPr>
                </pic:pic>
              </a:graphicData>
            </a:graphic>
          </wp:inline>
        </w:drawing>
      </w:r>
    </w:p>
    <w:p>
      <w:pPr>
        <w:pStyle w:val="Caption"/>
        <w:ind w:firstLine="0"/>
        <w:jc w:val="center"/>
      </w:pPr>
      <w:r>
        <w:rPr>
          <w:color w:val="000000"/>
        </w:rPr>
        <w:t>Figure 3.1b. Distribution by regime (Table 3.5).</w:t>
      </w:r>
    </w:p>
    <w:p>
      <w:r>
        <w:rPr>
          <w:b w:val="0"/>
          <w:i w:val="0"/>
          <w:color w:val="000000"/>
          <w:u w:val="none"/>
        </w:rPr>
        <w:t>Pre-ban, when Bitcoin is high relative to its cumulative energy-cost base, later 30-day returns tend to be weaker. That pattern is consistent with energy cost acting as a valuation reference in the concentrated-mining period. Post-ban, the same specification does not support the same strength of inference.</w:t>
      </w:r>
    </w:p>
    <w:p>
      <w:r>
        <w:rPr>
          <w:b w:val="0"/>
          <w:i w:val="0"/>
          <w:color w:val="000000"/>
          <w:u w:val="none"/>
        </w:rPr>
        <w:t>The disciplined reading is that energy cost can contain valuation information, but the relationship is regime-dependent. It should not be stated as "energy always anchors Bitcoin." In the preferred level specification, Bitcoin's energy-cost base carries information before the mining network disperses; afterward, the same test does not support equally strong inference.</w:t>
      </w:r>
    </w:p>
    <w:p>
      <w:pPr>
        <w:pStyle w:val="Caption"/>
        <w:keepNext/>
        <w:spacing w:after="120"/>
        <w:ind w:firstLine="0"/>
        <w:jc w:val="center"/>
      </w:pPr>
      <w:r>
        <w:rPr>
          <w:b/>
          <w:i w:val="0"/>
          <w:color w:val="000000"/>
          <w:u w:val="none"/>
        </w:rPr>
        <w:t>Table 3.7. Preferred level specification — pre/post China mining-ban split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0"/>
              <w:ind w:firstLine="0"/>
              <w:jc w:val="center"/>
            </w:pPr>
            <w:r>
              <w:rPr>
                <w:sz w:val="16"/>
              </w:rPr>
            </w:r>
            <w:r>
              <w:rPr>
                <w:b/>
                <w:i w:val="0"/>
                <w:sz w:val="16"/>
                <w:u w:val="none"/>
              </w:rPr>
              <w:t>Period</w:t>
            </w:r>
          </w:p>
        </w:tc>
        <w:tc>
          <w:tcPr>
            <w:tcW w:type="dxa" w:w="1872"/>
          </w:tcPr>
          <w:p>
            <w:pPr>
              <w:spacing w:line="240" w:lineRule="auto" w:before="0" w:after="0"/>
              <w:ind w:firstLine="0"/>
              <w:jc w:val="center"/>
            </w:pPr>
            <w:r>
              <w:rPr>
                <w:sz w:val="16"/>
              </w:rPr>
            </w:r>
            <w:r>
              <w:rPr>
                <w:b/>
                <w:i w:val="0"/>
                <w:sz w:val="16"/>
                <w:u w:val="none"/>
              </w:rPr>
              <w:t>N (days)</w:t>
            </w:r>
          </w:p>
        </w:tc>
        <w:tc>
          <w:tcPr>
            <w:tcW w:type="dxa" w:w="1872"/>
          </w:tcPr>
          <w:p>
            <w:pPr>
              <w:spacing w:line="240" w:lineRule="auto" w:before="0" w:after="0"/>
              <w:ind w:firstLine="0"/>
              <w:jc w:val="center"/>
            </w:pPr>
            <w:r>
              <w:rPr>
                <w:sz w:val="16"/>
              </w:rPr>
            </w:r>
            <w:r>
              <w:rPr>
                <w:b/>
                <w:i w:val="0"/>
                <w:sz w:val="16"/>
                <w:u w:val="none"/>
              </w:rPr>
              <w:t>β on log(CEIR)</w:t>
            </w:r>
          </w:p>
        </w:tc>
        <w:tc>
          <w:tcPr>
            <w:tcW w:type="dxa" w:w="1872"/>
          </w:tcPr>
          <w:p>
            <w:pPr>
              <w:spacing w:line="240" w:lineRule="auto" w:before="0" w:after="0"/>
              <w:ind w:firstLine="0"/>
              <w:jc w:val="center"/>
            </w:pPr>
            <w:r>
              <w:rPr>
                <w:sz w:val="16"/>
              </w:rPr>
            </w:r>
            <w:r>
              <w:rPr>
                <w:b/>
                <w:i w:val="0"/>
                <w:sz w:val="16"/>
                <w:u w:val="none"/>
              </w:rPr>
              <w:t>HAC p</w:t>
            </w:r>
          </w:p>
        </w:tc>
        <w:tc>
          <w:tcPr>
            <w:tcW w:type="dxa" w:w="1872"/>
          </w:tcPr>
          <w:p>
            <w:pPr>
              <w:spacing w:line="240" w:lineRule="auto" w:before="0" w:after="0"/>
              <w:ind w:firstLine="0"/>
              <w:jc w:val="center"/>
            </w:pPr>
            <w:r>
              <w:rPr>
                <w:sz w:val="16"/>
              </w:rPr>
            </w:r>
            <w:r>
              <w:rPr>
                <w:b/>
                <w:i w:val="0"/>
                <w:sz w:val="16"/>
                <w:u w:val="none"/>
              </w:rPr>
              <w:t>Chow / break</w:t>
            </w:r>
          </w:p>
        </w:tc>
      </w:tr>
      <w:tr>
        <w:tc>
          <w:tcPr>
            <w:tcW w:type="dxa" w:w="1872"/>
          </w:tcPr>
          <w:p>
            <w:pPr>
              <w:spacing w:line="240" w:lineRule="auto" w:before="0" w:after="0"/>
              <w:ind w:firstLine="0"/>
              <w:jc w:val="center"/>
            </w:pPr>
            <w:r>
              <w:rPr>
                <w:sz w:val="16"/>
              </w:rPr>
            </w:r>
            <w:r>
              <w:rPr>
                <w:b w:val="0"/>
                <w:i w:val="0"/>
                <w:sz w:val="16"/>
                <w:u w:val="none"/>
              </w:rPr>
              <w:t>Pre-ban (level spec)</w:t>
            </w:r>
          </w:p>
        </w:tc>
        <w:tc>
          <w:tcPr>
            <w:tcW w:type="dxa" w:w="1872"/>
          </w:tcPr>
          <w:p>
            <w:pPr>
              <w:spacing w:line="240" w:lineRule="auto" w:before="0" w:after="0"/>
              <w:ind w:firstLine="0"/>
            </w:pPr>
            <w:r>
              <w:rPr>
                <w:sz w:val="16"/>
              </w:rPr>
            </w:r>
            <w:r>
              <w:rPr>
                <w:b w:val="0"/>
                <w:i w:val="0"/>
                <w:sz w:val="16"/>
                <w:u w:val="none"/>
              </w:rPr>
              <w:t>872</w:t>
            </w:r>
          </w:p>
        </w:tc>
        <w:tc>
          <w:tcPr>
            <w:tcW w:type="dxa" w:w="1872"/>
          </w:tcPr>
          <w:p>
            <w:pPr>
              <w:spacing w:line="240" w:lineRule="auto" w:before="0" w:after="0"/>
              <w:ind w:firstLine="0"/>
            </w:pPr>
            <w:r>
              <w:rPr>
                <w:sz w:val="16"/>
              </w:rPr>
            </w:r>
            <w:r>
              <w:rPr>
                <w:b w:val="0"/>
                <w:i w:val="0"/>
                <w:sz w:val="16"/>
                <w:u w:val="none"/>
              </w:rPr>
              <w:t>−0.262</w:t>
            </w:r>
          </w:p>
        </w:tc>
        <w:tc>
          <w:tcPr>
            <w:tcW w:type="dxa" w:w="1872"/>
          </w:tcPr>
          <w:p>
            <w:pPr>
              <w:spacing w:line="240" w:lineRule="auto" w:before="0" w:after="0"/>
              <w:ind w:firstLine="0"/>
            </w:pPr>
            <w:r>
              <w:rPr>
                <w:sz w:val="16"/>
              </w:rPr>
            </w:r>
            <w:r>
              <w:rPr>
                <w:b w:val="0"/>
                <w:i w:val="0"/>
                <w:sz w:val="16"/>
                <w:u w:val="none"/>
              </w:rPr>
              <w:t>≈ 0.0005</w:t>
            </w:r>
          </w:p>
        </w:tc>
        <w:tc>
          <w:tcPr>
            <w:tcW w:type="dxa" w:w="1872"/>
          </w:tcPr>
          <w:p>
            <w:pPr>
              <w:spacing w:line="240" w:lineRule="auto" w:before="0" w:after="0"/>
              <w:ind w:firstLine="0"/>
            </w:pPr>
            <w:r>
              <w:rPr>
                <w:sz w:val="16"/>
              </w:rPr>
            </w:r>
            <w:r>
              <w:rPr>
                <w:b w:val="0"/>
                <w:i w:val="0"/>
                <w:sz w:val="16"/>
                <w:u w:val="none"/>
              </w:rPr>
              <w:t>—</w:t>
            </w:r>
          </w:p>
        </w:tc>
      </w:tr>
      <w:tr>
        <w:tc>
          <w:tcPr>
            <w:tcW w:type="dxa" w:w="1872"/>
          </w:tcPr>
          <w:p>
            <w:pPr>
              <w:spacing w:line="240" w:lineRule="auto" w:before="0" w:after="0"/>
              <w:ind w:firstLine="0"/>
              <w:jc w:val="center"/>
            </w:pPr>
            <w:r>
              <w:rPr>
                <w:sz w:val="16"/>
              </w:rPr>
            </w:r>
            <w:r>
              <w:rPr>
                <w:b w:val="0"/>
                <w:i w:val="0"/>
                <w:sz w:val="16"/>
                <w:u w:val="none"/>
              </w:rPr>
              <w:t>Post-ban (level spec)</w:t>
            </w:r>
          </w:p>
        </w:tc>
        <w:tc>
          <w:tcPr>
            <w:tcW w:type="dxa" w:w="1872"/>
          </w:tcPr>
          <w:p>
            <w:pPr>
              <w:spacing w:line="240" w:lineRule="auto" w:before="0" w:after="0"/>
              <w:ind w:firstLine="0"/>
            </w:pPr>
            <w:r>
              <w:rPr>
                <w:sz w:val="16"/>
              </w:rPr>
            </w:r>
            <w:r>
              <w:rPr>
                <w:b w:val="0"/>
                <w:i w:val="0"/>
                <w:sz w:val="16"/>
                <w:u w:val="none"/>
              </w:rPr>
              <w:t>1,408</w:t>
            </w:r>
          </w:p>
        </w:tc>
        <w:tc>
          <w:tcPr>
            <w:tcW w:type="dxa" w:w="1872"/>
          </w:tcPr>
          <w:p>
            <w:pPr>
              <w:spacing w:line="240" w:lineRule="auto" w:before="0" w:after="0"/>
              <w:ind w:firstLine="0"/>
            </w:pPr>
            <w:r>
              <w:rPr>
                <w:sz w:val="16"/>
              </w:rPr>
            </w:r>
            <w:r>
              <w:rPr>
                <w:b w:val="0"/>
                <w:i w:val="0"/>
                <w:sz w:val="16"/>
                <w:u w:val="none"/>
              </w:rPr>
              <w:t>−0.071</w:t>
            </w:r>
          </w:p>
        </w:tc>
        <w:tc>
          <w:tcPr>
            <w:tcW w:type="dxa" w:w="1872"/>
          </w:tcPr>
          <w:p>
            <w:pPr>
              <w:spacing w:line="240" w:lineRule="auto" w:before="0" w:after="0"/>
              <w:ind w:firstLine="0"/>
            </w:pPr>
            <w:r>
              <w:rPr>
                <w:sz w:val="16"/>
              </w:rPr>
            </w:r>
            <w:r>
              <w:rPr>
                <w:b w:val="0"/>
                <w:i w:val="0"/>
                <w:sz w:val="16"/>
                <w:u w:val="none"/>
              </w:rPr>
              <w:t>≈ 0.13</w:t>
            </w:r>
          </w:p>
        </w:tc>
        <w:tc>
          <w:tcPr>
            <w:tcW w:type="dxa" w:w="1872"/>
          </w:tcPr>
          <w:p>
            <w:pPr>
              <w:spacing w:line="240" w:lineRule="auto" w:before="0" w:after="0"/>
              <w:ind w:firstLine="0"/>
            </w:pPr>
            <w:r>
              <w:rPr>
                <w:sz w:val="16"/>
              </w:rPr>
            </w:r>
            <w:r>
              <w:rPr>
                <w:b w:val="0"/>
                <w:i w:val="0"/>
                <w:sz w:val="16"/>
                <w:u w:val="none"/>
              </w:rPr>
              <w:t>Chow p ≈ 1.1×10⁻¹⁶</w:t>
            </w:r>
          </w:p>
        </w:tc>
      </w:tr>
      <w:tr>
        <w:tc>
          <w:tcPr>
            <w:tcW w:type="dxa" w:w="1872"/>
          </w:tcPr>
          <w:p>
            <w:pPr>
              <w:spacing w:line="240" w:lineRule="auto" w:before="0" w:after="0"/>
              <w:ind w:firstLine="0"/>
              <w:jc w:val="center"/>
            </w:pPr>
            <w:r>
              <w:rPr>
                <w:sz w:val="16"/>
              </w:rPr>
            </w:r>
            <w:r>
              <w:rPr>
                <w:b w:val="0"/>
                <w:i w:val="0"/>
                <w:sz w:val="16"/>
                <w:u w:val="none"/>
              </w:rPr>
              <w:t>Differenced CEIR</w:t>
            </w:r>
          </w:p>
        </w:tc>
        <w:tc>
          <w:tcPr>
            <w:tcW w:type="dxa" w:w="1872"/>
          </w:tcPr>
          <w:p>
            <w:pPr>
              <w:spacing w:line="240" w:lineRule="auto" w:before="0" w:after="0"/>
              <w:ind w:firstLine="0"/>
            </w:pPr>
            <w:r>
              <w:rPr>
                <w:sz w:val="16"/>
              </w:rPr>
            </w:r>
            <w:r>
              <w:rPr>
                <w:b w:val="0"/>
                <w:i w:val="0"/>
                <w:sz w:val="16"/>
                <w:u w:val="none"/>
              </w:rPr>
              <w:t>same split</w:t>
            </w:r>
          </w:p>
        </w:tc>
        <w:tc>
          <w:tcPr>
            <w:tcW w:type="dxa" w:w="1872"/>
          </w:tcPr>
          <w:p>
            <w:pPr>
              <w:spacing w:line="240" w:lineRule="auto" w:before="0" w:after="0"/>
              <w:ind w:firstLine="0"/>
            </w:pPr>
            <w:r>
              <w:rPr>
                <w:sz w:val="16"/>
              </w:rPr>
            </w:r>
            <w:r>
              <w:rPr>
                <w:b w:val="0"/>
                <w:i w:val="0"/>
                <w:sz w:val="16"/>
                <w:u w:val="none"/>
              </w:rPr>
              <w:t>not significant</w:t>
            </w:r>
          </w:p>
        </w:tc>
        <w:tc>
          <w:tcPr>
            <w:tcW w:type="dxa" w:w="1872"/>
          </w:tcPr>
          <w:p>
            <w:pPr>
              <w:spacing w:line="240" w:lineRule="auto" w:before="0" w:after="0"/>
              <w:ind w:firstLine="0"/>
            </w:pPr>
            <w:r>
              <w:rPr>
                <w:sz w:val="16"/>
              </w:rPr>
            </w:r>
            <w:r>
              <w:rPr>
                <w:b w:val="0"/>
                <w:i w:val="0"/>
                <w:sz w:val="16"/>
                <w:u w:val="none"/>
              </w:rPr>
              <w:t>—</w:t>
            </w:r>
          </w:p>
        </w:tc>
        <w:tc>
          <w:tcPr>
            <w:tcW w:type="dxa" w:w="1872"/>
          </w:tcPr>
          <w:p>
            <w:pPr>
              <w:spacing w:line="240" w:lineRule="auto" w:before="0" w:after="0"/>
              <w:ind w:firstLine="0"/>
            </w:pPr>
            <w:r>
              <w:rPr>
                <w:sz w:val="16"/>
              </w:rPr>
            </w:r>
            <w:r>
              <w:rPr>
                <w:b w:val="0"/>
                <w:i w:val="0"/>
                <w:sz w:val="16"/>
                <w:u w:val="none"/>
              </w:rPr>
              <w:t>break remains</w:t>
            </w:r>
          </w:p>
        </w:tc>
      </w:tr>
    </w:tbl>
    <w:p>
      <w:pPr>
        <w:keepNext/>
        <w:spacing w:before="120"/>
        <w:ind w:firstLine="0"/>
        <w:jc w:val="center"/>
      </w:pPr>
      <w:r>
        <w:drawing>
          <wp:inline xmlns:a="http://schemas.openxmlformats.org/drawingml/2006/main" xmlns:pic="http://schemas.openxmlformats.org/drawingml/2006/picture">
            <wp:extent cx="4572000" cy="3246783"/>
            <wp:docPr id="3" name="Picture 3"/>
            <wp:cNvGraphicFramePr>
              <a:graphicFrameLocks noChangeAspect="1"/>
            </wp:cNvGraphicFramePr>
            <a:graphic>
              <a:graphicData uri="http://schemas.openxmlformats.org/drawingml/2006/picture">
                <pic:pic>
                  <pic:nvPicPr>
                    <pic:cNvPr id="0" name="ceir_timeline.png"/>
                    <pic:cNvPicPr/>
                  </pic:nvPicPr>
                  <pic:blipFill>
                    <a:blip r:embed="rId11"/>
                    <a:stretch>
                      <a:fillRect/>
                    </a:stretch>
                  </pic:blipFill>
                  <pic:spPr>
                    <a:xfrm>
                      <a:off x="0" y="0"/>
                      <a:ext cx="4572000" cy="3246783"/>
                    </a:xfrm>
                    <a:prstGeom prst="rect"/>
                  </pic:spPr>
                </pic:pic>
              </a:graphicData>
            </a:graphic>
          </wp:inline>
        </w:drawing>
      </w:r>
    </w:p>
    <w:p>
      <w:pPr>
        <w:pStyle w:val="Caption"/>
        <w:ind w:firstLine="0"/>
        <w:jc w:val="center"/>
      </w:pPr>
      <w:r>
        <w:rPr>
          <w:color w:val="000000"/>
        </w:rPr>
        <w:t>Figure 3.2. CEIR timeline and forward-return panel.</w:t>
      </w:r>
    </w:p>
    <w:p>
      <w:r>
        <w:rPr>
          <w:b w:val="0"/>
          <w:i w:val="0"/>
          <w:color w:val="000000"/>
          <w:u w:val="none"/>
        </w:rPr>
        <w:t>The timeline panel situates the Chow break in price, CEIR, and forward-return space rather than reporting coefficients alone.</w:t>
      </w:r>
    </w:p>
    <w:p>
      <w:pPr>
        <w:keepNext/>
        <w:spacing w:before="120"/>
        <w:ind w:firstLine="0"/>
        <w:jc w:val="center"/>
      </w:pPr>
      <w:r>
        <w:drawing>
          <wp:inline xmlns:a="http://schemas.openxmlformats.org/drawingml/2006/main" xmlns:pic="http://schemas.openxmlformats.org/drawingml/2006/picture">
            <wp:extent cx="4572000" cy="2786062"/>
            <wp:docPr id="4" name="Picture 4"/>
            <wp:cNvGraphicFramePr>
              <a:graphicFrameLocks noChangeAspect="1"/>
            </wp:cNvGraphicFramePr>
            <a:graphic>
              <a:graphicData uri="http://schemas.openxmlformats.org/drawingml/2006/picture">
                <pic:pic>
                  <pic:nvPicPr>
                    <pic:cNvPr id="0" name="ceir_forward_returns.png"/>
                    <pic:cNvPicPr/>
                  </pic:nvPicPr>
                  <pic:blipFill>
                    <a:blip r:embed="rId12"/>
                    <a:stretch>
                      <a:fillRect/>
                    </a:stretch>
                  </pic:blipFill>
                  <pic:spPr>
                    <a:xfrm>
                      <a:off x="0" y="0"/>
                      <a:ext cx="4572000" cy="2786062"/>
                    </a:xfrm>
                    <a:prstGeom prst="rect"/>
                  </pic:spPr>
                </pic:pic>
              </a:graphicData>
            </a:graphic>
          </wp:inline>
        </w:drawing>
      </w:r>
    </w:p>
    <w:p>
      <w:pPr>
        <w:pStyle w:val="Caption"/>
        <w:ind w:firstLine="0"/>
        <w:jc w:val="center"/>
      </w:pPr>
      <w:r>
        <w:rPr>
          <w:color w:val="000000"/>
        </w:rPr>
        <w:t>Figure 3.3. Illustrative pre-ban decile means (not the preferred regression).</w:t>
      </w:r>
    </w:p>
    <w:p>
      <w:r>
        <w:rPr>
          <w:b w:val="0"/>
          <w:i w:val="0"/>
          <w:color w:val="000000"/>
          <w:u w:val="none"/>
        </w:rPr>
        <w:t>That conditional result motivates the rest of the thesis. If passive energy anchoring depends on market structure, designed energy-linked finance cannot assume cost discipline emerges on its own. It must be built into data, pricing, settlement, and governance rules (Chapters 4–5).</w:t>
      </w:r>
    </w:p>
    <w:p>
      <w:pPr>
        <w:pStyle w:val="Heading2"/>
      </w:pPr>
      <w:r>
        <w:rPr>
          <w:color w:val="000000"/>
        </w:rPr>
        <w:t>3.6 Robustness and Negative Results</w:t>
      </w:r>
    </w:p>
    <w:p>
      <w:r>
        <w:rPr>
          <w:b w:val="0"/>
          <w:i w:val="0"/>
          <w:color w:val="000000"/>
          <w:u w:val="none"/>
        </w:rPr>
        <w:t>The robustness checks matter because they prevent the chapter from overstating the evidence.</w:t>
      </w:r>
    </w:p>
    <w:p>
      <w:r>
        <w:rPr>
          <w:b w:val="0"/>
          <w:i w:val="0"/>
          <w:color w:val="000000"/>
          <w:u w:val="none"/>
        </w:rPr>
        <w:t>First, the differenced CEIR specification is weaker. When CEIR is differenced to reduce trend concerns, effects lose statistical significance. The level specification supports the main interpretation; the differenced model is a boundary condition.</w:t>
      </w:r>
    </w:p>
    <w:p>
      <w:r>
        <w:rPr>
          <w:b w:val="0"/>
          <w:i w:val="0"/>
          <w:color w:val="000000"/>
          <w:u w:val="none"/>
        </w:rPr>
        <w:t>Second, the relationship does not produce a useful trading rule. On the same analysis panel, a simple CEIR-based rule earns about +176% total return versus about +2771% for buy-and-hold, with Sharpe ratios 0.72 versus 1.13. CEIR should not be presented as a trading signal. Its role in this thesis is explanatory, not predictive in a commercial sense.</w:t>
      </w:r>
    </w:p>
    <w:p>
      <w:pPr>
        <w:keepNext/>
        <w:spacing w:before="120"/>
        <w:ind w:firstLine="0"/>
        <w:jc w:val="center"/>
      </w:pPr>
      <w:r>
        <w:drawing>
          <wp:inline xmlns:a="http://schemas.openxmlformats.org/drawingml/2006/main" xmlns:pic="http://schemas.openxmlformats.org/drawingml/2006/picture">
            <wp:extent cx="4572000" cy="3302000"/>
            <wp:docPr id="5" name="Picture 5"/>
            <wp:cNvGraphicFramePr>
              <a:graphicFrameLocks noChangeAspect="1"/>
            </wp:cNvGraphicFramePr>
            <a:graphic>
              <a:graphicData uri="http://schemas.openxmlformats.org/drawingml/2006/picture">
                <pic:pic>
                  <pic:nvPicPr>
                    <pic:cNvPr id="0" name="trading_rule_comparison.png"/>
                    <pic:cNvPicPr/>
                  </pic:nvPicPr>
                  <pic:blipFill>
                    <a:blip r:embed="rId13"/>
                    <a:stretch>
                      <a:fillRect/>
                    </a:stretch>
                  </pic:blipFill>
                  <pic:spPr>
                    <a:xfrm>
                      <a:off x="0" y="0"/>
                      <a:ext cx="4572000" cy="3302000"/>
                    </a:xfrm>
                    <a:prstGeom prst="rect"/>
                  </pic:spPr>
                </pic:pic>
              </a:graphicData>
            </a:graphic>
          </wp:inline>
        </w:drawing>
      </w:r>
    </w:p>
    <w:p>
      <w:pPr>
        <w:pStyle w:val="Caption"/>
        <w:ind w:firstLine="0"/>
        <w:jc w:val="center"/>
      </w:pPr>
      <w:r>
        <w:rPr>
          <w:color w:val="000000"/>
        </w:rPr>
        <w:t>Figure 3.4. Trading-rule negative result.</w:t>
      </w:r>
    </w:p>
    <w:p>
      <w:r>
        <w:rPr>
          <w:b w:val="0"/>
          <w:i w:val="0"/>
          <w:color w:val="000000"/>
          <w:u w:val="none"/>
        </w:rPr>
        <w:t>Third, the dataset has a natural limit. Cambridge mining electricity data extend further than the geographic mining-distribution data needed for concentration arguments. The chapter uses the period where both are available.</w:t>
      </w:r>
    </w:p>
    <w:p>
      <w:r>
        <w:rPr>
          <w:b w:val="0"/>
          <w:i w:val="0"/>
          <w:color w:val="000000"/>
          <w:u w:val="none"/>
        </w:rPr>
        <w:t>Fourth, Bitcoin is a single asset. Extension to a broader proof-of-work panel would require separate identification work. This thesis does not attempt it.</w:t>
      </w:r>
    </w:p>
    <w:p>
      <w:r>
        <w:rPr>
          <w:b w:val="0"/>
          <w:i w:val="0"/>
          <w:color w:val="000000"/>
          <w:u w:val="none"/>
        </w:rPr>
        <w:t>These limitations sharpen rather than destroy the claim. The evidence supports a conditional relationship between energy cost and digital value, not a universal law of energy-backed money.</w:t>
      </w:r>
    </w:p>
    <w:p>
      <w:pPr>
        <w:pStyle w:val="Heading2"/>
      </w:pPr>
      <w:r>
        <w:rPr>
          <w:color w:val="000000"/>
        </w:rPr>
        <w:t>3.7 Interpretation and Implications</w:t>
      </w:r>
    </w:p>
    <w:p>
      <w:r>
        <w:rPr>
          <w:b w:val="0"/>
          <w:i w:val="0"/>
          <w:color w:val="000000"/>
          <w:u w:val="none"/>
        </w:rPr>
        <w:t>The empirical evidence should be interpreted in three layers.</w:t>
      </w:r>
    </w:p>
    <w:p>
      <w:r>
        <w:rPr>
          <w:b w:val="0"/>
          <w:i w:val="0"/>
          <w:color w:val="000000"/>
          <w:u w:val="none"/>
        </w:rPr>
        <w:t>First, energy cost is not irrelevant. The preferred specification finds that Bitcoin valuation relative to cumulative energy cost contains information about later returns in the pre-ban period.</w:t>
      </w:r>
    </w:p>
    <w:p>
      <w:r>
        <w:rPr>
          <w:b w:val="0"/>
          <w:i w:val="0"/>
          <w:color w:val="000000"/>
          <w:u w:val="none"/>
        </w:rPr>
        <w:t>Second, the relationship is not stable across regimes. The China mining-ban period weakens the link, which suggests that mining geography, cost dispersion, and coordination matter for any energy–valuation connection.</w:t>
      </w:r>
    </w:p>
    <w:p>
      <w:r>
        <w:rPr>
          <w:b w:val="0"/>
          <w:i w:val="0"/>
          <w:color w:val="000000"/>
          <w:u w:val="none"/>
        </w:rPr>
        <w:t>Third, passive anchoring is insufficient. Bitcoin connects digital value to energy expenditure through mining, but it does not provide enforceable energy claims, collateral rules, or settlement paths. The result motivates designed constraints rather than proof that Bitcoin already solves energy-linked finance.</w:t>
      </w:r>
    </w:p>
    <w:p>
      <w:r>
        <w:rPr>
          <w:b w:val="0"/>
          <w:i w:val="0"/>
          <w:color w:val="000000"/>
          <w:u w:val="none"/>
        </w:rPr>
        <w:t>A credible energy-linked system must therefore define data sources, issuance rules, pricing of risk, collateral or margin protection, settlement and dispute rules, and governance limits—not informal recognition of mining cost alone. Chapter 4 prices renewable-energy risk under explicit assumptions. Chapter 5 asks which rules must hold in code for such claims to be credible.</w:t>
      </w:r>
    </w:p>
    <w:p>
      <w:pPr>
        <w:pStyle w:val="Heading2"/>
      </w:pPr>
      <w:r>
        <w:rPr>
          <w:color w:val="000000"/>
        </w:rPr>
        <w:t>3.8 Chapter Conclusion</w:t>
      </w:r>
    </w:p>
    <w:p>
      <w:r>
        <w:rPr>
          <w:b w:val="0"/>
          <w:i w:val="0"/>
          <w:color w:val="000000"/>
          <w:u w:val="none"/>
        </w:rPr>
        <w:t>This chapter examined whether energy cost appears to matter in an existing digital market. Bitcoin is the clearest case because proof-of-work mining connects coin production to electricity use.</w:t>
      </w:r>
    </w:p>
    <w:p>
      <w:r>
        <w:rPr>
          <w:b w:val="0"/>
          <w:i w:val="0"/>
          <w:color w:val="000000"/>
          <w:u w:val="none"/>
        </w:rPr>
        <w:t>The evidence supports a bounded conclusion. In the preferred level specification, Bitcoin valuation relative to cumulative energy cost is statistically related to future returns before the China ban, and the relationship weakens afterward. The result is specification-sensitive, does not generate a useful trading strategy, and is limited by data availability and the single-asset setting.</w:t>
      </w:r>
    </w:p>
    <w:p>
      <w:r>
        <w:rPr>
          <w:b w:val="0"/>
          <w:i w:val="0"/>
          <w:color w:val="000000"/>
          <w:u w:val="none"/>
        </w:rPr>
        <w:t>The chapter therefore supports the thesis in a disciplined way. It does not prove that energy automatically backs digital money. It shows that energy cost can matter, and that the relationship is conditional. That is the bridge to pricing in Chapter 4 and implementation in Chapter 5.</w:t>
      </w:r>
    </w:p>
    <w:p>
      <w:pPr>
        <w:pStyle w:val="QuoteBlock"/>
      </w:pPr>
      <w:r>
        <w:rPr>
          <w:b/>
          <w:i w:val="0"/>
          <w:color w:val="000000"/>
          <w:u w:val="none"/>
        </w:rPr>
        <w:t>Key takeaway:</w:t>
      </w:r>
      <w:r>
        <w:rPr>
          <w:b w:val="0"/>
          <w:i w:val="0"/>
          <w:color w:val="000000"/>
          <w:u w:val="none"/>
        </w:rPr>
        <w:t xml:space="preserve"> Energy cost can carry valuation information—but only conditionally. Designed systems must add explicit rules; passive mining expenditure is not enough.</w:t>
      </w:r>
    </w:p>
    <w:p>
      <w:r>
        <w:rPr>
          <w:b w:val="0"/>
          <w:i w:val="0"/>
          <w:color w:val="000000"/>
          <w:u w:val="none"/>
        </w:rPr>
        <w:t>The preferred level specification appears in Table 3.7. This appendix records supplementary boundary checks only.</w:t>
      </w:r>
    </w:p>
    <w:p>
      <w:pPr>
        <w:pStyle w:val="Heading2"/>
      </w:pPr>
      <w:r>
        <w:rPr>
          <w:color w:val="000000"/>
        </w:rPr>
        <w:t>3.10 CEIR Regression Appendix (supplementary) (auto-generated)</w:t>
      </w:r>
    </w:p>
    <w:p>
      <w:pPr>
        <w:pStyle w:val="Heading3"/>
      </w:pPr>
      <w:r>
        <w:rPr>
          <w:color w:val="000000"/>
        </w:rPr>
        <w:t>Table A.2 — Differenced CEIR (boundary condition)</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t>Item</w:t>
            </w:r>
          </w:p>
        </w:tc>
        <w:tc>
          <w:tcPr>
            <w:tcW w:type="dxa" w:w="4680"/>
          </w:tcPr>
          <w:p>
            <w:pPr>
              <w:spacing w:line="240" w:lineRule="auto" w:before="0" w:after="0"/>
              <w:ind w:firstLine="0"/>
              <w:jc w:val="center"/>
            </w:pPr>
            <w:r>
              <w:rPr>
                <w:sz w:val="20"/>
              </w:rPr>
            </w:r>
            <w:r>
              <w:rPr>
                <w:b/>
                <w:i w:val="0"/>
                <w:sz w:val="20"/>
                <w:u w:val="none"/>
              </w:rPr>
              <w:t>Value</w:t>
            </w:r>
          </w:p>
        </w:tc>
      </w:tr>
      <w:tr>
        <w:tc>
          <w:tcPr>
            <w:tcW w:type="dxa" w:w="4680"/>
          </w:tcPr>
          <w:p>
            <w:pPr>
              <w:spacing w:line="240" w:lineRule="auto" w:before="0" w:after="0"/>
              <w:ind w:firstLine="0"/>
              <w:jc w:val="center"/>
            </w:pPr>
            <w:r>
              <w:rPr>
                <w:sz w:val="20"/>
              </w:rPr>
            </w:r>
            <w:r>
              <w:rPr>
                <w:b w:val="0"/>
                <w:i w:val="0"/>
                <w:sz w:val="20"/>
                <w:u w:val="none"/>
              </w:rPr>
              <w:t>Pre-ban β (Δlog CEIR)</w:t>
            </w:r>
          </w:p>
        </w:tc>
        <w:tc>
          <w:tcPr>
            <w:tcW w:type="dxa" w:w="4680"/>
          </w:tcPr>
          <w:p>
            <w:pPr>
              <w:spacing w:line="240" w:lineRule="auto" w:before="0" w:after="0"/>
              <w:ind w:firstLine="0"/>
            </w:pPr>
            <w:r>
              <w:rPr>
                <w:sz w:val="20"/>
              </w:rPr>
            </w:r>
            <w:r>
              <w:rPr>
                <w:b w:val="0"/>
                <w:i w:val="0"/>
                <w:sz w:val="20"/>
                <w:u w:val="none"/>
              </w:rPr>
              <w:t>-0.2357 (p=0.424)</w:t>
            </w:r>
          </w:p>
        </w:tc>
      </w:tr>
      <w:tr>
        <w:tc>
          <w:tcPr>
            <w:tcW w:type="dxa" w:w="4680"/>
          </w:tcPr>
          <w:p>
            <w:pPr>
              <w:spacing w:line="240" w:lineRule="auto" w:before="0" w:after="0"/>
              <w:ind w:firstLine="0"/>
              <w:jc w:val="center"/>
            </w:pPr>
            <w:r>
              <w:rPr>
                <w:sz w:val="20"/>
              </w:rPr>
            </w:r>
            <w:r>
              <w:rPr>
                <w:b w:val="0"/>
                <w:i w:val="0"/>
                <w:sz w:val="20"/>
                <w:u w:val="none"/>
              </w:rPr>
              <w:t>Post-ban β (Δlog CEIR)</w:t>
            </w:r>
          </w:p>
        </w:tc>
        <w:tc>
          <w:tcPr>
            <w:tcW w:type="dxa" w:w="4680"/>
          </w:tcPr>
          <w:p>
            <w:pPr>
              <w:spacing w:line="240" w:lineRule="auto" w:before="0" w:after="0"/>
              <w:ind w:firstLine="0"/>
            </w:pPr>
            <w:r>
              <w:rPr>
                <w:sz w:val="20"/>
              </w:rPr>
            </w:r>
            <w:r>
              <w:rPr>
                <w:b w:val="0"/>
                <w:i w:val="0"/>
                <w:sz w:val="20"/>
                <w:u w:val="none"/>
              </w:rPr>
              <w:t>0.1424 (p=0.378)</w:t>
            </w:r>
          </w:p>
        </w:tc>
      </w:tr>
    </w:tbl>
    <w:p>
      <w:r>
        <w:rPr>
          <w:b w:val="0"/>
          <w:i w:val="0"/>
          <w:color w:val="000000"/>
          <w:u w:val="none"/>
        </w:rPr>
        <w:t>CEIR effects are not robust to differencing — cite as a boundary condition.</w:t>
      </w:r>
    </w:p>
    <w:p>
      <w:pPr>
        <w:pStyle w:val="Heading3"/>
      </w:pPr>
      <w:r>
        <w:rPr>
          <w:color w:val="000000"/>
        </w:rPr>
        <w:t>Table A.3 — Trading-rule negative result</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t>Metric</w:t>
            </w:r>
          </w:p>
        </w:tc>
        <w:tc>
          <w:tcPr>
            <w:tcW w:type="dxa" w:w="4680"/>
          </w:tcPr>
          <w:p>
            <w:pPr>
              <w:spacing w:line="240" w:lineRule="auto" w:before="0" w:after="0"/>
              <w:ind w:firstLine="0"/>
              <w:jc w:val="center"/>
            </w:pPr>
            <w:r>
              <w:rPr>
                <w:sz w:val="20"/>
              </w:rPr>
            </w:r>
            <w:r>
              <w:rPr>
                <w:b/>
                <w:i w:val="0"/>
                <w:sz w:val="20"/>
                <w:u w:val="none"/>
              </w:rPr>
              <w:t>Value</w:t>
            </w:r>
          </w:p>
        </w:tc>
      </w:tr>
      <w:tr>
        <w:tc>
          <w:tcPr>
            <w:tcW w:type="dxa" w:w="4680"/>
          </w:tcPr>
          <w:p>
            <w:pPr>
              <w:spacing w:line="240" w:lineRule="auto" w:before="0" w:after="0"/>
              <w:ind w:firstLine="0"/>
              <w:jc w:val="center"/>
            </w:pPr>
            <w:r>
              <w:rPr>
                <w:sz w:val="20"/>
              </w:rPr>
            </w:r>
            <w:r>
              <w:rPr>
                <w:b w:val="0"/>
                <w:i w:val="0"/>
                <w:sz w:val="20"/>
                <w:u w:val="none"/>
              </w:rPr>
              <w:t>Strategy total return (%)</w:t>
            </w:r>
          </w:p>
        </w:tc>
        <w:tc>
          <w:tcPr>
            <w:tcW w:type="dxa" w:w="4680"/>
          </w:tcPr>
          <w:p>
            <w:pPr>
              <w:spacing w:line="240" w:lineRule="auto" w:before="0" w:after="0"/>
              <w:ind w:firstLine="0"/>
            </w:pPr>
            <w:r>
              <w:rPr>
                <w:sz w:val="20"/>
              </w:rPr>
            </w:r>
            <w:r>
              <w:rPr>
                <w:b w:val="0"/>
                <w:i w:val="0"/>
                <w:sz w:val="20"/>
                <w:u w:val="none"/>
              </w:rPr>
              <w:t>176.4</w:t>
            </w:r>
          </w:p>
        </w:tc>
      </w:tr>
      <w:tr>
        <w:tc>
          <w:tcPr>
            <w:tcW w:type="dxa" w:w="4680"/>
          </w:tcPr>
          <w:p>
            <w:pPr>
              <w:spacing w:line="240" w:lineRule="auto" w:before="0" w:after="0"/>
              <w:ind w:firstLine="0"/>
              <w:jc w:val="center"/>
            </w:pPr>
            <w:r>
              <w:rPr>
                <w:sz w:val="20"/>
              </w:rPr>
            </w:r>
            <w:r>
              <w:rPr>
                <w:b w:val="0"/>
                <w:i w:val="0"/>
                <w:sz w:val="20"/>
                <w:u w:val="none"/>
              </w:rPr>
              <w:t>Buy-and-hold total return (%)</w:t>
            </w:r>
          </w:p>
        </w:tc>
        <w:tc>
          <w:tcPr>
            <w:tcW w:type="dxa" w:w="4680"/>
          </w:tcPr>
          <w:p>
            <w:pPr>
              <w:spacing w:line="240" w:lineRule="auto" w:before="0" w:after="0"/>
              <w:ind w:firstLine="0"/>
            </w:pPr>
            <w:r>
              <w:rPr>
                <w:sz w:val="20"/>
              </w:rPr>
            </w:r>
            <w:r>
              <w:rPr>
                <w:b w:val="0"/>
                <w:i w:val="0"/>
                <w:sz w:val="20"/>
                <w:u w:val="none"/>
              </w:rPr>
              <w:t>2771</w:t>
            </w:r>
          </w:p>
        </w:tc>
      </w:tr>
      <w:tr>
        <w:tc>
          <w:tcPr>
            <w:tcW w:type="dxa" w:w="4680"/>
          </w:tcPr>
          <w:p>
            <w:pPr>
              <w:spacing w:line="240" w:lineRule="auto" w:before="0" w:after="0"/>
              <w:ind w:firstLine="0"/>
              <w:jc w:val="center"/>
            </w:pPr>
            <w:r>
              <w:rPr>
                <w:sz w:val="20"/>
              </w:rPr>
            </w:r>
            <w:r>
              <w:rPr>
                <w:b w:val="0"/>
                <w:i w:val="0"/>
                <w:sz w:val="20"/>
                <w:u w:val="none"/>
              </w:rPr>
              <w:t>Sharpe (strategy)</w:t>
            </w:r>
          </w:p>
        </w:tc>
        <w:tc>
          <w:tcPr>
            <w:tcW w:type="dxa" w:w="4680"/>
          </w:tcPr>
          <w:p>
            <w:pPr>
              <w:spacing w:line="240" w:lineRule="auto" w:before="0" w:after="0"/>
              <w:ind w:firstLine="0"/>
            </w:pPr>
            <w:r>
              <w:rPr>
                <w:sz w:val="20"/>
              </w:rPr>
            </w:r>
            <w:r>
              <w:rPr>
                <w:b w:val="0"/>
                <w:i w:val="0"/>
                <w:sz w:val="20"/>
                <w:u w:val="none"/>
              </w:rPr>
              <w:t>0.723</w:t>
            </w:r>
          </w:p>
        </w:tc>
      </w:tr>
      <w:tr>
        <w:tc>
          <w:tcPr>
            <w:tcW w:type="dxa" w:w="4680"/>
          </w:tcPr>
          <w:p>
            <w:pPr>
              <w:spacing w:line="240" w:lineRule="auto" w:before="0" w:after="0"/>
              <w:ind w:firstLine="0"/>
              <w:jc w:val="center"/>
            </w:pPr>
            <w:r>
              <w:rPr>
                <w:sz w:val="20"/>
              </w:rPr>
            </w:r>
            <w:r>
              <w:rPr>
                <w:b w:val="0"/>
                <w:i w:val="0"/>
                <w:sz w:val="20"/>
                <w:u w:val="none"/>
              </w:rPr>
              <w:t>Sharpe (buy-and-hold)</w:t>
            </w:r>
          </w:p>
        </w:tc>
        <w:tc>
          <w:tcPr>
            <w:tcW w:type="dxa" w:w="4680"/>
          </w:tcPr>
          <w:p>
            <w:pPr>
              <w:spacing w:line="240" w:lineRule="auto" w:before="0" w:after="0"/>
              <w:ind w:firstLine="0"/>
            </w:pPr>
            <w:r>
              <w:rPr>
                <w:sz w:val="20"/>
              </w:rPr>
            </w:r>
            <w:r>
              <w:rPr>
                <w:b w:val="0"/>
                <w:i w:val="0"/>
                <w:sz w:val="20"/>
                <w:u w:val="none"/>
              </w:rPr>
              <w:t>1.132</w:t>
            </w:r>
          </w:p>
        </w:tc>
      </w:tr>
    </w:tbl>
    <w:p>
      <w:r>
        <w:rPr>
          <w:b/>
          <w:i w:val="0"/>
          <w:color w:val="000000"/>
          <w:u w:val="none"/>
        </w:rPr>
        <w:t>Interpretation:</w:t>
      </w:r>
      <w:r>
        <w:rPr>
          <w:b w:val="0"/>
          <w:i w:val="0"/>
          <w:color w:val="000000"/>
          <w:u w:val="none"/>
        </w:rPr>
        <w:t xml:space="preserve"> CEIR is explanatory evidence, not a viable trading strategy.</w:t>
      </w:r>
    </w:p>
    <w:p>
      <w:r>
        <w:br w:type="page"/>
      </w:r>
    </w:p>
    <w:p>
      <w:pPr>
        <w:pStyle w:val="Heading1"/>
      </w:pPr>
      <w:r>
        <w:rPr>
          <w:color w:val="000000"/>
        </w:rPr>
        <w:t>References</w:t>
      </w:r>
    </w:p>
    <w:p>
      <w:pPr>
        <w:pStyle w:val="Bibliography"/>
        <w:ind w:left="720" w:hanging="720"/>
      </w:pPr>
      <w:r>
        <w:rPr>
          <w:b w:val="0"/>
          <w:i w:val="0"/>
          <w:color w:val="000000"/>
          <w:u w:val="none"/>
        </w:rPr>
        <w:t xml:space="preserve">Barro, R. J., &amp; Gordon, D. B. (1983). Rules, discretion and reputation in a model of monetary policy. </w:t>
      </w:r>
      <w:r>
        <w:rPr>
          <w:b w:val="0"/>
          <w:i/>
          <w:color w:val="000000"/>
          <w:u w:val="none"/>
        </w:rPr>
        <w:t>Journal of Monetary Economics, 12</w:t>
      </w:r>
      <w:r>
        <w:rPr>
          <w:b w:val="0"/>
          <w:i w:val="0"/>
          <w:color w:val="000000"/>
          <w:u w:val="none"/>
        </w:rPr>
        <w:t>(1), 101-121.</w:t>
      </w:r>
    </w:p>
    <w:p>
      <w:pPr>
        <w:pStyle w:val="Bibliography"/>
        <w:ind w:left="720" w:hanging="720"/>
      </w:pPr>
      <w:r>
        <w:rPr>
          <w:b w:val="0"/>
          <w:i w:val="0"/>
          <w:color w:val="000000"/>
          <w:u w:val="none"/>
        </w:rPr>
        <w:t xml:space="preserve">Cambridge Centre for Alternative Finance. (n.d.-b). </w:t>
      </w:r>
      <w:r>
        <w:rPr>
          <w:b w:val="0"/>
          <w:i/>
          <w:color w:val="000000"/>
          <w:u w:val="none"/>
        </w:rPr>
        <w:t>CBECI Mining Map: Methodology</w:t>
      </w:r>
      <w:r>
        <w:rPr>
          <w:b w:val="0"/>
          <w:i w:val="0"/>
          <w:color w:val="000000"/>
          <w:u w:val="none"/>
        </w:rPr>
        <w:t>. Cambridge Judge Business School. https://ccaf.io/cbnsi/cbeci/mining_map/methodology</w:t>
      </w:r>
    </w:p>
    <w:p>
      <w:pPr>
        <w:pStyle w:val="Bibliography"/>
        <w:ind w:left="720" w:hanging="720"/>
      </w:pPr>
      <w:r>
        <w:rPr>
          <w:b w:val="0"/>
          <w:i w:val="0"/>
          <w:color w:val="000000"/>
          <w:u w:val="none"/>
        </w:rPr>
        <w:t xml:space="preserve">Eichengreen, B. (1992). </w:t>
      </w:r>
      <w:r>
        <w:rPr>
          <w:b w:val="0"/>
          <w:i/>
          <w:color w:val="000000"/>
          <w:u w:val="none"/>
        </w:rPr>
        <w:t>Golden Fetters: The Gold Standard and the Great Depression, 1919-1939</w:t>
      </w:r>
      <w:r>
        <w:rPr>
          <w:b w:val="0"/>
          <w:i w:val="0"/>
          <w:color w:val="000000"/>
          <w:u w:val="none"/>
        </w:rPr>
        <w:t>. Oxford University Press.</w:t>
      </w:r>
    </w:p>
    <w:p>
      <w:pPr>
        <w:pStyle w:val="Bibliography"/>
        <w:ind w:left="720" w:hanging="720"/>
      </w:pPr>
      <w:r>
        <w:rPr>
          <w:b w:val="0"/>
          <w:i w:val="0"/>
          <w:color w:val="000000"/>
          <w:u w:val="none"/>
        </w:rPr>
        <w:t xml:space="preserve">Ethereum.org. (n.d.). </w:t>
      </w:r>
      <w:r>
        <w:rPr>
          <w:b w:val="0"/>
          <w:i/>
          <w:color w:val="000000"/>
          <w:u w:val="none"/>
        </w:rPr>
        <w:t>The Merge</w:t>
      </w:r>
      <w:r>
        <w:rPr>
          <w:b w:val="0"/>
          <w:i w:val="0"/>
          <w:color w:val="000000"/>
          <w:u w:val="none"/>
        </w:rPr>
        <w:t>. https://ethereum.org/en/upgrades/merge/</w:t>
      </w:r>
    </w:p>
    <w:p>
      <w:pPr>
        <w:pStyle w:val="Bibliography"/>
        <w:ind w:left="720" w:hanging="720"/>
      </w:pPr>
      <w:r>
        <w:rPr>
          <w:b w:val="0"/>
          <w:i w:val="0"/>
          <w:color w:val="000000"/>
          <w:u w:val="none"/>
        </w:rPr>
        <w:t xml:space="preserve">Federal Reserve History. (2013). </w:t>
      </w:r>
      <w:r>
        <w:rPr>
          <w:b w:val="0"/>
          <w:i/>
          <w:color w:val="000000"/>
          <w:u w:val="none"/>
        </w:rPr>
        <w:t>Nixon Ends Convertibility of U.S. Dollars to Gold and Announces Wage/Price Controls</w:t>
      </w:r>
      <w:r>
        <w:rPr>
          <w:b w:val="0"/>
          <w:i w:val="0"/>
          <w:color w:val="000000"/>
          <w:u w:val="none"/>
        </w:rPr>
        <w:t>. https://www.federalreservehistory.org/essays/gold_convertibility_ends</w:t>
      </w:r>
    </w:p>
    <w:p>
      <w:pPr>
        <w:pStyle w:val="Bibliography"/>
        <w:ind w:left="720" w:hanging="720"/>
      </w:pPr>
      <w:r>
        <w:rPr>
          <w:b w:val="0"/>
          <w:i w:val="0"/>
          <w:color w:val="000000"/>
          <w:u w:val="none"/>
        </w:rPr>
        <w:t xml:space="preserve">Friedman, M. (1960). </w:t>
      </w:r>
      <w:r>
        <w:rPr>
          <w:b w:val="0"/>
          <w:i/>
          <w:color w:val="000000"/>
          <w:u w:val="none"/>
        </w:rPr>
        <w:t>A Program for Monetary Stability</w:t>
      </w:r>
      <w:r>
        <w:rPr>
          <w:b w:val="0"/>
          <w:i w:val="0"/>
          <w:color w:val="000000"/>
          <w:u w:val="none"/>
        </w:rPr>
        <w:t>. Fordham University Press.</w:t>
      </w:r>
    </w:p>
    <w:p>
      <w:pPr>
        <w:pStyle w:val="Bibliography"/>
        <w:ind w:left="720" w:hanging="720"/>
      </w:pPr>
      <w:r>
        <w:rPr>
          <w:b w:val="0"/>
          <w:i w:val="0"/>
          <w:color w:val="000000"/>
          <w:u w:val="none"/>
        </w:rPr>
        <w:t xml:space="preserve">Hayes, A. S. (2019). Bitcoin price and its marginal cost of production: Support for a fundamental value. </w:t>
      </w:r>
      <w:r>
        <w:rPr>
          <w:b w:val="0"/>
          <w:i/>
          <w:color w:val="000000"/>
          <w:u w:val="none"/>
        </w:rPr>
        <w:t>Applied Economics Letters, 26</w:t>
      </w:r>
      <w:r>
        <w:rPr>
          <w:b w:val="0"/>
          <w:i w:val="0"/>
          <w:color w:val="000000"/>
          <w:u w:val="none"/>
        </w:rPr>
        <w:t>(7), 554-560.</w:t>
      </w:r>
    </w:p>
    <w:p>
      <w:pPr>
        <w:pStyle w:val="Bibliography"/>
        <w:ind w:left="720" w:hanging="720"/>
      </w:pPr>
      <w:r>
        <w:rPr>
          <w:b w:val="0"/>
          <w:i w:val="0"/>
          <w:color w:val="000000"/>
          <w:u w:val="none"/>
        </w:rPr>
        <w:t xml:space="preserve">International Energy Agency. (2023). </w:t>
      </w:r>
      <w:r>
        <w:rPr>
          <w:b w:val="0"/>
          <w:i/>
          <w:color w:val="000000"/>
          <w:u w:val="none"/>
        </w:rPr>
        <w:t>Scaling Up Private Finance for Clean Energy in Emerging and Developing Economies</w:t>
      </w:r>
      <w:r>
        <w:rPr>
          <w:b w:val="0"/>
          <w:i w:val="0"/>
          <w:color w:val="000000"/>
          <w:u w:val="none"/>
        </w:rPr>
        <w:t>. https://www.iea.org/reports/scaling-up-private-finance-for-clean-energy-in-emerging-and-developing-economies</w:t>
      </w:r>
    </w:p>
    <w:p>
      <w:pPr>
        <w:pStyle w:val="Bibliography"/>
        <w:ind w:left="720" w:hanging="720"/>
      </w:pPr>
      <w:r>
        <w:rPr>
          <w:b w:val="0"/>
          <w:i w:val="0"/>
          <w:color w:val="000000"/>
          <w:u w:val="none"/>
        </w:rPr>
        <w:t xml:space="preserve">Lazard. (2025). </w:t>
      </w:r>
      <w:r>
        <w:rPr>
          <w:b w:val="0"/>
          <w:i/>
          <w:color w:val="000000"/>
          <w:u w:val="none"/>
        </w:rPr>
        <w:t>Levelized Cost of Energy+</w:t>
      </w:r>
      <w:r>
        <w:rPr>
          <w:b w:val="0"/>
          <w:i w:val="0"/>
          <w:color w:val="000000"/>
          <w:u w:val="none"/>
        </w:rPr>
        <w:t>. https://www.lazard.com/research-insights/levelized-cost-of-energyplus/</w:t>
      </w:r>
    </w:p>
    <w:p>
      <w:pPr>
        <w:pStyle w:val="Bibliography"/>
        <w:ind w:left="720" w:hanging="720"/>
      </w:pPr>
      <w:r>
        <w:rPr>
          <w:b w:val="0"/>
          <w:i w:val="0"/>
          <w:color w:val="000000"/>
          <w:u w:val="none"/>
        </w:rPr>
        <w:t xml:space="preserve">Liu, Y., &amp; Tsyvinski, A. (2021). Risks and returns of cryptocurrency. </w:t>
      </w:r>
      <w:r>
        <w:rPr>
          <w:b w:val="0"/>
          <w:i/>
          <w:color w:val="000000"/>
          <w:u w:val="none"/>
        </w:rPr>
        <w:t>The Review of Financial Studies, 34</w:t>
      </w:r>
      <w:r>
        <w:rPr>
          <w:b w:val="0"/>
          <w:i w:val="0"/>
          <w:color w:val="000000"/>
          <w:u w:val="none"/>
        </w:rPr>
        <w:t>(6), 2689-2727.</w:t>
      </w:r>
    </w:p>
    <w:p>
      <w:pPr>
        <w:pStyle w:val="Bibliography"/>
        <w:ind w:left="720" w:hanging="720"/>
      </w:pPr>
      <w:r>
        <w:rPr>
          <w:b w:val="0"/>
          <w:i w:val="0"/>
          <w:color w:val="000000"/>
          <w:u w:val="none"/>
        </w:rPr>
        <w:t xml:space="preserve">Nakamoto, S. (2008). </w:t>
      </w:r>
      <w:r>
        <w:rPr>
          <w:b w:val="0"/>
          <w:i/>
          <w:color w:val="000000"/>
          <w:u w:val="none"/>
        </w:rPr>
        <w:t>Bitcoin: A Peer-to-Peer Electronic Cash System</w:t>
      </w:r>
      <w:r>
        <w:rPr>
          <w:b w:val="0"/>
          <w:i w:val="0"/>
          <w:color w:val="000000"/>
          <w:u w:val="none"/>
        </w:rPr>
        <w:t>. https://bitcoin.org/bitcoin.pdf</w:t>
      </w:r>
    </w:p>
    <w:p>
      <w:pPr>
        <w:pStyle w:val="Bibliography"/>
        <w:ind w:left="720" w:hanging="720"/>
      </w:pPr>
      <w:r>
        <w:rPr>
          <w:b w:val="0"/>
          <w:i w:val="0"/>
          <w:color w:val="000000"/>
          <w:u w:val="none"/>
        </w:rPr>
        <w:t xml:space="preserve">Bank for International Settlements. (2023). </w:t>
      </w:r>
      <w:r>
        <w:rPr>
          <w:b w:val="0"/>
          <w:i/>
          <w:color w:val="000000"/>
          <w:u w:val="none"/>
        </w:rPr>
        <w:t>Annual Economic Report 2023: Blueprint for the future monetary system</w:t>
      </w:r>
      <w:r>
        <w:rPr>
          <w:b w:val="0"/>
          <w:i w:val="0"/>
          <w:color w:val="000000"/>
          <w:u w:val="none"/>
        </w:rPr>
        <w:t>. https://www.bis.org/publ/arpdf/ar2023e3.htm</w:t>
      </w:r>
    </w:p>
    <w:p>
      <w:pPr>
        <w:pStyle w:val="Bibliography"/>
        <w:ind w:left="720" w:hanging="720"/>
      </w:pPr>
      <w:r>
        <w:rPr>
          <w:b w:val="0"/>
          <w:i w:val="0"/>
          <w:color w:val="000000"/>
          <w:u w:val="none"/>
        </w:rPr>
        <w:t xml:space="preserve">Bessembinder, H., &amp; Lemmon, M. L. (2002). Equilibrium pricing and optimal hedging in electricity forward markets. </w:t>
      </w:r>
      <w:r>
        <w:rPr>
          <w:b w:val="0"/>
          <w:i/>
          <w:color w:val="000000"/>
          <w:u w:val="none"/>
        </w:rPr>
        <w:t>Journal of Finance, 57</w:t>
      </w:r>
      <w:r>
        <w:rPr>
          <w:b w:val="0"/>
          <w:i w:val="0"/>
          <w:color w:val="000000"/>
          <w:u w:val="none"/>
        </w:rPr>
        <w:t>(3), 1347-1382.</w:t>
      </w:r>
    </w:p>
    <w:p>
      <w:pPr>
        <w:pStyle w:val="Bibliography"/>
        <w:ind w:left="720" w:hanging="720"/>
      </w:pPr>
      <w:r>
        <w:rPr>
          <w:b w:val="0"/>
          <w:i w:val="0"/>
          <w:color w:val="000000"/>
          <w:u w:val="none"/>
        </w:rPr>
        <w:t xml:space="preserve">Black, F., &amp; Scholes, M. (1973). The pricing of options and corporate liabilities. </w:t>
      </w:r>
      <w:r>
        <w:rPr>
          <w:b w:val="0"/>
          <w:i/>
          <w:color w:val="000000"/>
          <w:u w:val="none"/>
        </w:rPr>
        <w:t>Journal of Political Economy, 81</w:t>
      </w:r>
      <w:r>
        <w:rPr>
          <w:b w:val="0"/>
          <w:i w:val="0"/>
          <w:color w:val="000000"/>
          <w:u w:val="none"/>
        </w:rPr>
        <w:t>(3), 637-654.</w:t>
      </w:r>
    </w:p>
    <w:p>
      <w:pPr>
        <w:pStyle w:val="Bibliography"/>
        <w:ind w:left="720" w:hanging="720"/>
      </w:pPr>
      <w:r>
        <w:rPr>
          <w:b w:val="0"/>
          <w:i w:val="0"/>
          <w:color w:val="000000"/>
          <w:u w:val="none"/>
        </w:rPr>
        <w:t xml:space="preserve">Bordo, M. D. (1993). The gold standard, Bretton Woods and other monetary regimes: A historical appraisal. </w:t>
      </w:r>
      <w:r>
        <w:rPr>
          <w:b w:val="0"/>
          <w:i/>
          <w:color w:val="000000"/>
          <w:u w:val="none"/>
        </w:rPr>
        <w:t>Federal Reserve Bank of St. Louis Review, 75</w:t>
      </w:r>
      <w:r>
        <w:rPr>
          <w:b w:val="0"/>
          <w:i w:val="0"/>
          <w:color w:val="000000"/>
          <w:u w:val="none"/>
        </w:rPr>
        <w:t>(2), 123-191.</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 Methodology</w:t>
      </w:r>
      <w:r>
        <w:rPr>
          <w:b w:val="0"/>
          <w:i w:val="0"/>
          <w:color w:val="000000"/>
          <w:u w:val="none"/>
        </w:rPr>
        <w:t>. Cambridge Judge Business School. https://ccaf.io/cbnsi/cbeci/methodology</w:t>
      </w:r>
    </w:p>
    <w:p>
      <w:pPr>
        <w:pStyle w:val="Bibliography"/>
        <w:ind w:left="720" w:hanging="720"/>
      </w:pPr>
      <w:r>
        <w:rPr>
          <w:b w:val="0"/>
          <w:i w:val="0"/>
          <w:color w:val="000000"/>
          <w:u w:val="none"/>
        </w:rPr>
        <w:t xml:space="preserve">Chainlink. (2025). </w:t>
      </w:r>
      <w:r>
        <w:rPr>
          <w:b w:val="0"/>
          <w:i/>
          <w:color w:val="000000"/>
          <w:u w:val="none"/>
        </w:rPr>
        <w:t>The blockchain oracle problem</w:t>
      </w:r>
      <w:r>
        <w:rPr>
          <w:b w:val="0"/>
          <w:i w:val="0"/>
          <w:color w:val="000000"/>
          <w:u w:val="none"/>
        </w:rPr>
        <w:t>. https://chain.link/education-hub/oracle-problem</w:t>
      </w:r>
    </w:p>
    <w:p>
      <w:pPr>
        <w:pStyle w:val="Bibliography"/>
        <w:ind w:left="720" w:hanging="720"/>
      </w:pPr>
      <w:r>
        <w:rPr>
          <w:b w:val="0"/>
          <w:i w:val="0"/>
          <w:color w:val="000000"/>
          <w:u w:val="none"/>
        </w:rPr>
        <w:t xml:space="preserve">Cong, L. W., &amp; He, Z. (2019). Blockchain disruption and smart contracts. </w:t>
      </w:r>
      <w:r>
        <w:rPr>
          <w:b w:val="0"/>
          <w:i/>
          <w:color w:val="000000"/>
          <w:u w:val="none"/>
        </w:rPr>
        <w:t>The Review of Financial Studies, 32</w:t>
      </w:r>
      <w:r>
        <w:rPr>
          <w:b w:val="0"/>
          <w:i w:val="0"/>
          <w:color w:val="000000"/>
          <w:u w:val="none"/>
        </w:rPr>
        <w:t>(5), 1754-1797.</w:t>
      </w:r>
    </w:p>
    <w:p>
      <w:pPr>
        <w:pStyle w:val="Bibliography"/>
        <w:ind w:left="720" w:hanging="720"/>
      </w:pPr>
      <w:r>
        <w:rPr>
          <w:b w:val="0"/>
          <w:i w:val="0"/>
          <w:color w:val="000000"/>
          <w:u w:val="none"/>
        </w:rPr>
        <w:t xml:space="preserve">Cox, J. C., Ross, S. A., &amp; Rubinstein, M. (1979). Option pricing: A simplified approach. </w:t>
      </w:r>
      <w:r>
        <w:rPr>
          <w:b w:val="0"/>
          <w:i/>
          <w:color w:val="000000"/>
          <w:u w:val="none"/>
        </w:rPr>
        <w:t>Journal of Financial Economics, 7</w:t>
      </w:r>
      <w:r>
        <w:rPr>
          <w:b w:val="0"/>
          <w:i w:val="0"/>
          <w:color w:val="000000"/>
          <w:u w:val="none"/>
        </w:rPr>
        <w:t>(3), 229-263.</w:t>
      </w:r>
    </w:p>
    <w:p>
      <w:pPr>
        <w:pStyle w:val="Bibliography"/>
        <w:ind w:left="720" w:hanging="720"/>
      </w:pPr>
      <w:r>
        <w:rPr>
          <w:b w:val="0"/>
          <w:i w:val="0"/>
          <w:color w:val="000000"/>
          <w:u w:val="none"/>
        </w:rPr>
        <w:t xml:space="preserve">Deng, S. J., &amp; Oren, S. S. (2006). Electricity derivatives and risk management. </w:t>
      </w:r>
      <w:r>
        <w:rPr>
          <w:b w:val="0"/>
          <w:i/>
          <w:color w:val="000000"/>
          <w:u w:val="none"/>
        </w:rPr>
        <w:t>Energy, 31</w:t>
      </w:r>
      <w:r>
        <w:rPr>
          <w:b w:val="0"/>
          <w:i w:val="0"/>
          <w:color w:val="000000"/>
          <w:u w:val="none"/>
        </w:rPr>
        <w:t>(6-7), 940-953.</w:t>
      </w:r>
    </w:p>
    <w:p>
      <w:pPr>
        <w:pStyle w:val="Bibliography"/>
        <w:ind w:left="720" w:hanging="720"/>
      </w:pPr>
      <w:r>
        <w:rPr>
          <w:b w:val="0"/>
          <w:i w:val="0"/>
          <w:color w:val="000000"/>
          <w:u w:val="none"/>
        </w:rPr>
        <w:t xml:space="preserve">Federal Reserve Bank of St. Louis. (2010). </w:t>
      </w:r>
      <w:r>
        <w:rPr>
          <w:b w:val="0"/>
          <w:i/>
          <w:color w:val="000000"/>
          <w:u w:val="none"/>
        </w:rPr>
        <w:t>Central bank credibility and inflation expectations</w:t>
      </w:r>
      <w:r>
        <w:rPr>
          <w:b w:val="0"/>
          <w:i w:val="0"/>
          <w:color w:val="000000"/>
          <w:u w:val="none"/>
        </w:rPr>
        <w:t>. https://www.stlouisfed.org/publications/regional-economist/january-2010/central-bank-credibility-and-inflation-expectations</w:t>
      </w:r>
    </w:p>
    <w:p>
      <w:pPr>
        <w:pStyle w:val="Bibliography"/>
        <w:ind w:left="720" w:hanging="720"/>
      </w:pPr>
      <w:r>
        <w:rPr>
          <w:b w:val="0"/>
          <w:i w:val="0"/>
          <w:color w:val="000000"/>
          <w:u w:val="none"/>
        </w:rPr>
        <w:t xml:space="preserve">Kydland, F. E., &amp; Prescott, E. C. (1977). Rules rather than discretion: The inconsistency of optimal plans. </w:t>
      </w:r>
      <w:r>
        <w:rPr>
          <w:b w:val="0"/>
          <w:i/>
          <w:color w:val="000000"/>
          <w:u w:val="none"/>
        </w:rPr>
        <w:t>Journal of Political Economy, 85</w:t>
      </w:r>
      <w:r>
        <w:rPr>
          <w:b w:val="0"/>
          <w:i w:val="0"/>
          <w:color w:val="000000"/>
          <w:u w:val="none"/>
        </w:rPr>
        <w:t>(3), 473-491.</w:t>
      </w:r>
    </w:p>
    <w:p>
      <w:pPr>
        <w:pStyle w:val="Bibliography"/>
        <w:ind w:left="720" w:hanging="720"/>
      </w:pPr>
      <w:r>
        <w:rPr>
          <w:b w:val="0"/>
          <w:i w:val="0"/>
          <w:color w:val="000000"/>
          <w:u w:val="none"/>
        </w:rPr>
        <w:t xml:space="preserve">NASA POWER. (n.d.). </w:t>
      </w:r>
      <w:r>
        <w:rPr>
          <w:b w:val="0"/>
          <w:i/>
          <w:color w:val="000000"/>
          <w:u w:val="none"/>
        </w:rPr>
        <w:t>Prediction of Worldwide Energy Resources</w:t>
      </w:r>
      <w:r>
        <w:rPr>
          <w:b w:val="0"/>
          <w:i w:val="0"/>
          <w:color w:val="000000"/>
          <w:u w:val="none"/>
        </w:rPr>
        <w:t>. NASA Langley Research Center. https://power.larc.nasa.gov/</w:t>
      </w:r>
    </w:p>
    <w:p>
      <w:pPr>
        <w:pStyle w:val="Bibliography"/>
        <w:ind w:left="720" w:hanging="720"/>
      </w:pPr>
      <w:r>
        <w:rPr>
          <w:b w:val="0"/>
          <w:i w:val="0"/>
          <w:color w:val="000000"/>
          <w:u w:val="none"/>
        </w:rPr>
        <w:t xml:space="preserve">National Renewable Energy Laboratory. (n.d.). </w:t>
      </w:r>
      <w:r>
        <w:rPr>
          <w:b w:val="0"/>
          <w:i/>
          <w:color w:val="000000"/>
          <w:u w:val="none"/>
        </w:rPr>
        <w:t>PVWatts API</w:t>
      </w:r>
      <w:r>
        <w:rPr>
          <w:b w:val="0"/>
          <w:i w:val="0"/>
          <w:color w:val="000000"/>
          <w:u w:val="none"/>
        </w:rPr>
        <w:t>. https://developer.nrel.gov/docs/solar/pvwatts/</w:t>
      </w:r>
    </w:p>
    <w:p>
      <w:pPr>
        <w:pStyle w:val="Bibliography"/>
        <w:ind w:left="720" w:hanging="720"/>
      </w:pPr>
      <w:r>
        <w:rPr>
          <w:b w:val="0"/>
          <w:i w:val="0"/>
          <w:color w:val="000000"/>
          <w:u w:val="none"/>
        </w:rPr>
        <w:t xml:space="preserve">U.S. Department of State, Office of the Historian. (n.d.). </w:t>
      </w:r>
      <w:r>
        <w:rPr>
          <w:b w:val="0"/>
          <w:i/>
          <w:color w:val="000000"/>
          <w:u w:val="none"/>
        </w:rPr>
        <w:t>Nixon and the End of the Bretton Woods System, 1971-1973</w:t>
      </w:r>
      <w:r>
        <w:rPr>
          <w:b w:val="0"/>
          <w:i w:val="0"/>
          <w:color w:val="000000"/>
          <w:u w:val="none"/>
        </w:rPr>
        <w:t>. https://history.state.gov/milestones/1969-1976/nixon-shock</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w:t>
      </w:r>
      <w:r>
        <w:rPr>
          <w:b w:val="0"/>
          <w:i w:val="0"/>
          <w:color w:val="000000"/>
          <w:u w:val="none"/>
        </w:rPr>
        <w:t>. Cambridge Judge Business School. https://ccaf.io/cbnsi/cbeci</w:t>
      </w:r>
    </w:p>
    <w:p>
      <w:pPr>
        <w:pStyle w:val="Bibliography"/>
        <w:ind w:left="720" w:hanging="720"/>
      </w:pPr>
      <w:r>
        <w:rPr>
          <w:b w:val="0"/>
          <w:i w:val="0"/>
          <w:color w:val="000000"/>
          <w:u w:val="none"/>
        </w:rPr>
        <w:t xml:space="preserve">Bank for International Settlements. (2023). Blueprint for the future monetary system: Improving the old, enabling the new. In </w:t>
      </w:r>
      <w:r>
        <w:rPr>
          <w:b w:val="0"/>
          <w:i/>
          <w:color w:val="000000"/>
          <w:u w:val="none"/>
        </w:rPr>
        <w:t>Annual Economic Report 2023</w:t>
      </w:r>
      <w:r>
        <w:rPr>
          <w:b w:val="0"/>
          <w:i w:val="0"/>
          <w:color w:val="000000"/>
          <w:u w:val="none"/>
        </w:rPr>
        <w:t>. https://www.bis.org/publ/arpdf/ar2023e3.htm</w:t>
      </w:r>
    </w:p>
    <w:p>
      <w:pPr>
        <w:pStyle w:val="Bibliography"/>
        <w:ind w:left="720" w:hanging="720"/>
      </w:pPr>
      <w:r>
        <w:rPr>
          <w:b w:val="0"/>
          <w:i w:val="0"/>
          <w:color w:val="000000"/>
          <w:u w:val="none"/>
        </w:rPr>
        <w:t xml:space="preserve">Chainlink. (n.d.). </w:t>
      </w:r>
      <w:r>
        <w:rPr>
          <w:b w:val="0"/>
          <w:i/>
          <w:color w:val="000000"/>
          <w:u w:val="none"/>
        </w:rPr>
        <w:t>Proof of Reserve</w:t>
      </w:r>
      <w:r>
        <w:rPr>
          <w:b w:val="0"/>
          <w:i w:val="0"/>
          <w:color w:val="000000"/>
          <w:u w:val="none"/>
        </w:rPr>
        <w:t>. https://chain.link/proof-of-reserve</w:t>
      </w:r>
    </w:p>
    <w:p>
      <w:pPr>
        <w:pStyle w:val="Bibliography"/>
        <w:ind w:left="720" w:hanging="720"/>
      </w:pPr>
      <w:r>
        <w:rPr>
          <w:b w:val="0"/>
          <w:i w:val="0"/>
          <w:color w:val="000000"/>
          <w:u w:val="none"/>
        </w:rPr>
        <w:t xml:space="preserve">National Institute of Standards and Technology. (n.d.). </w:t>
      </w:r>
      <w:r>
        <w:rPr>
          <w:b w:val="0"/>
          <w:i/>
          <w:color w:val="000000"/>
          <w:u w:val="none"/>
        </w:rPr>
        <w:t>Smart Grid</w:t>
      </w:r>
      <w:r>
        <w:rPr>
          <w:b w:val="0"/>
          <w:i w:val="0"/>
          <w:color w:val="000000"/>
          <w:u w:val="none"/>
        </w:rPr>
        <w:t>. https://www.nist.gov/engineering-laboratory/smart-grid</w:t>
      </w:r>
    </w:p>
    <w:p>
      <w:pPr>
        <w:pStyle w:val="Bibliography"/>
        <w:ind w:left="720" w:hanging="720"/>
      </w:pPr>
      <w:r>
        <w:rPr>
          <w:b w:val="0"/>
          <w:i w:val="0"/>
          <w:color w:val="000000"/>
          <w:u w:val="none"/>
        </w:rPr>
        <w:t xml:space="preserve">OpenZeppelin. (n.d.). </w:t>
      </w:r>
      <w:r>
        <w:rPr>
          <w:b w:val="0"/>
          <w:i/>
          <w:color w:val="000000"/>
          <w:u w:val="none"/>
        </w:rPr>
        <w:t>ERC20</w:t>
      </w:r>
      <w:r>
        <w:rPr>
          <w:b w:val="0"/>
          <w:i w:val="0"/>
          <w:color w:val="000000"/>
          <w:u w:val="none"/>
        </w:rPr>
        <w:t>. https://docs.openzeppelin.com/contracts/5.x/api/token/ERC20</w:t>
      </w:r>
    </w:p>
    <w:p>
      <w:pPr>
        <w:pStyle w:val="Bibliography"/>
        <w:ind w:left="720" w:hanging="720"/>
      </w:pPr>
      <w:r>
        <w:rPr>
          <w:b w:val="0"/>
          <w:i w:val="0"/>
          <w:color w:val="000000"/>
          <w:u w:val="none"/>
        </w:rPr>
        <w:t xml:space="preserve">SolarPunk project artifacts. (2026). </w:t>
      </w:r>
      <w:r>
        <w:rPr>
          <w:rFonts w:ascii="Courier New" w:hAnsi="Courier New"/>
          <w:b w:val="0"/>
          <w:i w:val="0"/>
          <w:color w:val="000000"/>
          <w:sz w:val="21"/>
          <w:u w:val="none"/>
        </w:rPr>
        <w:t>SPK_ATTESTED_MINT_PROOF.md</w:t>
      </w:r>
      <w:r>
        <w:rPr>
          <w:b w:val="0"/>
          <w:i w:val="0"/>
          <w:color w:val="000000"/>
          <w:u w:val="none"/>
        </w:rPr>
        <w:t xml:space="preserve">, </w:t>
      </w:r>
      <w:r>
        <w:rPr>
          <w:rFonts w:ascii="Courier New" w:hAnsi="Courier New"/>
          <w:b w:val="0"/>
          <w:i w:val="0"/>
          <w:color w:val="000000"/>
          <w:sz w:val="21"/>
          <w:u w:val="none"/>
        </w:rPr>
        <w:t>CURRENCY_SYSTEM_LAB.md</w:t>
      </w:r>
      <w:r>
        <w:rPr>
          <w:b w:val="0"/>
          <w:i w:val="0"/>
          <w:color w:val="000000"/>
          <w:u w:val="none"/>
        </w:rPr>
        <w:t xml:space="preserve">, </w:t>
      </w:r>
      <w:r>
        <w:rPr>
          <w:rFonts w:ascii="Courier New" w:hAnsi="Courier New"/>
          <w:b w:val="0"/>
          <w:i w:val="0"/>
          <w:color w:val="000000"/>
          <w:sz w:val="21"/>
          <w:u w:val="none"/>
        </w:rPr>
        <w:t>CURRENCY_FRAMEWORK_READINESS.md</w:t>
      </w:r>
      <w:r>
        <w:rPr>
          <w:b w:val="0"/>
          <w:i w:val="0"/>
          <w:color w:val="000000"/>
          <w:u w:val="none"/>
        </w:rPr>
        <w:t xml:space="preserve">, and </w:t>
      </w:r>
      <w:r>
        <w:rPr>
          <w:rFonts w:ascii="Courier New" w:hAnsi="Courier New"/>
          <w:b w:val="0"/>
          <w:i w:val="0"/>
          <w:color w:val="000000"/>
          <w:sz w:val="21"/>
          <w:u w:val="none"/>
        </w:rPr>
        <w:t>PRODUCT_LAUNCH_GATE.md</w:t>
      </w:r>
      <w:r>
        <w:rPr>
          <w:b w:val="0"/>
          <w:i w:val="0"/>
          <w:color w:val="000000"/>
          <w:u w:val="none"/>
        </w:rPr>
        <w:t>.</w:t>
      </w:r>
    </w:p>
    <w:sectPr w:rsidR="00FC693F" w:rsidRPr="0006063C" w:rsidSect="00034616">
      <w:footerReference w:type="first" r:id="rId14"/>
      <w:footerReference w:type="default" r:id="rId1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