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Chapter 4 - Pricing Renewable-Energy Risk</w:t>
      </w:r>
    </w:p>
    <w:p>
      <w:pPr>
        <w:pStyle w:val="Heading2"/>
      </w:pPr>
      <w:r>
        <w:rPr>
          <w:color w:val="000000"/>
        </w:rPr>
        <w:t>At a glance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  <w:u w:val="none"/>
              </w:rPr>
            </w:r>
          </w:p>
        </w:tc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  <w:u w:val="none"/>
              </w:rPr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  <w:u w:val="none"/>
              </w:rPr>
              <w:t>Question</w:t>
            </w:r>
          </w:p>
        </w:tc>
        <w:tc>
          <w:tcPr>
            <w:tcW w:type="dxa" w:w="468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How do you price an energy-linked claim when there is no liquid options market?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  <w:u w:val="none"/>
              </w:rPr>
              <w:t>Method</w:t>
            </w:r>
          </w:p>
        </w:tc>
        <w:tc>
          <w:tcPr>
            <w:tcW w:type="dxa" w:w="468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Option-style model on $/kWh; binomial tree + Monte Carlo cross-check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  <w:u w:val="none"/>
              </w:rPr>
              <w:t>Base case</w:t>
            </w:r>
          </w:p>
        </w:tc>
        <w:tc>
          <w:tcPr>
            <w:tcW w:type="dxa" w:w="468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Taiwan: S₀ = $0.0525/kWh, σ ≈ 189%, call ≈ $0.0192/kWh (binomial)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  <w:u w:val="none"/>
              </w:rPr>
              <w:t>Also covers</w:t>
            </w:r>
          </w:p>
        </w:tc>
        <w:tc>
          <w:tcPr>
            <w:tcW w:type="dxa" w:w="468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Cross-location comparison, oracle tolerance, collars, margin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  <w:u w:val="none"/>
              </w:rPr>
              <w:t>Takeaway</w:t>
            </w:r>
          </w:p>
        </w:tc>
        <w:tc>
          <w:tcPr>
            <w:tcW w:type="dxa" w:w="468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 xml:space="preserve">Risk must be </w:t>
            </w:r>
            <w:r>
              <w:rPr>
                <w:b/>
                <w:i w:val="0"/>
                <w:sz w:val="20"/>
                <w:u w:val="none"/>
              </w:rPr>
              <w:t>inspectable</w:t>
            </w:r>
            <w:r>
              <w:rPr>
                <w:b w:val="0"/>
                <w:i w:val="0"/>
                <w:sz w:val="20"/>
                <w:u w:val="none"/>
              </w:rPr>
              <w:t xml:space="preserve"> before settlement rules can be credible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  <w:u w:val="none"/>
              </w:rPr>
              <w:t>Next chapter</w:t>
            </w:r>
          </w:p>
        </w:tc>
        <w:tc>
          <w:tcPr>
            <w:tcW w:type="dxa" w:w="468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Ch 5 — five constraints + Sepolia implementation</w:t>
            </w:r>
          </w:p>
        </w:tc>
      </w:tr>
    </w:tbl>
    <w:p>
      <w:pPr>
        <w:pStyle w:val="Heading2"/>
      </w:pPr>
      <w:r>
        <w:rPr>
          <w:color w:val="000000"/>
        </w:rPr>
        <w:t>4.1 Purpose of the Chapter</w:t>
      </w:r>
    </w:p>
    <w:p>
      <w:r>
        <w:rPr>
          <w:b w:val="0"/>
          <w:i w:val="0"/>
          <w:color w:val="000000"/>
          <w:u w:val="none"/>
        </w:rPr>
        <w:t>Chapter 2 argued that renewable-energy-linked claims require explicit pricing before issuance can be credible. Chapter 3 showed that energy cost can matter in a digital market, but that the relationship is conditional and regime-dependent. This chapter implements the pricing layer.</w:t>
      </w:r>
    </w:p>
    <w:p>
      <w:r>
        <w:rPr>
          <w:b w:val="0"/>
          <w:i w:val="0"/>
          <w:color w:val="000000"/>
          <w:u w:val="none"/>
        </w:rPr>
        <w:t>If energy is going to constrain digital money or energy-linked contracts, the system must be able to price energy risk. Energy production is not constant. Solar and wind output vary by location, season, weather, and grid conditions. A financial claim linked to energy cannot be credible if it ignores that variability.</w:t>
      </w:r>
    </w:p>
    <w:p>
      <w:r>
        <w:rPr>
          <w:b w:val="0"/>
          <w:i w:val="0"/>
          <w:color w:val="000000"/>
          <w:u w:val="none"/>
        </w:rPr>
        <w:t>This chapter therefore asks how an energy-linked financial contract can be priced when the underlying source is variable, local, and not supported by a liquid options market.</w:t>
      </w:r>
    </w:p>
    <w:p>
      <w:r>
        <w:rPr>
          <w:b w:val="0"/>
          <w:i w:val="0"/>
          <w:color w:val="000000"/>
          <w:u w:val="none"/>
        </w:rPr>
        <w:t>The answer developed here is a practical pricing framework. It does not claim to be the final model for all electricity markets. It provides a reproducible starting point: use public energy data to estimate volatility, define a simple payoff, price the payoff with standard numerical methods, and test whether the result is stable enough to inform collateral and settlement rules.</w:t>
      </w:r>
    </w:p>
    <w:p>
      <w:r>
        <w:rPr>
          <w:b w:val="0"/>
          <w:i w:val="0"/>
          <w:color w:val="000000"/>
          <w:u w:val="none"/>
        </w:rPr>
        <w:t>This matters for the thesis because pricing is one of the conditions that turns "energy-linked" from a label into a credible financial constraint. If risk is not priced, token creation or settlement promises can become under-collateralised claims.</w:t>
      </w:r>
    </w:p>
    <w:p>
      <w:pPr>
        <w:pStyle w:val="Heading2"/>
      </w:pPr>
      <w:r>
        <w:rPr>
          <w:color w:val="000000"/>
        </w:rPr>
        <w:t>4.2 Why Pricing Comes Before Settlement</w:t>
      </w:r>
    </w:p>
    <w:p>
      <w:r>
        <w:rPr>
          <w:b w:val="0"/>
          <w:i w:val="0"/>
          <w:color w:val="000000"/>
          <w:u w:val="none"/>
        </w:rPr>
        <w:t>An energy-linked contract cannot be credible only because it references energy. It must also define the value and risk of that reference.</w:t>
      </w:r>
    </w:p>
    <w:p>
      <w:r>
        <w:rPr>
          <w:b w:val="0"/>
          <w:i w:val="0"/>
          <w:color w:val="000000"/>
          <w:u w:val="none"/>
        </w:rPr>
        <w:t>For example, suppose a contract promises protection against low renewable-energy output or creates a token based on verified renewable generation. Several questions immediately appear: how much the energy is worth; how variable output is; what collateral or reserve should be posted; how much oracle or measurement error the system can tolerate; and which locations are suitable for the design.</w:t>
      </w:r>
    </w:p>
    <w:p>
      <w:r>
        <w:rPr>
          <w:b w:val="0"/>
          <w:i w:val="0"/>
          <w:color w:val="000000"/>
          <w:u w:val="none"/>
        </w:rPr>
        <w:t>These are pricing questions before they are implementation questions. A smart contract can enforce a rule, but it cannot make a bad rule economically sound. If the pricing model underestimates volatility or shortfall risk, the contract can still execute correctly while producing a fragile financial instrument.</w:t>
      </w:r>
    </w:p>
    <w:p>
      <w:r>
        <w:rPr>
          <w:b w:val="0"/>
          <w:i w:val="0"/>
          <w:color w:val="000000"/>
          <w:u w:val="none"/>
        </w:rPr>
        <w:t>For this reason, this chapter treats pricing as part of credibility. A system that links financial claims to energy must measure not only expected energy value, but also uncertainty around that value.</w:t>
      </w:r>
    </w:p>
    <w:p>
      <w:pPr>
        <w:pStyle w:val="Heading2"/>
      </w:pPr>
      <w:r>
        <w:rPr>
          <w:color w:val="000000"/>
        </w:rPr>
        <w:t>4.3 The Underlying Risk</w:t>
      </w:r>
    </w:p>
    <w:p>
      <w:r>
        <w:rPr>
          <w:b w:val="0"/>
          <w:i w:val="0"/>
          <w:color w:val="000000"/>
          <w:u w:val="none"/>
        </w:rPr>
        <w:t>Renewable output varies with irradiance, weather, season, equipment, and grid conditions. A kilowatt-hour is not a uniform financial object; its value depends on where and when it is produced and how the market prices it.</w:t>
      </w:r>
    </w:p>
    <w:p>
      <w:r>
        <w:rPr>
          <w:b w:val="0"/>
          <w:i w:val="0"/>
          <w:color w:val="000000"/>
          <w:u w:val="none"/>
        </w:rPr>
        <w:t>The chapter focuses on solar-linked examples because public resource data are widely available (NASA POWER; NREL PVWatts). Those datasets support modelling and benchmarking. They do not substitute for meter or inverter evidence at settlement—a distinction developed further in Chapter 5.</w:t>
      </w:r>
    </w:p>
    <w:p>
      <w:pPr>
        <w:pStyle w:val="Heading3"/>
      </w:pPr>
      <w:r>
        <w:rPr>
          <w:color w:val="000000"/>
        </w:rPr>
        <w:t>4.3.1 Location inputs and volatility calibration</w:t>
      </w:r>
    </w:p>
    <w:p>
      <w:r>
        <w:rPr>
          <w:b w:val="0"/>
          <w:i w:val="0"/>
          <w:color w:val="000000"/>
          <w:u w:val="none"/>
        </w:rPr>
        <w:t xml:space="preserve">Table 4.4 records the cross-location inputs used in Chapter 4. Spot proxies </w:t>
      </w:r>
      <w:r>
        <w:rPr>
          <w:rFonts w:ascii="Courier New" w:hAnsi="Courier New"/>
          <w:b w:val="0"/>
          <w:i w:val="0"/>
          <w:color w:val="000000"/>
          <w:sz w:val="21"/>
          <w:u w:val="none"/>
        </w:rPr>
        <w:t>S₀</w:t>
      </w:r>
      <w:r>
        <w:rPr>
          <w:b w:val="0"/>
          <w:i w:val="0"/>
          <w:color w:val="000000"/>
          <w:u w:val="none"/>
        </w:rPr>
        <w:t xml:space="preserve"> follow published LCOE or tariff proxies; volatilities are </w:t>
      </w:r>
      <w:r>
        <w:rPr>
          <w:b/>
          <w:i w:val="0"/>
          <w:color w:val="000000"/>
          <w:u w:val="none"/>
        </w:rPr>
        <w:t>cold-start</w:t>
      </w:r>
      <w:r>
        <w:rPr>
          <w:b w:val="0"/>
          <w:i w:val="0"/>
          <w:color w:val="000000"/>
          <w:u w:val="none"/>
        </w:rPr>
        <w:t xml:space="preserve"> estimates from NASA POWER irradiance variability, not market-implied option vols. Taiwan σ = 189.5% under the preferred </w:t>
      </w:r>
      <w:r>
        <w:rPr>
          <w:rFonts w:ascii="Courier New" w:hAnsi="Courier New"/>
          <w:b w:val="0"/>
          <w:i w:val="0"/>
          <w:color w:val="000000"/>
          <w:sz w:val="21"/>
          <w:u w:val="none"/>
        </w:rPr>
        <w:t>thesis_reconstructed</w:t>
      </w:r>
      <w:r>
        <w:rPr>
          <w:b w:val="0"/>
          <w:i w:val="0"/>
          <w:color w:val="000000"/>
          <w:u w:val="none"/>
        </w:rPr>
        <w:t xml:space="preserve"> method (</w:t>
      </w:r>
      <w:r>
        <w:rPr>
          <w:rFonts w:ascii="Courier New" w:hAnsi="Courier New"/>
          <w:b w:val="0"/>
          <w:i w:val="0"/>
          <w:color w:val="000000"/>
          <w:sz w:val="21"/>
          <w:u w:val="none"/>
        </w:rPr>
        <w:t>calibration_diagnostics_real.csv</w:t>
      </w:r>
      <w:r>
        <w:rPr>
          <w:b w:val="0"/>
          <w:i w:val="0"/>
          <w:color w:val="000000"/>
          <w:u w:val="none"/>
        </w:rPr>
        <w:t>; Jarque–Bera p = 0.349).</w:t>
      </w:r>
    </w:p>
    <w:p>
      <w:pPr>
        <w:pStyle w:val="Caption"/>
        <w:keepNext/>
        <w:spacing w:after="120"/>
        <w:ind w:firstLine="0"/>
        <w:jc w:val="center"/>
      </w:pPr>
      <w:r>
        <w:rPr>
          <w:b/>
          <w:i w:val="0"/>
          <w:color w:val="000000"/>
          <w:u w:val="none"/>
        </w:rPr>
        <w:t>Table 4.4. Location parameters and volatility calibration inputs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  <w:u w:val="none"/>
              </w:rPr>
              <w:t>Location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  <w:u w:val="none"/>
              </w:rPr>
              <w:t>Latitude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  <w:u w:val="none"/>
              </w:rPr>
              <w:t>Longitude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  <w:u w:val="none"/>
              </w:rPr>
              <w:t>S₀ ($/kWh)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  <w:u w:val="none"/>
              </w:rPr>
              <w:t>σ (annual, %)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  <w:u w:val="none"/>
              </w:rPr>
              <w:t>Risk-free r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  <w:u w:val="none"/>
              </w:rPr>
              <w:t>σ source</w:t>
            </w:r>
          </w:p>
        </w:tc>
      </w:tr>
      <w:tr>
        <w:tc>
          <w:tcPr>
            <w:tcW w:type="dxa" w:w="133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Taiwan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23.5000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120.9000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0.0525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189%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2.5%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NASA POWER daily irradiance log returns, 2019–2024; 4-day rolling mean + 1% tail trim (Taiwan method)</w:t>
            </w:r>
          </w:p>
        </w:tc>
      </w:tr>
      <w:tr>
        <w:tc>
          <w:tcPr>
            <w:tcW w:type="dxa" w:w="133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Saudi Arabia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24.7000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46.7000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0.0550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172%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2.5%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NASA POWER daily irradiance log returns, 2019–2024; 4-day rolling mean + 1% tail trim (Taiwan method)</w:t>
            </w:r>
          </w:p>
        </w:tc>
      </w:tr>
      <w:tr>
        <w:tc>
          <w:tcPr>
            <w:tcW w:type="dxa" w:w="133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Arizona, USA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33.4000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-112.1000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0.0580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165%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4.5%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NASA POWER daily irradiance log returns, 2019–2024; 4-day rolling mean + 1% tail trim (Taiwan method)</w:t>
            </w:r>
          </w:p>
        </w:tc>
      </w:tr>
      <w:tr>
        <w:tc>
          <w:tcPr>
            <w:tcW w:type="dxa" w:w="133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Brazil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-23.5000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-46.6000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0.0950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198%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13.5%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NASA POWER daily irradiance log returns, 2019–2024; 4-day rolling mean + 1% tail trim (Taiwan method)</w:t>
            </w:r>
          </w:p>
        </w:tc>
      </w:tr>
      <w:tr>
        <w:tc>
          <w:tcPr>
            <w:tcW w:type="dxa" w:w="133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Germany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48.1000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11.6000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0.0250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45%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3.5%</w:t>
            </w:r>
          </w:p>
        </w:tc>
        <w:tc>
          <w:tcPr>
            <w:tcW w:type="dxa" w:w="1337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NASA POWER daily irradiance log returns, 2019–2024; 4-day rolling mean + 1% tail trim (Taiwan method)</w:t>
            </w:r>
          </w:p>
        </w:tc>
      </w:tr>
    </w:tbl>
    <w:p>
      <w:r>
        <w:rPr>
          <w:b w:val="0"/>
          <w:i/>
          <w:color w:val="000000"/>
          <w:u w:val="none"/>
        </w:rPr>
        <w:t xml:space="preserve">Horizon T = 0.25 years for all sites; ATM convention K = S₀ per location (Table 4.2). Script: </w:t>
      </w:r>
      <w:r>
        <w:rPr>
          <w:rFonts w:ascii="Courier New" w:hAnsi="Courier New"/>
          <w:b w:val="0"/>
          <w:i/>
          <w:color w:val="000000"/>
          <w:sz w:val="21"/>
          <w:u w:val="none"/>
        </w:rPr>
        <w:t>options_pricing.py</w:t>
      </w:r>
      <w:r>
        <w:rPr>
          <w:b w:val="0"/>
          <w:i/>
          <w:color w:val="000000"/>
          <w:u w:val="none"/>
        </w:rPr>
        <w:t>.</w:t>
      </w:r>
    </w:p>
    <w:p>
      <w:pPr>
        <w:pStyle w:val="Caption"/>
        <w:keepNext/>
        <w:spacing w:after="120"/>
        <w:ind w:firstLine="0"/>
        <w:jc w:val="center"/>
      </w:pPr>
      <w:r>
        <w:rPr>
          <w:b/>
          <w:i w:val="0"/>
          <w:color w:val="000000"/>
          <w:u w:val="none"/>
        </w:rPr>
        <w:t>Table 4.5. Binomial tree convergence (Taiwan base case)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  <w:u w:val="none"/>
              </w:rPr>
              <w:t>Steps (N)</w:t>
            </w:r>
          </w:p>
        </w:tc>
        <w:tc>
          <w:tcPr>
            <w:tcW w:type="dxa" w:w="312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  <w:u w:val="none"/>
              </w:rPr>
              <w:t>Option Price ($/kWh)</w:t>
            </w:r>
          </w:p>
        </w:tc>
        <w:tc>
          <w:tcPr>
            <w:tcW w:type="dxa" w:w="312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  <w:u w:val="none"/>
              </w:rPr>
              <w:t>Change from Previous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50</w:t>
            </w:r>
          </w:p>
        </w:tc>
        <w:tc>
          <w:tcPr>
            <w:tcW w:type="dxa" w:w="312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0.0191</w:t>
            </w:r>
          </w:p>
        </w:tc>
        <w:tc>
          <w:tcPr>
            <w:tcW w:type="dxa" w:w="312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100</w:t>
            </w:r>
          </w:p>
        </w:tc>
        <w:tc>
          <w:tcPr>
            <w:tcW w:type="dxa" w:w="312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0.0191</w:t>
            </w:r>
          </w:p>
        </w:tc>
        <w:tc>
          <w:tcPr>
            <w:tcW w:type="dxa" w:w="312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+0.247%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200</w:t>
            </w:r>
          </w:p>
        </w:tc>
        <w:tc>
          <w:tcPr>
            <w:tcW w:type="dxa" w:w="312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0.0192</w:t>
            </w:r>
          </w:p>
        </w:tc>
        <w:tc>
          <w:tcPr>
            <w:tcW w:type="dxa" w:w="312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+0.124%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400</w:t>
            </w:r>
          </w:p>
        </w:tc>
        <w:tc>
          <w:tcPr>
            <w:tcW w:type="dxa" w:w="312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0.0192</w:t>
            </w:r>
          </w:p>
        </w:tc>
        <w:tc>
          <w:tcPr>
            <w:tcW w:type="dxa" w:w="312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+0.062%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800</w:t>
            </w:r>
          </w:p>
        </w:tc>
        <w:tc>
          <w:tcPr>
            <w:tcW w:type="dxa" w:w="312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0.0192</w:t>
            </w:r>
          </w:p>
        </w:tc>
        <w:tc>
          <w:tcPr>
            <w:tcW w:type="dxa" w:w="312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+0.031%</w:t>
            </w:r>
          </w:p>
        </w:tc>
      </w:tr>
      <w:tr>
        <w:tc>
          <w:tcPr>
            <w:tcW w:type="dxa" w:w="312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1200</w:t>
            </w:r>
          </w:p>
        </w:tc>
        <w:tc>
          <w:tcPr>
            <w:tcW w:type="dxa" w:w="312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0.0192</w:t>
            </w:r>
          </w:p>
        </w:tc>
        <w:tc>
          <w:tcPr>
            <w:tcW w:type="dxa" w:w="312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+0.010%</w:t>
            </w:r>
          </w:p>
        </w:tc>
      </w:tr>
    </w:tbl>
    <w:p>
      <w:r>
        <w:rPr>
          <w:b w:val="0"/>
          <w:i/>
          <w:color w:val="000000"/>
          <w:u w:val="none"/>
        </w:rPr>
        <w:t xml:space="preserve">Preferred engine setting: N = 400 steps. Source: </w:t>
      </w:r>
      <w:r>
        <w:rPr>
          <w:rFonts w:ascii="Courier New" w:hAnsi="Courier New"/>
          <w:b w:val="0"/>
          <w:i/>
          <w:color w:val="000000"/>
          <w:sz w:val="21"/>
          <w:u w:val="none"/>
        </w:rPr>
        <w:t>binomial_convergence_table.csv</w:t>
      </w:r>
      <w:r>
        <w:rPr>
          <w:b w:val="0"/>
          <w:i/>
          <w:color w:val="000000"/>
          <w:u w:val="none"/>
        </w:rPr>
        <w:t>.</w:t>
      </w:r>
    </w:p>
    <w:p>
      <w:pPr>
        <w:pStyle w:val="Caption"/>
        <w:keepNext/>
        <w:spacing w:after="120"/>
        <w:ind w:firstLine="0"/>
        <w:jc w:val="center"/>
      </w:pPr>
      <w:r>
        <w:rPr>
          <w:b/>
          <w:i w:val="0"/>
          <w:color w:val="000000"/>
          <w:u w:val="none"/>
        </w:rPr>
        <w:t>Table 4.6. Margin stress grid (selected S₀ and σ)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  <w:u w:val="none"/>
              </w:rPr>
              <w:t>S₀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  <w:u w:val="none"/>
              </w:rPr>
              <w:t>σ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  <w:u w:val="none"/>
              </w:rPr>
              <w:t>VaR₉₉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  <w:u w:val="none"/>
              </w:rPr>
              <w:t>Initial margin (1.5×)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$0.0420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142%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$0.1776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$0.2665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$0.0420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189%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$0.3378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$0.5066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$0.0420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236%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$0.6146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$0.9219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$0.0525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142%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$0.2220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$0.3331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$0.0525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189%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$0.4222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$0.6333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$0.0525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236%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$0.7682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$1.1524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$0.0630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142%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$0.2665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$0.3997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$0.0630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189%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$0.5066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$0.7599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$0.0630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236%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$0.9219</w:t>
            </w:r>
          </w:p>
        </w:tc>
        <w:tc>
          <w:tcPr>
            <w:tcW w:type="dxa" w:w="234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$1.3828</w:t>
            </w:r>
          </w:p>
        </w:tc>
      </w:tr>
    </w:tbl>
    <w:p>
      <w:r>
        <w:rPr>
          <w:b w:val="0"/>
          <w:i/>
          <w:color w:val="000000"/>
          <w:u w:val="none"/>
        </w:rPr>
        <w:t xml:space="preserve">Initial margin = 1.5 × VaR₉₉ of spot; Taiwan base case highlighted at S₀ = $0.0525/kWh, σ = 189%. Full grid: </w:t>
      </w:r>
      <w:r>
        <w:rPr>
          <w:rFonts w:ascii="Courier New" w:hAnsi="Courier New"/>
          <w:b w:val="0"/>
          <w:i/>
          <w:color w:val="000000"/>
          <w:sz w:val="21"/>
          <w:u w:val="none"/>
        </w:rPr>
        <w:t>margin_stress_table.csv</w:t>
      </w:r>
      <w:r>
        <w:rPr>
          <w:b w:val="0"/>
          <w:i/>
          <w:color w:val="000000"/>
          <w:u w:val="none"/>
        </w:rPr>
        <w:t>.</w:t>
      </w:r>
    </w:p>
    <w:p>
      <w:pPr>
        <w:pStyle w:val="Heading2"/>
      </w:pPr>
      <w:r>
        <w:rPr>
          <w:color w:val="000000"/>
        </w:rPr>
        <w:t>4.4 Model Setup</w:t>
      </w:r>
    </w:p>
    <w:p>
      <w:r>
        <w:rPr>
          <w:b w:val="0"/>
          <w:i w:val="0"/>
          <w:color w:val="000000"/>
          <w:u w:val="none"/>
        </w:rPr>
        <w:t xml:space="preserve">The pricing framework treats energy value as the underlying for a short-horizon option-style claim, expressed in dollars per kilowatt-hour ($/kWh). The main inputs are the spot proxy </w:t>
      </w:r>
      <w:r>
        <w:rPr>
          <w:rFonts w:ascii="Courier New" w:hAnsi="Courier New"/>
          <w:b w:val="0"/>
          <w:i w:val="0"/>
          <w:color w:val="000000"/>
          <w:sz w:val="21"/>
          <w:u w:val="none"/>
        </w:rPr>
        <w:t>S₀</w:t>
      </w:r>
      <w:r>
        <w:rPr>
          <w:b w:val="0"/>
          <w:i w:val="0"/>
          <w:color w:val="000000"/>
          <w:u w:val="none"/>
        </w:rPr>
        <w:t xml:space="preserve">, strike </w:t>
      </w:r>
      <w:r>
        <w:rPr>
          <w:rFonts w:ascii="Courier New" w:hAnsi="Courier New"/>
          <w:b w:val="0"/>
          <w:i w:val="0"/>
          <w:color w:val="000000"/>
          <w:sz w:val="21"/>
          <w:u w:val="none"/>
        </w:rPr>
        <w:t>K</w:t>
      </w:r>
      <w:r>
        <w:rPr>
          <w:b w:val="0"/>
          <w:i w:val="0"/>
          <w:color w:val="000000"/>
          <w:u w:val="none"/>
        </w:rPr>
        <w:t xml:space="preserve">, volatility σ, risk-free rate </w:t>
      </w:r>
      <w:r>
        <w:rPr>
          <w:rFonts w:ascii="Courier New" w:hAnsi="Courier New"/>
          <w:b w:val="0"/>
          <w:i w:val="0"/>
          <w:color w:val="000000"/>
          <w:sz w:val="21"/>
          <w:u w:val="none"/>
        </w:rPr>
        <w:t>r</w:t>
      </w:r>
      <w:r>
        <w:rPr>
          <w:b w:val="0"/>
          <w:i w:val="0"/>
          <w:color w:val="000000"/>
          <w:u w:val="none"/>
        </w:rPr>
        <w:t xml:space="preserve">, and horizon </w:t>
      </w:r>
      <w:r>
        <w:rPr>
          <w:rFonts w:ascii="Courier New" w:hAnsi="Courier New"/>
          <w:b w:val="0"/>
          <w:i w:val="0"/>
          <w:color w:val="000000"/>
          <w:sz w:val="21"/>
          <w:u w:val="none"/>
        </w:rPr>
        <w:t>T</w:t>
      </w:r>
      <w:r>
        <w:rPr>
          <w:b w:val="0"/>
          <w:i w:val="0"/>
          <w:color w:val="000000"/>
          <w:u w:val="none"/>
        </w:rPr>
        <w:t>.</w:t>
      </w:r>
    </w:p>
    <w:p>
      <w:r>
        <w:rPr>
          <w:b w:val="0"/>
          <w:i w:val="0"/>
          <w:color w:val="000000"/>
          <w:u w:val="none"/>
        </w:rPr>
        <w:t xml:space="preserve">The chapter uses a Taiwan base case at </w:t>
      </w:r>
      <w:r>
        <w:rPr>
          <w:rFonts w:ascii="Courier New" w:hAnsi="Courier New"/>
          <w:b w:val="0"/>
          <w:i w:val="0"/>
          <w:color w:val="000000"/>
          <w:sz w:val="21"/>
          <w:u w:val="none"/>
        </w:rPr>
        <w:t>T = 0.25</w:t>
      </w:r>
      <w:r>
        <w:rPr>
          <w:b w:val="0"/>
          <w:i w:val="0"/>
          <w:color w:val="000000"/>
          <w:u w:val="none"/>
        </w:rPr>
        <w:t xml:space="preserve"> years as the preferred numerical anchor (Table 4.1). Location-level values for </w:t>
      </w:r>
      <w:r>
        <w:rPr>
          <w:rFonts w:ascii="Courier New" w:hAnsi="Courier New"/>
          <w:b w:val="0"/>
          <w:i w:val="0"/>
          <w:color w:val="000000"/>
          <w:sz w:val="21"/>
          <w:u w:val="none"/>
        </w:rPr>
        <w:t>S₀</w:t>
      </w:r>
      <w:r>
        <w:rPr>
          <w:b w:val="0"/>
          <w:i w:val="0"/>
          <w:color w:val="000000"/>
          <w:u w:val="none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1"/>
          <w:u w:val="none"/>
        </w:rPr>
        <w:t>r</w:t>
      </w:r>
      <w:r>
        <w:rPr>
          <w:b w:val="0"/>
          <w:i w:val="0"/>
          <w:color w:val="000000"/>
          <w:u w:val="none"/>
        </w:rPr>
        <w:t>, and cold-start σ appear in Table 4.4 (§4.3.1). Volatility is estimated from NASA POWER irradiance variability because traded option implied volatility is not available for these sites. Geometric Brownian motion is used as a transparent short-horizon benchmark. It is not a claim that electricity prices follow GBM everywhere; jumps, seasonality, negative prices, and mean reversion remain extensions for future work.</w:t>
      </w:r>
    </w:p>
    <w:p>
      <w:pPr>
        <w:pStyle w:val="Caption"/>
        <w:keepNext/>
        <w:spacing w:after="120"/>
        <w:ind w:firstLine="0"/>
        <w:jc w:val="center"/>
      </w:pPr>
      <w:r>
        <w:rPr>
          <w:b/>
          <w:i w:val="0"/>
          <w:color w:val="000000"/>
          <w:u w:val="none"/>
        </w:rPr>
        <w:t>Table 4.1. Taiwan base case (numerical anchor)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  <w:u w:val="none"/>
              </w:rPr>
              <w:t>Parameter</w:t>
            </w:r>
          </w:p>
        </w:tc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  <w:u w:val="none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 xml:space="preserve">Underlying proxy </w:t>
            </w:r>
            <w:r>
              <w:rPr>
                <w:rFonts w:ascii="Courier New" w:hAnsi="Courier New"/>
                <w:b w:val="0"/>
                <w:i w:val="0"/>
                <w:sz w:val="20"/>
                <w:u w:val="none"/>
              </w:rPr>
              <w:t>S0</w:t>
            </w:r>
          </w:p>
        </w:tc>
        <w:tc>
          <w:tcPr>
            <w:tcW w:type="dxa" w:w="468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rFonts w:ascii="Courier New" w:hAnsi="Courier New"/>
                <w:b w:val="0"/>
                <w:i w:val="0"/>
                <w:sz w:val="20"/>
                <w:u w:val="none"/>
              </w:rPr>
              <w:t>$0.0525/kWh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 xml:space="preserve">Strike/reference cost </w:t>
            </w:r>
            <w:r>
              <w:rPr>
                <w:rFonts w:ascii="Courier New" w:hAnsi="Courier New"/>
                <w:b w:val="0"/>
                <w:i w:val="0"/>
                <w:sz w:val="20"/>
                <w:u w:val="none"/>
              </w:rPr>
              <w:t>K</w:t>
            </w:r>
          </w:p>
        </w:tc>
        <w:tc>
          <w:tcPr>
            <w:tcW w:type="dxa" w:w="468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rFonts w:ascii="Courier New" w:hAnsi="Courier New"/>
                <w:b w:val="0"/>
                <w:i w:val="0"/>
                <w:sz w:val="20"/>
                <w:u w:val="none"/>
              </w:rPr>
              <w:t>$0.0525/kWh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 xml:space="preserve">Horizon </w:t>
            </w:r>
            <w:r>
              <w:rPr>
                <w:rFonts w:ascii="Courier New" w:hAnsi="Courier New"/>
                <w:b w:val="0"/>
                <w:i w:val="0"/>
                <w:sz w:val="20"/>
                <w:u w:val="none"/>
              </w:rPr>
              <w:t>T</w:t>
            </w:r>
          </w:p>
        </w:tc>
        <w:tc>
          <w:tcPr>
            <w:tcW w:type="dxa" w:w="468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rFonts w:ascii="Courier New" w:hAnsi="Courier New"/>
                <w:b w:val="0"/>
                <w:i w:val="0"/>
                <w:sz w:val="20"/>
                <w:u w:val="none"/>
              </w:rPr>
              <w:t>0.25</w:t>
            </w:r>
            <w:r>
              <w:rPr>
                <w:b w:val="0"/>
                <w:i w:val="0"/>
                <w:sz w:val="20"/>
                <w:u w:val="none"/>
              </w:rPr>
              <w:t xml:space="preserve"> years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 xml:space="preserve">Risk-free rate </w:t>
            </w:r>
            <w:r>
              <w:rPr>
                <w:rFonts w:ascii="Courier New" w:hAnsi="Courier New"/>
                <w:b w:val="0"/>
                <w:i w:val="0"/>
                <w:sz w:val="20"/>
                <w:u w:val="none"/>
              </w:rPr>
              <w:t>r</w:t>
            </w:r>
          </w:p>
        </w:tc>
        <w:tc>
          <w:tcPr>
            <w:tcW w:type="dxa" w:w="468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rFonts w:ascii="Courier New" w:hAnsi="Courier New"/>
                <w:b w:val="0"/>
                <w:i w:val="0"/>
                <w:sz w:val="20"/>
                <w:u w:val="none"/>
              </w:rPr>
              <w:t>2.5%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 xml:space="preserve">Volatility </w:t>
            </w:r>
            <w:r>
              <w:rPr>
                <w:rFonts w:ascii="Courier New" w:hAnsi="Courier New"/>
                <w:b w:val="0"/>
                <w:i w:val="0"/>
                <w:sz w:val="20"/>
                <w:u w:val="none"/>
              </w:rPr>
              <w:t>sigma</w:t>
            </w:r>
          </w:p>
        </w:tc>
        <w:tc>
          <w:tcPr>
            <w:tcW w:type="dxa" w:w="468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rFonts w:ascii="Courier New" w:hAnsi="Courier New"/>
                <w:b w:val="0"/>
                <w:i w:val="0"/>
                <w:sz w:val="20"/>
                <w:u w:val="none"/>
              </w:rPr>
              <w:t>189%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Binomial call value</w:t>
            </w:r>
          </w:p>
        </w:tc>
        <w:tc>
          <w:tcPr>
            <w:tcW w:type="dxa" w:w="468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rFonts w:ascii="Courier New" w:hAnsi="Courier New"/>
                <w:b w:val="0"/>
                <w:i w:val="0"/>
                <w:sz w:val="20"/>
                <w:u w:val="none"/>
              </w:rPr>
              <w:t>$0.01917/kWh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Monte Carlo call value</w:t>
            </w:r>
          </w:p>
        </w:tc>
        <w:tc>
          <w:tcPr>
            <w:tcW w:type="dxa" w:w="468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rFonts w:ascii="Courier New" w:hAnsi="Courier New"/>
                <w:b w:val="0"/>
                <w:i w:val="0"/>
                <w:sz w:val="20"/>
                <w:u w:val="none"/>
              </w:rPr>
              <w:t>$0.01957/kWh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Method gap</w:t>
            </w:r>
          </w:p>
        </w:tc>
        <w:tc>
          <w:tcPr>
            <w:tcW w:type="dxa" w:w="468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 xml:space="preserve">About </w:t>
            </w:r>
            <w:r>
              <w:rPr>
                <w:rFonts w:ascii="Courier New" w:hAnsi="Courier New"/>
                <w:b w:val="0"/>
                <w:i w:val="0"/>
                <w:sz w:val="20"/>
                <w:u w:val="none"/>
              </w:rPr>
              <w:t>+2.1%</w:t>
            </w:r>
            <w:r>
              <w:rPr>
                <w:b w:val="0"/>
                <w:i w:val="0"/>
                <w:sz w:val="20"/>
                <w:u w:val="none"/>
              </w:rPr>
              <w:t xml:space="preserve"> Monte Carlo vs binomial</w:t>
            </w:r>
          </w:p>
        </w:tc>
      </w:tr>
    </w:tbl>
    <w:p>
      <w:pPr>
        <w:pStyle w:val="Heading2"/>
      </w:pPr>
      <w:r>
        <w:rPr>
          <w:color w:val="000000"/>
        </w:rPr>
        <w:t>4.5 Numerical Pricing Methods</w:t>
      </w:r>
    </w:p>
    <w:p>
      <w:r>
        <w:rPr>
          <w:b w:val="0"/>
          <w:i w:val="0"/>
          <w:color w:val="000000"/>
          <w:u w:val="none"/>
        </w:rPr>
        <w:t>The chapter prices the payoff with two standard numerical methods: a binomial tree (Cox, Ross, and Rubinstein, 1979) and Monte Carlo simulation. Agreement between the two methods under identical assumptions supports reproducibility.</w:t>
      </w:r>
    </w:p>
    <w:p>
      <w:r>
        <w:rPr>
          <w:b w:val="0"/>
          <w:i w:val="0"/>
          <w:color w:val="000000"/>
          <w:u w:val="none"/>
        </w:rPr>
        <w:t xml:space="preserve">Table 4.2 and Figure 4.2 report cross-location at-the-money values, with </w:t>
      </w:r>
      <w:r>
        <w:rPr>
          <w:rFonts w:ascii="Courier New" w:hAnsi="Courier New"/>
          <w:b w:val="0"/>
          <w:i w:val="0"/>
          <w:color w:val="000000"/>
          <w:sz w:val="21"/>
          <w:u w:val="none"/>
        </w:rPr>
        <w:t>K = S₀</w:t>
      </w:r>
      <w:r>
        <w:rPr>
          <w:b w:val="0"/>
          <w:i w:val="0"/>
          <w:color w:val="000000"/>
          <w:u w:val="none"/>
        </w:rPr>
        <w:t xml:space="preserve"> at each site. For high-volatility locations, binomial and Monte Carlo values differ by about 2%. Germany's option value is small because both </w:t>
      </w:r>
      <w:r>
        <w:rPr>
          <w:rFonts w:ascii="Courier New" w:hAnsi="Courier New"/>
          <w:b w:val="0"/>
          <w:i w:val="0"/>
          <w:color w:val="000000"/>
          <w:sz w:val="21"/>
          <w:u w:val="none"/>
        </w:rPr>
        <w:t>S₀</w:t>
      </w:r>
      <w:r>
        <w:rPr>
          <w:b w:val="0"/>
          <w:i w:val="0"/>
          <w:color w:val="000000"/>
          <w:u w:val="none"/>
        </w:rPr>
        <w:t xml:space="preserve"> and σ are low; Brazil's is large because both are high. Older runs that fixed </w:t>
      </w:r>
      <w:r>
        <w:rPr>
          <w:rFonts w:ascii="Courier New" w:hAnsi="Courier New"/>
          <w:b w:val="0"/>
          <w:i w:val="0"/>
          <w:color w:val="000000"/>
          <w:sz w:val="21"/>
          <w:u w:val="none"/>
        </w:rPr>
        <w:t>K = $0.0525</w:t>
      </w:r>
      <w:r>
        <w:rPr>
          <w:b w:val="0"/>
          <w:i w:val="0"/>
          <w:color w:val="000000"/>
          <w:u w:val="none"/>
        </w:rPr>
        <w:t xml:space="preserve"> across all sites are retained only as non-canonical robustness artifacts (</w:t>
      </w:r>
      <w:r>
        <w:rPr>
          <w:rFonts w:ascii="Courier New" w:hAnsi="Courier New"/>
          <w:b w:val="0"/>
          <w:i w:val="0"/>
          <w:color w:val="000000"/>
          <w:sz w:val="21"/>
          <w:u w:val="none"/>
        </w:rPr>
        <w:t>PRICING_ROBUSTNESS_NOTES.md</w:t>
      </w:r>
      <w:r>
        <w:rPr>
          <w:b w:val="0"/>
          <w:i w:val="0"/>
          <w:color w:val="000000"/>
          <w:u w:val="none"/>
        </w:rPr>
        <w:t>).</w:t>
      </w:r>
    </w:p>
    <w:p>
      <w:r>
        <w:rPr>
          <w:b w:val="0"/>
          <w:i w:val="0"/>
          <w:color w:val="000000"/>
          <w:u w:val="none"/>
        </w:rPr>
        <w:t xml:space="preserve">Table 4.5 and Figure 4.3 show that Taiwan binomial prices stabilise by about </w:t>
      </w:r>
      <w:r>
        <w:rPr>
          <w:rFonts w:ascii="Courier New" w:hAnsi="Courier New"/>
          <w:b w:val="0"/>
          <w:i w:val="0"/>
          <w:color w:val="000000"/>
          <w:sz w:val="21"/>
          <w:u w:val="none"/>
        </w:rPr>
        <w:t>N = 400</w:t>
      </w:r>
      <w:r>
        <w:rPr>
          <w:b w:val="0"/>
          <w:i w:val="0"/>
          <w:color w:val="000000"/>
          <w:u w:val="none"/>
        </w:rPr>
        <w:t xml:space="preserve"> steps, which is the engine default.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  <w:u w:val="none"/>
              </w:rPr>
              <w:t>Location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  <w:u w:val="none"/>
              </w:rPr>
              <w:t>S0 ($/kWh)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  <w:u w:val="none"/>
              </w:rPr>
              <w:t>Sigma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  <w:u w:val="none"/>
              </w:rPr>
              <w:t>Binomial Call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  <w:u w:val="none"/>
              </w:rPr>
              <w:t>Monte Carlo Call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b/>
                <w:i w:val="0"/>
                <w:sz w:val="16"/>
                <w:u w:val="none"/>
              </w:rPr>
              <w:t>% Diff (B vs MC)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Germany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0.0250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45%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0.00234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0.00236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0.9%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Taiwan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0.0525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189%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0.01917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0.01957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2.1%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Saudi Arabia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0.0550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172%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0.01841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0.01876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1.9%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Arizona, USA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0.0580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165%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0.01877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0.01911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1.8%</w:t>
            </w:r>
          </w:p>
        </w:tc>
      </w:tr>
      <w:tr>
        <w:tc>
          <w:tcPr>
            <w:tcW w:type="dxa" w:w="156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Brazil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0.0950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198%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0.03702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0.03781</w:t>
            </w:r>
          </w:p>
        </w:tc>
        <w:tc>
          <w:tcPr>
            <w:tcW w:type="dxa" w:w="1560"/>
          </w:tcPr>
          <w:p>
            <w:pPr>
              <w:spacing w:line="240" w:lineRule="auto" w:before="0" w:after="0"/>
              <w:ind w:firstLine="0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  <w:u w:val="none"/>
              </w:rPr>
              <w:t>2.1%</w:t>
            </w:r>
          </w:p>
        </w:tc>
      </w:tr>
    </w:tbl>
    <w:p>
      <w:r>
        <w:rPr>
          <w:b w:val="0"/>
          <w:i/>
          <w:color w:val="000000"/>
          <w:u w:val="none"/>
        </w:rPr>
        <w:t xml:space="preserve">Strike: </w:t>
      </w:r>
      <w:r>
        <w:rPr>
          <w:rFonts w:ascii="Courier New" w:hAnsi="Courier New"/>
          <w:b w:val="0"/>
          <w:i/>
          <w:color w:val="000000"/>
          <w:sz w:val="21"/>
          <w:u w:val="none"/>
        </w:rPr>
        <w:t>K = S₀</w:t>
      </w:r>
      <w:r>
        <w:rPr>
          <w:b w:val="0"/>
          <w:i/>
          <w:color w:val="000000"/>
          <w:u w:val="none"/>
        </w:rPr>
        <w:t xml:space="preserve"> per location. Source: </w:t>
      </w:r>
      <w:r>
        <w:rPr>
          <w:rFonts w:ascii="Courier New" w:hAnsi="Courier New"/>
          <w:b w:val="0"/>
          <w:i/>
          <w:color w:val="000000"/>
          <w:sz w:val="21"/>
          <w:u w:val="none"/>
        </w:rPr>
        <w:t>cross_location_pricing.csv</w:t>
      </w:r>
      <w:r>
        <w:rPr>
          <w:b w:val="0"/>
          <w:i/>
          <w:color w:val="000000"/>
          <w:u w:val="none"/>
        </w:rPr>
        <w:t>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84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location_pric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8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color w:val="000000"/>
        </w:rPr>
        <w:t>Figure 4.2. Cross-location ATM comparison.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30221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omial_converg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2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color w:val="000000"/>
        </w:rPr>
        <w:t>Figure 4.3. Binomial convergence (Taiwan).</w:t>
      </w:r>
    </w:p>
    <w:p>
      <w:pPr>
        <w:pStyle w:val="Heading2"/>
      </w:pPr>
      <w:r>
        <w:rPr>
          <w:color w:val="000000"/>
        </w:rPr>
        <w:t>4.6 Cross-Location Results</w:t>
      </w:r>
    </w:p>
    <w:p>
      <w:r>
        <w:rPr>
          <w:b w:val="0"/>
          <w:i w:val="0"/>
          <w:color w:val="000000"/>
          <w:u w:val="none"/>
        </w:rPr>
        <w:t>Renewable risk is local. Inputs in Table 4.4 produce the option values in Table 4.2 and the collateral implications in Table 4.6. High-volatility sites such as Brazil and Taiwan require larger option values and margins than Germany.</w:t>
      </w:r>
    </w:p>
    <w:p>
      <w:r>
        <w:rPr>
          <w:b w:val="0"/>
          <w:i w:val="0"/>
          <w:color w:val="000000"/>
          <w:u w:val="none"/>
        </w:rPr>
        <w:t>The contribution is therefore not a single universal energy price. It is a location-specific, inspectable risk toolkit whose assumptions can be challenged and rerun. A credible energy-linked contract should state its inputs openly rather than hide them behind a generic label.</w:t>
      </w:r>
    </w:p>
    <w:p>
      <w:pPr>
        <w:pStyle w:val="Heading2"/>
      </w:pPr>
      <w:r>
        <w:rPr>
          <w:color w:val="000000"/>
        </w:rPr>
        <w:t>4.7 Collars, Oracle Tolerance, and Margin</w:t>
      </w:r>
    </w:p>
    <w:p>
      <w:r>
        <w:rPr>
          <w:b w:val="0"/>
          <w:i w:val="0"/>
          <w:color w:val="000000"/>
          <w:u w:val="none"/>
        </w:rPr>
        <w:t>Beyond the base call valuation, the chapter tests three design-relevant extensions.</w:t>
      </w:r>
    </w:p>
    <w:p>
      <w:r>
        <w:rPr>
          <w:b w:val="0"/>
          <w:i w:val="0"/>
          <w:color w:val="000000"/>
          <w:u w:val="none"/>
        </w:rPr>
        <w:t>First, collars limit upside and downside with paired options. Under symmetric percentage strikes in a lognormal model, a net credit can arise structurally because the out-of-the-money call sits closer in log space than the out-of-the-money put. Credit magnitude grows with σ; it is not presented here as a discovered volatility threshold.</w:t>
      </w:r>
    </w:p>
    <w:p>
      <w:r>
        <w:rPr>
          <w:b w:val="0"/>
          <w:i w:val="0"/>
          <w:color w:val="000000"/>
          <w:u w:val="none"/>
        </w:rPr>
        <w:t>Second, oracle tolerance asks how much measurement error a hedge can tolerate before effectiveness falls below a target (Table 4.3, Figure 4.5). High-volatility sites accept more error than Germany for the same variance-reduction goal. That result is directly relevant to whether meter-grade data, inverter logs, or satellite proxies are adequate for a given claim.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27860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acle_tolerance_ba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86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color w:val="000000"/>
        </w:rPr>
        <w:t>Figure 4.5. Oracle tolerance by location.</w:t>
      </w:r>
    </w:p>
    <w:p>
      <w:r>
        <w:rPr>
          <w:b w:val="0"/>
          <w:i w:val="0"/>
          <w:color w:val="000000"/>
          <w:u w:val="none"/>
        </w:rPr>
        <w:t xml:space="preserve">Third, margin and collateral requirements rise with </w:t>
      </w:r>
      <w:r>
        <w:rPr>
          <w:rFonts w:ascii="Courier New" w:hAnsi="Courier New"/>
          <w:b w:val="0"/>
          <w:i w:val="0"/>
          <w:color w:val="000000"/>
          <w:sz w:val="21"/>
          <w:u w:val="none"/>
        </w:rPr>
        <w:t>S₀</w:t>
      </w:r>
      <w:r>
        <w:rPr>
          <w:b w:val="0"/>
          <w:i w:val="0"/>
          <w:color w:val="000000"/>
          <w:u w:val="none"/>
        </w:rPr>
        <w:t xml:space="preserve"> and σ (Table 4.6, Figure 4.4). At Taiwan's spot proxy with σ = 189%, initial margin is about </w:t>
      </w:r>
      <w:r>
        <w:rPr>
          <w:rFonts w:ascii="Courier New" w:hAnsi="Courier New"/>
          <w:b w:val="0"/>
          <w:i w:val="0"/>
          <w:color w:val="000000"/>
          <w:sz w:val="21"/>
          <w:u w:val="none"/>
        </w:rPr>
        <w:t>$0.63/kWh</w:t>
      </w:r>
      <w:r>
        <w:rPr>
          <w:b w:val="0"/>
          <w:i w:val="0"/>
          <w:color w:val="000000"/>
          <w:u w:val="none"/>
        </w:rPr>
        <w:t xml:space="preserve"> under a 1.5× VaR₉₉ rule. Issuance without stress-aware collateral rules would therefore be irresponsible even if the contract executes correctly on-chain.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33060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gin_stress_taiw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6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color w:val="000000"/>
        </w:rPr>
        <w:t>Figure 4.4. Margin stress (Taiwan S₀).</w:t>
      </w:r>
    </w:p>
    <w:p>
      <w:pPr>
        <w:pStyle w:val="Caption"/>
        <w:keepNext/>
        <w:spacing w:after="120"/>
        <w:ind w:firstLine="0"/>
        <w:jc w:val="center"/>
      </w:pPr>
      <w:r>
        <w:rPr>
          <w:b/>
          <w:i w:val="0"/>
          <w:color w:val="000000"/>
          <w:u w:val="none"/>
        </w:rPr>
        <w:t>Table 4.3. Maximum oracle error for variance reduction ≥ 95%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  <w:u w:val="none"/>
              </w:rPr>
              <w:t>Location</w:t>
            </w:r>
          </w:p>
        </w:tc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  <w:u w:val="none"/>
              </w:rPr>
              <w:t>Maximum Oracle Error for Variance Reduction &gt;= 95%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Taiwan</w:t>
            </w:r>
          </w:p>
        </w:tc>
        <w:tc>
          <w:tcPr>
            <w:tcW w:type="dxa" w:w="468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21.7%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Saudi Arabia</w:t>
            </w:r>
          </w:p>
        </w:tc>
        <w:tc>
          <w:tcPr>
            <w:tcW w:type="dxa" w:w="468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19.7%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Arizona</w:t>
            </w:r>
          </w:p>
        </w:tc>
        <w:tc>
          <w:tcPr>
            <w:tcW w:type="dxa" w:w="468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18.9%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Brazil</w:t>
            </w:r>
          </w:p>
        </w:tc>
        <w:tc>
          <w:tcPr>
            <w:tcW w:type="dxa" w:w="468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22.7%</w:t>
            </w:r>
          </w:p>
        </w:tc>
      </w:tr>
      <w:tr>
        <w:tc>
          <w:tcPr>
            <w:tcW w:type="dxa" w:w="468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Germany</w:t>
            </w:r>
          </w:p>
        </w:tc>
        <w:tc>
          <w:tcPr>
            <w:tcW w:type="dxa" w:w="4680"/>
          </w:tcPr>
          <w:p>
            <w:pPr>
              <w:spacing w:line="240" w:lineRule="auto" w:before="0" w:after="0"/>
              <w:ind w:firstLine="0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  <w:u w:val="none"/>
              </w:rPr>
              <w:t>5.2%</w:t>
            </w:r>
          </w:p>
        </w:tc>
      </w:tr>
    </w:tbl>
    <w:p>
      <w:pPr>
        <w:pStyle w:val="Heading2"/>
      </w:pPr>
      <w:r>
        <w:rPr>
          <w:color w:val="000000"/>
        </w:rPr>
        <w:t>4.8 What the Pricing Layer Proves and Does Not Prove</w:t>
      </w:r>
    </w:p>
    <w:p>
      <w:r>
        <w:rPr>
          <w:b w:val="0"/>
          <w:i w:val="0"/>
          <w:color w:val="000000"/>
          <w:u w:val="none"/>
        </w:rPr>
        <w:t>The pricing layer supports four bounded claims. First, energy-linked payoffs can be valued under explicit assumptions. Second, public data can supply cold-start volatility when implied volatility is absent. Third, independent numerical methods can cross-check stability. Fourth, the resulting outputs can inform margin and oracle-tolerance design.</w:t>
      </w:r>
    </w:p>
    <w:p>
      <w:r>
        <w:rPr>
          <w:b w:val="0"/>
          <w:i w:val="0"/>
          <w:color w:val="000000"/>
          <w:u w:val="none"/>
        </w:rPr>
        <w:t>The pricing layer does not show that GBM is universally correct, that it replaces market-implied volatility where markets exist, or that it resolves liquidity, legal enforceability, basis risk, or physical settlement. Meter verification and contract law remain separate problems, developed further in Chapter 5.</w:t>
      </w:r>
    </w:p>
    <w:p>
      <w:r>
        <w:rPr>
          <w:b w:val="0"/>
          <w:i w:val="0"/>
          <w:color w:val="000000"/>
          <w:u w:val="none"/>
        </w:rPr>
        <w:t>The contribution is therefore methodological: a path from public energy data to transparent risk metrics, not a completed market design.</w:t>
      </w:r>
    </w:p>
    <w:p>
      <w:pPr>
        <w:pStyle w:val="Heading2"/>
      </w:pPr>
      <w:r>
        <w:rPr>
          <w:color w:val="000000"/>
        </w:rPr>
        <w:t>4.9 Chapter Conclusion</w:t>
      </w:r>
    </w:p>
    <w:p>
      <w:r>
        <w:rPr>
          <w:b w:val="0"/>
          <w:i w:val="0"/>
          <w:color w:val="000000"/>
          <w:u w:val="none"/>
        </w:rPr>
        <w:t>Chapter 3 showed conditional evidence that energy cost can matter in digital markets. This chapter showed how renewable-energy-linked risk can be priced and stress-tested under explicit, location-specific assumptions.</w:t>
      </w:r>
    </w:p>
    <w:p>
      <w:r>
        <w:rPr>
          <w:b w:val="0"/>
          <w:i w:val="0"/>
          <w:color w:val="000000"/>
          <w:u w:val="none"/>
        </w:rPr>
        <w:t>Pricing is not optional for credible energy-linked finance. A rule-bound contract without a pricing and collateral layer can still be economically fragile even when it executes faithfully in software.</w:t>
      </w:r>
    </w:p>
    <w:p>
      <w:r>
        <w:rPr>
          <w:b w:val="0"/>
          <w:i w:val="0"/>
          <w:color w:val="000000"/>
          <w:u w:val="none"/>
        </w:rPr>
        <w:t>Chapter 5 turns to the rules—data, issuance, settlement, and governance—that must wrap any such pricing in enforceable implementation.</w:t>
      </w:r>
    </w:p>
    <w:p>
      <w:pPr>
        <w:pStyle w:val="QuoteBlock"/>
      </w:pPr>
      <w:r>
        <w:rPr>
          <w:b/>
          <w:i w:val="0"/>
          <w:color w:val="000000"/>
          <w:u w:val="none"/>
        </w:rPr>
        <w:t>Key takeaway:</w:t>
      </w:r>
      <w:r>
        <w:rPr>
          <w:b w:val="0"/>
          <w:i w:val="0"/>
          <w:color w:val="000000"/>
          <w:u w:val="none"/>
        </w:rPr>
        <w:t xml:space="preserve"> Public data and transparent numerics can support collateral and oracle design—they do not replace meter verification or legal settlement.</w:t>
      </w:r>
    </w:p>
    <w:p>
      <w:r>
        <w:br w:type="page"/>
      </w:r>
    </w:p>
    <w:p>
      <w:pPr>
        <w:pStyle w:val="Heading1"/>
      </w:pPr>
      <w:r>
        <w:rPr>
          <w:color w:val="000000"/>
        </w:rPr>
        <w:t>References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Barro, R. J., &amp; Gordon, D. B. (1983). Rules, discretion and reputation in a model of monetary policy. </w:t>
      </w:r>
      <w:r>
        <w:rPr>
          <w:b w:val="0"/>
          <w:i/>
          <w:color w:val="000000"/>
          <w:u w:val="none"/>
        </w:rPr>
        <w:t>Journal of Monetary Economics, 12</w:t>
      </w:r>
      <w:r>
        <w:rPr>
          <w:b w:val="0"/>
          <w:i w:val="0"/>
          <w:color w:val="000000"/>
          <w:u w:val="none"/>
        </w:rPr>
        <w:t>(1), 101-121.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Cambridge Centre for Alternative Finance. (n.d.-b). </w:t>
      </w:r>
      <w:r>
        <w:rPr>
          <w:b w:val="0"/>
          <w:i/>
          <w:color w:val="000000"/>
          <w:u w:val="none"/>
        </w:rPr>
        <w:t>CBECI Mining Map: Methodology</w:t>
      </w:r>
      <w:r>
        <w:rPr>
          <w:b w:val="0"/>
          <w:i w:val="0"/>
          <w:color w:val="000000"/>
          <w:u w:val="none"/>
        </w:rPr>
        <w:t>. Cambridge Judge Business School. https://ccaf.io/cbnsi/cbeci/mining_map/methodology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Eichengreen, B. (1992). </w:t>
      </w:r>
      <w:r>
        <w:rPr>
          <w:b w:val="0"/>
          <w:i/>
          <w:color w:val="000000"/>
          <w:u w:val="none"/>
        </w:rPr>
        <w:t>Golden Fetters: The Gold Standard and the Great Depression, 1919-1939</w:t>
      </w:r>
      <w:r>
        <w:rPr>
          <w:b w:val="0"/>
          <w:i w:val="0"/>
          <w:color w:val="000000"/>
          <w:u w:val="none"/>
        </w:rPr>
        <w:t>. Oxford University Press.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Ethereum.org. (n.d.). </w:t>
      </w:r>
      <w:r>
        <w:rPr>
          <w:b w:val="0"/>
          <w:i/>
          <w:color w:val="000000"/>
          <w:u w:val="none"/>
        </w:rPr>
        <w:t>The Merge</w:t>
      </w:r>
      <w:r>
        <w:rPr>
          <w:b w:val="0"/>
          <w:i w:val="0"/>
          <w:color w:val="000000"/>
          <w:u w:val="none"/>
        </w:rPr>
        <w:t>. https://ethereum.org/en/upgrades/merge/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Federal Reserve History. (2013). </w:t>
      </w:r>
      <w:r>
        <w:rPr>
          <w:b w:val="0"/>
          <w:i/>
          <w:color w:val="000000"/>
          <w:u w:val="none"/>
        </w:rPr>
        <w:t>Nixon Ends Convertibility of U.S. Dollars to Gold and Announces Wage/Price Controls</w:t>
      </w:r>
      <w:r>
        <w:rPr>
          <w:b w:val="0"/>
          <w:i w:val="0"/>
          <w:color w:val="000000"/>
          <w:u w:val="none"/>
        </w:rPr>
        <w:t>. https://www.federalreservehistory.org/essays/gold_convertibility_ends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Friedman, M. (1960). </w:t>
      </w:r>
      <w:r>
        <w:rPr>
          <w:b w:val="0"/>
          <w:i/>
          <w:color w:val="000000"/>
          <w:u w:val="none"/>
        </w:rPr>
        <w:t>A Program for Monetary Stability</w:t>
      </w:r>
      <w:r>
        <w:rPr>
          <w:b w:val="0"/>
          <w:i w:val="0"/>
          <w:color w:val="000000"/>
          <w:u w:val="none"/>
        </w:rPr>
        <w:t>. Fordham University Press.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Hayes, A. S. (2019). Bitcoin price and its marginal cost of production: Support for a fundamental value. </w:t>
      </w:r>
      <w:r>
        <w:rPr>
          <w:b w:val="0"/>
          <w:i/>
          <w:color w:val="000000"/>
          <w:u w:val="none"/>
        </w:rPr>
        <w:t>Applied Economics Letters, 26</w:t>
      </w:r>
      <w:r>
        <w:rPr>
          <w:b w:val="0"/>
          <w:i w:val="0"/>
          <w:color w:val="000000"/>
          <w:u w:val="none"/>
        </w:rPr>
        <w:t>(7), 554-560.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International Energy Agency. (2023). </w:t>
      </w:r>
      <w:r>
        <w:rPr>
          <w:b w:val="0"/>
          <w:i/>
          <w:color w:val="000000"/>
          <w:u w:val="none"/>
        </w:rPr>
        <w:t>Scaling Up Private Finance for Clean Energy in Emerging and Developing Economies</w:t>
      </w:r>
      <w:r>
        <w:rPr>
          <w:b w:val="0"/>
          <w:i w:val="0"/>
          <w:color w:val="000000"/>
          <w:u w:val="none"/>
        </w:rPr>
        <w:t>. https://www.iea.org/reports/scaling-up-private-finance-for-clean-energy-in-emerging-and-developing-economies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Lazard. (2025). </w:t>
      </w:r>
      <w:r>
        <w:rPr>
          <w:b w:val="0"/>
          <w:i/>
          <w:color w:val="000000"/>
          <w:u w:val="none"/>
        </w:rPr>
        <w:t>Levelized Cost of Energy+</w:t>
      </w:r>
      <w:r>
        <w:rPr>
          <w:b w:val="0"/>
          <w:i w:val="0"/>
          <w:color w:val="000000"/>
          <w:u w:val="none"/>
        </w:rPr>
        <w:t>. https://www.lazard.com/research-insights/levelized-cost-of-energyplus/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Liu, Y., &amp; Tsyvinski, A. (2021). Risks and returns of cryptocurrency. </w:t>
      </w:r>
      <w:r>
        <w:rPr>
          <w:b w:val="0"/>
          <w:i/>
          <w:color w:val="000000"/>
          <w:u w:val="none"/>
        </w:rPr>
        <w:t>The Review of Financial Studies, 34</w:t>
      </w:r>
      <w:r>
        <w:rPr>
          <w:b w:val="0"/>
          <w:i w:val="0"/>
          <w:color w:val="000000"/>
          <w:u w:val="none"/>
        </w:rPr>
        <w:t>(6), 2689-2727.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Nakamoto, S. (2008). </w:t>
      </w:r>
      <w:r>
        <w:rPr>
          <w:b w:val="0"/>
          <w:i/>
          <w:color w:val="000000"/>
          <w:u w:val="none"/>
        </w:rPr>
        <w:t>Bitcoin: A Peer-to-Peer Electronic Cash System</w:t>
      </w:r>
      <w:r>
        <w:rPr>
          <w:b w:val="0"/>
          <w:i w:val="0"/>
          <w:color w:val="000000"/>
          <w:u w:val="none"/>
        </w:rPr>
        <w:t>. https://bitcoin.org/bitcoin.pdf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Bank for International Settlements. (2023). </w:t>
      </w:r>
      <w:r>
        <w:rPr>
          <w:b w:val="0"/>
          <w:i/>
          <w:color w:val="000000"/>
          <w:u w:val="none"/>
        </w:rPr>
        <w:t>Annual Economic Report 2023: Blueprint for the future monetary system</w:t>
      </w:r>
      <w:r>
        <w:rPr>
          <w:b w:val="0"/>
          <w:i w:val="0"/>
          <w:color w:val="000000"/>
          <w:u w:val="none"/>
        </w:rPr>
        <w:t>. https://www.bis.org/publ/arpdf/ar2023e3.htm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Bessembinder, H., &amp; Lemmon, M. L. (2002). Equilibrium pricing and optimal hedging in electricity forward markets. </w:t>
      </w:r>
      <w:r>
        <w:rPr>
          <w:b w:val="0"/>
          <w:i/>
          <w:color w:val="000000"/>
          <w:u w:val="none"/>
        </w:rPr>
        <w:t>Journal of Finance, 57</w:t>
      </w:r>
      <w:r>
        <w:rPr>
          <w:b w:val="0"/>
          <w:i w:val="0"/>
          <w:color w:val="000000"/>
          <w:u w:val="none"/>
        </w:rPr>
        <w:t>(3), 1347-1382.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Black, F., &amp; Scholes, M. (1973). The pricing of options and corporate liabilities. </w:t>
      </w:r>
      <w:r>
        <w:rPr>
          <w:b w:val="0"/>
          <w:i/>
          <w:color w:val="000000"/>
          <w:u w:val="none"/>
        </w:rPr>
        <w:t>Journal of Political Economy, 81</w:t>
      </w:r>
      <w:r>
        <w:rPr>
          <w:b w:val="0"/>
          <w:i w:val="0"/>
          <w:color w:val="000000"/>
          <w:u w:val="none"/>
        </w:rPr>
        <w:t>(3), 637-654.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Bordo, M. D. (1993). The gold standard, Bretton Woods and other monetary regimes: A historical appraisal. </w:t>
      </w:r>
      <w:r>
        <w:rPr>
          <w:b w:val="0"/>
          <w:i/>
          <w:color w:val="000000"/>
          <w:u w:val="none"/>
        </w:rPr>
        <w:t>Federal Reserve Bank of St. Louis Review, 75</w:t>
      </w:r>
      <w:r>
        <w:rPr>
          <w:b w:val="0"/>
          <w:i w:val="0"/>
          <w:color w:val="000000"/>
          <w:u w:val="none"/>
        </w:rPr>
        <w:t>(2), 123-191.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Cambridge Centre for Alternative Finance. (n.d.-a). </w:t>
      </w:r>
      <w:r>
        <w:rPr>
          <w:b w:val="0"/>
          <w:i/>
          <w:color w:val="000000"/>
          <w:u w:val="none"/>
        </w:rPr>
        <w:t>Cambridge Bitcoin Electricity Consumption Index: Methodology</w:t>
      </w:r>
      <w:r>
        <w:rPr>
          <w:b w:val="0"/>
          <w:i w:val="0"/>
          <w:color w:val="000000"/>
          <w:u w:val="none"/>
        </w:rPr>
        <w:t>. Cambridge Judge Business School. https://ccaf.io/cbnsi/cbeci/methodology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Chainlink. (2025). </w:t>
      </w:r>
      <w:r>
        <w:rPr>
          <w:b w:val="0"/>
          <w:i/>
          <w:color w:val="000000"/>
          <w:u w:val="none"/>
        </w:rPr>
        <w:t>The blockchain oracle problem</w:t>
      </w:r>
      <w:r>
        <w:rPr>
          <w:b w:val="0"/>
          <w:i w:val="0"/>
          <w:color w:val="000000"/>
          <w:u w:val="none"/>
        </w:rPr>
        <w:t>. https://chain.link/education-hub/oracle-problem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Cong, L. W., &amp; He, Z. (2019). Blockchain disruption and smart contracts. </w:t>
      </w:r>
      <w:r>
        <w:rPr>
          <w:b w:val="0"/>
          <w:i/>
          <w:color w:val="000000"/>
          <w:u w:val="none"/>
        </w:rPr>
        <w:t>The Review of Financial Studies, 32</w:t>
      </w:r>
      <w:r>
        <w:rPr>
          <w:b w:val="0"/>
          <w:i w:val="0"/>
          <w:color w:val="000000"/>
          <w:u w:val="none"/>
        </w:rPr>
        <w:t>(5), 1754-1797.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Cox, J. C., Ross, S. A., &amp; Rubinstein, M. (1979). Option pricing: A simplified approach. </w:t>
      </w:r>
      <w:r>
        <w:rPr>
          <w:b w:val="0"/>
          <w:i/>
          <w:color w:val="000000"/>
          <w:u w:val="none"/>
        </w:rPr>
        <w:t>Journal of Financial Economics, 7</w:t>
      </w:r>
      <w:r>
        <w:rPr>
          <w:b w:val="0"/>
          <w:i w:val="0"/>
          <w:color w:val="000000"/>
          <w:u w:val="none"/>
        </w:rPr>
        <w:t>(3), 229-263.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Deng, S. J., &amp; Oren, S. S. (2006). Electricity derivatives and risk management. </w:t>
      </w:r>
      <w:r>
        <w:rPr>
          <w:b w:val="0"/>
          <w:i/>
          <w:color w:val="000000"/>
          <w:u w:val="none"/>
        </w:rPr>
        <w:t>Energy, 31</w:t>
      </w:r>
      <w:r>
        <w:rPr>
          <w:b w:val="0"/>
          <w:i w:val="0"/>
          <w:color w:val="000000"/>
          <w:u w:val="none"/>
        </w:rPr>
        <w:t>(6-7), 940-953.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Federal Reserve Bank of St. Louis. (2010). </w:t>
      </w:r>
      <w:r>
        <w:rPr>
          <w:b w:val="0"/>
          <w:i/>
          <w:color w:val="000000"/>
          <w:u w:val="none"/>
        </w:rPr>
        <w:t>Central bank credibility and inflation expectations</w:t>
      </w:r>
      <w:r>
        <w:rPr>
          <w:b w:val="0"/>
          <w:i w:val="0"/>
          <w:color w:val="000000"/>
          <w:u w:val="none"/>
        </w:rPr>
        <w:t>. https://www.stlouisfed.org/publications/regional-economist/january-2010/central-bank-credibility-and-inflation-expectations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Kydland, F. E., &amp; Prescott, E. C. (1977). Rules rather than discretion: The inconsistency of optimal plans. </w:t>
      </w:r>
      <w:r>
        <w:rPr>
          <w:b w:val="0"/>
          <w:i/>
          <w:color w:val="000000"/>
          <w:u w:val="none"/>
        </w:rPr>
        <w:t>Journal of Political Economy, 85</w:t>
      </w:r>
      <w:r>
        <w:rPr>
          <w:b w:val="0"/>
          <w:i w:val="0"/>
          <w:color w:val="000000"/>
          <w:u w:val="none"/>
        </w:rPr>
        <w:t>(3), 473-491.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NASA POWER. (n.d.). </w:t>
      </w:r>
      <w:r>
        <w:rPr>
          <w:b w:val="0"/>
          <w:i/>
          <w:color w:val="000000"/>
          <w:u w:val="none"/>
        </w:rPr>
        <w:t>Prediction of Worldwide Energy Resources</w:t>
      </w:r>
      <w:r>
        <w:rPr>
          <w:b w:val="0"/>
          <w:i w:val="0"/>
          <w:color w:val="000000"/>
          <w:u w:val="none"/>
        </w:rPr>
        <w:t>. NASA Langley Research Center. https://power.larc.nasa.gov/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National Renewable Energy Laboratory. (n.d.). </w:t>
      </w:r>
      <w:r>
        <w:rPr>
          <w:b w:val="0"/>
          <w:i/>
          <w:color w:val="000000"/>
          <w:u w:val="none"/>
        </w:rPr>
        <w:t>PVWatts API</w:t>
      </w:r>
      <w:r>
        <w:rPr>
          <w:b w:val="0"/>
          <w:i w:val="0"/>
          <w:color w:val="000000"/>
          <w:u w:val="none"/>
        </w:rPr>
        <w:t>. https://developer.nrel.gov/docs/solar/pvwatts/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U.S. Department of State, Office of the Historian. (n.d.). </w:t>
      </w:r>
      <w:r>
        <w:rPr>
          <w:b w:val="0"/>
          <w:i/>
          <w:color w:val="000000"/>
          <w:u w:val="none"/>
        </w:rPr>
        <w:t>Nixon and the End of the Bretton Woods System, 1971-1973</w:t>
      </w:r>
      <w:r>
        <w:rPr>
          <w:b w:val="0"/>
          <w:i w:val="0"/>
          <w:color w:val="000000"/>
          <w:u w:val="none"/>
        </w:rPr>
        <w:t>. https://history.state.gov/milestones/1969-1976/nixon-shock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Cambridge Centre for Alternative Finance. (n.d.-a). </w:t>
      </w:r>
      <w:r>
        <w:rPr>
          <w:b w:val="0"/>
          <w:i/>
          <w:color w:val="000000"/>
          <w:u w:val="none"/>
        </w:rPr>
        <w:t>Cambridge Bitcoin Electricity Consumption Index</w:t>
      </w:r>
      <w:r>
        <w:rPr>
          <w:b w:val="0"/>
          <w:i w:val="0"/>
          <w:color w:val="000000"/>
          <w:u w:val="none"/>
        </w:rPr>
        <w:t>. Cambridge Judge Business School. https://ccaf.io/cbnsi/cbeci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Bank for International Settlements. (2023). Blueprint for the future monetary system: Improving the old, enabling the new. In </w:t>
      </w:r>
      <w:r>
        <w:rPr>
          <w:b w:val="0"/>
          <w:i/>
          <w:color w:val="000000"/>
          <w:u w:val="none"/>
        </w:rPr>
        <w:t>Annual Economic Report 2023</w:t>
      </w:r>
      <w:r>
        <w:rPr>
          <w:b w:val="0"/>
          <w:i w:val="0"/>
          <w:color w:val="000000"/>
          <w:u w:val="none"/>
        </w:rPr>
        <w:t>. https://www.bis.org/publ/arpdf/ar2023e3.htm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Chainlink. (n.d.). </w:t>
      </w:r>
      <w:r>
        <w:rPr>
          <w:b w:val="0"/>
          <w:i/>
          <w:color w:val="000000"/>
          <w:u w:val="none"/>
        </w:rPr>
        <w:t>Proof of Reserve</w:t>
      </w:r>
      <w:r>
        <w:rPr>
          <w:b w:val="0"/>
          <w:i w:val="0"/>
          <w:color w:val="000000"/>
          <w:u w:val="none"/>
        </w:rPr>
        <w:t>. https://chain.link/proof-of-reserve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National Institute of Standards and Technology. (n.d.). </w:t>
      </w:r>
      <w:r>
        <w:rPr>
          <w:b w:val="0"/>
          <w:i/>
          <w:color w:val="000000"/>
          <w:u w:val="none"/>
        </w:rPr>
        <w:t>Smart Grid</w:t>
      </w:r>
      <w:r>
        <w:rPr>
          <w:b w:val="0"/>
          <w:i w:val="0"/>
          <w:color w:val="000000"/>
          <w:u w:val="none"/>
        </w:rPr>
        <w:t>. https://www.nist.gov/engineering-laboratory/smart-grid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OpenZeppelin. (n.d.). </w:t>
      </w:r>
      <w:r>
        <w:rPr>
          <w:b w:val="0"/>
          <w:i/>
          <w:color w:val="000000"/>
          <w:u w:val="none"/>
        </w:rPr>
        <w:t>ERC20</w:t>
      </w:r>
      <w:r>
        <w:rPr>
          <w:b w:val="0"/>
          <w:i w:val="0"/>
          <w:color w:val="000000"/>
          <w:u w:val="none"/>
        </w:rPr>
        <w:t>. https://docs.openzeppelin.com/contracts/5.x/api/token/ERC20</w:t>
      </w:r>
    </w:p>
    <w:p>
      <w:pPr>
        <w:pStyle w:val="Bibliography"/>
        <w:ind w:left="720" w:hanging="720"/>
      </w:pPr>
      <w:r>
        <w:rPr>
          <w:b w:val="0"/>
          <w:i w:val="0"/>
          <w:color w:val="000000"/>
          <w:u w:val="none"/>
        </w:rPr>
        <w:t xml:space="preserve">SolarPunk project artifacts. (2026). </w:t>
      </w:r>
      <w:r>
        <w:rPr>
          <w:rFonts w:ascii="Courier New" w:hAnsi="Courier New"/>
          <w:b w:val="0"/>
          <w:i w:val="0"/>
          <w:color w:val="000000"/>
          <w:sz w:val="21"/>
          <w:u w:val="none"/>
        </w:rPr>
        <w:t>SPK_ATTESTED_MINT_PROOF.md</w:t>
      </w:r>
      <w:r>
        <w:rPr>
          <w:b w:val="0"/>
          <w:i w:val="0"/>
          <w:color w:val="000000"/>
          <w:u w:val="none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1"/>
          <w:u w:val="none"/>
        </w:rPr>
        <w:t>CURRENCY_SYSTEM_LAB.md</w:t>
      </w:r>
      <w:r>
        <w:rPr>
          <w:b w:val="0"/>
          <w:i w:val="0"/>
          <w:color w:val="000000"/>
          <w:u w:val="none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1"/>
          <w:u w:val="none"/>
        </w:rPr>
        <w:t>CURRENCY_FRAMEWORK_READINESS.md</w:t>
      </w:r>
      <w:r>
        <w:rPr>
          <w:b w:val="0"/>
          <w:i w:val="0"/>
          <w:color w:val="000000"/>
          <w:u w:val="none"/>
        </w:rPr>
        <w:t xml:space="preserve">, and </w:t>
      </w:r>
      <w:r>
        <w:rPr>
          <w:rFonts w:ascii="Courier New" w:hAnsi="Courier New"/>
          <w:b w:val="0"/>
          <w:i w:val="0"/>
          <w:color w:val="000000"/>
          <w:sz w:val="21"/>
          <w:u w:val="none"/>
        </w:rPr>
        <w:t>PRODUCT_LAUNCH_GATE.md</w:t>
      </w:r>
      <w:r>
        <w:rPr>
          <w:b w:val="0"/>
          <w:i w:val="0"/>
          <w:color w:val="000000"/>
          <w:u w:val="none"/>
        </w:rPr>
        <w:t>.</w:t>
      </w:r>
    </w:p>
    <w:sectPr w:rsidR="00FC693F" w:rsidRPr="0006063C" w:rsidSect="00034616">
      <w:footerReference w:type="first" r:id="rId13"/>
      <w:footerReference w:type="defaul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color w:val="000000"/>
        <w:sz w:val="24"/>
      </w:rPr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ind w:firstLine="7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48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48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480" w:lineRule="auto"/>
      <w:ind w:firstLine="0"/>
      <w:outlineLvl w:val="3"/>
    </w:pPr>
    <w:rPr>
      <w:rFonts w:asciiTheme="majorHAnsi" w:eastAsiaTheme="majorEastAsia" w:hAnsiTheme="majorHAnsi" w:cstheme="majorBidi" w:ascii="Times New Roman" w:hAnsi="Times New Roman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480" w:lineRule="auto" w:after="0"/>
      <w:ind w:left="720" w:firstLine="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480" w:lineRule="auto" w:after="0"/>
      <w:ind w:left="720" w:firstLine="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line="240" w:lineRule="auto" w:before="120" w:after="120"/>
      <w:ind w:firstLine="0" w:left="720" w:right="360"/>
    </w:pPr>
    <w:rPr>
      <w:rFonts w:ascii="Courier New" w:hAnsi="Courier New"/>
      <w:sz w:val="21"/>
    </w:rPr>
  </w:style>
  <w:style w:type="paragraph" w:customStyle="1" w:styleId="QuoteBlock">
    <w:name w:val="Quote Block"/>
    <w:basedOn w:val="Normal"/>
    <w:pPr>
      <w:spacing w:line="480" w:lineRule="auto"/>
      <w:ind w:firstLine="0" w:left="720" w:right="360"/>
    </w:pPr>
    <w:rPr>
      <w:i/>
      <w:color w:val="000000"/>
    </w:rPr>
  </w:style>
  <w:style w:type="paragraph" w:customStyle="1" w:styleId="Equation">
    <w:name w:val="Equation"/>
    <w:basedOn w:val="Normal"/>
    <w:pPr>
      <w:spacing w:line="240" w:lineRule="auto" w:before="120" w:after="120"/>
      <w:ind w:firstLine="0"/>
      <w:jc w:val="center"/>
    </w:pPr>
    <w:rPr>
      <w:rFonts w:ascii="Times New Roman" w:hAnsi="Times New Roman"/>
      <w:i/>
      <w:color w:val="000000"/>
      <w:sz w:val="24"/>
    </w:rPr>
  </w:style>
  <w:style w:type="paragraph" w:customStyle="1" w:styleId="EquationLabel">
    <w:name w:val="Equation Label"/>
    <w:basedOn w:val="Normal"/>
    <w:pPr>
      <w:spacing w:before="120" w:after="0"/>
      <w:ind w:firstLine="0"/>
      <w:jc w:val="center"/>
    </w:pPr>
    <w:rPr>
      <w:rFonts w:ascii="Times New Roman" w:hAnsi="Times New Roman"/>
      <w:b/>
      <w:color w:val="000000"/>
      <w:sz w:val="24"/>
    </w:rPr>
  </w:style>
  <w:style w:type="paragraph" w:customStyle="1" w:styleId="Bibliography">
    <w:name w:val="Bibliography"/>
    <w:basedOn w:val="Normal"/>
    <w:pPr>
      <w:spacing w:line="480" w:lineRule="auto" w:after="0"/>
      <w:ind w:left="720" w:hanging="720"/>
    </w:pPr>
    <w:rPr>
      <w:rFonts w:ascii="Times New Roman" w:hAnsi="Times New Roman"/>
      <w:sz w:val="24"/>
    </w:rPr>
  </w:style>
  <w:style w:type="paragraph" w:customStyle="1" w:styleId="TableNote">
    <w:name w:val="Table Note"/>
    <w:basedOn w:val="Normal"/>
    <w:pPr>
      <w:spacing w:before="60" w:after="180" w:line="240" w:lineRule="auto"/>
      <w:ind w:firstLine="0"/>
    </w:pPr>
    <w:rPr>
      <w:rFonts w:ascii="Times New Roman" w:hAnsi="Times New Roman"/>
      <w:i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