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Chapter 5 - Constraints Framework and Proof-of-Concept Implementation</w:t>
      </w:r>
    </w:p>
    <w:p>
      <w:pPr>
        <w:pStyle w:val="Heading2"/>
      </w:pPr>
      <w:r>
        <w:rPr>
          <w:color w:val="000000"/>
        </w:rPr>
        <w:t>At a glance</w:t>
      </w:r>
    </w:p>
    <w:tbl>
      <w:tblPr>
        <w:tblStyle w:val="TableGrid"/>
        <w:tblW w:type="auto" w:w="0"/>
        <w:tblLayout w:type="autofit"/>
        <w:tblLook w:firstColumn="1" w:firstRow="1" w:lastColumn="0" w:lastRow="0" w:noHBand="0" w:noVBand="1" w:val="04A0"/>
      </w:tblPr>
      <w:tblGrid>
        <w:gridCol w:w="4680"/>
        <w:gridCol w:w="4680"/>
      </w:tblGrid>
      <w:tr>
        <w:tc>
          <w:tcPr>
            <w:tcW w:type="dxa" w:w="4680"/>
          </w:tcPr>
          <w:p>
            <w:pPr>
              <w:spacing w:line="240" w:lineRule="auto" w:before="0" w:after="0"/>
              <w:ind w:firstLine="0"/>
              <w:jc w:val="center"/>
            </w:pPr>
            <w:r>
              <w:rPr>
                <w:sz w:val="20"/>
              </w:rPr>
            </w:r>
            <w:r>
              <w:rPr>
                <w:b/>
                <w:i w:val="0"/>
                <w:sz w:val="20"/>
                <w:u w:val="none"/>
              </w:rPr>
            </w:r>
          </w:p>
        </w:tc>
        <w:tc>
          <w:tcPr>
            <w:tcW w:type="dxa" w:w="4680"/>
          </w:tcPr>
          <w:p>
            <w:pPr>
              <w:spacing w:line="240" w:lineRule="auto" w:before="0" w:after="0"/>
              <w:ind w:firstLine="0"/>
              <w:jc w:val="center"/>
            </w:pPr>
            <w:r>
              <w:rPr>
                <w:sz w:val="20"/>
              </w:rPr>
            </w:r>
            <w:r>
              <w:rPr>
                <w:b/>
                <w:i w:val="0"/>
                <w:sz w:val="20"/>
                <w:u w:val="none"/>
              </w:rPr>
            </w:r>
          </w:p>
        </w:tc>
      </w:tr>
      <w:tr>
        <w:tc>
          <w:tcPr>
            <w:tcW w:type="dxa" w:w="4680"/>
          </w:tcPr>
          <w:p>
            <w:pPr>
              <w:spacing w:line="240" w:lineRule="auto" w:before="0" w:after="0"/>
              <w:ind w:firstLine="0"/>
              <w:jc w:val="center"/>
            </w:pPr>
            <w:r>
              <w:rPr>
                <w:sz w:val="20"/>
              </w:rPr>
            </w:r>
            <w:r>
              <w:rPr>
                <w:b/>
                <w:i w:val="0"/>
                <w:sz w:val="20"/>
                <w:u w:val="none"/>
              </w:rPr>
              <w:t>Question</w:t>
            </w:r>
          </w:p>
        </w:tc>
        <w:tc>
          <w:tcPr>
            <w:tcW w:type="dxa" w:w="4680"/>
          </w:tcPr>
          <w:p>
            <w:pPr>
              <w:spacing w:line="240" w:lineRule="auto" w:before="0" w:after="0"/>
              <w:ind w:firstLine="0"/>
            </w:pPr>
            <w:r>
              <w:rPr>
                <w:sz w:val="20"/>
              </w:rPr>
            </w:r>
            <w:r>
              <w:rPr>
                <w:b w:val="0"/>
                <w:i w:val="0"/>
                <w:sz w:val="20"/>
                <w:u w:val="none"/>
              </w:rPr>
              <w:t>What rules must hold in code for energy-linked finance to be credible?</w:t>
            </w:r>
          </w:p>
        </w:tc>
      </w:tr>
      <w:tr>
        <w:tc>
          <w:tcPr>
            <w:tcW w:type="dxa" w:w="4680"/>
          </w:tcPr>
          <w:p>
            <w:pPr>
              <w:spacing w:line="240" w:lineRule="auto" w:before="0" w:after="0"/>
              <w:ind w:firstLine="0"/>
              <w:jc w:val="center"/>
            </w:pPr>
            <w:r>
              <w:rPr>
                <w:sz w:val="20"/>
              </w:rPr>
            </w:r>
            <w:r>
              <w:rPr>
                <w:b/>
                <w:i w:val="0"/>
                <w:sz w:val="20"/>
                <w:u w:val="none"/>
              </w:rPr>
              <w:t>Framework</w:t>
            </w:r>
          </w:p>
        </w:tc>
        <w:tc>
          <w:tcPr>
            <w:tcW w:type="dxa" w:w="4680"/>
          </w:tcPr>
          <w:p>
            <w:pPr>
              <w:spacing w:line="240" w:lineRule="auto" w:before="0" w:after="0"/>
              <w:ind w:firstLine="0"/>
            </w:pPr>
            <w:r>
              <w:rPr>
                <w:sz w:val="20"/>
              </w:rPr>
            </w:r>
            <w:r>
              <w:rPr>
                <w:b w:val="0"/>
                <w:i w:val="0"/>
                <w:sz w:val="20"/>
                <w:u w:val="none"/>
              </w:rPr>
              <w:t>Five constraints: data → issuance → pricing → settlement → governance</w:t>
            </w:r>
          </w:p>
        </w:tc>
      </w:tr>
      <w:tr>
        <w:tc>
          <w:tcPr>
            <w:tcW w:type="dxa" w:w="4680"/>
          </w:tcPr>
          <w:p>
            <w:pPr>
              <w:spacing w:line="240" w:lineRule="auto" w:before="0" w:after="0"/>
              <w:ind w:firstLine="0"/>
              <w:jc w:val="center"/>
            </w:pPr>
            <w:r>
              <w:rPr>
                <w:sz w:val="20"/>
              </w:rPr>
            </w:r>
            <w:r>
              <w:rPr>
                <w:b/>
                <w:i w:val="0"/>
                <w:sz w:val="20"/>
                <w:u w:val="none"/>
              </w:rPr>
              <w:t>Evidence</w:t>
            </w:r>
          </w:p>
        </w:tc>
        <w:tc>
          <w:tcPr>
            <w:tcW w:type="dxa" w:w="4680"/>
          </w:tcPr>
          <w:p>
            <w:pPr>
              <w:spacing w:line="240" w:lineRule="auto" w:before="0" w:after="0"/>
              <w:ind w:firstLine="0"/>
            </w:pPr>
            <w:r>
              <w:rPr>
                <w:sz w:val="20"/>
              </w:rPr>
            </w:r>
            <w:r>
              <w:rPr>
                <w:b w:val="0"/>
                <w:i w:val="0"/>
                <w:sz w:val="20"/>
                <w:u w:val="none"/>
              </w:rPr>
              <w:t>Sepolia SPK v1: ~5,499 SPK, 21 payments, peg off, circulation-first</w:t>
            </w:r>
          </w:p>
        </w:tc>
      </w:tr>
      <w:tr>
        <w:tc>
          <w:tcPr>
            <w:tcW w:type="dxa" w:w="4680"/>
          </w:tcPr>
          <w:p>
            <w:pPr>
              <w:spacing w:line="240" w:lineRule="auto" w:before="0" w:after="0"/>
              <w:ind w:firstLine="0"/>
              <w:jc w:val="center"/>
            </w:pPr>
            <w:r>
              <w:rPr>
                <w:sz w:val="20"/>
              </w:rPr>
            </w:r>
            <w:r>
              <w:rPr>
                <w:b/>
                <w:i w:val="0"/>
                <w:sz w:val="20"/>
                <w:u w:val="none"/>
              </w:rPr>
              <w:t>Staging</w:t>
            </w:r>
          </w:p>
        </w:tc>
        <w:tc>
          <w:tcPr>
            <w:tcW w:type="dxa" w:w="4680"/>
          </w:tcPr>
          <w:p>
            <w:pPr>
              <w:spacing w:line="240" w:lineRule="auto" w:before="0" w:after="0"/>
              <w:ind w:firstLine="0"/>
            </w:pPr>
            <w:r>
              <w:rPr>
                <w:sz w:val="20"/>
              </w:rPr>
            </w:r>
            <w:r>
              <w:rPr>
                <w:b w:val="0"/>
                <w:i w:val="0"/>
                <w:sz w:val="20"/>
                <w:u w:val="none"/>
              </w:rPr>
              <w:t>Public lab now; closed pilot and mainnet product deliberately blocked</w:t>
            </w:r>
          </w:p>
        </w:tc>
      </w:tr>
      <w:tr>
        <w:tc>
          <w:tcPr>
            <w:tcW w:type="dxa" w:w="4680"/>
          </w:tcPr>
          <w:p>
            <w:pPr>
              <w:spacing w:line="240" w:lineRule="auto" w:before="0" w:after="0"/>
              <w:ind w:firstLine="0"/>
              <w:jc w:val="center"/>
            </w:pPr>
            <w:r>
              <w:rPr>
                <w:sz w:val="20"/>
              </w:rPr>
            </w:r>
            <w:r>
              <w:rPr>
                <w:b/>
                <w:i w:val="0"/>
                <w:sz w:val="20"/>
                <w:u w:val="none"/>
              </w:rPr>
              <w:t>Takeaway</w:t>
            </w:r>
          </w:p>
        </w:tc>
        <w:tc>
          <w:tcPr>
            <w:tcW w:type="dxa" w:w="4680"/>
          </w:tcPr>
          <w:p>
            <w:pPr>
              <w:spacing w:line="240" w:lineRule="auto" w:before="0" w:after="0"/>
              <w:ind w:firstLine="0"/>
            </w:pPr>
            <w:r>
              <w:rPr>
                <w:sz w:val="20"/>
              </w:rPr>
            </w:r>
            <w:r>
              <w:rPr>
                <w:b w:val="0"/>
                <w:i w:val="0"/>
                <w:sz w:val="20"/>
                <w:u w:val="none"/>
              </w:rPr>
              <w:t>Technically buildable ≠ production-ready; prototype supports feasibility only</w:t>
            </w:r>
          </w:p>
        </w:tc>
      </w:tr>
      <w:tr>
        <w:tc>
          <w:tcPr>
            <w:tcW w:type="dxa" w:w="4680"/>
          </w:tcPr>
          <w:p>
            <w:pPr>
              <w:spacing w:line="240" w:lineRule="auto" w:before="0" w:after="0"/>
              <w:ind w:firstLine="0"/>
              <w:jc w:val="center"/>
            </w:pPr>
            <w:r>
              <w:rPr>
                <w:sz w:val="20"/>
              </w:rPr>
            </w:r>
            <w:r>
              <w:rPr>
                <w:b/>
                <w:i w:val="0"/>
                <w:sz w:val="20"/>
                <w:u w:val="none"/>
              </w:rPr>
              <w:t>Next chapter</w:t>
            </w:r>
          </w:p>
        </w:tc>
        <w:tc>
          <w:tcPr>
            <w:tcW w:type="dxa" w:w="4680"/>
          </w:tcPr>
          <w:p>
            <w:pPr>
              <w:spacing w:line="240" w:lineRule="auto" w:before="0" w:after="0"/>
              <w:ind w:firstLine="0"/>
            </w:pPr>
            <w:r>
              <w:rPr>
                <w:sz w:val="20"/>
              </w:rPr>
            </w:r>
            <w:r>
              <w:rPr>
                <w:b w:val="0"/>
                <w:i w:val="0"/>
                <w:sz w:val="20"/>
                <w:u w:val="none"/>
              </w:rPr>
              <w:t>Ch 6 — answer, limits, and what would falsify the thesis</w:t>
            </w:r>
          </w:p>
        </w:tc>
      </w:tr>
    </w:tbl>
    <w:p>
      <w:pPr>
        <w:pStyle w:val="Heading2"/>
      </w:pPr>
      <w:r>
        <w:rPr>
          <w:color w:val="000000"/>
        </w:rPr>
        <w:t>5.1 Purpose of the Chapter</w:t>
      </w:r>
    </w:p>
    <w:p>
      <w:r>
        <w:rPr>
          <w:b w:val="0"/>
          <w:i w:val="0"/>
          <w:color w:val="000000"/>
          <w:u w:val="none"/>
        </w:rPr>
        <w:t>Chapters 2 through 4 established the thesis in three steps. Chapter 2 reviewed the literatures and identified the five-condition gap. Chapter 3 showed that energy cost can matter in an existing digital market, but that the relationship is conditional. Chapter 4 showed that renewable-energy-linked risk can be priced under explicit assumptions.</w:t>
      </w:r>
    </w:p>
    <w:p>
      <w:r>
        <w:rPr>
          <w:b w:val="0"/>
          <w:i w:val="0"/>
          <w:color w:val="000000"/>
          <w:u w:val="none"/>
        </w:rPr>
        <w:t>This chapter asks what rules are needed for an energy-linked digital instrument to be credible in implementation.</w:t>
      </w:r>
    </w:p>
    <w:p>
      <w:r>
        <w:rPr>
          <w:b w:val="0"/>
          <w:i w:val="0"/>
          <w:color w:val="000000"/>
          <w:u w:val="none"/>
        </w:rPr>
        <w:t>The key point is that a working contract is not enough. A smart contract can execute rules, but the rules must be economically meaningful. If the data is unreliable, issuance is discretionary, pricing ignores risk, or settlement is unprotected, then the instrument is not credible simply because it uses code.</w:t>
      </w:r>
    </w:p>
    <w:p>
      <w:r>
        <w:rPr>
          <w:b w:val="0"/>
          <w:i w:val="0"/>
          <w:color w:val="000000"/>
          <w:u w:val="none"/>
        </w:rPr>
        <w:t>The chapter therefore presents a constraints framework and a Sepolia proof-of-concept (SPK v1). The implementation is feasibility evidence: it shows that the core rules can be expressed in software and tested. It is not presented as a production-ready financial system.</w:t>
      </w:r>
    </w:p>
    <w:p>
      <w:pPr>
        <w:pStyle w:val="Heading2"/>
      </w:pPr>
      <w:r>
        <w:rPr>
          <w:color w:val="000000"/>
        </w:rPr>
        <w:t>5.2 The Constraints Framework</w:t>
      </w:r>
    </w:p>
    <w:p>
      <w:r>
        <w:rPr>
          <w:b w:val="0"/>
          <w:i w:val="0"/>
          <w:color w:val="000000"/>
          <w:u w:val="none"/>
        </w:rPr>
        <w:t>The framework has five core constraints.</w:t>
      </w:r>
    </w:p>
    <w:p>
      <w:r>
        <w:rPr>
          <w:b w:val="0"/>
          <w:i w:val="0"/>
          <w:color w:val="000000"/>
          <w:u w:val="none"/>
        </w:rPr>
        <w:t>First, energy data must be reliable enough for the claim being made. Modelled solar potential is useful for forecasting and benchmarking, but actual site-level settlement requires stronger evidence such as meter data, inverter logs, grid records, or audited operator files.</w:t>
      </w:r>
    </w:p>
    <w:p>
      <w:r>
        <w:rPr>
          <w:b w:val="0"/>
          <w:i w:val="0"/>
          <w:color w:val="000000"/>
          <w:u w:val="none"/>
        </w:rPr>
        <w:t>Second, issuance must be rule-bound. If a token or financial claim can be created without verified energy evidence, then energy is not constraining the system.</w:t>
      </w:r>
    </w:p>
    <w:p>
      <w:r>
        <w:rPr>
          <w:b w:val="0"/>
          <w:i w:val="0"/>
          <w:color w:val="000000"/>
          <w:u w:val="none"/>
        </w:rPr>
        <w:t>Third, risk must be priced explicitly. Energy output and energy value are uncertain. A credible system must account for volatility, shortfall risk, oracle error, and basis risk (Chapter 4, Tables 4.3–4.4 and 4.6).</w:t>
      </w:r>
    </w:p>
    <w:p>
      <w:r>
        <w:rPr>
          <w:b w:val="0"/>
          <w:i w:val="0"/>
          <w:color w:val="000000"/>
          <w:u w:val="none"/>
        </w:rPr>
        <w:t>Fourth, settlement must be protected. If users can redeem or settle claims, the system must define what is owed, who owes it, what happens during shortfall, and what collateral or reserve rules apply.</w:t>
      </w:r>
    </w:p>
    <w:p>
      <w:r>
        <w:rPr>
          <w:b w:val="0"/>
          <w:i w:val="0"/>
          <w:color w:val="000000"/>
          <w:u w:val="none"/>
        </w:rPr>
        <w:t>Fifth, governance must be limited. If administrators can change rules instantly or override constraints, then the system reintroduces discretionary control.</w:t>
      </w:r>
    </w:p>
    <w:p>
      <w:r>
        <w:rPr>
          <w:b w:val="0"/>
          <w:i w:val="0"/>
          <w:color w:val="000000"/>
          <w:u w:val="none"/>
        </w:rPr>
        <w:t>These constraints are not independent decorations. They work together. Reliable data without settlement protection creates weak claims. Pricing without verifiable data prices the wrong object. Rule-bound issuance without governance limits can be changed after users rely on the rules.</w:t>
      </w:r>
    </w:p>
    <w:p>
      <w:r>
        <w:rPr>
          <w:b w:val="0"/>
          <w:i w:val="0"/>
          <w:color w:val="000000"/>
          <w:u w:val="none"/>
        </w:rPr>
        <w:t>Table 5.1 summarises the five-constraint framework used in this thesis.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pPr>
              <w:spacing w:line="240" w:lineRule="auto" w:before="0" w:after="0"/>
              <w:ind w:firstLine="0"/>
              <w:jc w:val="center"/>
            </w:pPr>
            <w:r>
              <w:rPr>
                <w:sz w:val="20"/>
              </w:rPr>
            </w:r>
            <w:r>
              <w:rPr>
                <w:b/>
                <w:i w:val="0"/>
                <w:sz w:val="20"/>
                <w:u w:val="none"/>
              </w:rPr>
              <w:t>Constraint</w:t>
            </w:r>
          </w:p>
        </w:tc>
        <w:tc>
          <w:tcPr>
            <w:tcW w:type="dxa" w:w="3120"/>
          </w:tcPr>
          <w:p>
            <w:pPr>
              <w:spacing w:line="240" w:lineRule="auto" w:before="0" w:after="0"/>
              <w:ind w:firstLine="0"/>
              <w:jc w:val="center"/>
            </w:pPr>
            <w:r>
              <w:rPr>
                <w:sz w:val="20"/>
              </w:rPr>
            </w:r>
            <w:r>
              <w:rPr>
                <w:b/>
                <w:i w:val="0"/>
                <w:sz w:val="20"/>
                <w:u w:val="none"/>
              </w:rPr>
              <w:t>Purpose</w:t>
            </w:r>
          </w:p>
        </w:tc>
        <w:tc>
          <w:tcPr>
            <w:tcW w:type="dxa" w:w="3120"/>
          </w:tcPr>
          <w:p>
            <w:pPr>
              <w:spacing w:line="240" w:lineRule="auto" w:before="0" w:after="0"/>
              <w:ind w:firstLine="0"/>
              <w:jc w:val="center"/>
            </w:pPr>
            <w:r>
              <w:rPr>
                <w:sz w:val="20"/>
              </w:rPr>
            </w:r>
            <w:r>
              <w:rPr>
                <w:b/>
                <w:i w:val="0"/>
                <w:sz w:val="20"/>
                <w:u w:val="none"/>
              </w:rPr>
              <w:t>Failure If Missing</w:t>
            </w:r>
          </w:p>
        </w:tc>
      </w:tr>
      <w:tr>
        <w:tc>
          <w:tcPr>
            <w:tcW w:type="dxa" w:w="3120"/>
          </w:tcPr>
          <w:p>
            <w:pPr>
              <w:spacing w:line="240" w:lineRule="auto" w:before="0" w:after="0"/>
              <w:ind w:firstLine="0"/>
              <w:jc w:val="center"/>
            </w:pPr>
            <w:r>
              <w:rPr>
                <w:sz w:val="20"/>
              </w:rPr>
            </w:r>
            <w:r>
              <w:rPr>
                <w:b w:val="0"/>
                <w:i w:val="0"/>
                <w:sz w:val="20"/>
                <w:u w:val="none"/>
              </w:rPr>
              <w:t>Reliable energy data</w:t>
            </w:r>
          </w:p>
        </w:tc>
        <w:tc>
          <w:tcPr>
            <w:tcW w:type="dxa" w:w="3120"/>
          </w:tcPr>
          <w:p>
            <w:pPr>
              <w:spacing w:line="240" w:lineRule="auto" w:before="0" w:after="0"/>
              <w:ind w:firstLine="0"/>
            </w:pPr>
            <w:r>
              <w:rPr>
                <w:sz w:val="20"/>
              </w:rPr>
            </w:r>
            <w:r>
              <w:rPr>
                <w:b w:val="0"/>
                <w:i w:val="0"/>
                <w:sz w:val="20"/>
                <w:u w:val="none"/>
              </w:rPr>
              <w:t>Defines what energy evidence the system accepts</w:t>
            </w:r>
          </w:p>
        </w:tc>
        <w:tc>
          <w:tcPr>
            <w:tcW w:type="dxa" w:w="3120"/>
          </w:tcPr>
          <w:p>
            <w:pPr>
              <w:spacing w:line="240" w:lineRule="auto" w:before="0" w:after="0"/>
              <w:ind w:firstLine="0"/>
            </w:pPr>
            <w:r>
              <w:rPr>
                <w:sz w:val="20"/>
              </w:rPr>
            </w:r>
            <w:r>
              <w:rPr>
                <w:b w:val="0"/>
                <w:i w:val="0"/>
                <w:sz w:val="20"/>
                <w:u w:val="none"/>
              </w:rPr>
              <w:t>The system may price or mint against false or weak claims</w:t>
            </w:r>
          </w:p>
        </w:tc>
      </w:tr>
      <w:tr>
        <w:tc>
          <w:tcPr>
            <w:tcW w:type="dxa" w:w="3120"/>
          </w:tcPr>
          <w:p>
            <w:pPr>
              <w:spacing w:line="240" w:lineRule="auto" w:before="0" w:after="0"/>
              <w:ind w:firstLine="0"/>
              <w:jc w:val="center"/>
            </w:pPr>
            <w:r>
              <w:rPr>
                <w:sz w:val="20"/>
              </w:rPr>
            </w:r>
            <w:r>
              <w:rPr>
                <w:b w:val="0"/>
                <w:i w:val="0"/>
                <w:sz w:val="20"/>
                <w:u w:val="none"/>
              </w:rPr>
              <w:t>Rule-bound issuance</w:t>
            </w:r>
          </w:p>
        </w:tc>
        <w:tc>
          <w:tcPr>
            <w:tcW w:type="dxa" w:w="3120"/>
          </w:tcPr>
          <w:p>
            <w:pPr>
              <w:spacing w:line="240" w:lineRule="auto" w:before="0" w:after="0"/>
              <w:ind w:firstLine="0"/>
            </w:pPr>
            <w:r>
              <w:rPr>
                <w:sz w:val="20"/>
              </w:rPr>
            </w:r>
            <w:r>
              <w:rPr>
                <w:b w:val="0"/>
                <w:i w:val="0"/>
                <w:sz w:val="20"/>
                <w:u w:val="none"/>
              </w:rPr>
              <w:t>Limits token or contract creation to accepted evidence</w:t>
            </w:r>
          </w:p>
        </w:tc>
        <w:tc>
          <w:tcPr>
            <w:tcW w:type="dxa" w:w="3120"/>
          </w:tcPr>
          <w:p>
            <w:pPr>
              <w:spacing w:line="240" w:lineRule="auto" w:before="0" w:after="0"/>
              <w:ind w:firstLine="0"/>
            </w:pPr>
            <w:r>
              <w:rPr>
                <w:sz w:val="20"/>
              </w:rPr>
            </w:r>
            <w:r>
              <w:rPr>
                <w:b w:val="0"/>
                <w:i w:val="0"/>
                <w:sz w:val="20"/>
                <w:u w:val="none"/>
              </w:rPr>
              <w:t>The issuer regains discretionary creation power</w:t>
            </w:r>
          </w:p>
        </w:tc>
      </w:tr>
      <w:tr>
        <w:tc>
          <w:tcPr>
            <w:tcW w:type="dxa" w:w="3120"/>
          </w:tcPr>
          <w:p>
            <w:pPr>
              <w:spacing w:line="240" w:lineRule="auto" w:before="0" w:after="0"/>
              <w:ind w:firstLine="0"/>
              <w:jc w:val="center"/>
            </w:pPr>
            <w:r>
              <w:rPr>
                <w:sz w:val="20"/>
              </w:rPr>
            </w:r>
            <w:r>
              <w:rPr>
                <w:b w:val="0"/>
                <w:i w:val="0"/>
                <w:sz w:val="20"/>
                <w:u w:val="none"/>
              </w:rPr>
              <w:t>Explicit pricing and risk controls</w:t>
            </w:r>
          </w:p>
        </w:tc>
        <w:tc>
          <w:tcPr>
            <w:tcW w:type="dxa" w:w="3120"/>
          </w:tcPr>
          <w:p>
            <w:pPr>
              <w:spacing w:line="240" w:lineRule="auto" w:before="0" w:after="0"/>
              <w:ind w:firstLine="0"/>
            </w:pPr>
            <w:r>
              <w:rPr>
                <w:sz w:val="20"/>
              </w:rPr>
            </w:r>
            <w:r>
              <w:rPr>
                <w:b w:val="0"/>
                <w:i w:val="0"/>
                <w:sz w:val="20"/>
                <w:u w:val="none"/>
              </w:rPr>
              <w:t>Accounts for volatility, basis risk, oracle error, and shortfall risk</w:t>
            </w:r>
          </w:p>
        </w:tc>
        <w:tc>
          <w:tcPr>
            <w:tcW w:type="dxa" w:w="3120"/>
          </w:tcPr>
          <w:p>
            <w:pPr>
              <w:spacing w:line="240" w:lineRule="auto" w:before="0" w:after="0"/>
              <w:ind w:firstLine="0"/>
            </w:pPr>
            <w:r>
              <w:rPr>
                <w:sz w:val="20"/>
              </w:rPr>
            </w:r>
            <w:r>
              <w:rPr>
                <w:b w:val="0"/>
                <w:i w:val="0"/>
                <w:sz w:val="20"/>
                <w:u w:val="none"/>
              </w:rPr>
              <w:t>Claims become underpriced or under-collateralised</w:t>
            </w:r>
          </w:p>
        </w:tc>
      </w:tr>
      <w:tr>
        <w:tc>
          <w:tcPr>
            <w:tcW w:type="dxa" w:w="3120"/>
          </w:tcPr>
          <w:p>
            <w:pPr>
              <w:spacing w:line="240" w:lineRule="auto" w:before="0" w:after="0"/>
              <w:ind w:firstLine="0"/>
              <w:jc w:val="center"/>
            </w:pPr>
            <w:r>
              <w:rPr>
                <w:sz w:val="20"/>
              </w:rPr>
            </w:r>
            <w:r>
              <w:rPr>
                <w:b w:val="0"/>
                <w:i w:val="0"/>
                <w:sz w:val="20"/>
                <w:u w:val="none"/>
              </w:rPr>
              <w:t>Protected settlement and redemption accounting</w:t>
            </w:r>
          </w:p>
        </w:tc>
        <w:tc>
          <w:tcPr>
            <w:tcW w:type="dxa" w:w="3120"/>
          </w:tcPr>
          <w:p>
            <w:pPr>
              <w:spacing w:line="240" w:lineRule="auto" w:before="0" w:after="0"/>
              <w:ind w:firstLine="0"/>
            </w:pPr>
            <w:r>
              <w:rPr>
                <w:sz w:val="20"/>
              </w:rPr>
            </w:r>
            <w:r>
              <w:rPr>
                <w:b w:val="0"/>
                <w:i w:val="0"/>
                <w:sz w:val="20"/>
                <w:u w:val="none"/>
              </w:rPr>
              <w:t>Defines what is owed and what happens during fulfillment, shortfall, or dispute</w:t>
            </w:r>
          </w:p>
        </w:tc>
        <w:tc>
          <w:tcPr>
            <w:tcW w:type="dxa" w:w="3120"/>
          </w:tcPr>
          <w:p>
            <w:pPr>
              <w:spacing w:line="240" w:lineRule="auto" w:before="0" w:after="0"/>
              <w:ind w:firstLine="0"/>
            </w:pPr>
            <w:r>
              <w:rPr>
                <w:sz w:val="20"/>
              </w:rPr>
            </w:r>
            <w:r>
              <w:rPr>
                <w:b w:val="0"/>
                <w:i w:val="0"/>
                <w:sz w:val="20"/>
                <w:u w:val="none"/>
              </w:rPr>
              <w:t>Users hold claims without credible resolution rules</w:t>
            </w:r>
          </w:p>
        </w:tc>
      </w:tr>
      <w:tr>
        <w:tc>
          <w:tcPr>
            <w:tcW w:type="dxa" w:w="3120"/>
          </w:tcPr>
          <w:p>
            <w:pPr>
              <w:spacing w:line="240" w:lineRule="auto" w:before="0" w:after="0"/>
              <w:ind w:firstLine="0"/>
              <w:jc w:val="center"/>
            </w:pPr>
            <w:r>
              <w:rPr>
                <w:sz w:val="20"/>
              </w:rPr>
            </w:r>
            <w:r>
              <w:rPr>
                <w:b w:val="0"/>
                <w:i w:val="0"/>
                <w:sz w:val="20"/>
                <w:u w:val="none"/>
              </w:rPr>
              <w:t>Limited governance</w:t>
            </w:r>
          </w:p>
        </w:tc>
        <w:tc>
          <w:tcPr>
            <w:tcW w:type="dxa" w:w="3120"/>
          </w:tcPr>
          <w:p>
            <w:pPr>
              <w:spacing w:line="240" w:lineRule="auto" w:before="0" w:after="0"/>
              <w:ind w:firstLine="0"/>
            </w:pPr>
            <w:r>
              <w:rPr>
                <w:sz w:val="20"/>
              </w:rPr>
            </w:r>
            <w:r>
              <w:rPr>
                <w:b w:val="0"/>
                <w:i w:val="0"/>
                <w:sz w:val="20"/>
                <w:u w:val="none"/>
              </w:rPr>
              <w:t>Restricts discretionary parameter changes and role abuse</w:t>
            </w:r>
          </w:p>
        </w:tc>
        <w:tc>
          <w:tcPr>
            <w:tcW w:type="dxa" w:w="3120"/>
          </w:tcPr>
          <w:p>
            <w:pPr>
              <w:spacing w:line="240" w:lineRule="auto" w:before="0" w:after="0"/>
              <w:ind w:firstLine="0"/>
            </w:pPr>
            <w:r>
              <w:rPr>
                <w:sz w:val="20"/>
              </w:rPr>
            </w:r>
            <w:r>
              <w:rPr>
                <w:b w:val="0"/>
                <w:i w:val="0"/>
                <w:sz w:val="20"/>
                <w:u w:val="none"/>
              </w:rPr>
              <w:t>The system can override its own constraints</w:t>
            </w:r>
          </w:p>
        </w:tc>
      </w:tr>
    </w:tbl>
    <w:p>
      <w:pPr>
        <w:pStyle w:val="Heading2"/>
      </w:pPr>
      <w:r>
        <w:rPr>
          <w:color w:val="000000"/>
        </w:rPr>
        <w:t>5.3 Constraint 1: Reliable Energy Data</w:t>
      </w:r>
    </w:p>
    <w:p>
      <w:r>
        <w:rPr>
          <w:b w:val="0"/>
          <w:i w:val="0"/>
          <w:color w:val="000000"/>
          <w:u w:val="none"/>
        </w:rPr>
        <w:t>Energy-linked design fails when it confuses resource potential, modelled output, actual generation, surplus export, and tariff value. The proof-of-concept therefore separates modelling data (NASA POWER, PVWatts—for baselines and anomaly checks) from claim data (meter or inverter readings for minting).</w:t>
      </w:r>
    </w:p>
    <w:p>
      <w:r>
        <w:rPr>
          <w:b w:val="0"/>
          <w:i w:val="0"/>
          <w:color w:val="000000"/>
          <w:u w:val="none"/>
        </w:rPr>
        <w:t>The attested mint path follows five steps. First, meter-style readings are submitted. Second, readings are verified and accepted or rejected. Third, accepted readings form a deterministic source hash. Fourth, an attestation signs surplus and metadata. Fifth, the contract mints only after attestation checks pass.</w:t>
      </w:r>
    </w:p>
    <w:p>
      <w:pPr>
        <w:keepNext/>
        <w:spacing w:before="120"/>
        <w:ind w:firstLine="0"/>
        <w:jc w:val="center"/>
      </w:pPr>
      <w:r>
        <w:drawing>
          <wp:inline xmlns:a="http://schemas.openxmlformats.org/drawingml/2006/main" xmlns:pic="http://schemas.openxmlformats.org/drawingml/2006/picture">
            <wp:extent cx="4572000" cy="1383587"/>
            <wp:docPr id="1" name="Picture 1"/>
            <wp:cNvGraphicFramePr>
              <a:graphicFrameLocks noChangeAspect="1"/>
            </wp:cNvGraphicFramePr>
            <a:graphic>
              <a:graphicData uri="http://schemas.openxmlformats.org/drawingml/2006/picture">
                <pic:pic>
                  <pic:nvPicPr>
                    <pic:cNvPr id="0" name="mint_attestation_flow.png"/>
                    <pic:cNvPicPr/>
                  </pic:nvPicPr>
                  <pic:blipFill>
                    <a:blip r:embed="rId9"/>
                    <a:stretch>
                      <a:fillRect/>
                    </a:stretch>
                  </pic:blipFill>
                  <pic:spPr>
                    <a:xfrm>
                      <a:off x="0" y="0"/>
                      <a:ext cx="4572000" cy="1383587"/>
                    </a:xfrm>
                    <a:prstGeom prst="rect"/>
                  </pic:spPr>
                </pic:pic>
              </a:graphicData>
            </a:graphic>
          </wp:inline>
        </w:drawing>
      </w:r>
    </w:p>
    <w:p>
      <w:pPr>
        <w:pStyle w:val="Caption"/>
        <w:ind w:firstLine="0"/>
        <w:jc w:val="center"/>
      </w:pPr>
      <w:r>
        <w:rPr>
          <w:color w:val="000000"/>
        </w:rPr>
        <w:t>Figure 5.1. Data-to-mint pipeline — source and attestation hashes consumed on-chain.</w:t>
      </w:r>
    </w:p>
    <w:p>
      <w:r>
        <w:rPr>
          <w:b w:val="0"/>
          <w:i w:val="0"/>
          <w:color w:val="000000"/>
          <w:u w:val="none"/>
        </w:rPr>
        <w:t>The sample data do not prove revenue-grade meter finality. They do prove that accepted and rejected paths can be separated, bound to minting, and protected against replay.</w:t>
      </w:r>
    </w:p>
    <w:p>
      <w:pPr>
        <w:pStyle w:val="Heading2"/>
      </w:pPr>
      <w:r>
        <w:rPr>
          <w:color w:val="000000"/>
        </w:rPr>
        <w:t>5.4 Constraint 2: Rule-Bound Issuance</w:t>
      </w:r>
    </w:p>
    <w:p>
      <w:r>
        <w:rPr>
          <w:b w:val="0"/>
          <w:i w:val="0"/>
          <w:color w:val="000000"/>
          <w:u w:val="none"/>
        </w:rPr>
        <w:t>Issuance must not depend on an administrator's word alone. In the proof-of-concept, rule-bound issuance means that token creation is tied to a verified surplus claim rather than to discretionary minting authority.</w:t>
      </w:r>
    </w:p>
    <w:p>
      <w:r>
        <w:rPr>
          <w:b w:val="0"/>
          <w:i w:val="0"/>
          <w:color w:val="000000"/>
          <w:u w:val="none"/>
        </w:rPr>
        <w:t>The surplus-attestation path binds the recipient, surplus kWh, measurement and validity windows, source hash, chain ID, and contract address into one auditable bundle. Source and attestation hashes are consumed after use, so the same energy claim cannot mint twice. That design turns issuance from a governance decision into a verifiable event.</w:t>
      </w:r>
    </w:p>
    <w:p>
      <w:r>
        <w:rPr>
          <w:b w:val="0"/>
          <w:i w:val="0"/>
          <w:color w:val="000000"/>
          <w:u w:val="none"/>
        </w:rPr>
        <w:t xml:space="preserve">The public Sepolia record illustrates how this works in practice. In an earlier dollar-translated proof, a signed bundle recorded </w:t>
      </w:r>
      <w:r>
        <w:rPr>
          <w:rFonts w:ascii="Courier New" w:hAnsi="Courier New"/>
          <w:b w:val="0"/>
          <w:i w:val="0"/>
          <w:color w:val="000000"/>
          <w:sz w:val="21"/>
          <w:u w:val="none"/>
        </w:rPr>
        <w:t>2606.7</w:t>
      </w:r>
      <w:r>
        <w:rPr>
          <w:b w:val="0"/>
          <w:i w:val="0"/>
          <w:color w:val="000000"/>
          <w:u w:val="none"/>
        </w:rPr>
        <w:t xml:space="preserve"> kWh of accepted surplus and minted </w:t>
      </w:r>
      <w:r>
        <w:rPr>
          <w:rFonts w:ascii="Courier New" w:hAnsi="Courier New"/>
          <w:b w:val="0"/>
          <w:i w:val="0"/>
          <w:color w:val="000000"/>
          <w:sz w:val="21"/>
          <w:u w:val="none"/>
        </w:rPr>
        <w:t>130.1697</w:t>
      </w:r>
      <w:r>
        <w:rPr>
          <w:b w:val="0"/>
          <w:i w:val="0"/>
          <w:color w:val="000000"/>
          <w:u w:val="none"/>
        </w:rPr>
        <w:t xml:space="preserve"> SPK at a </w:t>
      </w:r>
      <w:r>
        <w:rPr>
          <w:rFonts w:ascii="Courier New" w:hAnsi="Courier New"/>
          <w:b w:val="0"/>
          <w:i w:val="0"/>
          <w:color w:val="000000"/>
          <w:sz w:val="21"/>
          <w:u w:val="none"/>
        </w:rPr>
        <w:t>$0.05/kWh</w:t>
      </w:r>
      <w:r>
        <w:rPr>
          <w:b w:val="0"/>
          <w:i w:val="0"/>
          <w:color w:val="000000"/>
          <w:u w:val="none"/>
        </w:rPr>
        <w:t xml:space="preserve"> basis. The transaction is inspectable on-chain. That result demonstrates implementability. It does not demonstrate production readiness, live operator meters, or legal enforceability.</w:t>
      </w:r>
    </w:p>
    <w:p>
      <w:pPr>
        <w:pStyle w:val="Heading2"/>
      </w:pPr>
      <w:r>
        <w:rPr>
          <w:color w:val="000000"/>
        </w:rPr>
        <w:t>5.5 Constraint 3: Explicit Pricing and Risk Controls</w:t>
      </w:r>
    </w:p>
    <w:p>
      <w:r>
        <w:rPr>
          <w:b w:val="0"/>
          <w:i w:val="0"/>
          <w:color w:val="000000"/>
          <w:u w:val="none"/>
        </w:rPr>
        <w:t>Energy data do not imply financial value. Chapter 4 priced renewable risk under explicit assumptions. Tables 4.3–4.4 (oracle tolerance and location σ) and Table 4.6 (margin stress) are the templates a production system would need, even though SPK v1 does not embed that full pricing engine on-chain.</w:t>
      </w:r>
    </w:p>
    <w:p>
      <w:r>
        <w:rPr>
          <w:b w:val="0"/>
          <w:i w:val="0"/>
          <w:color w:val="000000"/>
          <w:u w:val="none"/>
        </w:rPr>
        <w:t xml:space="preserve">In the prototype, pricing appears through three channels. At mint, the system applies an energy-price basis (for example </w:t>
      </w:r>
      <w:r>
        <w:rPr>
          <w:rFonts w:ascii="Courier New" w:hAnsi="Courier New"/>
          <w:b w:val="0"/>
          <w:i w:val="0"/>
          <w:color w:val="000000"/>
          <w:sz w:val="21"/>
          <w:u w:val="none"/>
        </w:rPr>
        <w:t>$0.05/kWh</w:t>
      </w:r>
      <w:r>
        <w:rPr>
          <w:b w:val="0"/>
          <w:i w:val="0"/>
          <w:color w:val="000000"/>
          <w:u w:val="none"/>
        </w:rPr>
        <w:t xml:space="preserve"> in an earlier proof, or energy-native </w:t>
      </w:r>
      <w:r>
        <w:rPr>
          <w:rFonts w:ascii="Courier New" w:hAnsi="Courier New"/>
          <w:b w:val="0"/>
          <w:i w:val="0"/>
          <w:color w:val="000000"/>
          <w:sz w:val="21"/>
          <w:u w:val="none"/>
        </w:rPr>
        <w:t>1 kWh → 1 SPK</w:t>
      </w:r>
      <w:r>
        <w:rPr>
          <w:b w:val="0"/>
          <w:i w:val="0"/>
          <w:color w:val="000000"/>
          <w:u w:val="none"/>
        </w:rPr>
        <w:t xml:space="preserve"> in SPK v1). At redemption, quotes convert burned tokens into owed kWh. In stress artifacts, reserve and shortfall requirements are exposed before any real-value deployment. Together, these channels prevent issuance and settlement from becoming blind accounting.</w:t>
      </w:r>
    </w:p>
    <w:p>
      <w:pPr>
        <w:pStyle w:val="Heading2"/>
      </w:pPr>
      <w:r>
        <w:rPr>
          <w:color w:val="000000"/>
        </w:rPr>
        <w:t>5.6 Constraint 4: Settlement and Redemption Accounting</w:t>
      </w:r>
    </w:p>
    <w:p>
      <w:r>
        <w:rPr>
          <w:b w:val="0"/>
          <w:i w:val="0"/>
          <w:color w:val="000000"/>
          <w:u w:val="none"/>
        </w:rPr>
        <w:t>Issuance without settlement clarity leaves users unsure what they hold. The currency-system contract supports invoice settlement (SPK transferred against a hashed invoice with replay protection) and redemption accounting (tokens burned into owed-kWh claims resolved as fulfilled, shortfall, or disputed).</w:t>
      </w:r>
    </w:p>
    <w:p>
      <w:r>
        <w:rPr>
          <w:b w:val="0"/>
          <w:i w:val="0"/>
          <w:color w:val="000000"/>
          <w:u w:val="none"/>
        </w:rPr>
        <w:t>This is rule enforcement and record-keeping, not guaranteed physical delivery. Real deployment still needs counterparties, legal terms, operator obligations, and reserve policy. The research point is that minting, circulation, redemption, and resolution can be connected in one auditable path.</w:t>
      </w:r>
    </w:p>
    <w:p>
      <w:pPr>
        <w:pStyle w:val="Heading2"/>
      </w:pPr>
      <w:r>
        <w:rPr>
          <w:color w:val="000000"/>
        </w:rPr>
        <w:t>5.7 Constraint 5: Governance Limits and Launch Gates</w:t>
      </w:r>
    </w:p>
    <w:p>
      <w:r>
        <w:rPr>
          <w:b w:val="0"/>
          <w:i w:val="0"/>
          <w:color w:val="000000"/>
          <w:u w:val="none"/>
        </w:rPr>
        <w:t>Unlimited administrative power would reintroduce discretionary issuance into a system that claims to be energy-constrained. The implementation therefore uses role separation, pausing, and governance-delay patterns in the broader design. These controls are directionally correct, but they are not sufficient on their own for production deployment.</w:t>
      </w:r>
    </w:p>
    <w:p>
      <w:r>
        <w:rPr>
          <w:b w:val="0"/>
          <w:i w:val="0"/>
          <w:color w:val="000000"/>
          <w:u w:val="none"/>
        </w:rPr>
        <w:t>Launch gates provide a second layer of discipline by separating three stages: public lab, closed testnet pilot, and paid or mainnet product. Only the public lab stage is launchable under the current evidence base. The pilot and mainnet stages remain blocked until governed deployment, real operator data, hardware provenance, economics, audit, legal scope, redemption policy, and production evidence are in place.</w:t>
      </w:r>
    </w:p>
    <w:p>
      <w:r>
        <w:rPr>
          <w:b w:val="0"/>
          <w:i w:val="0"/>
          <w:color w:val="000000"/>
          <w:u w:val="none"/>
        </w:rPr>
        <w:t>Stating those blockers explicitly is a methodological strength of the thesis. The project does not present testnet demonstration code as finished money. Table 5.2 summarises the staging logic, and Figure 5.6 visualises it.</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pPr>
              <w:spacing w:line="240" w:lineRule="auto" w:before="0" w:after="0"/>
              <w:ind w:firstLine="0"/>
              <w:jc w:val="center"/>
            </w:pPr>
            <w:r>
              <w:rPr>
                <w:sz w:val="20"/>
              </w:rPr>
            </w:r>
            <w:r>
              <w:rPr>
                <w:b/>
                <w:i w:val="0"/>
                <w:sz w:val="20"/>
                <w:u w:val="none"/>
              </w:rPr>
              <w:t>Stage</w:t>
            </w:r>
          </w:p>
        </w:tc>
        <w:tc>
          <w:tcPr>
            <w:tcW w:type="dxa" w:w="3120"/>
          </w:tcPr>
          <w:p>
            <w:pPr>
              <w:spacing w:line="240" w:lineRule="auto" w:before="0" w:after="0"/>
              <w:ind w:firstLine="0"/>
              <w:jc w:val="center"/>
            </w:pPr>
            <w:r>
              <w:rPr>
                <w:sz w:val="20"/>
              </w:rPr>
            </w:r>
            <w:r>
              <w:rPr>
                <w:b/>
                <w:i w:val="0"/>
                <w:sz w:val="20"/>
                <w:u w:val="none"/>
              </w:rPr>
              <w:t>Current Status</w:t>
            </w:r>
          </w:p>
        </w:tc>
        <w:tc>
          <w:tcPr>
            <w:tcW w:type="dxa" w:w="3120"/>
          </w:tcPr>
          <w:p>
            <w:pPr>
              <w:spacing w:line="240" w:lineRule="auto" w:before="0" w:after="0"/>
              <w:ind w:firstLine="0"/>
              <w:jc w:val="center"/>
            </w:pPr>
            <w:r>
              <w:rPr>
                <w:sz w:val="20"/>
              </w:rPr>
            </w:r>
            <w:r>
              <w:rPr>
                <w:b/>
                <w:i w:val="0"/>
                <w:sz w:val="20"/>
                <w:u w:val="none"/>
              </w:rPr>
              <w:t>Interpretation</w:t>
            </w:r>
          </w:p>
        </w:tc>
      </w:tr>
      <w:tr>
        <w:tc>
          <w:tcPr>
            <w:tcW w:type="dxa" w:w="3120"/>
          </w:tcPr>
          <w:p>
            <w:pPr>
              <w:spacing w:line="240" w:lineRule="auto" w:before="0" w:after="0"/>
              <w:ind w:firstLine="0"/>
              <w:jc w:val="center"/>
            </w:pPr>
            <w:r>
              <w:rPr>
                <w:sz w:val="20"/>
              </w:rPr>
            </w:r>
            <w:r>
              <w:rPr>
                <w:b w:val="0"/>
                <w:i w:val="0"/>
                <w:sz w:val="20"/>
                <w:u w:val="none"/>
              </w:rPr>
              <w:t>Public lab</w:t>
            </w:r>
          </w:p>
        </w:tc>
        <w:tc>
          <w:tcPr>
            <w:tcW w:type="dxa" w:w="3120"/>
          </w:tcPr>
          <w:p>
            <w:pPr>
              <w:spacing w:line="240" w:lineRule="auto" w:before="0" w:after="0"/>
              <w:ind w:firstLine="0"/>
            </w:pPr>
            <w:r>
              <w:rPr>
                <w:sz w:val="20"/>
              </w:rPr>
            </w:r>
            <w:r>
              <w:rPr>
                <w:b w:val="0"/>
                <w:i w:val="0"/>
                <w:sz w:val="20"/>
                <w:u w:val="none"/>
              </w:rPr>
              <w:t>Launchable as proof/demo/research evidence</w:t>
            </w:r>
          </w:p>
        </w:tc>
        <w:tc>
          <w:tcPr>
            <w:tcW w:type="dxa" w:w="3120"/>
          </w:tcPr>
          <w:p>
            <w:pPr>
              <w:spacing w:line="240" w:lineRule="auto" w:before="0" w:after="0"/>
              <w:ind w:firstLine="0"/>
            </w:pPr>
            <w:r>
              <w:rPr>
                <w:sz w:val="20"/>
              </w:rPr>
            </w:r>
            <w:r>
              <w:rPr>
                <w:b w:val="0"/>
                <w:i w:val="0"/>
                <w:sz w:val="20"/>
                <w:u w:val="none"/>
              </w:rPr>
              <w:t>Suitable for advisor, reviewer, and public-lab inspection</w:t>
            </w:r>
          </w:p>
        </w:tc>
      </w:tr>
      <w:tr>
        <w:tc>
          <w:tcPr>
            <w:tcW w:type="dxa" w:w="3120"/>
          </w:tcPr>
          <w:p>
            <w:pPr>
              <w:spacing w:line="240" w:lineRule="auto" w:before="0" w:after="0"/>
              <w:ind w:firstLine="0"/>
              <w:jc w:val="center"/>
            </w:pPr>
            <w:r>
              <w:rPr>
                <w:sz w:val="20"/>
              </w:rPr>
            </w:r>
            <w:r>
              <w:rPr>
                <w:b w:val="0"/>
                <w:i w:val="0"/>
                <w:sz w:val="20"/>
                <w:u w:val="none"/>
              </w:rPr>
              <w:t>Closed testnet pilot</w:t>
            </w:r>
          </w:p>
        </w:tc>
        <w:tc>
          <w:tcPr>
            <w:tcW w:type="dxa" w:w="3120"/>
          </w:tcPr>
          <w:p>
            <w:pPr>
              <w:spacing w:line="240" w:lineRule="auto" w:before="0" w:after="0"/>
              <w:ind w:firstLine="0"/>
            </w:pPr>
            <w:r>
              <w:rPr>
                <w:sz w:val="20"/>
              </w:rPr>
            </w:r>
            <w:r>
              <w:rPr>
                <w:b w:val="0"/>
                <w:i w:val="0"/>
                <w:sz w:val="20"/>
                <w:u w:val="none"/>
              </w:rPr>
              <w:t>Blocked</w:t>
            </w:r>
          </w:p>
        </w:tc>
        <w:tc>
          <w:tcPr>
            <w:tcW w:type="dxa" w:w="3120"/>
          </w:tcPr>
          <w:p>
            <w:pPr>
              <w:spacing w:line="240" w:lineRule="auto" w:before="0" w:after="0"/>
              <w:ind w:firstLine="0"/>
            </w:pPr>
            <w:r>
              <w:rPr>
                <w:sz w:val="20"/>
              </w:rPr>
            </w:r>
            <w:r>
              <w:rPr>
                <w:b w:val="0"/>
                <w:i w:val="0"/>
                <w:sz w:val="20"/>
                <w:u w:val="none"/>
              </w:rPr>
              <w:t>Needs governed deployment, real operator data, stronger hardware provenance, and anchor economics/support terms</w:t>
            </w:r>
          </w:p>
        </w:tc>
      </w:tr>
      <w:tr>
        <w:tc>
          <w:tcPr>
            <w:tcW w:type="dxa" w:w="3120"/>
          </w:tcPr>
          <w:p>
            <w:pPr>
              <w:spacing w:line="240" w:lineRule="auto" w:before="0" w:after="0"/>
              <w:ind w:firstLine="0"/>
              <w:jc w:val="center"/>
            </w:pPr>
            <w:r>
              <w:rPr>
                <w:sz w:val="20"/>
              </w:rPr>
            </w:r>
            <w:r>
              <w:rPr>
                <w:b w:val="0"/>
                <w:i w:val="0"/>
                <w:sz w:val="20"/>
                <w:u w:val="none"/>
              </w:rPr>
              <w:t>Paid/mainnet product</w:t>
            </w:r>
          </w:p>
        </w:tc>
        <w:tc>
          <w:tcPr>
            <w:tcW w:type="dxa" w:w="3120"/>
          </w:tcPr>
          <w:p>
            <w:pPr>
              <w:spacing w:line="240" w:lineRule="auto" w:before="0" w:after="0"/>
              <w:ind w:firstLine="0"/>
            </w:pPr>
            <w:r>
              <w:rPr>
                <w:sz w:val="20"/>
              </w:rPr>
            </w:r>
            <w:r>
              <w:rPr>
                <w:b w:val="0"/>
                <w:i w:val="0"/>
                <w:sz w:val="20"/>
                <w:u w:val="none"/>
              </w:rPr>
              <w:t>Blocked</w:t>
            </w:r>
          </w:p>
        </w:tc>
        <w:tc>
          <w:tcPr>
            <w:tcW w:type="dxa" w:w="3120"/>
          </w:tcPr>
          <w:p>
            <w:pPr>
              <w:spacing w:line="240" w:lineRule="auto" w:before="0" w:after="0"/>
              <w:ind w:firstLine="0"/>
            </w:pPr>
            <w:r>
              <w:rPr>
                <w:sz w:val="20"/>
              </w:rPr>
            </w:r>
            <w:r>
              <w:rPr>
                <w:b w:val="0"/>
                <w:i w:val="0"/>
                <w:sz w:val="20"/>
                <w:u w:val="none"/>
              </w:rPr>
              <w:t>Needs audit, legal/commercial scope, redemption policy, production deployment, reserves, real counterparties, and demand</w:t>
            </w:r>
          </w:p>
        </w:tc>
      </w:tr>
    </w:tbl>
    <w:p>
      <w:pPr>
        <w:keepNext/>
        <w:spacing w:before="120"/>
        <w:ind w:firstLine="0"/>
        <w:jc w:val="center"/>
      </w:pPr>
      <w:r>
        <w:drawing>
          <wp:inline xmlns:a="http://schemas.openxmlformats.org/drawingml/2006/main" xmlns:pic="http://schemas.openxmlformats.org/drawingml/2006/picture">
            <wp:extent cx="4572000" cy="2639878"/>
            <wp:docPr id="2" name="Picture 2"/>
            <wp:cNvGraphicFramePr>
              <a:graphicFrameLocks noChangeAspect="1"/>
            </wp:cNvGraphicFramePr>
            <a:graphic>
              <a:graphicData uri="http://schemas.openxmlformats.org/drawingml/2006/picture">
                <pic:pic>
                  <pic:nvPicPr>
                    <pic:cNvPr id="0" name="launch_gate_stages.png"/>
                    <pic:cNvPicPr/>
                  </pic:nvPicPr>
                  <pic:blipFill>
                    <a:blip r:embed="rId10"/>
                    <a:stretch>
                      <a:fillRect/>
                    </a:stretch>
                  </pic:blipFill>
                  <pic:spPr>
                    <a:xfrm>
                      <a:off x="0" y="0"/>
                      <a:ext cx="4572000" cy="2639878"/>
                    </a:xfrm>
                    <a:prstGeom prst="rect"/>
                  </pic:spPr>
                </pic:pic>
              </a:graphicData>
            </a:graphic>
          </wp:inline>
        </w:drawing>
      </w:r>
    </w:p>
    <w:p>
      <w:pPr>
        <w:pStyle w:val="Caption"/>
        <w:ind w:firstLine="0"/>
        <w:jc w:val="center"/>
      </w:pPr>
      <w:r>
        <w:rPr>
          <w:color w:val="000000"/>
        </w:rPr>
        <w:t>Figure 5.6. Launch-gate staging (§5.7).</w:t>
      </w:r>
    </w:p>
    <w:p>
      <w:pPr>
        <w:pStyle w:val="Heading2"/>
      </w:pPr>
      <w:r>
        <w:rPr>
          <w:color w:val="000000"/>
        </w:rPr>
        <w:t>5.8 What the Proof-of-Concept Demonstrates — and What It Does Not</w:t>
      </w:r>
    </w:p>
    <w:p>
      <w:r>
        <w:rPr>
          <w:b w:val="0"/>
          <w:i w:val="0"/>
          <w:color w:val="000000"/>
          <w:u w:val="none"/>
        </w:rPr>
        <w:t>The proof-of-concept demonstrates several things. First, an energy-data-to-token path can be implemented with attestation and replay protection. Second, token circulation and redemption accounting can be recorded on-chain. Third, public testnet evidence can be produced and indexed. Fourth, readiness can be separated by stage through launch gates.</w:t>
      </w:r>
    </w:p>
    <w:p>
      <w:r>
        <w:rPr>
          <w:b w:val="0"/>
          <w:i w:val="0"/>
          <w:color w:val="000000"/>
          <w:u w:val="none"/>
        </w:rPr>
        <w:t>It also has clear limits. It does not prove production readiness, legal classification, revenue-grade operator meters, market demand, liquidity, external audit, legally enforceable redemption, or fully funded reserve policy.</w:t>
      </w:r>
    </w:p>
    <w:p>
      <w:r>
        <w:rPr>
          <w:b w:val="0"/>
          <w:i w:val="0"/>
          <w:color w:val="000000"/>
          <w:u w:val="none"/>
        </w:rPr>
        <w:t>These limits matter because they prevent overclaiming. The thesis uses the implementation to support a narrower claim: the constraints framework is technically buildable as a proof of concept. It does not claim the prototype is ready to handle public financial value.</w:t>
      </w:r>
    </w:p>
    <w:p>
      <w:pPr>
        <w:pStyle w:val="Heading2"/>
      </w:pPr>
      <w:r>
        <w:rPr>
          <w:color w:val="000000"/>
        </w:rPr>
        <w:t>5.9 SPK v1 on Sepolia</w:t>
      </w:r>
    </w:p>
    <w:p>
      <w:r>
        <w:rPr>
          <w:b w:val="0"/>
          <w:i w:val="0"/>
          <w:color w:val="000000"/>
          <w:u w:val="none"/>
        </w:rPr>
        <w:t xml:space="preserve">After an earlier dollar-translated attested mint in May 2026 (contract </w:t>
      </w:r>
      <w:r>
        <w:rPr>
          <w:rFonts w:ascii="Courier New" w:hAnsi="Courier New"/>
          <w:b w:val="0"/>
          <w:i w:val="0"/>
          <w:color w:val="000000"/>
          <w:sz w:val="21"/>
          <w:u w:val="none"/>
        </w:rPr>
        <w:t>0x8ceDa…</w:t>
      </w:r>
      <w:r>
        <w:rPr>
          <w:b w:val="0"/>
          <w:i w:val="0"/>
          <w:color w:val="000000"/>
          <w:u w:val="none"/>
        </w:rPr>
        <w:t>), the project deployed SPK v1 on Sepolia in June 2026. SPK v1 is an energy-native, circulation-first implementation of the same constraints framework developed earlier in the chapter.</w:t>
      </w:r>
    </w:p>
    <w:p>
      <w:r>
        <w:rPr>
          <w:b w:val="0"/>
          <w:i w:val="0"/>
          <w:color w:val="000000"/>
          <w:u w:val="none"/>
        </w:rPr>
        <w:t xml:space="preserve">The following table compares SPK v1 with the earlier attested proof. The earlier proof translated energy into dollars at mint through a </w:t>
      </w:r>
      <w:r>
        <w:rPr>
          <w:rFonts w:ascii="Courier New" w:hAnsi="Courier New"/>
          <w:b w:val="0"/>
          <w:i w:val="0"/>
          <w:color w:val="000000"/>
          <w:sz w:val="21"/>
          <w:u w:val="none"/>
        </w:rPr>
        <w:t>$0.05/kWh</w:t>
      </w:r>
      <w:r>
        <w:rPr>
          <w:b w:val="0"/>
          <w:i w:val="0"/>
          <w:color w:val="000000"/>
          <w:u w:val="none"/>
        </w:rPr>
        <w:t xml:space="preserve"> basis and emphasised mint proof plus lab settlement. SPK v1 defaults to energy-native issuance (</w:t>
      </w:r>
      <w:r>
        <w:rPr>
          <w:rFonts w:ascii="Courier New" w:hAnsi="Courier New"/>
          <w:b w:val="0"/>
          <w:i w:val="0"/>
          <w:color w:val="000000"/>
          <w:sz w:val="21"/>
          <w:u w:val="none"/>
        </w:rPr>
        <w:t>1 kWh → 1 SPK</w:t>
      </w:r>
      <w:r>
        <w:rPr>
          <w:b w:val="0"/>
          <w:i w:val="0"/>
          <w:color w:val="000000"/>
          <w:u w:val="none"/>
        </w:rPr>
        <w:t xml:space="preserve">), emphasises network circulation through </w:t>
      </w:r>
      <w:r>
        <w:rPr>
          <w:rFonts w:ascii="Courier New" w:hAnsi="Courier New"/>
          <w:b w:val="0"/>
          <w:i w:val="0"/>
          <w:color w:val="000000"/>
          <w:sz w:val="21"/>
          <w:u w:val="none"/>
        </w:rPr>
        <w:t>settleNetworkPayment</w:t>
      </w:r>
      <w:r>
        <w:rPr>
          <w:b w:val="0"/>
          <w:i w:val="0"/>
          <w:color w:val="000000"/>
          <w:u w:val="none"/>
        </w:rPr>
        <w:t xml:space="preserve">, and keeps the dollar peg off by default. The primary contracts are </w:t>
      </w:r>
      <w:r>
        <w:rPr>
          <w:rFonts w:ascii="Courier New" w:hAnsi="Courier New"/>
          <w:b w:val="0"/>
          <w:i w:val="0"/>
          <w:color w:val="000000"/>
          <w:sz w:val="21"/>
          <w:u w:val="none"/>
        </w:rPr>
        <w:t>0x8e189…</w:t>
      </w:r>
      <w:r>
        <w:rPr>
          <w:b w:val="0"/>
          <w:i w:val="0"/>
          <w:color w:val="000000"/>
          <w:u w:val="none"/>
        </w:rPr>
        <w:t xml:space="preserve"> for SPK and </w:t>
      </w:r>
      <w:r>
        <w:rPr>
          <w:rFonts w:ascii="Courier New" w:hAnsi="Courier New"/>
          <w:b w:val="0"/>
          <w:i w:val="0"/>
          <w:color w:val="000000"/>
          <w:sz w:val="21"/>
          <w:u w:val="none"/>
        </w:rPr>
        <w:t>0x52016…</w:t>
      </w:r>
      <w:r>
        <w:rPr>
          <w:b w:val="0"/>
          <w:i w:val="0"/>
          <w:color w:val="000000"/>
          <w:u w:val="none"/>
        </w:rPr>
        <w:t xml:space="preserve"> for the CurrencySystem.</w:t>
      </w:r>
    </w:p>
    <w:p>
      <w:pPr>
        <w:keepNext/>
        <w:spacing w:before="120"/>
        <w:ind w:firstLine="0"/>
        <w:jc w:val="center"/>
      </w:pPr>
      <w:r>
        <w:drawing>
          <wp:inline xmlns:a="http://schemas.openxmlformats.org/drawingml/2006/main" xmlns:pic="http://schemas.openxmlformats.org/drawingml/2006/picture">
            <wp:extent cx="4572000" cy="4015946"/>
            <wp:docPr id="3" name="Picture 3"/>
            <wp:cNvGraphicFramePr>
              <a:graphicFrameLocks noChangeAspect="1"/>
            </wp:cNvGraphicFramePr>
            <a:graphic>
              <a:graphicData uri="http://schemas.openxmlformats.org/drawingml/2006/picture">
                <pic:pic>
                  <pic:nvPicPr>
                    <pic:cNvPr id="0" name="spk_circulation_share.png"/>
                    <pic:cNvPicPr/>
                  </pic:nvPicPr>
                  <pic:blipFill>
                    <a:blip r:embed="rId11"/>
                    <a:stretch>
                      <a:fillRect/>
                    </a:stretch>
                  </pic:blipFill>
                  <pic:spPr>
                    <a:xfrm>
                      <a:off x="0" y="0"/>
                      <a:ext cx="4572000" cy="4015946"/>
                    </a:xfrm>
                    <a:prstGeom prst="rect"/>
                  </pic:spPr>
                </pic:pic>
              </a:graphicData>
            </a:graphic>
          </wp:inline>
        </w:drawing>
      </w:r>
    </w:p>
    <w:p>
      <w:pPr>
        <w:pStyle w:val="Caption"/>
        <w:ind w:firstLine="0"/>
        <w:jc w:val="center"/>
      </w:pPr>
      <w:r>
        <w:rPr>
          <w:color w:val="000000"/>
        </w:rPr>
        <w:t>Figure 5.7. On-chain activity mix (synced runtime).</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pPr>
              <w:spacing w:line="240" w:lineRule="auto" w:before="0" w:after="0"/>
              <w:ind w:firstLine="0"/>
              <w:jc w:val="center"/>
            </w:pPr>
            <w:r>
              <w:rPr>
                <w:sz w:val="20"/>
              </w:rPr>
            </w:r>
            <w:r>
              <w:rPr>
                <w:b/>
                <w:i w:val="0"/>
                <w:sz w:val="20"/>
                <w:u w:val="none"/>
              </w:rPr>
              <w:t>Parameter</w:t>
            </w:r>
          </w:p>
        </w:tc>
        <w:tc>
          <w:tcPr>
            <w:tcW w:type="dxa" w:w="3120"/>
          </w:tcPr>
          <w:p>
            <w:pPr>
              <w:spacing w:line="240" w:lineRule="auto" w:before="0" w:after="0"/>
              <w:ind w:firstLine="0"/>
              <w:jc w:val="center"/>
            </w:pPr>
            <w:r>
              <w:rPr>
                <w:sz w:val="20"/>
              </w:rPr>
            </w:r>
            <w:r>
              <w:rPr>
                <w:b/>
                <w:i w:val="0"/>
                <w:sz w:val="20"/>
                <w:u w:val="none"/>
              </w:rPr>
              <w:t>SPK v1 (Jun 2026)</w:t>
            </w:r>
          </w:p>
        </w:tc>
        <w:tc>
          <w:tcPr>
            <w:tcW w:type="dxa" w:w="3120"/>
          </w:tcPr>
          <w:p>
            <w:pPr>
              <w:spacing w:line="240" w:lineRule="auto" w:before="0" w:after="0"/>
              <w:ind w:firstLine="0"/>
              <w:jc w:val="center"/>
            </w:pPr>
            <w:r>
              <w:rPr>
                <w:sz w:val="20"/>
              </w:rPr>
            </w:r>
            <w:r>
              <w:rPr>
                <w:b/>
                <w:i w:val="0"/>
                <w:sz w:val="20"/>
                <w:u w:val="none"/>
              </w:rPr>
              <w:t>Earlier attested proof</w:t>
            </w:r>
          </w:p>
        </w:tc>
      </w:tr>
      <w:tr>
        <w:tc>
          <w:tcPr>
            <w:tcW w:type="dxa" w:w="3120"/>
          </w:tcPr>
          <w:p>
            <w:pPr>
              <w:spacing w:line="240" w:lineRule="auto" w:before="0" w:after="0"/>
              <w:ind w:firstLine="0"/>
              <w:jc w:val="center"/>
            </w:pPr>
            <w:r>
              <w:rPr>
                <w:sz w:val="20"/>
              </w:rPr>
            </w:r>
            <w:r>
              <w:rPr>
                <w:b w:val="0"/>
                <w:i w:val="0"/>
                <w:sz w:val="20"/>
                <w:u w:val="none"/>
              </w:rPr>
              <w:t>Issuance</w:t>
            </w:r>
          </w:p>
        </w:tc>
        <w:tc>
          <w:tcPr>
            <w:tcW w:type="dxa" w:w="3120"/>
          </w:tcPr>
          <w:p>
            <w:pPr>
              <w:spacing w:line="240" w:lineRule="auto" w:before="0" w:after="0"/>
              <w:ind w:firstLine="0"/>
            </w:pPr>
            <w:r>
              <w:rPr>
                <w:sz w:val="20"/>
              </w:rPr>
            </w:r>
            <w:r>
              <w:rPr>
                <w:b w:val="0"/>
                <w:i w:val="0"/>
                <w:sz w:val="20"/>
                <w:u w:val="none"/>
              </w:rPr>
              <w:t>Energy-native (</w:t>
            </w:r>
            <w:r>
              <w:rPr>
                <w:rFonts w:ascii="Courier New" w:hAnsi="Courier New"/>
                <w:b w:val="0"/>
                <w:i w:val="0"/>
                <w:sz w:val="20"/>
                <w:u w:val="none"/>
              </w:rPr>
              <w:t>1 kWh → 1 SPK</w:t>
            </w:r>
            <w:r>
              <w:rPr>
                <w:b w:val="0"/>
                <w:i w:val="0"/>
                <w:sz w:val="20"/>
                <w:u w:val="none"/>
              </w:rPr>
              <w:t xml:space="preserve"> default)</w:t>
            </w:r>
          </w:p>
        </w:tc>
        <w:tc>
          <w:tcPr>
            <w:tcW w:type="dxa" w:w="3120"/>
          </w:tcPr>
          <w:p>
            <w:pPr>
              <w:spacing w:line="240" w:lineRule="auto" w:before="0" w:after="0"/>
              <w:ind w:firstLine="0"/>
            </w:pPr>
            <w:r>
              <w:rPr>
                <w:sz w:val="20"/>
              </w:rPr>
            </w:r>
            <w:r>
              <w:rPr>
                <w:b w:val="0"/>
                <w:i w:val="0"/>
                <w:sz w:val="20"/>
                <w:u w:val="none"/>
              </w:rPr>
              <w:t xml:space="preserve">Dollar-translated via </w:t>
            </w:r>
            <w:r>
              <w:rPr>
                <w:rFonts w:ascii="Courier New" w:hAnsi="Courier New"/>
                <w:b w:val="0"/>
                <w:i w:val="0"/>
                <w:sz w:val="20"/>
                <w:u w:val="none"/>
              </w:rPr>
              <w:t>$0.05/kWh</w:t>
            </w:r>
            <w:r>
              <w:rPr>
                <w:b w:val="0"/>
                <w:i w:val="0"/>
                <w:sz w:val="20"/>
                <w:u w:val="none"/>
              </w:rPr>
              <w:t xml:space="preserve"> basis</w:t>
            </w:r>
          </w:p>
        </w:tc>
      </w:tr>
      <w:tr>
        <w:tc>
          <w:tcPr>
            <w:tcW w:type="dxa" w:w="3120"/>
          </w:tcPr>
          <w:p>
            <w:pPr>
              <w:spacing w:line="240" w:lineRule="auto" w:before="0" w:after="0"/>
              <w:ind w:firstLine="0"/>
              <w:jc w:val="center"/>
            </w:pPr>
            <w:r>
              <w:rPr>
                <w:sz w:val="20"/>
              </w:rPr>
            </w:r>
            <w:r>
              <w:rPr>
                <w:b w:val="0"/>
                <w:i w:val="0"/>
                <w:sz w:val="20"/>
                <w:u w:val="none"/>
              </w:rPr>
              <w:t>Primary use</w:t>
            </w:r>
          </w:p>
        </w:tc>
        <w:tc>
          <w:tcPr>
            <w:tcW w:type="dxa" w:w="3120"/>
          </w:tcPr>
          <w:p>
            <w:pPr>
              <w:spacing w:line="240" w:lineRule="auto" w:before="0" w:after="0"/>
              <w:ind w:firstLine="0"/>
            </w:pPr>
            <w:r>
              <w:rPr>
                <w:sz w:val="20"/>
              </w:rPr>
            </w:r>
            <w:r>
              <w:rPr>
                <w:b w:val="0"/>
                <w:i w:val="0"/>
                <w:sz w:val="20"/>
                <w:u w:val="none"/>
              </w:rPr>
              <w:t>Network circulation (</w:t>
            </w:r>
            <w:r>
              <w:rPr>
                <w:rFonts w:ascii="Courier New" w:hAnsi="Courier New"/>
                <w:b w:val="0"/>
                <w:i w:val="0"/>
                <w:sz w:val="20"/>
                <w:u w:val="none"/>
              </w:rPr>
              <w:t>settleNetworkPayment</w:t>
            </w:r>
            <w:r>
              <w:rPr>
                <w:b w:val="0"/>
                <w:i w:val="0"/>
                <w:sz w:val="20"/>
                <w:u w:val="none"/>
              </w:rPr>
              <w:t>)</w:t>
            </w:r>
          </w:p>
        </w:tc>
        <w:tc>
          <w:tcPr>
            <w:tcW w:type="dxa" w:w="3120"/>
          </w:tcPr>
          <w:p>
            <w:pPr>
              <w:spacing w:line="240" w:lineRule="auto" w:before="0" w:after="0"/>
              <w:ind w:firstLine="0"/>
            </w:pPr>
            <w:r>
              <w:rPr>
                <w:sz w:val="20"/>
              </w:rPr>
            </w:r>
            <w:r>
              <w:rPr>
                <w:b w:val="0"/>
                <w:i w:val="0"/>
                <w:sz w:val="20"/>
                <w:u w:val="none"/>
              </w:rPr>
              <w:t>Mint proof + lab settlement</w:t>
            </w:r>
          </w:p>
        </w:tc>
      </w:tr>
      <w:tr>
        <w:tc>
          <w:tcPr>
            <w:tcW w:type="dxa" w:w="3120"/>
          </w:tcPr>
          <w:p>
            <w:pPr>
              <w:spacing w:line="240" w:lineRule="auto" w:before="0" w:after="0"/>
              <w:ind w:firstLine="0"/>
              <w:jc w:val="center"/>
            </w:pPr>
            <w:r>
              <w:rPr>
                <w:sz w:val="20"/>
              </w:rPr>
            </w:r>
            <w:r>
              <w:rPr>
                <w:b w:val="0"/>
                <w:i w:val="0"/>
                <w:sz w:val="20"/>
                <w:u w:val="none"/>
              </w:rPr>
              <w:t>Peg</w:t>
            </w:r>
          </w:p>
        </w:tc>
        <w:tc>
          <w:tcPr>
            <w:tcW w:type="dxa" w:w="3120"/>
          </w:tcPr>
          <w:p>
            <w:pPr>
              <w:spacing w:line="240" w:lineRule="auto" w:before="0" w:after="0"/>
              <w:ind w:firstLine="0"/>
            </w:pPr>
            <w:r>
              <w:rPr>
                <w:sz w:val="20"/>
              </w:rPr>
            </w:r>
            <w:r>
              <w:rPr>
                <w:b w:val="0"/>
                <w:i w:val="0"/>
                <w:sz w:val="20"/>
                <w:u w:val="none"/>
              </w:rPr>
              <w:t>Off by default</w:t>
            </w:r>
          </w:p>
        </w:tc>
        <w:tc>
          <w:tcPr>
            <w:tcW w:type="dxa" w:w="3120"/>
          </w:tcPr>
          <w:p>
            <w:pPr>
              <w:spacing w:line="240" w:lineRule="auto" w:before="0" w:after="0"/>
              <w:ind w:firstLine="0"/>
            </w:pPr>
            <w:r>
              <w:rPr>
                <w:sz w:val="20"/>
              </w:rPr>
            </w:r>
            <w:r>
              <w:rPr>
                <w:b w:val="0"/>
                <w:i w:val="0"/>
                <w:sz w:val="20"/>
                <w:u w:val="none"/>
              </w:rPr>
              <w:t>Dollar basis implicit</w:t>
            </w:r>
          </w:p>
        </w:tc>
      </w:tr>
      <w:tr>
        <w:tc>
          <w:tcPr>
            <w:tcW w:type="dxa" w:w="3120"/>
          </w:tcPr>
          <w:p>
            <w:pPr>
              <w:spacing w:line="240" w:lineRule="auto" w:before="0" w:after="0"/>
              <w:ind w:firstLine="0"/>
              <w:jc w:val="center"/>
            </w:pPr>
            <w:r>
              <w:rPr>
                <w:sz w:val="20"/>
              </w:rPr>
            </w:r>
            <w:r>
              <w:rPr>
                <w:b w:val="0"/>
                <w:i w:val="0"/>
                <w:sz w:val="20"/>
                <w:u w:val="none"/>
              </w:rPr>
              <w:t>Contracts</w:t>
            </w:r>
          </w:p>
        </w:tc>
        <w:tc>
          <w:tcPr>
            <w:tcW w:type="dxa" w:w="3120"/>
          </w:tcPr>
          <w:p>
            <w:pPr>
              <w:spacing w:line="240" w:lineRule="auto" w:before="0" w:after="0"/>
              <w:ind w:firstLine="0"/>
            </w:pPr>
            <w:r>
              <w:rPr>
                <w:sz w:val="20"/>
              </w:rPr>
            </w:r>
            <w:r>
              <w:rPr>
                <w:rFonts w:ascii="Courier New" w:hAnsi="Courier New"/>
                <w:b w:val="0"/>
                <w:i w:val="0"/>
                <w:sz w:val="20"/>
                <w:u w:val="none"/>
              </w:rPr>
              <w:t>0x8e189…</w:t>
            </w:r>
            <w:r>
              <w:rPr>
                <w:b w:val="0"/>
                <w:i w:val="0"/>
                <w:sz w:val="20"/>
                <w:u w:val="none"/>
              </w:rPr>
              <w:t xml:space="preserve"> (SPK), </w:t>
            </w:r>
            <w:r>
              <w:rPr>
                <w:rFonts w:ascii="Courier New" w:hAnsi="Courier New"/>
                <w:b w:val="0"/>
                <w:i w:val="0"/>
                <w:sz w:val="20"/>
                <w:u w:val="none"/>
              </w:rPr>
              <w:t>0x52016…</w:t>
            </w:r>
            <w:r>
              <w:rPr>
                <w:b w:val="0"/>
                <w:i w:val="0"/>
                <w:sz w:val="20"/>
                <w:u w:val="none"/>
              </w:rPr>
              <w:t xml:space="preserve"> (CurrencySystem)</w:t>
            </w:r>
          </w:p>
        </w:tc>
        <w:tc>
          <w:tcPr>
            <w:tcW w:type="dxa" w:w="3120"/>
          </w:tcPr>
          <w:p>
            <w:pPr>
              <w:spacing w:line="240" w:lineRule="auto" w:before="0" w:after="0"/>
              <w:ind w:firstLine="0"/>
            </w:pPr>
            <w:r>
              <w:rPr>
                <w:sz w:val="20"/>
              </w:rPr>
            </w:r>
            <w:r>
              <w:rPr>
                <w:rFonts w:ascii="Courier New" w:hAnsi="Courier New"/>
                <w:b w:val="0"/>
                <w:i w:val="0"/>
                <w:sz w:val="20"/>
                <w:u w:val="none"/>
              </w:rPr>
              <w:t>0x8ceDa…</w:t>
            </w:r>
          </w:p>
        </w:tc>
      </w:tr>
    </w:tbl>
    <w:p>
      <w:r>
        <w:rPr>
          <w:b w:val="0"/>
          <w:i w:val="0"/>
          <w:color w:val="000000"/>
          <w:u w:val="none"/>
        </w:rPr>
        <w:t>SPK v1 is product-oriented evidence rather than a new theoretical claim. The same five constraints appear in a circulation-first posture: hash-consumed issuance, typed network payments with invoice-hash replay protection, gated redemption, and testnet-only operator keys.</w:t>
      </w:r>
    </w:p>
    <w:p>
      <w:r>
        <w:rPr>
          <w:b w:val="0"/>
          <w:i w:val="0"/>
          <w:color w:val="000000"/>
          <w:u w:val="none"/>
        </w:rPr>
        <w:t>Subsections 5.9.1–5.9.2 report canonical contracts, live runtime metrics, and the indexed payment ledger (Table 5.4). These blocks are refreshed from Sepolia testnet state on each thesis build.</w:t>
      </w:r>
    </w:p>
    <w:p>
      <w:r>
        <w:rPr>
          <w:b w:val="0"/>
          <w:i w:val="0"/>
          <w:color w:val="000000"/>
          <w:u w:val="none"/>
        </w:rPr>
        <w:t>Figure 5.7 visualises the activity mix. Payment #15 is a wallet-initiated pilot transfer of 5 SPK. Payment #3 is operator testnet choreography of 180 SPK in NETWORK form, not external commerce.</w:t>
      </w:r>
    </w:p>
    <w:p>
      <w:r>
        <w:rPr>
          <w:b w:val="0"/>
          <w:i w:val="0"/>
          <w:color w:val="000000"/>
          <w:u w:val="none"/>
        </w:rPr>
        <w:t>SPK v1 therefore demonstrates that the framework can support energy-native circulation on a public testnet. It does not demonstrate mainnet readiness, legal money status, or real-site meter finality, as discussed in §5.8.</w:t>
      </w:r>
    </w:p>
    <w:p>
      <w:r>
        <w:rPr>
          <w:b w:val="0"/>
          <w:i/>
          <w:color w:val="000000"/>
          <w:u w:val="none"/>
        </w:rPr>
        <w:t>Metrics and ledger entries below are synced from public Sepolia testnet state (generated 2026-06-30T15:44:16.534445+00:00).</w:t>
      </w:r>
    </w:p>
    <w:p>
      <w:pPr>
        <w:pStyle w:val="Heading4"/>
      </w:pPr>
      <w:r>
        <w:rPr>
          <w:color w:val="000000"/>
        </w:rPr>
        <w:t>5.9.1 Canonical contracts and live metrics</w:t>
      </w:r>
    </w:p>
    <w:tbl>
      <w:tblPr>
        <w:tblStyle w:val="TableGrid"/>
        <w:tblW w:type="auto" w:w="0"/>
        <w:tblLayout w:type="autofit"/>
        <w:tblLook w:firstColumn="1" w:firstRow="1" w:lastColumn="0" w:lastRow="0" w:noHBand="0" w:noVBand="1" w:val="04A0"/>
      </w:tblPr>
      <w:tblGrid>
        <w:gridCol w:w="4680"/>
        <w:gridCol w:w="4680"/>
      </w:tblGrid>
      <w:tr>
        <w:tc>
          <w:tcPr>
            <w:tcW w:type="dxa" w:w="4680"/>
          </w:tcPr>
          <w:p>
            <w:pPr>
              <w:spacing w:line="240" w:lineRule="auto" w:before="0" w:after="0"/>
              <w:ind w:firstLine="0"/>
              <w:jc w:val="center"/>
            </w:pPr>
            <w:r>
              <w:rPr>
                <w:sz w:val="20"/>
              </w:rPr>
            </w:r>
            <w:r>
              <w:rPr>
                <w:b/>
                <w:i w:val="0"/>
                <w:sz w:val="20"/>
                <w:u w:val="none"/>
              </w:rPr>
              <w:t>Contract</w:t>
            </w:r>
          </w:p>
        </w:tc>
        <w:tc>
          <w:tcPr>
            <w:tcW w:type="dxa" w:w="4680"/>
          </w:tcPr>
          <w:p>
            <w:pPr>
              <w:spacing w:line="240" w:lineRule="auto" w:before="0" w:after="0"/>
              <w:ind w:firstLine="0"/>
              <w:jc w:val="center"/>
            </w:pPr>
            <w:r>
              <w:rPr>
                <w:sz w:val="20"/>
              </w:rPr>
            </w:r>
            <w:r>
              <w:rPr>
                <w:b/>
                <w:i w:val="0"/>
                <w:sz w:val="20"/>
                <w:u w:val="none"/>
              </w:rPr>
              <w:t>Address</w:t>
            </w:r>
          </w:p>
        </w:tc>
      </w:tr>
      <w:tr>
        <w:tc>
          <w:tcPr>
            <w:tcW w:type="dxa" w:w="4680"/>
          </w:tcPr>
          <w:p>
            <w:pPr>
              <w:spacing w:line="240" w:lineRule="auto" w:before="0" w:after="0"/>
              <w:ind w:firstLine="0"/>
              <w:jc w:val="center"/>
            </w:pPr>
            <w:r>
              <w:rPr>
                <w:sz w:val="20"/>
              </w:rPr>
            </w:r>
            <w:r>
              <w:rPr>
                <w:b w:val="0"/>
                <w:i w:val="0"/>
                <w:sz w:val="20"/>
                <w:u w:val="none"/>
              </w:rPr>
              <w:t>mock_usdc</w:t>
            </w:r>
          </w:p>
        </w:tc>
        <w:tc>
          <w:tcPr>
            <w:tcW w:type="dxa" w:w="4680"/>
          </w:tcPr>
          <w:p>
            <w:pPr>
              <w:spacing w:line="240" w:lineRule="auto" w:before="0" w:after="0"/>
              <w:ind w:firstLine="0"/>
            </w:pPr>
            <w:r>
              <w:rPr>
                <w:sz w:val="20"/>
              </w:rPr>
            </w:r>
            <w:r>
              <w:rPr>
                <w:rFonts w:ascii="Courier New" w:hAnsi="Courier New"/>
                <w:b w:val="0"/>
                <w:i w:val="0"/>
                <w:sz w:val="20"/>
                <w:u w:val="none"/>
              </w:rPr>
              <w:t>0xaD2A7169CfFBA9Bef8C45515fc85178DbBfEc2C9</w:t>
            </w:r>
          </w:p>
        </w:tc>
      </w:tr>
      <w:tr>
        <w:tc>
          <w:tcPr>
            <w:tcW w:type="dxa" w:w="4680"/>
          </w:tcPr>
          <w:p>
            <w:pPr>
              <w:spacing w:line="240" w:lineRule="auto" w:before="0" w:after="0"/>
              <w:ind w:firstLine="0"/>
              <w:jc w:val="center"/>
            </w:pPr>
            <w:r>
              <w:rPr>
                <w:sz w:val="20"/>
              </w:rPr>
            </w:r>
            <w:r>
              <w:rPr>
                <w:b w:val="0"/>
                <w:i w:val="0"/>
                <w:sz w:val="20"/>
                <w:u w:val="none"/>
              </w:rPr>
              <w:t>solar_punk_coin</w:t>
            </w:r>
          </w:p>
        </w:tc>
        <w:tc>
          <w:tcPr>
            <w:tcW w:type="dxa" w:w="4680"/>
          </w:tcPr>
          <w:p>
            <w:pPr>
              <w:spacing w:line="240" w:lineRule="auto" w:before="0" w:after="0"/>
              <w:ind w:firstLine="0"/>
            </w:pPr>
            <w:r>
              <w:rPr>
                <w:sz w:val="20"/>
              </w:rPr>
            </w:r>
            <w:r>
              <w:rPr>
                <w:rFonts w:ascii="Courier New" w:hAnsi="Courier New"/>
                <w:b w:val="0"/>
                <w:i w:val="0"/>
                <w:sz w:val="20"/>
                <w:u w:val="none"/>
              </w:rPr>
              <w:t>0x8e189002228Fd4C6fA7611bA49FBe1d9C3412128</w:t>
            </w:r>
          </w:p>
        </w:tc>
      </w:tr>
      <w:tr>
        <w:tc>
          <w:tcPr>
            <w:tcW w:type="dxa" w:w="4680"/>
          </w:tcPr>
          <w:p>
            <w:pPr>
              <w:spacing w:line="240" w:lineRule="auto" w:before="0" w:after="0"/>
              <w:ind w:firstLine="0"/>
              <w:jc w:val="center"/>
            </w:pPr>
            <w:r>
              <w:rPr>
                <w:sz w:val="20"/>
              </w:rPr>
            </w:r>
            <w:r>
              <w:rPr>
                <w:b w:val="0"/>
                <w:i w:val="0"/>
                <w:sz w:val="20"/>
                <w:u w:val="none"/>
              </w:rPr>
              <w:t>currency_system</w:t>
            </w:r>
          </w:p>
        </w:tc>
        <w:tc>
          <w:tcPr>
            <w:tcW w:type="dxa" w:w="4680"/>
          </w:tcPr>
          <w:p>
            <w:pPr>
              <w:spacing w:line="240" w:lineRule="auto" w:before="0" w:after="0"/>
              <w:ind w:firstLine="0"/>
            </w:pPr>
            <w:r>
              <w:rPr>
                <w:sz w:val="20"/>
              </w:rPr>
            </w:r>
            <w:r>
              <w:rPr>
                <w:rFonts w:ascii="Courier New" w:hAnsi="Courier New"/>
                <w:b w:val="0"/>
                <w:i w:val="0"/>
                <w:sz w:val="20"/>
                <w:u w:val="none"/>
              </w:rPr>
              <w:t>0x520162252F9B94824417678525FFd69145014970</w:t>
            </w:r>
          </w:p>
        </w:tc>
      </w:tr>
    </w:tbl>
    <w:p>
      <w:pPr>
        <w:pStyle w:val="ListBullet"/>
        <w:ind w:left="0" w:firstLine="0"/>
      </w:pPr>
      <w:r>
        <w:rPr>
          <w:b w:val="0"/>
          <w:i w:val="0"/>
          <w:u w:val="none"/>
        </w:rPr>
        <w:t xml:space="preserve">Total supply: </w:t>
      </w:r>
      <w:r>
        <w:rPr>
          <w:b/>
          <w:i w:val="0"/>
          <w:u w:val="none"/>
        </w:rPr>
        <w:t>5499.015 SPK</w:t>
      </w:r>
    </w:p>
    <w:p>
      <w:pPr>
        <w:pStyle w:val="ListBullet"/>
        <w:ind w:left="0" w:firstLine="0"/>
      </w:pPr>
      <w:r>
        <w:rPr>
          <w:b w:val="0"/>
          <w:i w:val="0"/>
          <w:u w:val="none"/>
        </w:rPr>
        <w:t xml:space="preserve">Settled: </w:t>
      </w:r>
      <w:r>
        <w:rPr>
          <w:b/>
          <w:i w:val="0"/>
          <w:u w:val="none"/>
        </w:rPr>
        <w:t>442.0 SPK</w:t>
      </w:r>
    </w:p>
    <w:p>
      <w:pPr>
        <w:pStyle w:val="ListBullet"/>
        <w:ind w:left="0" w:firstLine="0"/>
      </w:pPr>
      <w:r>
        <w:rPr>
          <w:b w:val="0"/>
          <w:i w:val="0"/>
          <w:u w:val="none"/>
        </w:rPr>
        <w:t xml:space="preserve">Network payments: </w:t>
      </w:r>
      <w:r>
        <w:rPr>
          <w:b/>
          <w:i w:val="0"/>
          <w:u w:val="none"/>
        </w:rPr>
        <w:t>21</w:t>
      </w:r>
    </w:p>
    <w:p>
      <w:pPr>
        <w:pStyle w:val="ListBullet"/>
        <w:ind w:left="0" w:firstLine="0"/>
      </w:pPr>
      <w:r>
        <w:rPr>
          <w:b w:val="0"/>
          <w:i w:val="0"/>
          <w:u w:val="none"/>
        </w:rPr>
        <w:t xml:space="preserve">Circulation share: </w:t>
      </w:r>
      <w:r>
        <w:rPr>
          <w:b/>
          <w:i w:val="0"/>
          <w:u w:val="none"/>
        </w:rPr>
        <w:t>96.71%</w:t>
      </w:r>
    </w:p>
    <w:p>
      <w:pPr>
        <w:pStyle w:val="Heading4"/>
      </w:pPr>
      <w:r>
        <w:rPr>
          <w:color w:val="000000"/>
        </w:rPr>
        <w:t>5.9.2 Indexed payment ledger (Table 5.4)</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before="0" w:after="0"/>
              <w:ind w:firstLine="0"/>
              <w:jc w:val="center"/>
            </w:pPr>
            <w:r>
              <w:rPr>
                <w:sz w:val="16"/>
              </w:rPr>
            </w:r>
            <w:r>
              <w:rPr>
                <w:b/>
                <w:i w:val="0"/>
                <w:sz w:val="16"/>
                <w:u w:val="none"/>
              </w:rPr>
              <w:t>#</w:t>
            </w:r>
          </w:p>
        </w:tc>
        <w:tc>
          <w:tcPr>
            <w:tcW w:type="dxa" w:w="1560"/>
          </w:tcPr>
          <w:p>
            <w:pPr>
              <w:spacing w:line="240" w:lineRule="auto" w:before="0" w:after="0"/>
              <w:ind w:firstLine="0"/>
              <w:jc w:val="center"/>
            </w:pPr>
            <w:r>
              <w:rPr>
                <w:sz w:val="16"/>
              </w:rPr>
            </w:r>
            <w:r>
              <w:rPr>
                <w:b/>
                <w:i w:val="0"/>
                <w:sz w:val="16"/>
                <w:u w:val="none"/>
              </w:rPr>
              <w:t>Kind</w:t>
            </w:r>
          </w:p>
        </w:tc>
        <w:tc>
          <w:tcPr>
            <w:tcW w:type="dxa" w:w="1560"/>
          </w:tcPr>
          <w:p>
            <w:pPr>
              <w:spacing w:line="240" w:lineRule="auto" w:before="0" w:after="0"/>
              <w:ind w:firstLine="0"/>
              <w:jc w:val="center"/>
            </w:pPr>
            <w:r>
              <w:rPr>
                <w:sz w:val="16"/>
              </w:rPr>
            </w:r>
            <w:r>
              <w:rPr>
                <w:b/>
                <w:i w:val="0"/>
                <w:sz w:val="16"/>
                <w:u w:val="none"/>
              </w:rPr>
              <w:t>SPK</w:t>
            </w:r>
          </w:p>
        </w:tc>
        <w:tc>
          <w:tcPr>
            <w:tcW w:type="dxa" w:w="1560"/>
          </w:tcPr>
          <w:p>
            <w:pPr>
              <w:spacing w:line="240" w:lineRule="auto" w:before="0" w:after="0"/>
              <w:ind w:firstLine="0"/>
              <w:jc w:val="center"/>
            </w:pPr>
            <w:r>
              <w:rPr>
                <w:sz w:val="16"/>
              </w:rPr>
            </w:r>
            <w:r>
              <w:rPr>
                <w:b/>
                <w:i w:val="0"/>
                <w:sz w:val="16"/>
                <w:u w:val="none"/>
              </w:rPr>
              <w:t>Payee</w:t>
            </w:r>
          </w:p>
        </w:tc>
        <w:tc>
          <w:tcPr>
            <w:tcW w:type="dxa" w:w="1560"/>
          </w:tcPr>
          <w:p>
            <w:pPr>
              <w:spacing w:line="240" w:lineRule="auto" w:before="0" w:after="0"/>
              <w:ind w:firstLine="0"/>
              <w:jc w:val="center"/>
            </w:pPr>
            <w:r>
              <w:rPr>
                <w:sz w:val="16"/>
              </w:rPr>
            </w:r>
            <w:r>
              <w:rPr>
                <w:b/>
                <w:i w:val="0"/>
                <w:sz w:val="16"/>
                <w:u w:val="none"/>
              </w:rPr>
              <w:t>Payer</w:t>
            </w:r>
          </w:p>
        </w:tc>
        <w:tc>
          <w:tcPr>
            <w:tcW w:type="dxa" w:w="1560"/>
          </w:tcPr>
          <w:p>
            <w:pPr>
              <w:spacing w:line="240" w:lineRule="auto" w:before="0" w:after="0"/>
              <w:ind w:firstLine="0"/>
              <w:jc w:val="center"/>
            </w:pPr>
            <w:r>
              <w:rPr>
                <w:sz w:val="16"/>
              </w:rPr>
            </w:r>
            <w:r>
              <w:rPr>
                <w:b/>
                <w:i w:val="0"/>
                <w:sz w:val="16"/>
                <w:u w:val="none"/>
              </w:rPr>
              <w:t>Tx</w:t>
            </w:r>
          </w:p>
        </w:tc>
      </w:tr>
      <w:tr>
        <w:tc>
          <w:tcPr>
            <w:tcW w:type="dxa" w:w="1560"/>
          </w:tcPr>
          <w:p>
            <w:pPr>
              <w:spacing w:line="240" w:lineRule="auto" w:before="0" w:after="0"/>
              <w:ind w:firstLine="0"/>
              <w:jc w:val="center"/>
            </w:pPr>
            <w:r>
              <w:rPr>
                <w:sz w:val="16"/>
              </w:rPr>
            </w:r>
            <w:r>
              <w:rPr>
                <w:b w:val="0"/>
                <w:i w:val="0"/>
                <w:sz w:val="16"/>
                <w:u w:val="none"/>
              </w:rPr>
              <w:t>1</w:t>
            </w:r>
          </w:p>
        </w:tc>
        <w:tc>
          <w:tcPr>
            <w:tcW w:type="dxa" w:w="1560"/>
          </w:tcPr>
          <w:p>
            <w:pPr>
              <w:spacing w:line="240" w:lineRule="auto" w:before="0" w:after="0"/>
              <w:ind w:firstLine="0"/>
            </w:pPr>
            <w:r>
              <w:rPr>
                <w:sz w:val="16"/>
              </w:rPr>
            </w:r>
            <w:r>
              <w:rPr>
                <w:b w:val="0"/>
                <w:i w:val="0"/>
                <w:sz w:val="16"/>
                <w:u w:val="none"/>
              </w:rPr>
              <w:t>SERVICE</w:t>
            </w:r>
          </w:p>
        </w:tc>
        <w:tc>
          <w:tcPr>
            <w:tcW w:type="dxa" w:w="1560"/>
          </w:tcPr>
          <w:p>
            <w:pPr>
              <w:spacing w:line="240" w:lineRule="auto" w:before="0" w:after="0"/>
              <w:ind w:firstLine="0"/>
            </w:pPr>
            <w:r>
              <w:rPr>
                <w:sz w:val="16"/>
              </w:rPr>
            </w:r>
            <w:r>
              <w:rPr>
                <w:b w:val="0"/>
                <w:i w:val="0"/>
                <w:sz w:val="16"/>
                <w:u w:val="none"/>
              </w:rPr>
              <w:t>12.0</w:t>
            </w:r>
          </w:p>
        </w:tc>
        <w:tc>
          <w:tcPr>
            <w:tcW w:type="dxa" w:w="1560"/>
          </w:tcPr>
          <w:p>
            <w:pPr>
              <w:spacing w:line="240" w:lineRule="auto" w:before="0" w:after="0"/>
              <w:ind w:firstLine="0"/>
            </w:pPr>
            <w:r>
              <w:rPr>
                <w:sz w:val="16"/>
              </w:rPr>
            </w:r>
            <w:r>
              <w:rPr>
                <w:b w:val="0"/>
                <w:i w:val="0"/>
                <w:sz w:val="16"/>
                <w:u w:val="none"/>
              </w:rPr>
              <w:t>Gateway</w:t>
            </w:r>
          </w:p>
        </w:tc>
        <w:tc>
          <w:tcPr>
            <w:tcW w:type="dxa" w:w="1560"/>
          </w:tcPr>
          <w:p>
            <w:pPr>
              <w:spacing w:line="240" w:lineRule="auto" w:before="0" w:after="0"/>
              <w:ind w:firstLine="0"/>
            </w:pPr>
            <w:r>
              <w:rPr>
                <w:sz w:val="16"/>
              </w:rPr>
            </w:r>
            <w:r>
              <w:rPr>
                <w:b w:val="0"/>
                <w:i w:val="0"/>
                <w:sz w:val="16"/>
                <w:u w:val="none"/>
              </w:rPr>
              <w:t>Operator</w:t>
            </w:r>
          </w:p>
        </w:tc>
        <w:tc>
          <w:tcPr>
            <w:tcW w:type="dxa" w:w="1560"/>
          </w:tcPr>
          <w:p>
            <w:pPr>
              <w:spacing w:line="240" w:lineRule="auto" w:before="0" w:after="0"/>
              <w:ind w:firstLine="0"/>
            </w:pPr>
            <w:r>
              <w:rPr>
                <w:sz w:val="16"/>
              </w:rPr>
            </w:r>
            <w:r>
              <w:rPr>
                <w:b w:val="0"/>
                <w:i w:val="0"/>
                <w:sz w:val="16"/>
                <w:u w:val="none"/>
              </w:rPr>
              <w:t>0x6c65e0ae…</w:t>
            </w:r>
          </w:p>
        </w:tc>
      </w:tr>
      <w:tr>
        <w:tc>
          <w:tcPr>
            <w:tcW w:type="dxa" w:w="1560"/>
          </w:tcPr>
          <w:p>
            <w:pPr>
              <w:spacing w:line="240" w:lineRule="auto" w:before="0" w:after="0"/>
              <w:ind w:firstLine="0"/>
              <w:jc w:val="center"/>
            </w:pPr>
            <w:r>
              <w:rPr>
                <w:sz w:val="16"/>
              </w:rPr>
            </w:r>
            <w:r>
              <w:rPr>
                <w:b w:val="0"/>
                <w:i w:val="0"/>
                <w:sz w:val="16"/>
                <w:u w:val="none"/>
              </w:rPr>
              <w:t>2</w:t>
            </w:r>
          </w:p>
        </w:tc>
        <w:tc>
          <w:tcPr>
            <w:tcW w:type="dxa" w:w="1560"/>
          </w:tcPr>
          <w:p>
            <w:pPr>
              <w:spacing w:line="240" w:lineRule="auto" w:before="0" w:after="0"/>
              <w:ind w:firstLine="0"/>
            </w:pPr>
            <w:r>
              <w:rPr>
                <w:sz w:val="16"/>
              </w:rPr>
            </w:r>
            <w:r>
              <w:rPr>
                <w:b w:val="0"/>
                <w:i w:val="0"/>
                <w:sz w:val="16"/>
                <w:u w:val="none"/>
              </w:rPr>
              <w:t>LABOR</w:t>
            </w:r>
          </w:p>
        </w:tc>
        <w:tc>
          <w:tcPr>
            <w:tcW w:type="dxa" w:w="1560"/>
          </w:tcPr>
          <w:p>
            <w:pPr>
              <w:spacing w:line="240" w:lineRule="auto" w:before="0" w:after="0"/>
              <w:ind w:firstLine="0"/>
            </w:pPr>
            <w:r>
              <w:rPr>
                <w:sz w:val="16"/>
              </w:rPr>
            </w:r>
            <w:r>
              <w:rPr>
                <w:b w:val="0"/>
                <w:i w:val="0"/>
                <w:sz w:val="16"/>
                <w:u w:val="none"/>
              </w:rPr>
              <w:t>40.0</w:t>
            </w:r>
          </w:p>
        </w:tc>
        <w:tc>
          <w:tcPr>
            <w:tcW w:type="dxa" w:w="1560"/>
          </w:tcPr>
          <w:p>
            <w:pPr>
              <w:spacing w:line="240" w:lineRule="auto" w:before="0" w:after="0"/>
              <w:ind w:firstLine="0"/>
            </w:pPr>
            <w:r>
              <w:rPr>
                <w:sz w:val="16"/>
              </w:rPr>
            </w:r>
            <w:r>
              <w:rPr>
                <w:b w:val="0"/>
                <w:i w:val="0"/>
                <w:sz w:val="16"/>
                <w:u w:val="none"/>
              </w:rPr>
              <w:t>Maintenance</w:t>
            </w:r>
          </w:p>
        </w:tc>
        <w:tc>
          <w:tcPr>
            <w:tcW w:type="dxa" w:w="1560"/>
          </w:tcPr>
          <w:p>
            <w:pPr>
              <w:spacing w:line="240" w:lineRule="auto" w:before="0" w:after="0"/>
              <w:ind w:firstLine="0"/>
            </w:pPr>
            <w:r>
              <w:rPr>
                <w:sz w:val="16"/>
              </w:rPr>
            </w:r>
            <w:r>
              <w:rPr>
                <w:b w:val="0"/>
                <w:i w:val="0"/>
                <w:sz w:val="16"/>
                <w:u w:val="none"/>
              </w:rPr>
              <w:t>Operator</w:t>
            </w:r>
          </w:p>
        </w:tc>
        <w:tc>
          <w:tcPr>
            <w:tcW w:type="dxa" w:w="1560"/>
          </w:tcPr>
          <w:p>
            <w:pPr>
              <w:spacing w:line="240" w:lineRule="auto" w:before="0" w:after="0"/>
              <w:ind w:firstLine="0"/>
            </w:pPr>
            <w:r>
              <w:rPr>
                <w:sz w:val="16"/>
              </w:rPr>
            </w:r>
            <w:r>
              <w:rPr>
                <w:b w:val="0"/>
                <w:i w:val="0"/>
                <w:sz w:val="16"/>
                <w:u w:val="none"/>
              </w:rPr>
              <w:t>0x8ad9f3ce…</w:t>
            </w:r>
          </w:p>
        </w:tc>
      </w:tr>
      <w:tr>
        <w:tc>
          <w:tcPr>
            <w:tcW w:type="dxa" w:w="1560"/>
          </w:tcPr>
          <w:p>
            <w:pPr>
              <w:spacing w:line="240" w:lineRule="auto" w:before="0" w:after="0"/>
              <w:ind w:firstLine="0"/>
              <w:jc w:val="center"/>
            </w:pPr>
            <w:r>
              <w:rPr>
                <w:sz w:val="16"/>
              </w:rPr>
            </w:r>
            <w:r>
              <w:rPr>
                <w:b w:val="0"/>
                <w:i w:val="0"/>
                <w:sz w:val="16"/>
                <w:u w:val="none"/>
              </w:rPr>
              <w:t>3</w:t>
            </w:r>
          </w:p>
        </w:tc>
        <w:tc>
          <w:tcPr>
            <w:tcW w:type="dxa" w:w="1560"/>
          </w:tcPr>
          <w:p>
            <w:pPr>
              <w:spacing w:line="240" w:lineRule="auto" w:before="0" w:after="0"/>
              <w:ind w:firstLine="0"/>
            </w:pPr>
            <w:r>
              <w:rPr>
                <w:sz w:val="16"/>
              </w:rPr>
            </w:r>
            <w:r>
              <w:rPr>
                <w:b w:val="0"/>
                <w:i w:val="0"/>
                <w:sz w:val="16"/>
                <w:u w:val="none"/>
              </w:rPr>
              <w:t>NETWORK</w:t>
            </w:r>
          </w:p>
        </w:tc>
        <w:tc>
          <w:tcPr>
            <w:tcW w:type="dxa" w:w="1560"/>
          </w:tcPr>
          <w:p>
            <w:pPr>
              <w:spacing w:line="240" w:lineRule="auto" w:before="0" w:after="0"/>
              <w:ind w:firstLine="0"/>
            </w:pPr>
            <w:r>
              <w:rPr>
                <w:sz w:val="16"/>
              </w:rPr>
            </w:r>
            <w:r>
              <w:rPr>
                <w:b w:val="0"/>
                <w:i w:val="0"/>
                <w:sz w:val="16"/>
                <w:u w:val="none"/>
              </w:rPr>
              <w:t>180.0</w:t>
            </w:r>
          </w:p>
        </w:tc>
        <w:tc>
          <w:tcPr>
            <w:tcW w:type="dxa" w:w="1560"/>
          </w:tcPr>
          <w:p>
            <w:pPr>
              <w:spacing w:line="240" w:lineRule="auto" w:before="0" w:after="0"/>
              <w:ind w:firstLine="0"/>
            </w:pPr>
            <w:r>
              <w:rPr>
                <w:sz w:val="16"/>
              </w:rPr>
            </w:r>
            <w:r>
              <w:rPr>
                <w:b w:val="0"/>
                <w:i w:val="0"/>
                <w:sz w:val="16"/>
                <w:u w:val="none"/>
              </w:rPr>
              <w:t>Operator</w:t>
            </w:r>
          </w:p>
        </w:tc>
        <w:tc>
          <w:tcPr>
            <w:tcW w:type="dxa" w:w="1560"/>
          </w:tcPr>
          <w:p>
            <w:pPr>
              <w:spacing w:line="240" w:lineRule="auto" w:before="0" w:after="0"/>
              <w:ind w:firstLine="0"/>
            </w:pPr>
            <w:r>
              <w:rPr>
                <w:sz w:val="16"/>
              </w:rPr>
            </w:r>
            <w:r>
              <w:rPr>
                <w:b w:val="0"/>
                <w:i w:val="0"/>
                <w:sz w:val="16"/>
                <w:u w:val="none"/>
              </w:rPr>
              <w:t>Operator</w:t>
            </w:r>
          </w:p>
        </w:tc>
        <w:tc>
          <w:tcPr>
            <w:tcW w:type="dxa" w:w="1560"/>
          </w:tcPr>
          <w:p>
            <w:pPr>
              <w:spacing w:line="240" w:lineRule="auto" w:before="0" w:after="0"/>
              <w:ind w:firstLine="0"/>
            </w:pPr>
            <w:r>
              <w:rPr>
                <w:sz w:val="16"/>
              </w:rPr>
            </w:r>
            <w:r>
              <w:rPr>
                <w:b w:val="0"/>
                <w:i w:val="0"/>
                <w:sz w:val="16"/>
                <w:u w:val="none"/>
              </w:rPr>
              <w:t>0x6dbbf639…</w:t>
            </w:r>
          </w:p>
        </w:tc>
      </w:tr>
      <w:tr>
        <w:tc>
          <w:tcPr>
            <w:tcW w:type="dxa" w:w="1560"/>
          </w:tcPr>
          <w:p>
            <w:pPr>
              <w:spacing w:line="240" w:lineRule="auto" w:before="0" w:after="0"/>
              <w:ind w:firstLine="0"/>
              <w:jc w:val="center"/>
            </w:pPr>
            <w:r>
              <w:rPr>
                <w:sz w:val="16"/>
              </w:rPr>
            </w:r>
            <w:r>
              <w:rPr>
                <w:b w:val="0"/>
                <w:i w:val="0"/>
                <w:sz w:val="16"/>
                <w:u w:val="none"/>
              </w:rPr>
              <w:t>4</w:t>
            </w:r>
          </w:p>
        </w:tc>
        <w:tc>
          <w:tcPr>
            <w:tcW w:type="dxa" w:w="1560"/>
          </w:tcPr>
          <w:p>
            <w:pPr>
              <w:spacing w:line="240" w:lineRule="auto" w:before="0" w:after="0"/>
              <w:ind w:firstLine="0"/>
            </w:pPr>
            <w:r>
              <w:rPr>
                <w:sz w:val="16"/>
              </w:rPr>
            </w:r>
            <w:r>
              <w:rPr>
                <w:b w:val="0"/>
                <w:i w:val="0"/>
                <w:sz w:val="16"/>
                <w:u w:val="none"/>
              </w:rPr>
              <w:t>GOODS</w:t>
            </w:r>
          </w:p>
        </w:tc>
        <w:tc>
          <w:tcPr>
            <w:tcW w:type="dxa" w:w="1560"/>
          </w:tcPr>
          <w:p>
            <w:pPr>
              <w:spacing w:line="240" w:lineRule="auto" w:before="0" w:after="0"/>
              <w:ind w:firstLine="0"/>
            </w:pPr>
            <w:r>
              <w:rPr>
                <w:sz w:val="16"/>
              </w:rPr>
            </w:r>
            <w:r>
              <w:rPr>
                <w:b w:val="0"/>
                <w:i w:val="0"/>
                <w:sz w:val="16"/>
                <w:u w:val="none"/>
              </w:rPr>
              <w:t>55.0</w:t>
            </w:r>
          </w:p>
        </w:tc>
        <w:tc>
          <w:tcPr>
            <w:tcW w:type="dxa" w:w="1560"/>
          </w:tcPr>
          <w:p>
            <w:pPr>
              <w:spacing w:line="240" w:lineRule="auto" w:before="0" w:after="0"/>
              <w:ind w:firstLine="0"/>
            </w:pPr>
            <w:r>
              <w:rPr>
                <w:sz w:val="16"/>
              </w:rPr>
            </w:r>
            <w:r>
              <w:rPr>
                <w:b w:val="0"/>
                <w:i w:val="0"/>
                <w:sz w:val="16"/>
                <w:u w:val="none"/>
              </w:rPr>
              <w:t>Merchant</w:t>
            </w:r>
          </w:p>
        </w:tc>
        <w:tc>
          <w:tcPr>
            <w:tcW w:type="dxa" w:w="1560"/>
          </w:tcPr>
          <w:p>
            <w:pPr>
              <w:spacing w:line="240" w:lineRule="auto" w:before="0" w:after="0"/>
              <w:ind w:firstLine="0"/>
            </w:pPr>
            <w:r>
              <w:rPr>
                <w:sz w:val="16"/>
              </w:rPr>
            </w:r>
            <w:r>
              <w:rPr>
                <w:b w:val="0"/>
                <w:i w:val="0"/>
                <w:sz w:val="16"/>
                <w:u w:val="none"/>
              </w:rPr>
              <w:t>Operator</w:t>
            </w:r>
          </w:p>
        </w:tc>
        <w:tc>
          <w:tcPr>
            <w:tcW w:type="dxa" w:w="1560"/>
          </w:tcPr>
          <w:p>
            <w:pPr>
              <w:spacing w:line="240" w:lineRule="auto" w:before="0" w:after="0"/>
              <w:ind w:firstLine="0"/>
            </w:pPr>
            <w:r>
              <w:rPr>
                <w:sz w:val="16"/>
              </w:rPr>
            </w:r>
            <w:r>
              <w:rPr>
                <w:b w:val="0"/>
                <w:i w:val="0"/>
                <w:sz w:val="16"/>
                <w:u w:val="none"/>
              </w:rPr>
              <w:t>0x0d7e506b…</w:t>
            </w:r>
          </w:p>
        </w:tc>
      </w:tr>
      <w:tr>
        <w:tc>
          <w:tcPr>
            <w:tcW w:type="dxa" w:w="1560"/>
          </w:tcPr>
          <w:p>
            <w:pPr>
              <w:spacing w:line="240" w:lineRule="auto" w:before="0" w:after="0"/>
              <w:ind w:firstLine="0"/>
              <w:jc w:val="center"/>
            </w:pPr>
            <w:r>
              <w:rPr>
                <w:sz w:val="16"/>
              </w:rPr>
            </w:r>
            <w:r>
              <w:rPr>
                <w:b w:val="0"/>
                <w:i w:val="0"/>
                <w:sz w:val="16"/>
                <w:u w:val="none"/>
              </w:rPr>
              <w:t>5</w:t>
            </w:r>
          </w:p>
        </w:tc>
        <w:tc>
          <w:tcPr>
            <w:tcW w:type="dxa" w:w="1560"/>
          </w:tcPr>
          <w:p>
            <w:pPr>
              <w:spacing w:line="240" w:lineRule="auto" w:before="0" w:after="0"/>
              <w:ind w:firstLine="0"/>
            </w:pPr>
            <w:r>
              <w:rPr>
                <w:sz w:val="16"/>
              </w:rPr>
            </w:r>
            <w:r>
              <w:rPr>
                <w:b w:val="0"/>
                <w:i w:val="0"/>
                <w:sz w:val="16"/>
                <w:u w:val="none"/>
              </w:rPr>
              <w:t>SERVICE</w:t>
            </w:r>
          </w:p>
        </w:tc>
        <w:tc>
          <w:tcPr>
            <w:tcW w:type="dxa" w:w="1560"/>
          </w:tcPr>
          <w:p>
            <w:pPr>
              <w:spacing w:line="240" w:lineRule="auto" w:before="0" w:after="0"/>
              <w:ind w:firstLine="0"/>
            </w:pPr>
            <w:r>
              <w:rPr>
                <w:sz w:val="16"/>
              </w:rPr>
            </w:r>
            <w:r>
              <w:rPr>
                <w:b w:val="0"/>
                <w:i w:val="0"/>
                <w:sz w:val="16"/>
                <w:u w:val="none"/>
              </w:rPr>
              <w:t>8.0</w:t>
            </w:r>
          </w:p>
        </w:tc>
        <w:tc>
          <w:tcPr>
            <w:tcW w:type="dxa" w:w="1560"/>
          </w:tcPr>
          <w:p>
            <w:pPr>
              <w:spacing w:line="240" w:lineRule="auto" w:before="0" w:after="0"/>
              <w:ind w:firstLine="0"/>
            </w:pPr>
            <w:r>
              <w:rPr>
                <w:sz w:val="16"/>
              </w:rPr>
            </w:r>
            <w:r>
              <w:rPr>
                <w:b w:val="0"/>
                <w:i w:val="0"/>
                <w:sz w:val="16"/>
                <w:u w:val="none"/>
              </w:rPr>
              <w:t>Gateway</w:t>
            </w:r>
          </w:p>
        </w:tc>
        <w:tc>
          <w:tcPr>
            <w:tcW w:type="dxa" w:w="1560"/>
          </w:tcPr>
          <w:p>
            <w:pPr>
              <w:spacing w:line="240" w:lineRule="auto" w:before="0" w:after="0"/>
              <w:ind w:firstLine="0"/>
            </w:pPr>
            <w:r>
              <w:rPr>
                <w:sz w:val="16"/>
              </w:rPr>
            </w:r>
            <w:r>
              <w:rPr>
                <w:b w:val="0"/>
                <w:i w:val="0"/>
                <w:sz w:val="16"/>
                <w:u w:val="none"/>
              </w:rPr>
              <w:t>Operator</w:t>
            </w:r>
          </w:p>
        </w:tc>
        <w:tc>
          <w:tcPr>
            <w:tcW w:type="dxa" w:w="1560"/>
          </w:tcPr>
          <w:p>
            <w:pPr>
              <w:spacing w:line="240" w:lineRule="auto" w:before="0" w:after="0"/>
              <w:ind w:firstLine="0"/>
            </w:pPr>
            <w:r>
              <w:rPr>
                <w:sz w:val="16"/>
              </w:rPr>
            </w:r>
            <w:r>
              <w:rPr>
                <w:b w:val="0"/>
                <w:i w:val="0"/>
                <w:sz w:val="16"/>
                <w:u w:val="none"/>
              </w:rPr>
              <w:t>0xeacc17a4…</w:t>
            </w:r>
          </w:p>
        </w:tc>
      </w:tr>
      <w:tr>
        <w:tc>
          <w:tcPr>
            <w:tcW w:type="dxa" w:w="1560"/>
          </w:tcPr>
          <w:p>
            <w:pPr>
              <w:spacing w:line="240" w:lineRule="auto" w:before="0" w:after="0"/>
              <w:ind w:firstLine="0"/>
              <w:jc w:val="center"/>
            </w:pPr>
            <w:r>
              <w:rPr>
                <w:sz w:val="16"/>
              </w:rPr>
            </w:r>
            <w:r>
              <w:rPr>
                <w:b w:val="0"/>
                <w:i w:val="0"/>
                <w:sz w:val="16"/>
                <w:u w:val="none"/>
              </w:rPr>
              <w:t>6</w:t>
            </w:r>
          </w:p>
        </w:tc>
        <w:tc>
          <w:tcPr>
            <w:tcW w:type="dxa" w:w="1560"/>
          </w:tcPr>
          <w:p>
            <w:pPr>
              <w:spacing w:line="240" w:lineRule="auto" w:before="0" w:after="0"/>
              <w:ind w:firstLine="0"/>
            </w:pPr>
            <w:r>
              <w:rPr>
                <w:sz w:val="16"/>
              </w:rPr>
            </w:r>
            <w:r>
              <w:rPr>
                <w:b w:val="0"/>
                <w:i w:val="0"/>
                <w:sz w:val="16"/>
                <w:u w:val="none"/>
              </w:rPr>
              <w:t>GOODS</w:t>
            </w:r>
          </w:p>
        </w:tc>
        <w:tc>
          <w:tcPr>
            <w:tcW w:type="dxa" w:w="1560"/>
          </w:tcPr>
          <w:p>
            <w:pPr>
              <w:spacing w:line="240" w:lineRule="auto" w:before="0" w:after="0"/>
              <w:ind w:firstLine="0"/>
            </w:pPr>
            <w:r>
              <w:rPr>
                <w:sz w:val="16"/>
              </w:rPr>
            </w:r>
            <w:r>
              <w:rPr>
                <w:b w:val="0"/>
                <w:i w:val="0"/>
                <w:sz w:val="16"/>
                <w:u w:val="none"/>
              </w:rPr>
              <w:t>12.0</w:t>
            </w:r>
          </w:p>
        </w:tc>
        <w:tc>
          <w:tcPr>
            <w:tcW w:type="dxa" w:w="1560"/>
          </w:tcPr>
          <w:p>
            <w:pPr>
              <w:spacing w:line="240" w:lineRule="auto" w:before="0" w:after="0"/>
              <w:ind w:firstLine="0"/>
            </w:pPr>
            <w:r>
              <w:rPr>
                <w:sz w:val="16"/>
              </w:rPr>
            </w:r>
            <w:r>
              <w:rPr>
                <w:b w:val="0"/>
                <w:i w:val="0"/>
                <w:sz w:val="16"/>
                <w:u w:val="none"/>
              </w:rPr>
              <w:t>Merchant</w:t>
            </w:r>
          </w:p>
        </w:tc>
        <w:tc>
          <w:tcPr>
            <w:tcW w:type="dxa" w:w="1560"/>
          </w:tcPr>
          <w:p>
            <w:pPr>
              <w:spacing w:line="240" w:lineRule="auto" w:before="0" w:after="0"/>
              <w:ind w:firstLine="0"/>
            </w:pPr>
            <w:r>
              <w:rPr>
                <w:sz w:val="16"/>
              </w:rPr>
            </w:r>
            <w:r>
              <w:rPr>
                <w:b w:val="0"/>
                <w:i w:val="0"/>
                <w:sz w:val="16"/>
                <w:u w:val="none"/>
              </w:rPr>
              <w:t>Operator</w:t>
            </w:r>
          </w:p>
        </w:tc>
        <w:tc>
          <w:tcPr>
            <w:tcW w:type="dxa" w:w="1560"/>
          </w:tcPr>
          <w:p>
            <w:pPr>
              <w:spacing w:line="240" w:lineRule="auto" w:before="0" w:after="0"/>
              <w:ind w:firstLine="0"/>
            </w:pPr>
            <w:r>
              <w:rPr>
                <w:sz w:val="16"/>
              </w:rPr>
            </w:r>
            <w:r>
              <w:rPr>
                <w:b w:val="0"/>
                <w:i w:val="0"/>
                <w:sz w:val="16"/>
                <w:u w:val="none"/>
              </w:rPr>
              <w:t>0xb4972856…</w:t>
            </w:r>
          </w:p>
        </w:tc>
      </w:tr>
      <w:tr>
        <w:tc>
          <w:tcPr>
            <w:tcW w:type="dxa" w:w="1560"/>
          </w:tcPr>
          <w:p>
            <w:pPr>
              <w:spacing w:line="240" w:lineRule="auto" w:before="0" w:after="0"/>
              <w:ind w:firstLine="0"/>
              <w:jc w:val="center"/>
            </w:pPr>
            <w:r>
              <w:rPr>
                <w:sz w:val="16"/>
              </w:rPr>
            </w:r>
            <w:r>
              <w:rPr>
                <w:b w:val="0"/>
                <w:i w:val="0"/>
                <w:sz w:val="16"/>
                <w:u w:val="none"/>
              </w:rPr>
              <w:t>7</w:t>
            </w:r>
          </w:p>
        </w:tc>
        <w:tc>
          <w:tcPr>
            <w:tcW w:type="dxa" w:w="1560"/>
          </w:tcPr>
          <w:p>
            <w:pPr>
              <w:spacing w:line="240" w:lineRule="auto" w:before="0" w:after="0"/>
              <w:ind w:firstLine="0"/>
            </w:pPr>
            <w:r>
              <w:rPr>
                <w:sz w:val="16"/>
              </w:rPr>
            </w:r>
            <w:r>
              <w:rPr>
                <w:b w:val="0"/>
                <w:i w:val="0"/>
                <w:sz w:val="16"/>
                <w:u w:val="none"/>
              </w:rPr>
              <w:t>SERVICE</w:t>
            </w:r>
          </w:p>
        </w:tc>
        <w:tc>
          <w:tcPr>
            <w:tcW w:type="dxa" w:w="1560"/>
          </w:tcPr>
          <w:p>
            <w:pPr>
              <w:spacing w:line="240" w:lineRule="auto" w:before="0" w:after="0"/>
              <w:ind w:firstLine="0"/>
            </w:pPr>
            <w:r>
              <w:rPr>
                <w:sz w:val="16"/>
              </w:rPr>
            </w:r>
            <w:r>
              <w:rPr>
                <w:b w:val="0"/>
                <w:i w:val="0"/>
                <w:sz w:val="16"/>
                <w:u w:val="none"/>
              </w:rPr>
              <w:t>6.0</w:t>
            </w:r>
          </w:p>
        </w:tc>
        <w:tc>
          <w:tcPr>
            <w:tcW w:type="dxa" w:w="1560"/>
          </w:tcPr>
          <w:p>
            <w:pPr>
              <w:spacing w:line="240" w:lineRule="auto" w:before="0" w:after="0"/>
              <w:ind w:firstLine="0"/>
            </w:pPr>
            <w:r>
              <w:rPr>
                <w:sz w:val="16"/>
              </w:rPr>
            </w:r>
            <w:r>
              <w:rPr>
                <w:b w:val="0"/>
                <w:i w:val="0"/>
                <w:sz w:val="16"/>
                <w:u w:val="none"/>
              </w:rPr>
              <w:t>Gateway</w:t>
            </w:r>
          </w:p>
        </w:tc>
        <w:tc>
          <w:tcPr>
            <w:tcW w:type="dxa" w:w="1560"/>
          </w:tcPr>
          <w:p>
            <w:pPr>
              <w:spacing w:line="240" w:lineRule="auto" w:before="0" w:after="0"/>
              <w:ind w:firstLine="0"/>
            </w:pPr>
            <w:r>
              <w:rPr>
                <w:sz w:val="16"/>
              </w:rPr>
            </w:r>
            <w:r>
              <w:rPr>
                <w:b w:val="0"/>
                <w:i w:val="0"/>
                <w:sz w:val="16"/>
                <w:u w:val="none"/>
              </w:rPr>
              <w:t>Operator</w:t>
            </w:r>
          </w:p>
        </w:tc>
        <w:tc>
          <w:tcPr>
            <w:tcW w:type="dxa" w:w="1560"/>
          </w:tcPr>
          <w:p>
            <w:pPr>
              <w:spacing w:line="240" w:lineRule="auto" w:before="0" w:after="0"/>
              <w:ind w:firstLine="0"/>
            </w:pPr>
            <w:r>
              <w:rPr>
                <w:sz w:val="16"/>
              </w:rPr>
            </w:r>
            <w:r>
              <w:rPr>
                <w:b w:val="0"/>
                <w:i w:val="0"/>
                <w:sz w:val="16"/>
                <w:u w:val="none"/>
              </w:rPr>
              <w:t>0x7bf52655…</w:t>
            </w:r>
          </w:p>
        </w:tc>
      </w:tr>
      <w:tr>
        <w:tc>
          <w:tcPr>
            <w:tcW w:type="dxa" w:w="1560"/>
          </w:tcPr>
          <w:p>
            <w:pPr>
              <w:spacing w:line="240" w:lineRule="auto" w:before="0" w:after="0"/>
              <w:ind w:firstLine="0"/>
              <w:jc w:val="center"/>
            </w:pPr>
            <w:r>
              <w:rPr>
                <w:sz w:val="16"/>
              </w:rPr>
            </w:r>
            <w:r>
              <w:rPr>
                <w:b w:val="0"/>
                <w:i w:val="0"/>
                <w:sz w:val="16"/>
                <w:u w:val="none"/>
              </w:rPr>
              <w:t>8</w:t>
            </w:r>
          </w:p>
        </w:tc>
        <w:tc>
          <w:tcPr>
            <w:tcW w:type="dxa" w:w="1560"/>
          </w:tcPr>
          <w:p>
            <w:pPr>
              <w:spacing w:line="240" w:lineRule="auto" w:before="0" w:after="0"/>
              <w:ind w:firstLine="0"/>
            </w:pPr>
            <w:r>
              <w:rPr>
                <w:sz w:val="16"/>
              </w:rPr>
            </w:r>
            <w:r>
              <w:rPr>
                <w:b w:val="0"/>
                <w:i w:val="0"/>
                <w:sz w:val="16"/>
                <w:u w:val="none"/>
              </w:rPr>
              <w:t>LABOR</w:t>
            </w:r>
          </w:p>
        </w:tc>
        <w:tc>
          <w:tcPr>
            <w:tcW w:type="dxa" w:w="1560"/>
          </w:tcPr>
          <w:p>
            <w:pPr>
              <w:spacing w:line="240" w:lineRule="auto" w:before="0" w:after="0"/>
              <w:ind w:firstLine="0"/>
            </w:pPr>
            <w:r>
              <w:rPr>
                <w:sz w:val="16"/>
              </w:rPr>
            </w:r>
            <w:r>
              <w:rPr>
                <w:b w:val="0"/>
                <w:i w:val="0"/>
                <w:sz w:val="16"/>
                <w:u w:val="none"/>
              </w:rPr>
              <w:t>10.0</w:t>
            </w:r>
          </w:p>
        </w:tc>
        <w:tc>
          <w:tcPr>
            <w:tcW w:type="dxa" w:w="1560"/>
          </w:tcPr>
          <w:p>
            <w:pPr>
              <w:spacing w:line="240" w:lineRule="auto" w:before="0" w:after="0"/>
              <w:ind w:firstLine="0"/>
            </w:pPr>
            <w:r>
              <w:rPr>
                <w:sz w:val="16"/>
              </w:rPr>
            </w:r>
            <w:r>
              <w:rPr>
                <w:b w:val="0"/>
                <w:i w:val="0"/>
                <w:sz w:val="16"/>
                <w:u w:val="none"/>
              </w:rPr>
              <w:t>Maintenance</w:t>
            </w:r>
          </w:p>
        </w:tc>
        <w:tc>
          <w:tcPr>
            <w:tcW w:type="dxa" w:w="1560"/>
          </w:tcPr>
          <w:p>
            <w:pPr>
              <w:spacing w:line="240" w:lineRule="auto" w:before="0" w:after="0"/>
              <w:ind w:firstLine="0"/>
            </w:pPr>
            <w:r>
              <w:rPr>
                <w:sz w:val="16"/>
              </w:rPr>
            </w:r>
            <w:r>
              <w:rPr>
                <w:b w:val="0"/>
                <w:i w:val="0"/>
                <w:sz w:val="16"/>
                <w:u w:val="none"/>
              </w:rPr>
              <w:t>Operator</w:t>
            </w:r>
          </w:p>
        </w:tc>
        <w:tc>
          <w:tcPr>
            <w:tcW w:type="dxa" w:w="1560"/>
          </w:tcPr>
          <w:p>
            <w:pPr>
              <w:spacing w:line="240" w:lineRule="auto" w:before="0" w:after="0"/>
              <w:ind w:firstLine="0"/>
            </w:pPr>
            <w:r>
              <w:rPr>
                <w:sz w:val="16"/>
              </w:rPr>
            </w:r>
            <w:r>
              <w:rPr>
                <w:b w:val="0"/>
                <w:i w:val="0"/>
                <w:sz w:val="16"/>
                <w:u w:val="none"/>
              </w:rPr>
              <w:t>0x1f7cd596…</w:t>
            </w:r>
          </w:p>
        </w:tc>
      </w:tr>
      <w:tr>
        <w:tc>
          <w:tcPr>
            <w:tcW w:type="dxa" w:w="1560"/>
          </w:tcPr>
          <w:p>
            <w:pPr>
              <w:spacing w:line="240" w:lineRule="auto" w:before="0" w:after="0"/>
              <w:ind w:firstLine="0"/>
              <w:jc w:val="center"/>
            </w:pPr>
            <w:r>
              <w:rPr>
                <w:sz w:val="16"/>
              </w:rPr>
            </w:r>
            <w:r>
              <w:rPr>
                <w:b w:val="0"/>
                <w:i w:val="0"/>
                <w:sz w:val="16"/>
                <w:u w:val="none"/>
              </w:rPr>
              <w:t>9</w:t>
            </w:r>
          </w:p>
        </w:tc>
        <w:tc>
          <w:tcPr>
            <w:tcW w:type="dxa" w:w="1560"/>
          </w:tcPr>
          <w:p>
            <w:pPr>
              <w:spacing w:line="240" w:lineRule="auto" w:before="0" w:after="0"/>
              <w:ind w:firstLine="0"/>
            </w:pPr>
            <w:r>
              <w:rPr>
                <w:sz w:val="16"/>
              </w:rPr>
            </w:r>
            <w:r>
              <w:rPr>
                <w:b w:val="0"/>
                <w:i w:val="0"/>
                <w:sz w:val="16"/>
                <w:u w:val="none"/>
              </w:rPr>
              <w:t>GOODS</w:t>
            </w:r>
          </w:p>
        </w:tc>
        <w:tc>
          <w:tcPr>
            <w:tcW w:type="dxa" w:w="1560"/>
          </w:tcPr>
          <w:p>
            <w:pPr>
              <w:spacing w:line="240" w:lineRule="auto" w:before="0" w:after="0"/>
              <w:ind w:firstLine="0"/>
            </w:pPr>
            <w:r>
              <w:rPr>
                <w:sz w:val="16"/>
              </w:rPr>
            </w:r>
            <w:r>
              <w:rPr>
                <w:b w:val="0"/>
                <w:i w:val="0"/>
                <w:sz w:val="16"/>
                <w:u w:val="none"/>
              </w:rPr>
              <w:t>14.0</w:t>
            </w:r>
          </w:p>
        </w:tc>
        <w:tc>
          <w:tcPr>
            <w:tcW w:type="dxa" w:w="1560"/>
          </w:tcPr>
          <w:p>
            <w:pPr>
              <w:spacing w:line="240" w:lineRule="auto" w:before="0" w:after="0"/>
              <w:ind w:firstLine="0"/>
            </w:pPr>
            <w:r>
              <w:rPr>
                <w:sz w:val="16"/>
              </w:rPr>
            </w:r>
            <w:r>
              <w:rPr>
                <w:b w:val="0"/>
                <w:i w:val="0"/>
                <w:sz w:val="16"/>
                <w:u w:val="none"/>
              </w:rPr>
              <w:t>Merchant</w:t>
            </w:r>
          </w:p>
        </w:tc>
        <w:tc>
          <w:tcPr>
            <w:tcW w:type="dxa" w:w="1560"/>
          </w:tcPr>
          <w:p>
            <w:pPr>
              <w:spacing w:line="240" w:lineRule="auto" w:before="0" w:after="0"/>
              <w:ind w:firstLine="0"/>
            </w:pPr>
            <w:r>
              <w:rPr>
                <w:sz w:val="16"/>
              </w:rPr>
            </w:r>
            <w:r>
              <w:rPr>
                <w:b w:val="0"/>
                <w:i w:val="0"/>
                <w:sz w:val="16"/>
                <w:u w:val="none"/>
              </w:rPr>
              <w:t>Operator</w:t>
            </w:r>
          </w:p>
        </w:tc>
        <w:tc>
          <w:tcPr>
            <w:tcW w:type="dxa" w:w="1560"/>
          </w:tcPr>
          <w:p>
            <w:pPr>
              <w:spacing w:line="240" w:lineRule="auto" w:before="0" w:after="0"/>
              <w:ind w:firstLine="0"/>
            </w:pPr>
            <w:r>
              <w:rPr>
                <w:sz w:val="16"/>
              </w:rPr>
            </w:r>
            <w:r>
              <w:rPr>
                <w:b w:val="0"/>
                <w:i w:val="0"/>
                <w:sz w:val="16"/>
                <w:u w:val="none"/>
              </w:rPr>
              <w:t>0x3b912b39…</w:t>
            </w:r>
          </w:p>
        </w:tc>
      </w:tr>
      <w:tr>
        <w:tc>
          <w:tcPr>
            <w:tcW w:type="dxa" w:w="1560"/>
          </w:tcPr>
          <w:p>
            <w:pPr>
              <w:spacing w:line="240" w:lineRule="auto" w:before="0" w:after="0"/>
              <w:ind w:firstLine="0"/>
              <w:jc w:val="center"/>
            </w:pPr>
            <w:r>
              <w:rPr>
                <w:sz w:val="16"/>
              </w:rPr>
            </w:r>
            <w:r>
              <w:rPr>
                <w:b w:val="0"/>
                <w:i w:val="0"/>
                <w:sz w:val="16"/>
                <w:u w:val="none"/>
              </w:rPr>
              <w:t>10</w:t>
            </w:r>
          </w:p>
        </w:tc>
        <w:tc>
          <w:tcPr>
            <w:tcW w:type="dxa" w:w="1560"/>
          </w:tcPr>
          <w:p>
            <w:pPr>
              <w:spacing w:line="240" w:lineRule="auto" w:before="0" w:after="0"/>
              <w:ind w:firstLine="0"/>
            </w:pPr>
            <w:r>
              <w:rPr>
                <w:sz w:val="16"/>
              </w:rPr>
            </w:r>
            <w:r>
              <w:rPr>
                <w:b w:val="0"/>
                <w:i w:val="0"/>
                <w:sz w:val="16"/>
                <w:u w:val="none"/>
              </w:rPr>
              <w:t>NETWORK</w:t>
            </w:r>
          </w:p>
        </w:tc>
        <w:tc>
          <w:tcPr>
            <w:tcW w:type="dxa" w:w="1560"/>
          </w:tcPr>
          <w:p>
            <w:pPr>
              <w:spacing w:line="240" w:lineRule="auto" w:before="0" w:after="0"/>
              <w:ind w:firstLine="0"/>
            </w:pPr>
            <w:r>
              <w:rPr>
                <w:sz w:val="16"/>
              </w:rPr>
            </w:r>
            <w:r>
              <w:rPr>
                <w:b w:val="0"/>
                <w:i w:val="0"/>
                <w:sz w:val="16"/>
                <w:u w:val="none"/>
              </w:rPr>
              <w:t>8.0</w:t>
            </w:r>
          </w:p>
        </w:tc>
        <w:tc>
          <w:tcPr>
            <w:tcW w:type="dxa" w:w="1560"/>
          </w:tcPr>
          <w:p>
            <w:pPr>
              <w:spacing w:line="240" w:lineRule="auto" w:before="0" w:after="0"/>
              <w:ind w:firstLine="0"/>
            </w:pPr>
            <w:r>
              <w:rPr>
                <w:sz w:val="16"/>
              </w:rPr>
            </w:r>
            <w:r>
              <w:rPr>
                <w:b w:val="0"/>
                <w:i w:val="0"/>
                <w:sz w:val="16"/>
                <w:u w:val="none"/>
              </w:rPr>
              <w:t>Network peer</w:t>
            </w:r>
          </w:p>
        </w:tc>
        <w:tc>
          <w:tcPr>
            <w:tcW w:type="dxa" w:w="1560"/>
          </w:tcPr>
          <w:p>
            <w:pPr>
              <w:spacing w:line="240" w:lineRule="auto" w:before="0" w:after="0"/>
              <w:ind w:firstLine="0"/>
            </w:pPr>
            <w:r>
              <w:rPr>
                <w:sz w:val="16"/>
              </w:rPr>
            </w:r>
            <w:r>
              <w:rPr>
                <w:b w:val="0"/>
                <w:i w:val="0"/>
                <w:sz w:val="16"/>
                <w:u w:val="none"/>
              </w:rPr>
              <w:t>Operator</w:t>
            </w:r>
          </w:p>
        </w:tc>
        <w:tc>
          <w:tcPr>
            <w:tcW w:type="dxa" w:w="1560"/>
          </w:tcPr>
          <w:p>
            <w:pPr>
              <w:spacing w:line="240" w:lineRule="auto" w:before="0" w:after="0"/>
              <w:ind w:firstLine="0"/>
            </w:pPr>
            <w:r>
              <w:rPr>
                <w:sz w:val="16"/>
              </w:rPr>
            </w:r>
            <w:r>
              <w:rPr>
                <w:b w:val="0"/>
                <w:i w:val="0"/>
                <w:sz w:val="16"/>
                <w:u w:val="none"/>
              </w:rPr>
              <w:t>0x100b4dec…</w:t>
            </w:r>
          </w:p>
        </w:tc>
      </w:tr>
      <w:tr>
        <w:tc>
          <w:tcPr>
            <w:tcW w:type="dxa" w:w="1560"/>
          </w:tcPr>
          <w:p>
            <w:pPr>
              <w:spacing w:line="240" w:lineRule="auto" w:before="0" w:after="0"/>
              <w:ind w:firstLine="0"/>
              <w:jc w:val="center"/>
            </w:pPr>
            <w:r>
              <w:rPr>
                <w:sz w:val="16"/>
              </w:rPr>
            </w:r>
            <w:r>
              <w:rPr>
                <w:b w:val="0"/>
                <w:i w:val="0"/>
                <w:sz w:val="16"/>
                <w:u w:val="none"/>
              </w:rPr>
              <w:t>11</w:t>
            </w:r>
          </w:p>
        </w:tc>
        <w:tc>
          <w:tcPr>
            <w:tcW w:type="dxa" w:w="1560"/>
          </w:tcPr>
          <w:p>
            <w:pPr>
              <w:spacing w:line="240" w:lineRule="auto" w:before="0" w:after="0"/>
              <w:ind w:firstLine="0"/>
            </w:pPr>
            <w:r>
              <w:rPr>
                <w:sz w:val="16"/>
              </w:rPr>
            </w:r>
            <w:r>
              <w:rPr>
                <w:b w:val="0"/>
                <w:i w:val="0"/>
                <w:sz w:val="16"/>
                <w:u w:val="none"/>
              </w:rPr>
              <w:t>SERVICE</w:t>
            </w:r>
          </w:p>
        </w:tc>
        <w:tc>
          <w:tcPr>
            <w:tcW w:type="dxa" w:w="1560"/>
          </w:tcPr>
          <w:p>
            <w:pPr>
              <w:spacing w:line="240" w:lineRule="auto" w:before="0" w:after="0"/>
              <w:ind w:firstLine="0"/>
            </w:pPr>
            <w:r>
              <w:rPr>
                <w:sz w:val="16"/>
              </w:rPr>
            </w:r>
            <w:r>
              <w:rPr>
                <w:b w:val="0"/>
                <w:i w:val="0"/>
                <w:sz w:val="16"/>
                <w:u w:val="none"/>
              </w:rPr>
              <w:t>6.0</w:t>
            </w:r>
          </w:p>
        </w:tc>
        <w:tc>
          <w:tcPr>
            <w:tcW w:type="dxa" w:w="1560"/>
          </w:tcPr>
          <w:p>
            <w:pPr>
              <w:spacing w:line="240" w:lineRule="auto" w:before="0" w:after="0"/>
              <w:ind w:firstLine="0"/>
            </w:pPr>
            <w:r>
              <w:rPr>
                <w:sz w:val="16"/>
              </w:rPr>
            </w:r>
            <w:r>
              <w:rPr>
                <w:b w:val="0"/>
                <w:i w:val="0"/>
                <w:sz w:val="16"/>
                <w:u w:val="none"/>
              </w:rPr>
              <w:t>Gateway</w:t>
            </w:r>
          </w:p>
        </w:tc>
        <w:tc>
          <w:tcPr>
            <w:tcW w:type="dxa" w:w="1560"/>
          </w:tcPr>
          <w:p>
            <w:pPr>
              <w:spacing w:line="240" w:lineRule="auto" w:before="0" w:after="0"/>
              <w:ind w:firstLine="0"/>
            </w:pPr>
            <w:r>
              <w:rPr>
                <w:sz w:val="16"/>
              </w:rPr>
            </w:r>
            <w:r>
              <w:rPr>
                <w:b w:val="0"/>
                <w:i w:val="0"/>
                <w:sz w:val="16"/>
                <w:u w:val="none"/>
              </w:rPr>
              <w:t>Operator</w:t>
            </w:r>
          </w:p>
        </w:tc>
        <w:tc>
          <w:tcPr>
            <w:tcW w:type="dxa" w:w="1560"/>
          </w:tcPr>
          <w:p>
            <w:pPr>
              <w:spacing w:line="240" w:lineRule="auto" w:before="0" w:after="0"/>
              <w:ind w:firstLine="0"/>
            </w:pPr>
            <w:r>
              <w:rPr>
                <w:sz w:val="16"/>
              </w:rPr>
            </w:r>
            <w:r>
              <w:rPr>
                <w:b w:val="0"/>
                <w:i w:val="0"/>
                <w:sz w:val="16"/>
                <w:u w:val="none"/>
              </w:rPr>
              <w:t>0x7d68647a…</w:t>
            </w:r>
          </w:p>
        </w:tc>
      </w:tr>
      <w:tr>
        <w:tc>
          <w:tcPr>
            <w:tcW w:type="dxa" w:w="1560"/>
          </w:tcPr>
          <w:p>
            <w:pPr>
              <w:spacing w:line="240" w:lineRule="auto" w:before="0" w:after="0"/>
              <w:ind w:firstLine="0"/>
              <w:jc w:val="center"/>
            </w:pPr>
            <w:r>
              <w:rPr>
                <w:sz w:val="16"/>
              </w:rPr>
            </w:r>
            <w:r>
              <w:rPr>
                <w:b w:val="0"/>
                <w:i w:val="0"/>
                <w:sz w:val="16"/>
                <w:u w:val="none"/>
              </w:rPr>
              <w:t>12</w:t>
            </w:r>
          </w:p>
        </w:tc>
        <w:tc>
          <w:tcPr>
            <w:tcW w:type="dxa" w:w="1560"/>
          </w:tcPr>
          <w:p>
            <w:pPr>
              <w:spacing w:line="240" w:lineRule="auto" w:before="0" w:after="0"/>
              <w:ind w:firstLine="0"/>
            </w:pPr>
            <w:r>
              <w:rPr>
                <w:sz w:val="16"/>
              </w:rPr>
            </w:r>
            <w:r>
              <w:rPr>
                <w:b w:val="0"/>
                <w:i w:val="0"/>
                <w:sz w:val="16"/>
                <w:u w:val="none"/>
              </w:rPr>
              <w:t>LABOR</w:t>
            </w:r>
          </w:p>
        </w:tc>
        <w:tc>
          <w:tcPr>
            <w:tcW w:type="dxa" w:w="1560"/>
          </w:tcPr>
          <w:p>
            <w:pPr>
              <w:spacing w:line="240" w:lineRule="auto" w:before="0" w:after="0"/>
              <w:ind w:firstLine="0"/>
            </w:pPr>
            <w:r>
              <w:rPr>
                <w:sz w:val="16"/>
              </w:rPr>
            </w:r>
            <w:r>
              <w:rPr>
                <w:b w:val="0"/>
                <w:i w:val="0"/>
                <w:sz w:val="16"/>
                <w:u w:val="none"/>
              </w:rPr>
              <w:t>10.0</w:t>
            </w:r>
          </w:p>
        </w:tc>
        <w:tc>
          <w:tcPr>
            <w:tcW w:type="dxa" w:w="1560"/>
          </w:tcPr>
          <w:p>
            <w:pPr>
              <w:spacing w:line="240" w:lineRule="auto" w:before="0" w:after="0"/>
              <w:ind w:firstLine="0"/>
            </w:pPr>
            <w:r>
              <w:rPr>
                <w:sz w:val="16"/>
              </w:rPr>
            </w:r>
            <w:r>
              <w:rPr>
                <w:b w:val="0"/>
                <w:i w:val="0"/>
                <w:sz w:val="16"/>
                <w:u w:val="none"/>
              </w:rPr>
              <w:t>Maintenance</w:t>
            </w:r>
          </w:p>
        </w:tc>
        <w:tc>
          <w:tcPr>
            <w:tcW w:type="dxa" w:w="1560"/>
          </w:tcPr>
          <w:p>
            <w:pPr>
              <w:spacing w:line="240" w:lineRule="auto" w:before="0" w:after="0"/>
              <w:ind w:firstLine="0"/>
            </w:pPr>
            <w:r>
              <w:rPr>
                <w:sz w:val="16"/>
              </w:rPr>
            </w:r>
            <w:r>
              <w:rPr>
                <w:b w:val="0"/>
                <w:i w:val="0"/>
                <w:sz w:val="16"/>
                <w:u w:val="none"/>
              </w:rPr>
              <w:t>Operator</w:t>
            </w:r>
          </w:p>
        </w:tc>
        <w:tc>
          <w:tcPr>
            <w:tcW w:type="dxa" w:w="1560"/>
          </w:tcPr>
          <w:p>
            <w:pPr>
              <w:spacing w:line="240" w:lineRule="auto" w:before="0" w:after="0"/>
              <w:ind w:firstLine="0"/>
            </w:pPr>
            <w:r>
              <w:rPr>
                <w:sz w:val="16"/>
              </w:rPr>
            </w:r>
            <w:r>
              <w:rPr>
                <w:b w:val="0"/>
                <w:i w:val="0"/>
                <w:sz w:val="16"/>
                <w:u w:val="none"/>
              </w:rPr>
              <w:t>0xc1eb24c0…</w:t>
            </w:r>
          </w:p>
        </w:tc>
      </w:tr>
      <w:tr>
        <w:tc>
          <w:tcPr>
            <w:tcW w:type="dxa" w:w="1560"/>
          </w:tcPr>
          <w:p>
            <w:pPr>
              <w:spacing w:line="240" w:lineRule="auto" w:before="0" w:after="0"/>
              <w:ind w:firstLine="0"/>
              <w:jc w:val="center"/>
            </w:pPr>
            <w:r>
              <w:rPr>
                <w:sz w:val="16"/>
              </w:rPr>
            </w:r>
            <w:r>
              <w:rPr>
                <w:b w:val="0"/>
                <w:i w:val="0"/>
                <w:sz w:val="16"/>
                <w:u w:val="none"/>
              </w:rPr>
              <w:t>13</w:t>
            </w:r>
          </w:p>
        </w:tc>
        <w:tc>
          <w:tcPr>
            <w:tcW w:type="dxa" w:w="1560"/>
          </w:tcPr>
          <w:p>
            <w:pPr>
              <w:spacing w:line="240" w:lineRule="auto" w:before="0" w:after="0"/>
              <w:ind w:firstLine="0"/>
            </w:pPr>
            <w:r>
              <w:rPr>
                <w:sz w:val="16"/>
              </w:rPr>
            </w:r>
            <w:r>
              <w:rPr>
                <w:b w:val="0"/>
                <w:i w:val="0"/>
                <w:sz w:val="16"/>
                <w:u w:val="none"/>
              </w:rPr>
              <w:t>GOODS</w:t>
            </w:r>
          </w:p>
        </w:tc>
        <w:tc>
          <w:tcPr>
            <w:tcW w:type="dxa" w:w="1560"/>
          </w:tcPr>
          <w:p>
            <w:pPr>
              <w:spacing w:line="240" w:lineRule="auto" w:before="0" w:after="0"/>
              <w:ind w:firstLine="0"/>
            </w:pPr>
            <w:r>
              <w:rPr>
                <w:sz w:val="16"/>
              </w:rPr>
            </w:r>
            <w:r>
              <w:rPr>
                <w:b w:val="0"/>
                <w:i w:val="0"/>
                <w:sz w:val="16"/>
                <w:u w:val="none"/>
              </w:rPr>
              <w:t>14.0</w:t>
            </w:r>
          </w:p>
        </w:tc>
        <w:tc>
          <w:tcPr>
            <w:tcW w:type="dxa" w:w="1560"/>
          </w:tcPr>
          <w:p>
            <w:pPr>
              <w:spacing w:line="240" w:lineRule="auto" w:before="0" w:after="0"/>
              <w:ind w:firstLine="0"/>
            </w:pPr>
            <w:r>
              <w:rPr>
                <w:sz w:val="16"/>
              </w:rPr>
            </w:r>
            <w:r>
              <w:rPr>
                <w:b w:val="0"/>
                <w:i w:val="0"/>
                <w:sz w:val="16"/>
                <w:u w:val="none"/>
              </w:rPr>
              <w:t>Merchant</w:t>
            </w:r>
          </w:p>
        </w:tc>
        <w:tc>
          <w:tcPr>
            <w:tcW w:type="dxa" w:w="1560"/>
          </w:tcPr>
          <w:p>
            <w:pPr>
              <w:spacing w:line="240" w:lineRule="auto" w:before="0" w:after="0"/>
              <w:ind w:firstLine="0"/>
            </w:pPr>
            <w:r>
              <w:rPr>
                <w:sz w:val="16"/>
              </w:rPr>
            </w:r>
            <w:r>
              <w:rPr>
                <w:b w:val="0"/>
                <w:i w:val="0"/>
                <w:sz w:val="16"/>
                <w:u w:val="none"/>
              </w:rPr>
              <w:t>Operator</w:t>
            </w:r>
          </w:p>
        </w:tc>
        <w:tc>
          <w:tcPr>
            <w:tcW w:type="dxa" w:w="1560"/>
          </w:tcPr>
          <w:p>
            <w:pPr>
              <w:spacing w:line="240" w:lineRule="auto" w:before="0" w:after="0"/>
              <w:ind w:firstLine="0"/>
            </w:pPr>
            <w:r>
              <w:rPr>
                <w:sz w:val="16"/>
              </w:rPr>
            </w:r>
            <w:r>
              <w:rPr>
                <w:b w:val="0"/>
                <w:i w:val="0"/>
                <w:sz w:val="16"/>
                <w:u w:val="none"/>
              </w:rPr>
              <w:t>0xd01d4ab8…</w:t>
            </w:r>
          </w:p>
        </w:tc>
      </w:tr>
      <w:tr>
        <w:tc>
          <w:tcPr>
            <w:tcW w:type="dxa" w:w="1560"/>
          </w:tcPr>
          <w:p>
            <w:pPr>
              <w:spacing w:line="240" w:lineRule="auto" w:before="0" w:after="0"/>
              <w:ind w:firstLine="0"/>
              <w:jc w:val="center"/>
            </w:pPr>
            <w:r>
              <w:rPr>
                <w:sz w:val="16"/>
              </w:rPr>
            </w:r>
            <w:r>
              <w:rPr>
                <w:b w:val="0"/>
                <w:i w:val="0"/>
                <w:sz w:val="16"/>
                <w:u w:val="none"/>
              </w:rPr>
              <w:t>14</w:t>
            </w:r>
          </w:p>
        </w:tc>
        <w:tc>
          <w:tcPr>
            <w:tcW w:type="dxa" w:w="1560"/>
          </w:tcPr>
          <w:p>
            <w:pPr>
              <w:spacing w:line="240" w:lineRule="auto" w:before="0" w:after="0"/>
              <w:ind w:firstLine="0"/>
            </w:pPr>
            <w:r>
              <w:rPr>
                <w:sz w:val="16"/>
              </w:rPr>
            </w:r>
            <w:r>
              <w:rPr>
                <w:b w:val="0"/>
                <w:i w:val="0"/>
                <w:sz w:val="16"/>
                <w:u w:val="none"/>
              </w:rPr>
              <w:t>NETWORK</w:t>
            </w:r>
          </w:p>
        </w:tc>
        <w:tc>
          <w:tcPr>
            <w:tcW w:type="dxa" w:w="1560"/>
          </w:tcPr>
          <w:p>
            <w:pPr>
              <w:spacing w:line="240" w:lineRule="auto" w:before="0" w:after="0"/>
              <w:ind w:firstLine="0"/>
            </w:pPr>
            <w:r>
              <w:rPr>
                <w:sz w:val="16"/>
              </w:rPr>
            </w:r>
            <w:r>
              <w:rPr>
                <w:b w:val="0"/>
                <w:i w:val="0"/>
                <w:sz w:val="16"/>
                <w:u w:val="none"/>
              </w:rPr>
              <w:t>8.0</w:t>
            </w:r>
          </w:p>
        </w:tc>
        <w:tc>
          <w:tcPr>
            <w:tcW w:type="dxa" w:w="1560"/>
          </w:tcPr>
          <w:p>
            <w:pPr>
              <w:spacing w:line="240" w:lineRule="auto" w:before="0" w:after="0"/>
              <w:ind w:firstLine="0"/>
            </w:pPr>
            <w:r>
              <w:rPr>
                <w:sz w:val="16"/>
              </w:rPr>
            </w:r>
            <w:r>
              <w:rPr>
                <w:b w:val="0"/>
                <w:i w:val="0"/>
                <w:sz w:val="16"/>
                <w:u w:val="none"/>
              </w:rPr>
              <w:t>Network peer</w:t>
            </w:r>
          </w:p>
        </w:tc>
        <w:tc>
          <w:tcPr>
            <w:tcW w:type="dxa" w:w="1560"/>
          </w:tcPr>
          <w:p>
            <w:pPr>
              <w:spacing w:line="240" w:lineRule="auto" w:before="0" w:after="0"/>
              <w:ind w:firstLine="0"/>
            </w:pPr>
            <w:r>
              <w:rPr>
                <w:sz w:val="16"/>
              </w:rPr>
            </w:r>
            <w:r>
              <w:rPr>
                <w:b w:val="0"/>
                <w:i w:val="0"/>
                <w:sz w:val="16"/>
                <w:u w:val="none"/>
              </w:rPr>
              <w:t>Operator</w:t>
            </w:r>
          </w:p>
        </w:tc>
        <w:tc>
          <w:tcPr>
            <w:tcW w:type="dxa" w:w="1560"/>
          </w:tcPr>
          <w:p>
            <w:pPr>
              <w:spacing w:line="240" w:lineRule="auto" w:before="0" w:after="0"/>
              <w:ind w:firstLine="0"/>
            </w:pPr>
            <w:r>
              <w:rPr>
                <w:sz w:val="16"/>
              </w:rPr>
            </w:r>
            <w:r>
              <w:rPr>
                <w:b w:val="0"/>
                <w:i w:val="0"/>
                <w:sz w:val="16"/>
                <w:u w:val="none"/>
              </w:rPr>
              <w:t>0x2b8e8efb…</w:t>
            </w:r>
          </w:p>
        </w:tc>
      </w:tr>
      <w:tr>
        <w:tc>
          <w:tcPr>
            <w:tcW w:type="dxa" w:w="1560"/>
          </w:tcPr>
          <w:p>
            <w:pPr>
              <w:spacing w:line="240" w:lineRule="auto" w:before="0" w:after="0"/>
              <w:ind w:firstLine="0"/>
              <w:jc w:val="center"/>
            </w:pPr>
            <w:r>
              <w:rPr>
                <w:sz w:val="16"/>
              </w:rPr>
            </w:r>
            <w:r>
              <w:rPr>
                <w:b w:val="0"/>
                <w:i w:val="0"/>
                <w:sz w:val="16"/>
                <w:u w:val="none"/>
              </w:rPr>
              <w:t>15</w:t>
            </w:r>
          </w:p>
        </w:tc>
        <w:tc>
          <w:tcPr>
            <w:tcW w:type="dxa" w:w="1560"/>
          </w:tcPr>
          <w:p>
            <w:pPr>
              <w:spacing w:line="240" w:lineRule="auto" w:before="0" w:after="0"/>
              <w:ind w:firstLine="0"/>
            </w:pPr>
            <w:r>
              <w:rPr>
                <w:sz w:val="16"/>
              </w:rPr>
            </w:r>
            <w:r>
              <w:rPr>
                <w:b w:val="0"/>
                <w:i w:val="0"/>
                <w:sz w:val="16"/>
                <w:u w:val="none"/>
              </w:rPr>
              <w:t>GOODS</w:t>
            </w:r>
          </w:p>
        </w:tc>
        <w:tc>
          <w:tcPr>
            <w:tcW w:type="dxa" w:w="1560"/>
          </w:tcPr>
          <w:p>
            <w:pPr>
              <w:spacing w:line="240" w:lineRule="auto" w:before="0" w:after="0"/>
              <w:ind w:firstLine="0"/>
            </w:pPr>
            <w:r>
              <w:rPr>
                <w:sz w:val="16"/>
              </w:rPr>
            </w:r>
            <w:r>
              <w:rPr>
                <w:b w:val="0"/>
                <w:i w:val="0"/>
                <w:sz w:val="16"/>
                <w:u w:val="none"/>
              </w:rPr>
              <w:t>5.0</w:t>
            </w:r>
          </w:p>
        </w:tc>
        <w:tc>
          <w:tcPr>
            <w:tcW w:type="dxa" w:w="1560"/>
          </w:tcPr>
          <w:p>
            <w:pPr>
              <w:spacing w:line="240" w:lineRule="auto" w:before="0" w:after="0"/>
              <w:ind w:firstLine="0"/>
            </w:pPr>
            <w:r>
              <w:rPr>
                <w:sz w:val="16"/>
              </w:rPr>
            </w:r>
            <w:r>
              <w:rPr>
                <w:b w:val="0"/>
                <w:i w:val="0"/>
                <w:sz w:val="16"/>
                <w:u w:val="none"/>
              </w:rPr>
              <w:t>Merchant</w:t>
            </w:r>
          </w:p>
        </w:tc>
        <w:tc>
          <w:tcPr>
            <w:tcW w:type="dxa" w:w="1560"/>
          </w:tcPr>
          <w:p>
            <w:pPr>
              <w:spacing w:line="240" w:lineRule="auto" w:before="0" w:after="0"/>
              <w:ind w:firstLine="0"/>
            </w:pPr>
            <w:r>
              <w:rPr>
                <w:sz w:val="16"/>
              </w:rPr>
            </w:r>
            <w:r>
              <w:rPr>
                <w:b w:val="0"/>
                <w:i w:val="0"/>
                <w:sz w:val="16"/>
                <w:u w:val="none"/>
              </w:rPr>
              <w:t>Pilot payer</w:t>
            </w:r>
          </w:p>
        </w:tc>
        <w:tc>
          <w:tcPr>
            <w:tcW w:type="dxa" w:w="1560"/>
          </w:tcPr>
          <w:p>
            <w:pPr>
              <w:spacing w:line="240" w:lineRule="auto" w:before="0" w:after="0"/>
              <w:ind w:firstLine="0"/>
            </w:pPr>
            <w:r>
              <w:rPr>
                <w:sz w:val="16"/>
              </w:rPr>
            </w:r>
            <w:r>
              <w:rPr>
                <w:b w:val="0"/>
                <w:i w:val="0"/>
                <w:sz w:val="16"/>
                <w:u w:val="none"/>
              </w:rPr>
              <w:t>0xbd7bb0e5…</w:t>
            </w:r>
          </w:p>
        </w:tc>
      </w:tr>
      <w:tr>
        <w:tc>
          <w:tcPr>
            <w:tcW w:type="dxa" w:w="1560"/>
          </w:tcPr>
          <w:p>
            <w:pPr>
              <w:spacing w:line="240" w:lineRule="auto" w:before="0" w:after="0"/>
              <w:ind w:firstLine="0"/>
              <w:jc w:val="center"/>
            </w:pPr>
            <w:r>
              <w:rPr>
                <w:sz w:val="16"/>
              </w:rPr>
            </w:r>
            <w:r>
              <w:rPr>
                <w:b w:val="0"/>
                <w:i w:val="0"/>
                <w:sz w:val="16"/>
                <w:u w:val="none"/>
              </w:rPr>
              <w:t>16</w:t>
            </w:r>
          </w:p>
        </w:tc>
        <w:tc>
          <w:tcPr>
            <w:tcW w:type="dxa" w:w="1560"/>
          </w:tcPr>
          <w:p>
            <w:pPr>
              <w:spacing w:line="240" w:lineRule="auto" w:before="0" w:after="0"/>
              <w:ind w:firstLine="0"/>
            </w:pPr>
            <w:r>
              <w:rPr>
                <w:sz w:val="16"/>
              </w:rPr>
            </w:r>
            <w:r>
              <w:rPr>
                <w:b w:val="0"/>
                <w:i w:val="0"/>
                <w:sz w:val="16"/>
                <w:u w:val="none"/>
              </w:rPr>
              <w:t>SERVICE</w:t>
            </w:r>
          </w:p>
        </w:tc>
        <w:tc>
          <w:tcPr>
            <w:tcW w:type="dxa" w:w="1560"/>
          </w:tcPr>
          <w:p>
            <w:pPr>
              <w:spacing w:line="240" w:lineRule="auto" w:before="0" w:after="0"/>
              <w:ind w:firstLine="0"/>
            </w:pPr>
            <w:r>
              <w:rPr>
                <w:sz w:val="16"/>
              </w:rPr>
            </w:r>
            <w:r>
              <w:rPr>
                <w:b w:val="0"/>
                <w:i w:val="0"/>
                <w:sz w:val="16"/>
                <w:u w:val="none"/>
              </w:rPr>
              <w:t>6.0</w:t>
            </w:r>
          </w:p>
        </w:tc>
        <w:tc>
          <w:tcPr>
            <w:tcW w:type="dxa" w:w="1560"/>
          </w:tcPr>
          <w:p>
            <w:pPr>
              <w:spacing w:line="240" w:lineRule="auto" w:before="0" w:after="0"/>
              <w:ind w:firstLine="0"/>
            </w:pPr>
            <w:r>
              <w:rPr>
                <w:sz w:val="16"/>
              </w:rPr>
            </w:r>
            <w:r>
              <w:rPr>
                <w:b w:val="0"/>
                <w:i w:val="0"/>
                <w:sz w:val="16"/>
                <w:u w:val="none"/>
              </w:rPr>
              <w:t>Gateway</w:t>
            </w:r>
          </w:p>
        </w:tc>
        <w:tc>
          <w:tcPr>
            <w:tcW w:type="dxa" w:w="1560"/>
          </w:tcPr>
          <w:p>
            <w:pPr>
              <w:spacing w:line="240" w:lineRule="auto" w:before="0" w:after="0"/>
              <w:ind w:firstLine="0"/>
            </w:pPr>
            <w:r>
              <w:rPr>
                <w:sz w:val="16"/>
              </w:rPr>
            </w:r>
            <w:r>
              <w:rPr>
                <w:b w:val="0"/>
                <w:i w:val="0"/>
                <w:sz w:val="16"/>
                <w:u w:val="none"/>
              </w:rPr>
              <w:t>Operator</w:t>
            </w:r>
          </w:p>
        </w:tc>
        <w:tc>
          <w:tcPr>
            <w:tcW w:type="dxa" w:w="1560"/>
          </w:tcPr>
          <w:p>
            <w:pPr>
              <w:spacing w:line="240" w:lineRule="auto" w:before="0" w:after="0"/>
              <w:ind w:firstLine="0"/>
            </w:pPr>
            <w:r>
              <w:rPr>
                <w:sz w:val="16"/>
              </w:rPr>
            </w:r>
            <w:r>
              <w:rPr>
                <w:b w:val="0"/>
                <w:i w:val="0"/>
                <w:sz w:val="16"/>
                <w:u w:val="none"/>
              </w:rPr>
              <w:t>0x7bd6389e…</w:t>
            </w:r>
          </w:p>
        </w:tc>
      </w:tr>
      <w:tr>
        <w:tc>
          <w:tcPr>
            <w:tcW w:type="dxa" w:w="1560"/>
          </w:tcPr>
          <w:p>
            <w:pPr>
              <w:spacing w:line="240" w:lineRule="auto" w:before="0" w:after="0"/>
              <w:ind w:firstLine="0"/>
              <w:jc w:val="center"/>
            </w:pPr>
            <w:r>
              <w:rPr>
                <w:sz w:val="16"/>
              </w:rPr>
            </w:r>
            <w:r>
              <w:rPr>
                <w:b w:val="0"/>
                <w:i w:val="0"/>
                <w:sz w:val="16"/>
                <w:u w:val="none"/>
              </w:rPr>
              <w:t>17</w:t>
            </w:r>
          </w:p>
        </w:tc>
        <w:tc>
          <w:tcPr>
            <w:tcW w:type="dxa" w:w="1560"/>
          </w:tcPr>
          <w:p>
            <w:pPr>
              <w:spacing w:line="240" w:lineRule="auto" w:before="0" w:after="0"/>
              <w:ind w:firstLine="0"/>
            </w:pPr>
            <w:r>
              <w:rPr>
                <w:sz w:val="16"/>
              </w:rPr>
            </w:r>
            <w:r>
              <w:rPr>
                <w:b w:val="0"/>
                <w:i w:val="0"/>
                <w:sz w:val="16"/>
                <w:u w:val="none"/>
              </w:rPr>
              <w:t>LABOR</w:t>
            </w:r>
          </w:p>
        </w:tc>
        <w:tc>
          <w:tcPr>
            <w:tcW w:type="dxa" w:w="1560"/>
          </w:tcPr>
          <w:p>
            <w:pPr>
              <w:spacing w:line="240" w:lineRule="auto" w:before="0" w:after="0"/>
              <w:ind w:firstLine="0"/>
            </w:pPr>
            <w:r>
              <w:rPr>
                <w:sz w:val="16"/>
              </w:rPr>
            </w:r>
            <w:r>
              <w:rPr>
                <w:b w:val="0"/>
                <w:i w:val="0"/>
                <w:sz w:val="16"/>
                <w:u w:val="none"/>
              </w:rPr>
              <w:t>10.0</w:t>
            </w:r>
          </w:p>
        </w:tc>
        <w:tc>
          <w:tcPr>
            <w:tcW w:type="dxa" w:w="1560"/>
          </w:tcPr>
          <w:p>
            <w:pPr>
              <w:spacing w:line="240" w:lineRule="auto" w:before="0" w:after="0"/>
              <w:ind w:firstLine="0"/>
            </w:pPr>
            <w:r>
              <w:rPr>
                <w:sz w:val="16"/>
              </w:rPr>
            </w:r>
            <w:r>
              <w:rPr>
                <w:b w:val="0"/>
                <w:i w:val="0"/>
                <w:sz w:val="16"/>
                <w:u w:val="none"/>
              </w:rPr>
              <w:t>Maintenance</w:t>
            </w:r>
          </w:p>
        </w:tc>
        <w:tc>
          <w:tcPr>
            <w:tcW w:type="dxa" w:w="1560"/>
          </w:tcPr>
          <w:p>
            <w:pPr>
              <w:spacing w:line="240" w:lineRule="auto" w:before="0" w:after="0"/>
              <w:ind w:firstLine="0"/>
            </w:pPr>
            <w:r>
              <w:rPr>
                <w:sz w:val="16"/>
              </w:rPr>
            </w:r>
            <w:r>
              <w:rPr>
                <w:b w:val="0"/>
                <w:i w:val="0"/>
                <w:sz w:val="16"/>
                <w:u w:val="none"/>
              </w:rPr>
              <w:t>Operator</w:t>
            </w:r>
          </w:p>
        </w:tc>
        <w:tc>
          <w:tcPr>
            <w:tcW w:type="dxa" w:w="1560"/>
          </w:tcPr>
          <w:p>
            <w:pPr>
              <w:spacing w:line="240" w:lineRule="auto" w:before="0" w:after="0"/>
              <w:ind w:firstLine="0"/>
            </w:pPr>
            <w:r>
              <w:rPr>
                <w:sz w:val="16"/>
              </w:rPr>
            </w:r>
            <w:r>
              <w:rPr>
                <w:b w:val="0"/>
                <w:i w:val="0"/>
                <w:sz w:val="16"/>
                <w:u w:val="none"/>
              </w:rPr>
              <w:t>0x2fd62cdc…</w:t>
            </w:r>
          </w:p>
        </w:tc>
      </w:tr>
      <w:tr>
        <w:tc>
          <w:tcPr>
            <w:tcW w:type="dxa" w:w="1560"/>
          </w:tcPr>
          <w:p>
            <w:pPr>
              <w:spacing w:line="240" w:lineRule="auto" w:before="0" w:after="0"/>
              <w:ind w:firstLine="0"/>
              <w:jc w:val="center"/>
            </w:pPr>
            <w:r>
              <w:rPr>
                <w:sz w:val="16"/>
              </w:rPr>
            </w:r>
            <w:r>
              <w:rPr>
                <w:b w:val="0"/>
                <w:i w:val="0"/>
                <w:sz w:val="16"/>
                <w:u w:val="none"/>
              </w:rPr>
              <w:t>18</w:t>
            </w:r>
          </w:p>
        </w:tc>
        <w:tc>
          <w:tcPr>
            <w:tcW w:type="dxa" w:w="1560"/>
          </w:tcPr>
          <w:p>
            <w:pPr>
              <w:spacing w:line="240" w:lineRule="auto" w:before="0" w:after="0"/>
              <w:ind w:firstLine="0"/>
            </w:pPr>
            <w:r>
              <w:rPr>
                <w:sz w:val="16"/>
              </w:rPr>
            </w:r>
            <w:r>
              <w:rPr>
                <w:b w:val="0"/>
                <w:i w:val="0"/>
                <w:sz w:val="16"/>
                <w:u w:val="none"/>
              </w:rPr>
              <w:t>SERVICE</w:t>
            </w:r>
          </w:p>
        </w:tc>
        <w:tc>
          <w:tcPr>
            <w:tcW w:type="dxa" w:w="1560"/>
          </w:tcPr>
          <w:p>
            <w:pPr>
              <w:spacing w:line="240" w:lineRule="auto" w:before="0" w:after="0"/>
              <w:ind w:firstLine="0"/>
            </w:pPr>
            <w:r>
              <w:rPr>
                <w:sz w:val="16"/>
              </w:rPr>
            </w:r>
            <w:r>
              <w:rPr>
                <w:b w:val="0"/>
                <w:i w:val="0"/>
                <w:sz w:val="16"/>
                <w:u w:val="none"/>
              </w:rPr>
              <w:t>6.0</w:t>
            </w:r>
          </w:p>
        </w:tc>
        <w:tc>
          <w:tcPr>
            <w:tcW w:type="dxa" w:w="1560"/>
          </w:tcPr>
          <w:p>
            <w:pPr>
              <w:spacing w:line="240" w:lineRule="auto" w:before="0" w:after="0"/>
              <w:ind w:firstLine="0"/>
            </w:pPr>
            <w:r>
              <w:rPr>
                <w:sz w:val="16"/>
              </w:rPr>
            </w:r>
            <w:r>
              <w:rPr>
                <w:b w:val="0"/>
                <w:i w:val="0"/>
                <w:sz w:val="16"/>
                <w:u w:val="none"/>
              </w:rPr>
              <w:t>Gateway</w:t>
            </w:r>
          </w:p>
        </w:tc>
        <w:tc>
          <w:tcPr>
            <w:tcW w:type="dxa" w:w="1560"/>
          </w:tcPr>
          <w:p>
            <w:pPr>
              <w:spacing w:line="240" w:lineRule="auto" w:before="0" w:after="0"/>
              <w:ind w:firstLine="0"/>
            </w:pPr>
            <w:r>
              <w:rPr>
                <w:sz w:val="16"/>
              </w:rPr>
            </w:r>
            <w:r>
              <w:rPr>
                <w:b w:val="0"/>
                <w:i w:val="0"/>
                <w:sz w:val="16"/>
                <w:u w:val="none"/>
              </w:rPr>
              <w:t>Operator</w:t>
            </w:r>
          </w:p>
        </w:tc>
        <w:tc>
          <w:tcPr>
            <w:tcW w:type="dxa" w:w="1560"/>
          </w:tcPr>
          <w:p>
            <w:pPr>
              <w:spacing w:line="240" w:lineRule="auto" w:before="0" w:after="0"/>
              <w:ind w:firstLine="0"/>
            </w:pPr>
            <w:r>
              <w:rPr>
                <w:sz w:val="16"/>
              </w:rPr>
            </w:r>
            <w:r>
              <w:rPr>
                <w:b w:val="0"/>
                <w:i w:val="0"/>
                <w:sz w:val="16"/>
                <w:u w:val="none"/>
              </w:rPr>
              <w:t>0xfc63cd22…</w:t>
            </w:r>
          </w:p>
        </w:tc>
      </w:tr>
      <w:tr>
        <w:tc>
          <w:tcPr>
            <w:tcW w:type="dxa" w:w="1560"/>
          </w:tcPr>
          <w:p>
            <w:pPr>
              <w:spacing w:line="240" w:lineRule="auto" w:before="0" w:after="0"/>
              <w:ind w:firstLine="0"/>
              <w:jc w:val="center"/>
            </w:pPr>
            <w:r>
              <w:rPr>
                <w:sz w:val="16"/>
              </w:rPr>
            </w:r>
            <w:r>
              <w:rPr>
                <w:b w:val="0"/>
                <w:i w:val="0"/>
                <w:sz w:val="16"/>
                <w:u w:val="none"/>
              </w:rPr>
              <w:t>19</w:t>
            </w:r>
          </w:p>
        </w:tc>
        <w:tc>
          <w:tcPr>
            <w:tcW w:type="dxa" w:w="1560"/>
          </w:tcPr>
          <w:p>
            <w:pPr>
              <w:spacing w:line="240" w:lineRule="auto" w:before="0" w:after="0"/>
              <w:ind w:firstLine="0"/>
            </w:pPr>
            <w:r>
              <w:rPr>
                <w:sz w:val="16"/>
              </w:rPr>
            </w:r>
            <w:r>
              <w:rPr>
                <w:b w:val="0"/>
                <w:i w:val="0"/>
                <w:sz w:val="16"/>
                <w:u w:val="none"/>
              </w:rPr>
              <w:t>LABOR</w:t>
            </w:r>
          </w:p>
        </w:tc>
        <w:tc>
          <w:tcPr>
            <w:tcW w:type="dxa" w:w="1560"/>
          </w:tcPr>
          <w:p>
            <w:pPr>
              <w:spacing w:line="240" w:lineRule="auto" w:before="0" w:after="0"/>
              <w:ind w:firstLine="0"/>
            </w:pPr>
            <w:r>
              <w:rPr>
                <w:sz w:val="16"/>
              </w:rPr>
            </w:r>
            <w:r>
              <w:rPr>
                <w:b w:val="0"/>
                <w:i w:val="0"/>
                <w:sz w:val="16"/>
                <w:u w:val="none"/>
              </w:rPr>
              <w:t>10.0</w:t>
            </w:r>
          </w:p>
        </w:tc>
        <w:tc>
          <w:tcPr>
            <w:tcW w:type="dxa" w:w="1560"/>
          </w:tcPr>
          <w:p>
            <w:pPr>
              <w:spacing w:line="240" w:lineRule="auto" w:before="0" w:after="0"/>
              <w:ind w:firstLine="0"/>
            </w:pPr>
            <w:r>
              <w:rPr>
                <w:sz w:val="16"/>
              </w:rPr>
            </w:r>
            <w:r>
              <w:rPr>
                <w:b w:val="0"/>
                <w:i w:val="0"/>
                <w:sz w:val="16"/>
                <w:u w:val="none"/>
              </w:rPr>
              <w:t>Maintenance</w:t>
            </w:r>
          </w:p>
        </w:tc>
        <w:tc>
          <w:tcPr>
            <w:tcW w:type="dxa" w:w="1560"/>
          </w:tcPr>
          <w:p>
            <w:pPr>
              <w:spacing w:line="240" w:lineRule="auto" w:before="0" w:after="0"/>
              <w:ind w:firstLine="0"/>
            </w:pPr>
            <w:r>
              <w:rPr>
                <w:sz w:val="16"/>
              </w:rPr>
            </w:r>
            <w:r>
              <w:rPr>
                <w:b w:val="0"/>
                <w:i w:val="0"/>
                <w:sz w:val="16"/>
                <w:u w:val="none"/>
              </w:rPr>
              <w:t>Operator</w:t>
            </w:r>
          </w:p>
        </w:tc>
        <w:tc>
          <w:tcPr>
            <w:tcW w:type="dxa" w:w="1560"/>
          </w:tcPr>
          <w:p>
            <w:pPr>
              <w:spacing w:line="240" w:lineRule="auto" w:before="0" w:after="0"/>
              <w:ind w:firstLine="0"/>
            </w:pPr>
            <w:r>
              <w:rPr>
                <w:sz w:val="16"/>
              </w:rPr>
            </w:r>
            <w:r>
              <w:rPr>
                <w:b w:val="0"/>
                <w:i w:val="0"/>
                <w:sz w:val="16"/>
                <w:u w:val="none"/>
              </w:rPr>
              <w:t>0xb620ea8c…</w:t>
            </w:r>
          </w:p>
        </w:tc>
      </w:tr>
      <w:tr>
        <w:tc>
          <w:tcPr>
            <w:tcW w:type="dxa" w:w="1560"/>
          </w:tcPr>
          <w:p>
            <w:pPr>
              <w:spacing w:line="240" w:lineRule="auto" w:before="0" w:after="0"/>
              <w:ind w:firstLine="0"/>
              <w:jc w:val="center"/>
            </w:pPr>
            <w:r>
              <w:rPr>
                <w:sz w:val="16"/>
              </w:rPr>
            </w:r>
            <w:r>
              <w:rPr>
                <w:b w:val="0"/>
                <w:i w:val="0"/>
                <w:sz w:val="16"/>
                <w:u w:val="none"/>
              </w:rPr>
              <w:t>20</w:t>
            </w:r>
          </w:p>
        </w:tc>
        <w:tc>
          <w:tcPr>
            <w:tcW w:type="dxa" w:w="1560"/>
          </w:tcPr>
          <w:p>
            <w:pPr>
              <w:spacing w:line="240" w:lineRule="auto" w:before="0" w:after="0"/>
              <w:ind w:firstLine="0"/>
            </w:pPr>
            <w:r>
              <w:rPr>
                <w:sz w:val="16"/>
              </w:rPr>
            </w:r>
            <w:r>
              <w:rPr>
                <w:b w:val="0"/>
                <w:i w:val="0"/>
                <w:sz w:val="16"/>
                <w:u w:val="none"/>
              </w:rPr>
              <w:t>GOODS</w:t>
            </w:r>
          </w:p>
        </w:tc>
        <w:tc>
          <w:tcPr>
            <w:tcW w:type="dxa" w:w="1560"/>
          </w:tcPr>
          <w:p>
            <w:pPr>
              <w:spacing w:line="240" w:lineRule="auto" w:before="0" w:after="0"/>
              <w:ind w:firstLine="0"/>
            </w:pPr>
            <w:r>
              <w:rPr>
                <w:sz w:val="16"/>
              </w:rPr>
            </w:r>
            <w:r>
              <w:rPr>
                <w:b w:val="0"/>
                <w:i w:val="0"/>
                <w:sz w:val="16"/>
                <w:u w:val="none"/>
              </w:rPr>
              <w:t>14.0</w:t>
            </w:r>
          </w:p>
        </w:tc>
        <w:tc>
          <w:tcPr>
            <w:tcW w:type="dxa" w:w="1560"/>
          </w:tcPr>
          <w:p>
            <w:pPr>
              <w:spacing w:line="240" w:lineRule="auto" w:before="0" w:after="0"/>
              <w:ind w:firstLine="0"/>
            </w:pPr>
            <w:r>
              <w:rPr>
                <w:sz w:val="16"/>
              </w:rPr>
            </w:r>
            <w:r>
              <w:rPr>
                <w:b w:val="0"/>
                <w:i w:val="0"/>
                <w:sz w:val="16"/>
                <w:u w:val="none"/>
              </w:rPr>
              <w:t>Merchant</w:t>
            </w:r>
          </w:p>
        </w:tc>
        <w:tc>
          <w:tcPr>
            <w:tcW w:type="dxa" w:w="1560"/>
          </w:tcPr>
          <w:p>
            <w:pPr>
              <w:spacing w:line="240" w:lineRule="auto" w:before="0" w:after="0"/>
              <w:ind w:firstLine="0"/>
            </w:pPr>
            <w:r>
              <w:rPr>
                <w:sz w:val="16"/>
              </w:rPr>
            </w:r>
            <w:r>
              <w:rPr>
                <w:b w:val="0"/>
                <w:i w:val="0"/>
                <w:sz w:val="16"/>
                <w:u w:val="none"/>
              </w:rPr>
              <w:t>Operator</w:t>
            </w:r>
          </w:p>
        </w:tc>
        <w:tc>
          <w:tcPr>
            <w:tcW w:type="dxa" w:w="1560"/>
          </w:tcPr>
          <w:p>
            <w:pPr>
              <w:spacing w:line="240" w:lineRule="auto" w:before="0" w:after="0"/>
              <w:ind w:firstLine="0"/>
            </w:pPr>
            <w:r>
              <w:rPr>
                <w:sz w:val="16"/>
              </w:rPr>
            </w:r>
            <w:r>
              <w:rPr>
                <w:b w:val="0"/>
                <w:i w:val="0"/>
                <w:sz w:val="16"/>
                <w:u w:val="none"/>
              </w:rPr>
              <w:t>0x6b1f3801…</w:t>
            </w:r>
          </w:p>
        </w:tc>
      </w:tr>
      <w:tr>
        <w:tc>
          <w:tcPr>
            <w:tcW w:type="dxa" w:w="1560"/>
          </w:tcPr>
          <w:p>
            <w:pPr>
              <w:spacing w:line="240" w:lineRule="auto" w:before="0" w:after="0"/>
              <w:ind w:firstLine="0"/>
              <w:jc w:val="center"/>
            </w:pPr>
            <w:r>
              <w:rPr>
                <w:sz w:val="16"/>
              </w:rPr>
            </w:r>
            <w:r>
              <w:rPr>
                <w:b w:val="0"/>
                <w:i w:val="0"/>
                <w:sz w:val="16"/>
                <w:u w:val="none"/>
              </w:rPr>
              <w:t>21</w:t>
            </w:r>
          </w:p>
        </w:tc>
        <w:tc>
          <w:tcPr>
            <w:tcW w:type="dxa" w:w="1560"/>
          </w:tcPr>
          <w:p>
            <w:pPr>
              <w:spacing w:line="240" w:lineRule="auto" w:before="0" w:after="0"/>
              <w:ind w:firstLine="0"/>
            </w:pPr>
            <w:r>
              <w:rPr>
                <w:sz w:val="16"/>
              </w:rPr>
            </w:r>
            <w:r>
              <w:rPr>
                <w:b w:val="0"/>
                <w:i w:val="0"/>
                <w:sz w:val="16"/>
                <w:u w:val="none"/>
              </w:rPr>
              <w:t>NETWORK</w:t>
            </w:r>
          </w:p>
        </w:tc>
        <w:tc>
          <w:tcPr>
            <w:tcW w:type="dxa" w:w="1560"/>
          </w:tcPr>
          <w:p>
            <w:pPr>
              <w:spacing w:line="240" w:lineRule="auto" w:before="0" w:after="0"/>
              <w:ind w:firstLine="0"/>
            </w:pPr>
            <w:r>
              <w:rPr>
                <w:sz w:val="16"/>
              </w:rPr>
            </w:r>
            <w:r>
              <w:rPr>
                <w:b w:val="0"/>
                <w:i w:val="0"/>
                <w:sz w:val="16"/>
                <w:u w:val="none"/>
              </w:rPr>
              <w:t>8.0</w:t>
            </w:r>
          </w:p>
        </w:tc>
        <w:tc>
          <w:tcPr>
            <w:tcW w:type="dxa" w:w="1560"/>
          </w:tcPr>
          <w:p>
            <w:pPr>
              <w:spacing w:line="240" w:lineRule="auto" w:before="0" w:after="0"/>
              <w:ind w:firstLine="0"/>
            </w:pPr>
            <w:r>
              <w:rPr>
                <w:sz w:val="16"/>
              </w:rPr>
            </w:r>
            <w:r>
              <w:rPr>
                <w:b w:val="0"/>
                <w:i w:val="0"/>
                <w:sz w:val="16"/>
                <w:u w:val="none"/>
              </w:rPr>
              <w:t>Network peer</w:t>
            </w:r>
          </w:p>
        </w:tc>
        <w:tc>
          <w:tcPr>
            <w:tcW w:type="dxa" w:w="1560"/>
          </w:tcPr>
          <w:p>
            <w:pPr>
              <w:spacing w:line="240" w:lineRule="auto" w:before="0" w:after="0"/>
              <w:ind w:firstLine="0"/>
            </w:pPr>
            <w:r>
              <w:rPr>
                <w:sz w:val="16"/>
              </w:rPr>
            </w:r>
            <w:r>
              <w:rPr>
                <w:b w:val="0"/>
                <w:i w:val="0"/>
                <w:sz w:val="16"/>
                <w:u w:val="none"/>
              </w:rPr>
              <w:t>Operator</w:t>
            </w:r>
          </w:p>
        </w:tc>
        <w:tc>
          <w:tcPr>
            <w:tcW w:type="dxa" w:w="1560"/>
          </w:tcPr>
          <w:p>
            <w:pPr>
              <w:spacing w:line="240" w:lineRule="auto" w:before="0" w:after="0"/>
              <w:ind w:firstLine="0"/>
            </w:pPr>
            <w:r>
              <w:rPr>
                <w:sz w:val="16"/>
              </w:rPr>
            </w:r>
            <w:r>
              <w:rPr>
                <w:b w:val="0"/>
                <w:i w:val="0"/>
                <w:sz w:val="16"/>
                <w:u w:val="none"/>
              </w:rPr>
              <w:t>0x5a72cc73…</w:t>
            </w:r>
          </w:p>
        </w:tc>
      </w:tr>
    </w:tbl>
    <w:p>
      <w:r>
        <w:rPr>
          <w:b w:val="0"/>
          <w:i/>
          <w:color w:val="000000"/>
          <w:u w:val="none"/>
        </w:rPr>
        <w:t>Table 5.4. Indexed network payments on Sepolia (SPK v1). Payment #15 is the wallet-initiated pilot transfer (Pilot payer → Merchant).</w:t>
      </w:r>
    </w:p>
    <w:p>
      <w:pPr>
        <w:pStyle w:val="Heading2"/>
      </w:pPr>
      <w:r>
        <w:rPr>
          <w:color w:val="000000"/>
        </w:rPr>
        <w:t>5.10 Chapter Conclusion</w:t>
      </w:r>
    </w:p>
    <w:p>
      <w:r>
        <w:rPr>
          <w:b w:val="0"/>
          <w:i w:val="0"/>
          <w:color w:val="000000"/>
          <w:u w:val="none"/>
        </w:rPr>
        <w:t>Energy-linked digital finance requires all five constraints together: reliable data, rule-bound issuance, explicit pricing, protected settlement, and limited governance.</w:t>
      </w:r>
    </w:p>
    <w:p>
      <w:r>
        <w:rPr>
          <w:b w:val="0"/>
          <w:i w:val="0"/>
          <w:color w:val="000000"/>
          <w:u w:val="none"/>
        </w:rPr>
        <w:t>The Sepolia prototype shows that the core path can be expressed in code—attested minting, replay-protected payments, redemption accounting, and staged launch gates—while keeping production, legal, and peg claims off the table.</w:t>
      </w:r>
    </w:p>
    <w:p>
      <w:r>
        <w:rPr>
          <w:b w:val="0"/>
          <w:i w:val="0"/>
          <w:color w:val="000000"/>
          <w:u w:val="none"/>
        </w:rPr>
        <w:t>Chapter 6 summarises the bounded thesis answer and what would strengthen or falsify it.</w:t>
      </w:r>
    </w:p>
    <w:p>
      <w:pPr>
        <w:pStyle w:val="QuoteBlock"/>
      </w:pPr>
      <w:r>
        <w:rPr>
          <w:b/>
          <w:i w:val="0"/>
          <w:color w:val="000000"/>
          <w:u w:val="none"/>
        </w:rPr>
        <w:t>Key takeaway:</w:t>
      </w:r>
      <w:r>
        <w:rPr>
          <w:b w:val="0"/>
          <w:i w:val="0"/>
          <w:color w:val="000000"/>
          <w:u w:val="none"/>
        </w:rPr>
        <w:t xml:space="preserve"> All five constraints must work together. SPK v1 shows the rules can run on testnet; it does not prove production readiness, a dollar peg, or legal money.</w:t>
      </w:r>
    </w:p>
    <w:p>
      <w:r>
        <w:br w:type="page"/>
      </w:r>
    </w:p>
    <w:p>
      <w:pPr>
        <w:pStyle w:val="Heading1"/>
      </w:pPr>
      <w:r>
        <w:rPr>
          <w:color w:val="000000"/>
        </w:rPr>
        <w:t>References</w:t>
      </w:r>
    </w:p>
    <w:p>
      <w:pPr>
        <w:pStyle w:val="Bibliography"/>
        <w:ind w:left="720" w:hanging="720"/>
      </w:pPr>
      <w:r>
        <w:rPr>
          <w:b w:val="0"/>
          <w:i w:val="0"/>
          <w:color w:val="000000"/>
          <w:u w:val="none"/>
        </w:rPr>
        <w:t xml:space="preserve">Barro, R. J., &amp; Gordon, D. B. (1983). Rules, discretion and reputation in a model of monetary policy. </w:t>
      </w:r>
      <w:r>
        <w:rPr>
          <w:b w:val="0"/>
          <w:i/>
          <w:color w:val="000000"/>
          <w:u w:val="none"/>
        </w:rPr>
        <w:t>Journal of Monetary Economics, 12</w:t>
      </w:r>
      <w:r>
        <w:rPr>
          <w:b w:val="0"/>
          <w:i w:val="0"/>
          <w:color w:val="000000"/>
          <w:u w:val="none"/>
        </w:rPr>
        <w:t>(1), 101-121.</w:t>
      </w:r>
    </w:p>
    <w:p>
      <w:pPr>
        <w:pStyle w:val="Bibliography"/>
        <w:ind w:left="720" w:hanging="720"/>
      </w:pPr>
      <w:r>
        <w:rPr>
          <w:b w:val="0"/>
          <w:i w:val="0"/>
          <w:color w:val="000000"/>
          <w:u w:val="none"/>
        </w:rPr>
        <w:t xml:space="preserve">Cambridge Centre for Alternative Finance. (n.d.-b). </w:t>
      </w:r>
      <w:r>
        <w:rPr>
          <w:b w:val="0"/>
          <w:i/>
          <w:color w:val="000000"/>
          <w:u w:val="none"/>
        </w:rPr>
        <w:t>CBECI Mining Map: Methodology</w:t>
      </w:r>
      <w:r>
        <w:rPr>
          <w:b w:val="0"/>
          <w:i w:val="0"/>
          <w:color w:val="000000"/>
          <w:u w:val="none"/>
        </w:rPr>
        <w:t>. Cambridge Judge Business School. https://ccaf.io/cbnsi/cbeci/mining_map/methodology</w:t>
      </w:r>
    </w:p>
    <w:p>
      <w:pPr>
        <w:pStyle w:val="Bibliography"/>
        <w:ind w:left="720" w:hanging="720"/>
      </w:pPr>
      <w:r>
        <w:rPr>
          <w:b w:val="0"/>
          <w:i w:val="0"/>
          <w:color w:val="000000"/>
          <w:u w:val="none"/>
        </w:rPr>
        <w:t xml:space="preserve">Eichengreen, B. (1992). </w:t>
      </w:r>
      <w:r>
        <w:rPr>
          <w:b w:val="0"/>
          <w:i/>
          <w:color w:val="000000"/>
          <w:u w:val="none"/>
        </w:rPr>
        <w:t>Golden Fetters: The Gold Standard and the Great Depression, 1919-1939</w:t>
      </w:r>
      <w:r>
        <w:rPr>
          <w:b w:val="0"/>
          <w:i w:val="0"/>
          <w:color w:val="000000"/>
          <w:u w:val="none"/>
        </w:rPr>
        <w:t>. Oxford University Press.</w:t>
      </w:r>
    </w:p>
    <w:p>
      <w:pPr>
        <w:pStyle w:val="Bibliography"/>
        <w:ind w:left="720" w:hanging="720"/>
      </w:pPr>
      <w:r>
        <w:rPr>
          <w:b w:val="0"/>
          <w:i w:val="0"/>
          <w:color w:val="000000"/>
          <w:u w:val="none"/>
        </w:rPr>
        <w:t xml:space="preserve">Ethereum.org. (n.d.). </w:t>
      </w:r>
      <w:r>
        <w:rPr>
          <w:b w:val="0"/>
          <w:i/>
          <w:color w:val="000000"/>
          <w:u w:val="none"/>
        </w:rPr>
        <w:t>The Merge</w:t>
      </w:r>
      <w:r>
        <w:rPr>
          <w:b w:val="0"/>
          <w:i w:val="0"/>
          <w:color w:val="000000"/>
          <w:u w:val="none"/>
        </w:rPr>
        <w:t>. https://ethereum.org/en/upgrades/merge/</w:t>
      </w:r>
    </w:p>
    <w:p>
      <w:pPr>
        <w:pStyle w:val="Bibliography"/>
        <w:ind w:left="720" w:hanging="720"/>
      </w:pPr>
      <w:r>
        <w:rPr>
          <w:b w:val="0"/>
          <w:i w:val="0"/>
          <w:color w:val="000000"/>
          <w:u w:val="none"/>
        </w:rPr>
        <w:t xml:space="preserve">Federal Reserve History. (2013). </w:t>
      </w:r>
      <w:r>
        <w:rPr>
          <w:b w:val="0"/>
          <w:i/>
          <w:color w:val="000000"/>
          <w:u w:val="none"/>
        </w:rPr>
        <w:t>Nixon Ends Convertibility of U.S. Dollars to Gold and Announces Wage/Price Controls</w:t>
      </w:r>
      <w:r>
        <w:rPr>
          <w:b w:val="0"/>
          <w:i w:val="0"/>
          <w:color w:val="000000"/>
          <w:u w:val="none"/>
        </w:rPr>
        <w:t>. https://www.federalreservehistory.org/essays/gold_convertibility_ends</w:t>
      </w:r>
    </w:p>
    <w:p>
      <w:pPr>
        <w:pStyle w:val="Bibliography"/>
        <w:ind w:left="720" w:hanging="720"/>
      </w:pPr>
      <w:r>
        <w:rPr>
          <w:b w:val="0"/>
          <w:i w:val="0"/>
          <w:color w:val="000000"/>
          <w:u w:val="none"/>
        </w:rPr>
        <w:t xml:space="preserve">Friedman, M. (1960). </w:t>
      </w:r>
      <w:r>
        <w:rPr>
          <w:b w:val="0"/>
          <w:i/>
          <w:color w:val="000000"/>
          <w:u w:val="none"/>
        </w:rPr>
        <w:t>A Program for Monetary Stability</w:t>
      </w:r>
      <w:r>
        <w:rPr>
          <w:b w:val="0"/>
          <w:i w:val="0"/>
          <w:color w:val="000000"/>
          <w:u w:val="none"/>
        </w:rPr>
        <w:t>. Fordham University Press.</w:t>
      </w:r>
    </w:p>
    <w:p>
      <w:pPr>
        <w:pStyle w:val="Bibliography"/>
        <w:ind w:left="720" w:hanging="720"/>
      </w:pPr>
      <w:r>
        <w:rPr>
          <w:b w:val="0"/>
          <w:i w:val="0"/>
          <w:color w:val="000000"/>
          <w:u w:val="none"/>
        </w:rPr>
        <w:t xml:space="preserve">Hayes, A. S. (2019). Bitcoin price and its marginal cost of production: Support for a fundamental value. </w:t>
      </w:r>
      <w:r>
        <w:rPr>
          <w:b w:val="0"/>
          <w:i/>
          <w:color w:val="000000"/>
          <w:u w:val="none"/>
        </w:rPr>
        <w:t>Applied Economics Letters, 26</w:t>
      </w:r>
      <w:r>
        <w:rPr>
          <w:b w:val="0"/>
          <w:i w:val="0"/>
          <w:color w:val="000000"/>
          <w:u w:val="none"/>
        </w:rPr>
        <w:t>(7), 554-560.</w:t>
      </w:r>
    </w:p>
    <w:p>
      <w:pPr>
        <w:pStyle w:val="Bibliography"/>
        <w:ind w:left="720" w:hanging="720"/>
      </w:pPr>
      <w:r>
        <w:rPr>
          <w:b w:val="0"/>
          <w:i w:val="0"/>
          <w:color w:val="000000"/>
          <w:u w:val="none"/>
        </w:rPr>
        <w:t xml:space="preserve">International Energy Agency. (2023). </w:t>
      </w:r>
      <w:r>
        <w:rPr>
          <w:b w:val="0"/>
          <w:i/>
          <w:color w:val="000000"/>
          <w:u w:val="none"/>
        </w:rPr>
        <w:t>Scaling Up Private Finance for Clean Energy in Emerging and Developing Economies</w:t>
      </w:r>
      <w:r>
        <w:rPr>
          <w:b w:val="0"/>
          <w:i w:val="0"/>
          <w:color w:val="000000"/>
          <w:u w:val="none"/>
        </w:rPr>
        <w:t>. https://www.iea.org/reports/scaling-up-private-finance-for-clean-energy-in-emerging-and-developing-economies</w:t>
      </w:r>
    </w:p>
    <w:p>
      <w:pPr>
        <w:pStyle w:val="Bibliography"/>
        <w:ind w:left="720" w:hanging="720"/>
      </w:pPr>
      <w:r>
        <w:rPr>
          <w:b w:val="0"/>
          <w:i w:val="0"/>
          <w:color w:val="000000"/>
          <w:u w:val="none"/>
        </w:rPr>
        <w:t xml:space="preserve">Lazard. (2025). </w:t>
      </w:r>
      <w:r>
        <w:rPr>
          <w:b w:val="0"/>
          <w:i/>
          <w:color w:val="000000"/>
          <w:u w:val="none"/>
        </w:rPr>
        <w:t>Levelized Cost of Energy+</w:t>
      </w:r>
      <w:r>
        <w:rPr>
          <w:b w:val="0"/>
          <w:i w:val="0"/>
          <w:color w:val="000000"/>
          <w:u w:val="none"/>
        </w:rPr>
        <w:t>. https://www.lazard.com/research-insights/levelized-cost-of-energyplus/</w:t>
      </w:r>
    </w:p>
    <w:p>
      <w:pPr>
        <w:pStyle w:val="Bibliography"/>
        <w:ind w:left="720" w:hanging="720"/>
      </w:pPr>
      <w:r>
        <w:rPr>
          <w:b w:val="0"/>
          <w:i w:val="0"/>
          <w:color w:val="000000"/>
          <w:u w:val="none"/>
        </w:rPr>
        <w:t xml:space="preserve">Liu, Y., &amp; Tsyvinski, A. (2021). Risks and returns of cryptocurrency. </w:t>
      </w:r>
      <w:r>
        <w:rPr>
          <w:b w:val="0"/>
          <w:i/>
          <w:color w:val="000000"/>
          <w:u w:val="none"/>
        </w:rPr>
        <w:t>The Review of Financial Studies, 34</w:t>
      </w:r>
      <w:r>
        <w:rPr>
          <w:b w:val="0"/>
          <w:i w:val="0"/>
          <w:color w:val="000000"/>
          <w:u w:val="none"/>
        </w:rPr>
        <w:t>(6), 2689-2727.</w:t>
      </w:r>
    </w:p>
    <w:p>
      <w:pPr>
        <w:pStyle w:val="Bibliography"/>
        <w:ind w:left="720" w:hanging="720"/>
      </w:pPr>
      <w:r>
        <w:rPr>
          <w:b w:val="0"/>
          <w:i w:val="0"/>
          <w:color w:val="000000"/>
          <w:u w:val="none"/>
        </w:rPr>
        <w:t xml:space="preserve">Nakamoto, S. (2008). </w:t>
      </w:r>
      <w:r>
        <w:rPr>
          <w:b w:val="0"/>
          <w:i/>
          <w:color w:val="000000"/>
          <w:u w:val="none"/>
        </w:rPr>
        <w:t>Bitcoin: A Peer-to-Peer Electronic Cash System</w:t>
      </w:r>
      <w:r>
        <w:rPr>
          <w:b w:val="0"/>
          <w:i w:val="0"/>
          <w:color w:val="000000"/>
          <w:u w:val="none"/>
        </w:rPr>
        <w:t>. https://bitcoin.org/bitcoin.pdf</w:t>
      </w:r>
    </w:p>
    <w:p>
      <w:pPr>
        <w:pStyle w:val="Bibliography"/>
        <w:ind w:left="720" w:hanging="720"/>
      </w:pPr>
      <w:r>
        <w:rPr>
          <w:b w:val="0"/>
          <w:i w:val="0"/>
          <w:color w:val="000000"/>
          <w:u w:val="none"/>
        </w:rPr>
        <w:t xml:space="preserve">Bank for International Settlements. (2023). </w:t>
      </w:r>
      <w:r>
        <w:rPr>
          <w:b w:val="0"/>
          <w:i/>
          <w:color w:val="000000"/>
          <w:u w:val="none"/>
        </w:rPr>
        <w:t>Annual Economic Report 2023: Blueprint for the future monetary system</w:t>
      </w:r>
      <w:r>
        <w:rPr>
          <w:b w:val="0"/>
          <w:i w:val="0"/>
          <w:color w:val="000000"/>
          <w:u w:val="none"/>
        </w:rPr>
        <w:t>. https://www.bis.org/publ/arpdf/ar2023e3.htm</w:t>
      </w:r>
    </w:p>
    <w:p>
      <w:pPr>
        <w:pStyle w:val="Bibliography"/>
        <w:ind w:left="720" w:hanging="720"/>
      </w:pPr>
      <w:r>
        <w:rPr>
          <w:b w:val="0"/>
          <w:i w:val="0"/>
          <w:color w:val="000000"/>
          <w:u w:val="none"/>
        </w:rPr>
        <w:t xml:space="preserve">Bessembinder, H., &amp; Lemmon, M. L. (2002). Equilibrium pricing and optimal hedging in electricity forward markets. </w:t>
      </w:r>
      <w:r>
        <w:rPr>
          <w:b w:val="0"/>
          <w:i/>
          <w:color w:val="000000"/>
          <w:u w:val="none"/>
        </w:rPr>
        <w:t>Journal of Finance, 57</w:t>
      </w:r>
      <w:r>
        <w:rPr>
          <w:b w:val="0"/>
          <w:i w:val="0"/>
          <w:color w:val="000000"/>
          <w:u w:val="none"/>
        </w:rPr>
        <w:t>(3), 1347-1382.</w:t>
      </w:r>
    </w:p>
    <w:p>
      <w:pPr>
        <w:pStyle w:val="Bibliography"/>
        <w:ind w:left="720" w:hanging="720"/>
      </w:pPr>
      <w:r>
        <w:rPr>
          <w:b w:val="0"/>
          <w:i w:val="0"/>
          <w:color w:val="000000"/>
          <w:u w:val="none"/>
        </w:rPr>
        <w:t xml:space="preserve">Black, F., &amp; Scholes, M. (1973). The pricing of options and corporate liabilities. </w:t>
      </w:r>
      <w:r>
        <w:rPr>
          <w:b w:val="0"/>
          <w:i/>
          <w:color w:val="000000"/>
          <w:u w:val="none"/>
        </w:rPr>
        <w:t>Journal of Political Economy, 81</w:t>
      </w:r>
      <w:r>
        <w:rPr>
          <w:b w:val="0"/>
          <w:i w:val="0"/>
          <w:color w:val="000000"/>
          <w:u w:val="none"/>
        </w:rPr>
        <w:t>(3), 637-654.</w:t>
      </w:r>
    </w:p>
    <w:p>
      <w:pPr>
        <w:pStyle w:val="Bibliography"/>
        <w:ind w:left="720" w:hanging="720"/>
      </w:pPr>
      <w:r>
        <w:rPr>
          <w:b w:val="0"/>
          <w:i w:val="0"/>
          <w:color w:val="000000"/>
          <w:u w:val="none"/>
        </w:rPr>
        <w:t xml:space="preserve">Bordo, M. D. (1993). The gold standard, Bretton Woods and other monetary regimes: A historical appraisal. </w:t>
      </w:r>
      <w:r>
        <w:rPr>
          <w:b w:val="0"/>
          <w:i/>
          <w:color w:val="000000"/>
          <w:u w:val="none"/>
        </w:rPr>
        <w:t>Federal Reserve Bank of St. Louis Review, 75</w:t>
      </w:r>
      <w:r>
        <w:rPr>
          <w:b w:val="0"/>
          <w:i w:val="0"/>
          <w:color w:val="000000"/>
          <w:u w:val="none"/>
        </w:rPr>
        <w:t>(2), 123-191.</w:t>
      </w:r>
    </w:p>
    <w:p>
      <w:pPr>
        <w:pStyle w:val="Bibliography"/>
        <w:ind w:left="720" w:hanging="720"/>
      </w:pPr>
      <w:r>
        <w:rPr>
          <w:b w:val="0"/>
          <w:i w:val="0"/>
          <w:color w:val="000000"/>
          <w:u w:val="none"/>
        </w:rPr>
        <w:t xml:space="preserve">Cambridge Centre for Alternative Finance. (n.d.-a). </w:t>
      </w:r>
      <w:r>
        <w:rPr>
          <w:b w:val="0"/>
          <w:i/>
          <w:color w:val="000000"/>
          <w:u w:val="none"/>
        </w:rPr>
        <w:t>Cambridge Bitcoin Electricity Consumption Index: Methodology</w:t>
      </w:r>
      <w:r>
        <w:rPr>
          <w:b w:val="0"/>
          <w:i w:val="0"/>
          <w:color w:val="000000"/>
          <w:u w:val="none"/>
        </w:rPr>
        <w:t>. Cambridge Judge Business School. https://ccaf.io/cbnsi/cbeci/methodology</w:t>
      </w:r>
    </w:p>
    <w:p>
      <w:pPr>
        <w:pStyle w:val="Bibliography"/>
        <w:ind w:left="720" w:hanging="720"/>
      </w:pPr>
      <w:r>
        <w:rPr>
          <w:b w:val="0"/>
          <w:i w:val="0"/>
          <w:color w:val="000000"/>
          <w:u w:val="none"/>
        </w:rPr>
        <w:t xml:space="preserve">Chainlink. (2025). </w:t>
      </w:r>
      <w:r>
        <w:rPr>
          <w:b w:val="0"/>
          <w:i/>
          <w:color w:val="000000"/>
          <w:u w:val="none"/>
        </w:rPr>
        <w:t>The blockchain oracle problem</w:t>
      </w:r>
      <w:r>
        <w:rPr>
          <w:b w:val="0"/>
          <w:i w:val="0"/>
          <w:color w:val="000000"/>
          <w:u w:val="none"/>
        </w:rPr>
        <w:t>. https://chain.link/education-hub/oracle-problem</w:t>
      </w:r>
    </w:p>
    <w:p>
      <w:pPr>
        <w:pStyle w:val="Bibliography"/>
        <w:ind w:left="720" w:hanging="720"/>
      </w:pPr>
      <w:r>
        <w:rPr>
          <w:b w:val="0"/>
          <w:i w:val="0"/>
          <w:color w:val="000000"/>
          <w:u w:val="none"/>
        </w:rPr>
        <w:t xml:space="preserve">Cong, L. W., &amp; He, Z. (2019). Blockchain disruption and smart contracts. </w:t>
      </w:r>
      <w:r>
        <w:rPr>
          <w:b w:val="0"/>
          <w:i/>
          <w:color w:val="000000"/>
          <w:u w:val="none"/>
        </w:rPr>
        <w:t>The Review of Financial Studies, 32</w:t>
      </w:r>
      <w:r>
        <w:rPr>
          <w:b w:val="0"/>
          <w:i w:val="0"/>
          <w:color w:val="000000"/>
          <w:u w:val="none"/>
        </w:rPr>
        <w:t>(5), 1754-1797.</w:t>
      </w:r>
    </w:p>
    <w:p>
      <w:pPr>
        <w:pStyle w:val="Bibliography"/>
        <w:ind w:left="720" w:hanging="720"/>
      </w:pPr>
      <w:r>
        <w:rPr>
          <w:b w:val="0"/>
          <w:i w:val="0"/>
          <w:color w:val="000000"/>
          <w:u w:val="none"/>
        </w:rPr>
        <w:t xml:space="preserve">Cox, J. C., Ross, S. A., &amp; Rubinstein, M. (1979). Option pricing: A simplified approach. </w:t>
      </w:r>
      <w:r>
        <w:rPr>
          <w:b w:val="0"/>
          <w:i/>
          <w:color w:val="000000"/>
          <w:u w:val="none"/>
        </w:rPr>
        <w:t>Journal of Financial Economics, 7</w:t>
      </w:r>
      <w:r>
        <w:rPr>
          <w:b w:val="0"/>
          <w:i w:val="0"/>
          <w:color w:val="000000"/>
          <w:u w:val="none"/>
        </w:rPr>
        <w:t>(3), 229-263.</w:t>
      </w:r>
    </w:p>
    <w:p>
      <w:pPr>
        <w:pStyle w:val="Bibliography"/>
        <w:ind w:left="720" w:hanging="720"/>
      </w:pPr>
      <w:r>
        <w:rPr>
          <w:b w:val="0"/>
          <w:i w:val="0"/>
          <w:color w:val="000000"/>
          <w:u w:val="none"/>
        </w:rPr>
        <w:t xml:space="preserve">Deng, S. J., &amp; Oren, S. S. (2006). Electricity derivatives and risk management. </w:t>
      </w:r>
      <w:r>
        <w:rPr>
          <w:b w:val="0"/>
          <w:i/>
          <w:color w:val="000000"/>
          <w:u w:val="none"/>
        </w:rPr>
        <w:t>Energy, 31</w:t>
      </w:r>
      <w:r>
        <w:rPr>
          <w:b w:val="0"/>
          <w:i w:val="0"/>
          <w:color w:val="000000"/>
          <w:u w:val="none"/>
        </w:rPr>
        <w:t>(6-7), 940-953.</w:t>
      </w:r>
    </w:p>
    <w:p>
      <w:pPr>
        <w:pStyle w:val="Bibliography"/>
        <w:ind w:left="720" w:hanging="720"/>
      </w:pPr>
      <w:r>
        <w:rPr>
          <w:b w:val="0"/>
          <w:i w:val="0"/>
          <w:color w:val="000000"/>
          <w:u w:val="none"/>
        </w:rPr>
        <w:t xml:space="preserve">Federal Reserve Bank of St. Louis. (2010). </w:t>
      </w:r>
      <w:r>
        <w:rPr>
          <w:b w:val="0"/>
          <w:i/>
          <w:color w:val="000000"/>
          <w:u w:val="none"/>
        </w:rPr>
        <w:t>Central bank credibility and inflation expectations</w:t>
      </w:r>
      <w:r>
        <w:rPr>
          <w:b w:val="0"/>
          <w:i w:val="0"/>
          <w:color w:val="000000"/>
          <w:u w:val="none"/>
        </w:rPr>
        <w:t>. https://www.stlouisfed.org/publications/regional-economist/january-2010/central-bank-credibility-and-inflation-expectations</w:t>
      </w:r>
    </w:p>
    <w:p>
      <w:pPr>
        <w:pStyle w:val="Bibliography"/>
        <w:ind w:left="720" w:hanging="720"/>
      </w:pPr>
      <w:r>
        <w:rPr>
          <w:b w:val="0"/>
          <w:i w:val="0"/>
          <w:color w:val="000000"/>
          <w:u w:val="none"/>
        </w:rPr>
        <w:t xml:space="preserve">Kydland, F. E., &amp; Prescott, E. C. (1977). Rules rather than discretion: The inconsistency of optimal plans. </w:t>
      </w:r>
      <w:r>
        <w:rPr>
          <w:b w:val="0"/>
          <w:i/>
          <w:color w:val="000000"/>
          <w:u w:val="none"/>
        </w:rPr>
        <w:t>Journal of Political Economy, 85</w:t>
      </w:r>
      <w:r>
        <w:rPr>
          <w:b w:val="0"/>
          <w:i w:val="0"/>
          <w:color w:val="000000"/>
          <w:u w:val="none"/>
        </w:rPr>
        <w:t>(3), 473-491.</w:t>
      </w:r>
    </w:p>
    <w:p>
      <w:pPr>
        <w:pStyle w:val="Bibliography"/>
        <w:ind w:left="720" w:hanging="720"/>
      </w:pPr>
      <w:r>
        <w:rPr>
          <w:b w:val="0"/>
          <w:i w:val="0"/>
          <w:color w:val="000000"/>
          <w:u w:val="none"/>
        </w:rPr>
        <w:t xml:space="preserve">NASA POWER. (n.d.). </w:t>
      </w:r>
      <w:r>
        <w:rPr>
          <w:b w:val="0"/>
          <w:i/>
          <w:color w:val="000000"/>
          <w:u w:val="none"/>
        </w:rPr>
        <w:t>Prediction of Worldwide Energy Resources</w:t>
      </w:r>
      <w:r>
        <w:rPr>
          <w:b w:val="0"/>
          <w:i w:val="0"/>
          <w:color w:val="000000"/>
          <w:u w:val="none"/>
        </w:rPr>
        <w:t>. NASA Langley Research Center. https://power.larc.nasa.gov/</w:t>
      </w:r>
    </w:p>
    <w:p>
      <w:pPr>
        <w:pStyle w:val="Bibliography"/>
        <w:ind w:left="720" w:hanging="720"/>
      </w:pPr>
      <w:r>
        <w:rPr>
          <w:b w:val="0"/>
          <w:i w:val="0"/>
          <w:color w:val="000000"/>
          <w:u w:val="none"/>
        </w:rPr>
        <w:t xml:space="preserve">National Renewable Energy Laboratory. (n.d.). </w:t>
      </w:r>
      <w:r>
        <w:rPr>
          <w:b w:val="0"/>
          <w:i/>
          <w:color w:val="000000"/>
          <w:u w:val="none"/>
        </w:rPr>
        <w:t>PVWatts API</w:t>
      </w:r>
      <w:r>
        <w:rPr>
          <w:b w:val="0"/>
          <w:i w:val="0"/>
          <w:color w:val="000000"/>
          <w:u w:val="none"/>
        </w:rPr>
        <w:t>. https://developer.nrel.gov/docs/solar/pvwatts/</w:t>
      </w:r>
    </w:p>
    <w:p>
      <w:pPr>
        <w:pStyle w:val="Bibliography"/>
        <w:ind w:left="720" w:hanging="720"/>
      </w:pPr>
      <w:r>
        <w:rPr>
          <w:b w:val="0"/>
          <w:i w:val="0"/>
          <w:color w:val="000000"/>
          <w:u w:val="none"/>
        </w:rPr>
        <w:t xml:space="preserve">U.S. Department of State, Office of the Historian. (n.d.). </w:t>
      </w:r>
      <w:r>
        <w:rPr>
          <w:b w:val="0"/>
          <w:i/>
          <w:color w:val="000000"/>
          <w:u w:val="none"/>
        </w:rPr>
        <w:t>Nixon and the End of the Bretton Woods System, 1971-1973</w:t>
      </w:r>
      <w:r>
        <w:rPr>
          <w:b w:val="0"/>
          <w:i w:val="0"/>
          <w:color w:val="000000"/>
          <w:u w:val="none"/>
        </w:rPr>
        <w:t>. https://history.state.gov/milestones/1969-1976/nixon-shock</w:t>
      </w:r>
    </w:p>
    <w:p>
      <w:pPr>
        <w:pStyle w:val="Bibliography"/>
        <w:ind w:left="720" w:hanging="720"/>
      </w:pPr>
      <w:r>
        <w:rPr>
          <w:b w:val="0"/>
          <w:i w:val="0"/>
          <w:color w:val="000000"/>
          <w:u w:val="none"/>
        </w:rPr>
        <w:t xml:space="preserve">Cambridge Centre for Alternative Finance. (n.d.-a). </w:t>
      </w:r>
      <w:r>
        <w:rPr>
          <w:b w:val="0"/>
          <w:i/>
          <w:color w:val="000000"/>
          <w:u w:val="none"/>
        </w:rPr>
        <w:t>Cambridge Bitcoin Electricity Consumption Index</w:t>
      </w:r>
      <w:r>
        <w:rPr>
          <w:b w:val="0"/>
          <w:i w:val="0"/>
          <w:color w:val="000000"/>
          <w:u w:val="none"/>
        </w:rPr>
        <w:t>. Cambridge Judge Business School. https://ccaf.io/cbnsi/cbeci</w:t>
      </w:r>
    </w:p>
    <w:p>
      <w:pPr>
        <w:pStyle w:val="Bibliography"/>
        <w:ind w:left="720" w:hanging="720"/>
      </w:pPr>
      <w:r>
        <w:rPr>
          <w:b w:val="0"/>
          <w:i w:val="0"/>
          <w:color w:val="000000"/>
          <w:u w:val="none"/>
        </w:rPr>
        <w:t xml:space="preserve">Bank for International Settlements. (2023). Blueprint for the future monetary system: Improving the old, enabling the new. In </w:t>
      </w:r>
      <w:r>
        <w:rPr>
          <w:b w:val="0"/>
          <w:i/>
          <w:color w:val="000000"/>
          <w:u w:val="none"/>
        </w:rPr>
        <w:t>Annual Economic Report 2023</w:t>
      </w:r>
      <w:r>
        <w:rPr>
          <w:b w:val="0"/>
          <w:i w:val="0"/>
          <w:color w:val="000000"/>
          <w:u w:val="none"/>
        </w:rPr>
        <w:t>. https://www.bis.org/publ/arpdf/ar2023e3.htm</w:t>
      </w:r>
    </w:p>
    <w:p>
      <w:pPr>
        <w:pStyle w:val="Bibliography"/>
        <w:ind w:left="720" w:hanging="720"/>
      </w:pPr>
      <w:r>
        <w:rPr>
          <w:b w:val="0"/>
          <w:i w:val="0"/>
          <w:color w:val="000000"/>
          <w:u w:val="none"/>
        </w:rPr>
        <w:t xml:space="preserve">Chainlink. (n.d.). </w:t>
      </w:r>
      <w:r>
        <w:rPr>
          <w:b w:val="0"/>
          <w:i/>
          <w:color w:val="000000"/>
          <w:u w:val="none"/>
        </w:rPr>
        <w:t>Proof of Reserve</w:t>
      </w:r>
      <w:r>
        <w:rPr>
          <w:b w:val="0"/>
          <w:i w:val="0"/>
          <w:color w:val="000000"/>
          <w:u w:val="none"/>
        </w:rPr>
        <w:t>. https://chain.link/proof-of-reserve</w:t>
      </w:r>
    </w:p>
    <w:p>
      <w:pPr>
        <w:pStyle w:val="Bibliography"/>
        <w:ind w:left="720" w:hanging="720"/>
      </w:pPr>
      <w:r>
        <w:rPr>
          <w:b w:val="0"/>
          <w:i w:val="0"/>
          <w:color w:val="000000"/>
          <w:u w:val="none"/>
        </w:rPr>
        <w:t xml:space="preserve">National Institute of Standards and Technology. (n.d.). </w:t>
      </w:r>
      <w:r>
        <w:rPr>
          <w:b w:val="0"/>
          <w:i/>
          <w:color w:val="000000"/>
          <w:u w:val="none"/>
        </w:rPr>
        <w:t>Smart Grid</w:t>
      </w:r>
      <w:r>
        <w:rPr>
          <w:b w:val="0"/>
          <w:i w:val="0"/>
          <w:color w:val="000000"/>
          <w:u w:val="none"/>
        </w:rPr>
        <w:t>. https://www.nist.gov/engineering-laboratory/smart-grid</w:t>
      </w:r>
    </w:p>
    <w:p>
      <w:pPr>
        <w:pStyle w:val="Bibliography"/>
        <w:ind w:left="720" w:hanging="720"/>
      </w:pPr>
      <w:r>
        <w:rPr>
          <w:b w:val="0"/>
          <w:i w:val="0"/>
          <w:color w:val="000000"/>
          <w:u w:val="none"/>
        </w:rPr>
        <w:t xml:space="preserve">OpenZeppelin. (n.d.). </w:t>
      </w:r>
      <w:r>
        <w:rPr>
          <w:b w:val="0"/>
          <w:i/>
          <w:color w:val="000000"/>
          <w:u w:val="none"/>
        </w:rPr>
        <w:t>ERC20</w:t>
      </w:r>
      <w:r>
        <w:rPr>
          <w:b w:val="0"/>
          <w:i w:val="0"/>
          <w:color w:val="000000"/>
          <w:u w:val="none"/>
        </w:rPr>
        <w:t>. https://docs.openzeppelin.com/contracts/5.x/api/token/ERC20</w:t>
      </w:r>
    </w:p>
    <w:p>
      <w:pPr>
        <w:pStyle w:val="Bibliography"/>
        <w:ind w:left="720" w:hanging="720"/>
      </w:pPr>
      <w:r>
        <w:rPr>
          <w:b w:val="0"/>
          <w:i w:val="0"/>
          <w:color w:val="000000"/>
          <w:u w:val="none"/>
        </w:rPr>
        <w:t xml:space="preserve">SolarPunk project artifacts. (2026). </w:t>
      </w:r>
      <w:r>
        <w:rPr>
          <w:rFonts w:ascii="Courier New" w:hAnsi="Courier New"/>
          <w:b w:val="0"/>
          <w:i w:val="0"/>
          <w:color w:val="000000"/>
          <w:sz w:val="21"/>
          <w:u w:val="none"/>
        </w:rPr>
        <w:t>SPK_ATTESTED_MINT_PROOF.md</w:t>
      </w:r>
      <w:r>
        <w:rPr>
          <w:b w:val="0"/>
          <w:i w:val="0"/>
          <w:color w:val="000000"/>
          <w:u w:val="none"/>
        </w:rPr>
        <w:t xml:space="preserve">, </w:t>
      </w:r>
      <w:r>
        <w:rPr>
          <w:rFonts w:ascii="Courier New" w:hAnsi="Courier New"/>
          <w:b w:val="0"/>
          <w:i w:val="0"/>
          <w:color w:val="000000"/>
          <w:sz w:val="21"/>
          <w:u w:val="none"/>
        </w:rPr>
        <w:t>CURRENCY_SYSTEM_LAB.md</w:t>
      </w:r>
      <w:r>
        <w:rPr>
          <w:b w:val="0"/>
          <w:i w:val="0"/>
          <w:color w:val="000000"/>
          <w:u w:val="none"/>
        </w:rPr>
        <w:t xml:space="preserve">, </w:t>
      </w:r>
      <w:r>
        <w:rPr>
          <w:rFonts w:ascii="Courier New" w:hAnsi="Courier New"/>
          <w:b w:val="0"/>
          <w:i w:val="0"/>
          <w:color w:val="000000"/>
          <w:sz w:val="21"/>
          <w:u w:val="none"/>
        </w:rPr>
        <w:t>CURRENCY_FRAMEWORK_READINESS.md</w:t>
      </w:r>
      <w:r>
        <w:rPr>
          <w:b w:val="0"/>
          <w:i w:val="0"/>
          <w:color w:val="000000"/>
          <w:u w:val="none"/>
        </w:rPr>
        <w:t xml:space="preserve">, and </w:t>
      </w:r>
      <w:r>
        <w:rPr>
          <w:rFonts w:ascii="Courier New" w:hAnsi="Courier New"/>
          <w:b w:val="0"/>
          <w:i w:val="0"/>
          <w:color w:val="000000"/>
          <w:sz w:val="21"/>
          <w:u w:val="none"/>
        </w:rPr>
        <w:t>PRODUCT_LAUNCH_GATE.md</w:t>
      </w:r>
      <w:r>
        <w:rPr>
          <w:b w:val="0"/>
          <w:i w:val="0"/>
          <w:color w:val="000000"/>
          <w:u w:val="none"/>
        </w:rPr>
        <w:t>.</w:t>
      </w:r>
    </w:p>
    <w:sectPr w:rsidR="00FC693F" w:rsidRPr="0006063C" w:rsidSect="00034616">
      <w:footerReference w:type="first" r:id="rId12"/>
      <w:footerReference w:type="default" r:id="rId13"/>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color w:val="000000"/>
        <w:sz w:val="24"/>
      </w:rPr>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480" w:lineRule="auto"/>
      <w:ind w:firstLine="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60" w:after="120" w:line="480" w:lineRule="auto"/>
      <w:ind w:firstLine="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ind w:firstLine="0"/>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60" w:line="480" w:lineRule="auto"/>
      <w:ind w:firstLine="0"/>
      <w:outlineLvl w:val="3"/>
    </w:pPr>
    <w:rPr>
      <w:rFonts w:asciiTheme="majorHAnsi" w:eastAsiaTheme="majorEastAsia" w:hAnsiTheme="majorHAnsi" w:cstheme="majorBidi" w:ascii="Times New Roman" w:hAnsi="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after="0"/>
      <w:ind w:left="720" w:firstLine="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after="0"/>
      <w:ind w:left="720" w:firstLine="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line="240" w:lineRule="auto" w:before="120" w:after="120"/>
      <w:ind w:firstLine="0" w:left="720" w:right="360"/>
    </w:pPr>
    <w:rPr>
      <w:rFonts w:ascii="Courier New" w:hAnsi="Courier New"/>
      <w:sz w:val="21"/>
    </w:rPr>
  </w:style>
  <w:style w:type="paragraph" w:customStyle="1" w:styleId="QuoteBlock">
    <w:name w:val="Quote Block"/>
    <w:basedOn w:val="Normal"/>
    <w:pPr>
      <w:spacing w:line="480" w:lineRule="auto"/>
      <w:ind w:firstLine="0" w:left="720" w:right="360"/>
    </w:pPr>
    <w:rPr>
      <w:i/>
      <w:color w:val="000000"/>
    </w:rPr>
  </w:style>
  <w:style w:type="paragraph" w:customStyle="1" w:styleId="Equation">
    <w:name w:val="Equation"/>
    <w:basedOn w:val="Normal"/>
    <w:pPr>
      <w:spacing w:line="240" w:lineRule="auto" w:before="120" w:after="120"/>
      <w:ind w:firstLine="0"/>
      <w:jc w:val="center"/>
    </w:pPr>
    <w:rPr>
      <w:rFonts w:ascii="Times New Roman" w:hAnsi="Times New Roman"/>
      <w:i/>
      <w:color w:val="000000"/>
      <w:sz w:val="24"/>
    </w:rPr>
  </w:style>
  <w:style w:type="paragraph" w:customStyle="1" w:styleId="EquationLabel">
    <w:name w:val="Equation Label"/>
    <w:basedOn w:val="Normal"/>
    <w:pPr>
      <w:spacing w:before="120" w:after="0"/>
      <w:ind w:firstLine="0"/>
      <w:jc w:val="center"/>
    </w:pPr>
    <w:rPr>
      <w:rFonts w:ascii="Times New Roman" w:hAnsi="Times New Roman"/>
      <w:b/>
      <w:color w:val="000000"/>
      <w:sz w:val="24"/>
    </w:rPr>
  </w:style>
  <w:style w:type="paragraph" w:customStyle="1" w:styleId="Bibliography">
    <w:name w:val="Bibliography"/>
    <w:basedOn w:val="Normal"/>
    <w:pPr>
      <w:spacing w:line="480" w:lineRule="auto" w:after="0"/>
      <w:ind w:left="720" w:hanging="720"/>
    </w:pPr>
    <w:rPr>
      <w:rFonts w:ascii="Times New Roman" w:hAnsi="Times New Roman"/>
      <w:sz w:val="24"/>
    </w:rPr>
  </w:style>
  <w:style w:type="paragraph" w:customStyle="1" w:styleId="TableNote">
    <w:name w:val="Table Note"/>
    <w:basedOn w:val="Normal"/>
    <w:pPr>
      <w:spacing w:before="60" w:after="180" w:line="240" w:lineRule="auto"/>
      <w:ind w:firstLine="0"/>
    </w:pPr>
    <w:rPr>
      <w:rFonts w:ascii="Times New Roman" w:hAnsi="Times New Roman"/>
      <w:i/>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