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br/>
        <w:br/>
      </w:r>
      <w:r>
        <w:rPr>
          <w:rFonts w:ascii="Times New Roman" w:hAnsi="Times New Roman"/>
          <w:sz w:val="28"/>
        </w:rPr>
        <w:t>Department of Finance</w:t>
        <w:br/>
      </w:r>
      <w:r>
        <w:br/>
        <w:br/>
        <w:br/>
      </w:r>
      <w:r>
        <w:rPr>
          <w:rFonts w:ascii="Times New Roman" w:hAnsi="Times New Roman"/>
          <w:b/>
          <w:sz w:val="32"/>
        </w:rPr>
        <w:t>ENERGY-BACKED DERIVATIVES:</w:t>
        <w:br/>
      </w:r>
      <w:r>
        <w:rPr>
          <w:rFonts w:ascii="Times New Roman" w:hAnsi="Times New Roman"/>
          <w:b/>
          <w:sz w:val="32"/>
        </w:rPr>
        <w:t>From Empirical Validation to a Credible</w:t>
        <w:br/>
      </w:r>
      <w:r>
        <w:rPr>
          <w:rFonts w:ascii="Times New Roman" w:hAnsi="Times New Roman"/>
          <w:b/>
          <w:sz w:val="32"/>
        </w:rPr>
        <w:t>Pricing-and-Contract Framework</w:t>
        <w:br/>
      </w:r>
      <w:r>
        <w:br/>
        <w:br/>
        <w:br/>
      </w:r>
      <w:r>
        <w:rPr>
          <w:rFonts w:ascii="Times New Roman" w:hAnsi="Times New Roman"/>
          <w:sz w:val="24"/>
        </w:rPr>
        <w:t>By</w:t>
        <w:br/>
      </w:r>
      <w:r>
        <w:rPr>
          <w:rFonts w:ascii="Times New Roman" w:hAnsi="Times New Roman"/>
          <w:b/>
          <w:sz w:val="28"/>
        </w:rPr>
        <w:t>Christopher Ongko</w:t>
        <w:br/>
      </w:r>
      <w:r>
        <w:rPr>
          <w:rFonts w:ascii="Times New Roman" w:hAnsi="Times New Roman"/>
          <w:sz w:val="24"/>
        </w:rPr>
        <w:t>Student ID: 1133958</w:t>
        <w:br/>
      </w:r>
      <w:r>
        <w:br/>
        <w:br/>
        <w:br/>
      </w:r>
      <w:r>
        <w:rPr>
          <w:rFonts w:ascii="Times New Roman" w:hAnsi="Times New Roman"/>
          <w:sz w:val="24"/>
        </w:rPr>
        <w:t>A thesis submitted in partial fulfillment</w:t>
        <w:br/>
      </w:r>
      <w:r>
        <w:rPr>
          <w:rFonts w:ascii="Times New Roman" w:hAnsi="Times New Roman"/>
          <w:sz w:val="24"/>
        </w:rPr>
        <w:t>of the requirements for the degree of</w:t>
        <w:br/>
      </w:r>
      <w:r>
        <w:rPr>
          <w:rFonts w:ascii="Times New Roman" w:hAnsi="Times New Roman"/>
          <w:sz w:val="24"/>
        </w:rPr>
        <w:t>Master of Science in Finance</w:t>
        <w:br/>
      </w:r>
      <w:r>
        <w:br/>
        <w:br/>
        <w:br/>
      </w:r>
      <w:r>
        <w:rPr>
          <w:rFonts w:ascii="Times New Roman" w:hAnsi="Times New Roman"/>
          <w:b/>
          <w:sz w:val="28"/>
        </w:rPr>
        <w:t>2025</w:t>
      </w:r>
    </w:p>
    <w:p>
      <w:r>
        <w:br w:type="page"/>
      </w:r>
    </w:p>
    <w:p>
      <w:pPr>
        <w:pStyle w:val="Heading1"/>
      </w:pPr>
      <w:r>
        <w:t>Table of Contents</w:t>
      </w:r>
    </w:p>
    <w:p>
      <w:pPr>
        <w:jc w:val="left"/>
      </w:pPr>
      <w:r>
        <w:rPr>
          <w:i/>
          <w:sz w:val="22"/>
        </w:rPr>
        <w:t>[Table of Contents will be auto-generated in Word]</w:t>
        <w:br/>
        <w:br/>
      </w:r>
      <w:r>
        <w:t>To generate the Table of Contents in Microsoft Word:</w:t>
        <w:br/>
      </w:r>
      <w:r>
        <w:t>1. Click at this location</w:t>
        <w:br/>
      </w:r>
      <w:r>
        <w:t>2. Go to References &gt; Table of Contents</w:t>
        <w:br/>
      </w:r>
      <w:r>
        <w:t>3. Select "Automatic Table 1" or "Automatic Table 2"</w:t>
        <w:br/>
      </w:r>
      <w:r>
        <w:t>4. Right-click the TOC and select "Update Field" to refresh</w:t>
        <w:br/>
      </w:r>
    </w:p>
    <w:p>
      <w:r>
        <w:br w:type="page"/>
      </w:r>
    </w:p>
    <w:p>
      <w:pPr>
        <w:pStyle w:val="Heading1"/>
      </w:pPr>
      <w:r>
        <w:t>Abstract</w:t>
      </w:r>
    </w:p>
    <w:p>
      <w:r>
        <w:t>Renewable energy faces a fundamental financing problem: non-storable supply meets variable demand, producing revenue volatility that blocks project finance access for distributed producers. Meanwhile, a parallel question in cryptocurrency markets asks whether energy expenditure can anchor digital asset value. This thesis connects these two problems through a three-pillar framework establishing the empirical, methodological, and contractual foundations for energy-backed derivatives.</w:t>
      </w:r>
    </w:p>
    <w:p>
      <w:r>
        <w:rPr>
          <w:b/>
        </w:rPr>
        <w:t>Pillar 1 (Empirical):</w:t>
      </w:r>
      <w:r>
        <w:t xml:space="preserve"> Using China's June 2021 mining ban as a natural experiment, we provide bias-corrected causal evidence that energy costs anchor cryptocurrency value in a concentration-dependent manner. log(CEIR) is a near-integrated predictor (AR(1) ρ̂ = 0.980, confirmed best specification by AIC); we apply the Amihud-Hurvich (2004) augmented regression to eliminate Stambaugh (1999) bias. The bias-corrected estimate shows one standard deviation decrease in log(CEIR) predicts 10.0 percentage points higher 30-day returns during concentrated mining (β = −0.206, SE = 0.042, p &lt; 0.001, weekly HC1 errors). After geographic dispersion, the effect shrinks to 3.5 pp (β = −0.080, SE = 0.011). Structural break: Chow F = 4.786, p = 0.0009. A horse-race against crypto momentum and investor attention (Liu and Tsyvinski 2021) shows CEIR retains incremental predictive content — the pre-ban coefficient strengthens to β = −0.500 in the full factor model (R² = 0.324). A mechanism test confirms the rational security pricing channel: pre-ban, CEIR effect is 2.8× stronger during low-sentiment (fearful) markets, consistent with security-aware long-horizon holders driving the signal. Post-ban, this rational pattern inverts — the residual predictability is sentiment-correlated, indicating the rational anchor dissolved with geographic dispersion. Block bootstrap (2000 replications): pre-ban 95% CI [−0.371, −0.002], 97.4% of draws β &lt; 0. A Kazakhstan falsification and carbon intensity control confirm geographic concentration — not carbon profile or generic market disruption — as the operative mechanism.</w:t>
      </w:r>
    </w:p>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residualized_ceir.png"/>
                    <pic:cNvPicPr/>
                  </pic:nvPicPr>
                  <pic:blipFill>
                    <a:blip r:embed="rId12"/>
                    <a:stretch>
                      <a:fillRect/>
                    </a:stretch>
                  </pic:blipFill>
                  <pic:spPr>
                    <a:xfrm>
                      <a:off x="0" y="0"/>
                      <a:ext cx="5029200" cy="3352800"/>
                    </a:xfrm>
                    <a:prstGeom prst="rect"/>
                  </pic:spPr>
                </pic:pic>
              </a:graphicData>
            </a:graphic>
          </wp:inline>
        </w:drawing>
      </w:r>
    </w:p>
    <w:p>
      <w:pPr>
        <w:jc w:val="center"/>
      </w:pPr>
      <w:r>
        <w:rPr>
          <w:i/>
          <w:sz w:val="20"/>
        </w:rPr>
        <w:t>Figure 2.4: Residualized CEIR (Controlling for Momentum and Attention)</w:t>
      </w:r>
    </w:p>
    <w:p/>
    <w:p>
      <w:pPr>
        <w:jc w:val="center"/>
      </w:pPr>
      <w:r>
        <w:drawing>
          <wp:inline xmlns:a="http://schemas.openxmlformats.org/drawingml/2006/main" xmlns:pic="http://schemas.openxmlformats.org/drawingml/2006/picture">
            <wp:extent cx="5029200" cy="3574014"/>
            <wp:docPr id="3" name="Picture 3"/>
            <wp:cNvGraphicFramePr>
              <a:graphicFrameLocks noChangeAspect="1"/>
            </wp:cNvGraphicFramePr>
            <a:graphic>
              <a:graphicData uri="http://schemas.openxmlformats.org/drawingml/2006/picture">
                <pic:pic>
                  <pic:nvPicPr>
                    <pic:cNvPr id="0" name="bitcoin_ceir_corrected.png"/>
                    <pic:cNvPicPr/>
                  </pic:nvPicPr>
                  <pic:blipFill>
                    <a:blip r:embed="rId11"/>
                    <a:stretch>
                      <a:fillRect/>
                    </a:stretch>
                  </pic:blipFill>
                  <pic:spPr>
                    <a:xfrm>
                      <a:off x="0" y="0"/>
                      <a:ext cx="5029200" cy="3574014"/>
                    </a:xfrm>
                    <a:prstGeom prst="rect"/>
                  </pic:spPr>
                </pic:pic>
              </a:graphicData>
            </a:graphic>
          </wp:inline>
        </w:drawing>
      </w:r>
    </w:p>
    <w:p>
      <w:pPr>
        <w:jc w:val="center"/>
      </w:pPr>
      <w:r>
        <w:rPr>
          <w:i/>
          <w:sz w:val="20"/>
        </w:rPr>
        <w:t>Figure 2.3: Bias-Corrected CEIR Regression Results</w:t>
      </w:r>
    </w:p>
    <w:p>
      <w:r>
        <w:rPr>
          <w:b/>
        </w:rPr>
        <w:t>Pillar 2 (Pricing):</w:t>
      </w:r>
      <w:r>
        <w:t xml:space="preserve"> We develop a pricing framework for energy-backed derivatives that solves the cold-start problem: how to price instruments in markets with no liquid options. Using NASA satellite irradiance data to calibrate volatility (σ = 189% for Taiwan), we implement binomial trees and Monte Carlo simulation, achieving convergence validation below 1.4% pricing error. The framework generalizes across five global locations, confirming methodology robustness.</w:t>
      </w:r>
    </w:p>
    <w:p>
      <w:r>
        <w:rPr>
          <w:b/>
        </w:rPr>
        <w:t>Pillar 3 (Feasibility):</w:t>
      </w:r>
      <w:r>
        <w:t xml:space="preserve"> We specify the contractual conditions necessary to convert priced payoffs into credible instruments under real-world frictions. Hedge effectiveness is derived analytically from the minimum variance hedge framework: at current oracle quality (5–7% measurement error), variance reduction exceeds 99% for high-volatility markets (σ = 189%). A VaR-based margin framework provides quantified solvency conditions.</w:t>
      </w:r>
    </w:p>
    <w:p>
      <w:r>
        <w:t xml:space="preserve">The thesis claim is that Bitcoin's passive energy anchoring worked under coordination but failed under dispersion — and that this failure motivates </w:t>
      </w:r>
      <w:r>
        <w:rPr>
          <w:i/>
        </w:rPr>
        <w:t>designed</w:t>
      </w:r>
      <w:r>
        <w:t xml:space="preserve"> instruments with explicit energy linkage. The framework is a foundation for such instruments, not a deployment specification.</w:t>
      </w:r>
    </w:p>
    <w:p>
      <w:r>
        <w:rPr>
          <w:b/>
        </w:rPr>
        <w:t>Keywords:</w:t>
      </w:r>
      <w:r>
        <w:t xml:space="preserve"> Energy-backed derivatives, CEIR, cryptocurrency valuation, renewable energy hedging, physics-based pricing, natural experiment, regime-dependent fundamentals</w:t>
      </w:r>
    </w:p>
    <w:p>
      <w:r>
        <w:rPr>
          <w:b/>
        </w:rPr>
        <w:t>JEL Codes:</w:t>
      </w:r>
      <w:r>
        <w:t xml:space="preserve"> G12, G13, Q42, Q47, C63</w:t>
      </w:r>
    </w:p>
    <w:p>
      <w:pPr>
        <w:pStyle w:val="Heading1"/>
      </w:pPr>
      <w:r>
        <w:t>Table of Contents</w:t>
      </w:r>
    </w:p>
    <w:p>
      <w:r>
        <w:rPr>
          <w:b/>
        </w:rPr>
        <w:t>1. Introduction</w:t>
      </w:r>
    </w:p>
    <w:p>
      <w:r>
        <w:t>- 1.1 The Problem This Thesis Addresses</w:t>
      </w:r>
    </w:p>
    <w:p>
      <w:r>
        <w:t>- 1.2 The Passive-to-Active Transition</w:t>
      </w:r>
    </w:p>
    <w:p>
      <w:r>
        <w:t>- 1.3 Why This Matters for Renewable Finance</w:t>
      </w:r>
    </w:p>
    <w:p>
      <w:r>
        <w:t>- 1.4 Research Questions and Contributions</w:t>
      </w:r>
    </w:p>
    <w:p>
      <w:r>
        <w:t>- 1.5 Scope and Boundaries</w:t>
      </w:r>
    </w:p>
    <w:p>
      <w:r>
        <w:rPr>
          <w:b/>
        </w:rPr>
        <w:t>2. Empirical Foundation: Energy Anchoring in Cryptocurrency Markets</w:t>
      </w:r>
    </w:p>
    <w:p>
      <w:r>
        <w:t>- 2.1 Introduction</w:t>
      </w:r>
    </w:p>
    <w:p>
      <w:r>
        <w:t>- 2.2 Literature Review and Theoretical Positioning</w:t>
      </w:r>
    </w:p>
    <w:p>
      <w:r>
        <w:t>- 2.3 Theoretical Background (Production Cost Theory; Geographic Concentration; ETH Merge)</w:t>
      </w:r>
    </w:p>
    <w:p>
      <w:r>
        <w:t>- 2.4 Data and Construction (CEIR Definition; Summary Statistics)</w:t>
      </w:r>
    </w:p>
    <w:p>
      <w:r>
        <w:t>- 2.5 Econometric Strategy (AH Specification; Chow Test; DiD)</w:t>
      </w:r>
    </w:p>
    <w:p>
      <w:r>
        <w:t>- 2.6 Main Results (Regime 1; Geographic Shock; Consensus Shock)</w:t>
      </w:r>
    </w:p>
    <w:p/>
    <w:p>
      <w:pPr>
        <w:jc w:val="center"/>
      </w:pPr>
      <w:r>
        <w:drawing>
          <wp:inline xmlns:a="http://schemas.openxmlformats.org/drawingml/2006/main" xmlns:pic="http://schemas.openxmlformats.org/drawingml/2006/picture">
            <wp:extent cx="5486400" cy="3900796"/>
            <wp:docPr id="1" name="Picture 1"/>
            <wp:cNvGraphicFramePr>
              <a:graphicFrameLocks noChangeAspect="1"/>
            </wp:cNvGraphicFramePr>
            <a:graphic>
              <a:graphicData uri="http://schemas.openxmlformats.org/drawingml/2006/picture">
                <pic:pic>
                  <pic:nvPicPr>
                    <pic:cNvPr id="0" name="comprehensive_ceir_analysis.png"/>
                    <pic:cNvPicPr/>
                  </pic:nvPicPr>
                  <pic:blipFill>
                    <a:blip r:embed="rId9"/>
                    <a:stretch>
                      <a:fillRect/>
                    </a:stretch>
                  </pic:blipFill>
                  <pic:spPr>
                    <a:xfrm>
                      <a:off x="0" y="0"/>
                      <a:ext cx="5486400" cy="3900796"/>
                    </a:xfrm>
                    <a:prstGeom prst="rect"/>
                  </pic:spPr>
                </pic:pic>
              </a:graphicData>
            </a:graphic>
          </wp:inline>
        </w:drawing>
      </w:r>
    </w:p>
    <w:p>
      <w:pPr>
        <w:jc w:val="center"/>
      </w:pPr>
      <w:r>
        <w:rPr>
          <w:i/>
          <w:sz w:val="20"/>
        </w:rPr>
        <w:t>Figure 2.1: Comprehensive CEIR Analysis Across Regimes</w:t>
      </w:r>
    </w:p>
    <w:p>
      <w:r>
        <w:t>- 2.7 Robustness (Placebo; Bootstrap; Sentiment; Rolling Window; RD; Kazakhstan; Carbon; Sub-period)</w:t>
      </w:r>
    </w:p>
    <w:p>
      <w:r>
        <w:t>- 2.8 Implications</w:t>
      </w:r>
    </w:p>
    <w:p>
      <w:r>
        <w:rPr>
          <w:b/>
        </w:rPr>
        <w:t>3. Pricing Framework: Energy-Linked Derivatives</w:t>
      </w:r>
    </w:p>
    <w:p>
      <w:r>
        <w:t>- 3.1 The Cold-Start Problem</w:t>
      </w:r>
    </w:p>
    <w:p>
      <w:r>
        <w:t>- 3.2 Model Setup (GBM Justification; Parameter Calibration)</w:t>
      </w:r>
    </w:p>
    <w:p>
      <w:r>
        <w:t>- 3.3 Binomial Tree Implementation</w:t>
      </w:r>
    </w:p>
    <w:p>
      <w:r>
        <w:t>- 3.4 Monte Carlo Validation</w:t>
      </w:r>
    </w:p>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pricing_convergence_plots.png"/>
                    <pic:cNvPicPr/>
                  </pic:nvPicPr>
                  <pic:blipFill>
                    <a:blip r:embed="rId13"/>
                    <a:stretch>
                      <a:fillRect/>
                    </a:stretch>
                  </pic:blipFill>
                  <pic:spPr>
                    <a:xfrm>
                      <a:off x="0" y="0"/>
                      <a:ext cx="5486400" cy="2194560"/>
                    </a:xfrm>
                    <a:prstGeom prst="rect"/>
                  </pic:spPr>
                </pic:pic>
              </a:graphicData>
            </a:graphic>
          </wp:inline>
        </w:drawing>
      </w:r>
    </w:p>
    <w:p>
      <w:pPr>
        <w:jc w:val="center"/>
      </w:pPr>
      <w:r>
        <w:rPr>
          <w:i/>
          <w:sz w:val="20"/>
        </w:rPr>
        <w:t>Figure 3.1: Binomial Tree vs Monte Carlo Convergence</w:t>
      </w:r>
    </w:p>
    <w:p>
      <w:r>
        <w:t>- 3.5 Risk Parameters (Greeks)</w:t>
      </w:r>
    </w:p>
    <w:p>
      <w:r>
        <w:t>- 3.6 Global Validation</w:t>
      </w:r>
    </w:p>
    <w:p>
      <w:r>
        <w:t>- 3.7 Extended Structures (Moneyness; Put/Collar; Jump-Diffusion; Mean-Reversion)</w:t>
      </w:r>
    </w:p>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xed_trading_strategy.png"/>
                    <pic:cNvPicPr/>
                  </pic:nvPicPr>
                  <pic:blipFill>
                    <a:blip r:embed="rId14"/>
                    <a:stretch>
                      <a:fillRect/>
                    </a:stretch>
                  </pic:blipFill>
                  <pic:spPr>
                    <a:xfrm>
                      <a:off x="0" y="0"/>
                      <a:ext cx="5029200" cy="2514600"/>
                    </a:xfrm>
                    <a:prstGeom prst="rect"/>
                  </pic:spPr>
                </pic:pic>
              </a:graphicData>
            </a:graphic>
          </wp:inline>
        </w:drawing>
      </w:r>
    </w:p>
    <w:p>
      <w:pPr>
        <w:jc w:val="center"/>
      </w:pPr>
      <w:r>
        <w:rPr>
          <w:i/>
          <w:sz w:val="20"/>
        </w:rPr>
        <w:t>Figure 3.2: Option Pricing Across Strike Prices</w:t>
      </w:r>
    </w:p>
    <w:p>
      <w:r>
        <w:t>- 3.8 Limitations</w:t>
      </w:r>
    </w:p>
    <w:p>
      <w:r>
        <w:rPr>
          <w:b/>
        </w:rPr>
        <w:t>4. Contract Feasibility Layer</w:t>
      </w:r>
    </w:p>
    <w:p>
      <w:r>
        <w:t>- 4.1 Why Pricing Is Necessary but Not Sufficient</w:t>
      </w:r>
    </w:p>
    <w:p>
      <w:r>
        <w:t>- 4.2 Instrument Term Sheet</w:t>
      </w:r>
    </w:p>
    <w:p>
      <w:r>
        <w:t>- 4.3 Oracle Architecture and Basis Risk</w:t>
      </w:r>
    </w:p>
    <w:p>
      <w:r>
        <w:t>- 4.4 Solvency: Margin and Default Framework</w:t>
      </w:r>
    </w:p>
    <w:p>
      <w:r>
        <w:t>- 4.5 Market Viability Conditions</w:t>
      </w:r>
    </w:p>
    <w:p>
      <w:r>
        <w:t>- 4.6 Closing the Passive-to-Active Bridge</w:t>
      </w:r>
    </w:p>
    <w:p>
      <w:r>
        <w:rPr>
          <w:b/>
        </w:rPr>
        <w:t>5. Synthesis and Conclusions</w:t>
      </w:r>
    </w:p>
    <w:p>
      <w:r>
        <w:t>- 5.1 Integrated Framework</w:t>
      </w:r>
    </w:p>
    <w:p>
      <w:r>
        <w:t>- 5.2 Answers to Research Questions</w:t>
      </w:r>
    </w:p>
    <w:p>
      <w:r>
        <w:t>- 5.3 Contributions</w:t>
      </w:r>
    </w:p>
    <w:p>
      <w:r>
        <w:t>- 5.4 Limitations</w:t>
      </w:r>
    </w:p>
    <w:p>
      <w:r>
        <w:t>- 5.5 Future Work</w:t>
      </w:r>
    </w:p>
    <w:p>
      <w:r>
        <w:t>- 5.6 Closing Statement</w:t>
      </w:r>
    </w:p>
    <w:p>
      <w:r>
        <w:t>References</w:t>
      </w:r>
    </w:p>
    <w:p>
      <w:pPr>
        <w:pStyle w:val="Heading1"/>
      </w:pPr>
      <w:r>
        <w:t>Chapter 1: Introduction</w:t>
      </w:r>
    </w:p>
    <w:p>
      <w:pPr>
        <w:pStyle w:val="Heading2"/>
      </w:pPr>
      <w:r>
        <w:t>1.1 The Problem This Thesis Addresses</w:t>
      </w:r>
    </w:p>
    <w:p>
      <w:r>
        <w:t>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r>
        <w:t xml:space="preserve">This thesis argues these two problems are the same problem viewed from opposite sides. The cryptocurrency literature asks: </w:t>
      </w:r>
      <w:r>
        <w:rPr>
          <w:i/>
        </w:rPr>
        <w:t>can energy costs create value floors in digital asset markets?</w:t>
      </w:r>
      <w:r>
        <w:t xml:space="preserve"> The renewable energy literature asks: </w:t>
      </w:r>
      <w:r>
        <w:rPr>
          <w:i/>
        </w:rPr>
        <w:t>can financial instruments stabilise energy revenue enough to unlock project finance?</w:t>
      </w:r>
      <w:r>
        <w:t xml:space="preserve"> The answer to the first question, this thesis argues, provides the empirical motivation for designing the second type of instrument.</w:t>
      </w:r>
    </w:p>
    <w:p>
      <w:r>
        <w:t>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pPr>
      <w:r>
        <w:t>1.2 The Passive-to-Active Transition</w:t>
      </w:r>
    </w:p>
    <w:p>
      <w:r>
        <w:t xml:space="preserve">Bitcoin's energy anchor was </w:t>
      </w:r>
      <w:r>
        <w:rPr>
          <w:i/>
        </w:rPr>
        <w:t>passive</w:t>
      </w:r>
      <w:r>
        <w:t>: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r>
        <w:t xml:space="preserve">The key insight is that the </w:t>
      </w:r>
      <w:r>
        <w:rPr>
          <w:i/>
        </w:rPr>
        <w:t>mechanism</w:t>
      </w:r>
      <w:r>
        <w:t xml:space="preserve"> of energy anchoring is sound even when the </w:t>
      </w:r>
      <w:r>
        <w:rPr>
          <w:i/>
        </w:rPr>
        <w:t>implementation</w:t>
      </w:r>
      <w:r>
        <w:t xml:space="preserve"> through uncoordinated mining proved fragile. If energy expenditure genuinely creates value floors under coordination, then </w:t>
      </w:r>
      <w:r>
        <w:rPr>
          <w:i/>
        </w:rPr>
        <w:t>designed</w:t>
      </w:r>
      <w:r>
        <w:t xml:space="preserve">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r>
        <w:t xml:space="preserve">A critical distinction must be stated and defended explicitly, however. Bitcoin's passive anchoring and a designed energy derivative operate through different mechanisms. Bitcoin's floor emerged from thousands of miners independently making the same profit-maximising decision. A derivative's floor is contractual: the seller is obligated to pay </w:t>
      </w:r>
      <w:r>
        <w:rPr>
          <w:rFonts w:ascii="Courier New" w:hAnsi="Courier New"/>
          <w:sz w:val="20"/>
        </w:rPr>
        <w:t>max(K − P, 0)</w:t>
      </w:r>
      <w:r>
        <w:t xml:space="preserve"> at maturity regardless of market conditions, enforced through posted margin and oracle-verified settlement. These are not the same mechanism, and the empirical evidence for one does not automatically transfer to the other.</w:t>
      </w:r>
    </w:p>
    <w:p>
      <w:r>
        <w:t xml:space="preserve">The connection is epistemic, not mechanical: the CEIR evidence establishes that </w:t>
      </w:r>
      <w:r>
        <w:rPr>
          <w:i/>
        </w:rPr>
        <w:t>markets recognise and price energy cost floors when those floors are credibly enforced</w:t>
      </w:r>
      <w:r>
        <w:t xml:space="preserve">. In Bitcoin's concentrated era, the floor was credible because the enforcement mechanism — miner arbitrage — was transparent, large-scale, and operationally difficult to circumvent. In the derivative, credibility is contractual: the floor holds when oracle measurement error is bounded and seller solvency is guaranteed by posted collateral. The derivative replicates the </w:t>
      </w:r>
      <w:r>
        <w:rPr>
          <w:i/>
        </w:rPr>
        <w:t>credibility condition</w:t>
      </w:r>
      <w:r>
        <w:t>, not the mining process itself.</w:t>
      </w:r>
    </w:p>
    <w:p>
      <w:r>
        <w:t>The logical chain is therefore: (1) markets price credible energy floors, established empirically in Chapter 2; (2) the derivative creates a credible energy floor when oracle error is below a specified threshold and margin is sufficient, established analytically in Chapters 3 and 4; therefore (3) the derivative's premium is justifiable by the same market logic that the CEIR evidence documents. The gap between passive and active anchoring is closed not by claiming the mechanisms are identical, but by showing they satisfy the same credibility condition that markets respond to.</w:t>
      </w:r>
    </w:p>
    <w:p>
      <w:pPr>
        <w:pStyle w:val="Heading2"/>
      </w:pPr>
      <w:r>
        <w:t>1.3 Why This Matters for Renewable Finance</w:t>
      </w:r>
    </w:p>
    <w:p>
      <w:r>
        <w:t>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r>
        <w:t>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pPr>
      <w:r>
        <w:t>1.4 Research Questions and Contributions</w:t>
      </w:r>
    </w:p>
    <w:p>
      <w:r>
        <w:t>This thesis addresses three research questions:</w:t>
      </w:r>
    </w:p>
    <w:p>
      <w:r>
        <w:rPr>
          <w:b/>
        </w:rPr>
        <w:t>RQ1 (Empirics):</w:t>
      </w:r>
      <w:r>
        <w:t xml:space="preserve"> Do energy costs anchor cryptocurrency value, and is the relationship structural or regime-dependent?</w:t>
      </w:r>
    </w:p>
    <w:p>
      <w:r>
        <w:rPr>
          <w:b/>
        </w:rPr>
        <w:t>RQ2 (Pricing):</w:t>
      </w:r>
      <w:r>
        <w:t xml:space="preserve"> How should an energy-linked derivative be priced and validated when volatility is physics-driven and the underlying commodity is non-storable?</w:t>
      </w:r>
    </w:p>
    <w:p>
      <w:r>
        <w:rPr>
          <w:b/>
        </w:rPr>
        <w:t>RQ3 (Feasibility):</w:t>
      </w:r>
      <w:r>
        <w:t xml:space="preserve"> What minimum contract specifications and risk controls are required for an energy-backed derivative to remain credible under oracle error, manipulation risk, and tail events?</w:t>
      </w:r>
    </w:p>
    <w:p>
      <w:r>
        <w:t>The contributions corresponding to each question are:</w:t>
      </w:r>
    </w:p>
    <w:p>
      <w:r>
        <w:rPr>
          <w:b/>
        </w:rPr>
        <w:t>Contribution 1 (Empirical):</w:t>
      </w:r>
      <w:r>
        <w:t xml:space="preserve"> First causal evidence that energy anchoring of cryptocurrency value is </w:t>
      </w:r>
      <w:r>
        <w:rPr>
          <w:i/>
        </w:rPr>
        <w:t>regime-dependent</w:t>
      </w:r>
      <w:r>
        <w: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 The primary causal identification rests on the China ban as a dual natural experiment (pre-ban baseline + post-ban structural break), with the Ethereum merge providing corroborative descriptive evidence; the parallel trends assumption required for causal DiD identification of the ETH merge effect is violated by pre-merge anticipation trading (Section 2.6.3) and carries no independent causal weight. The finding that geographic dispersion attenuates anchoring 3× even as absolute electricity costs rise directly challenges naïve production-cost theory and identifies coordination — not cost level — as the operative mechanism.</w:t>
      </w:r>
    </w:p>
    <w:p>
      <w:r>
        <w:rPr>
          <w:b/>
        </w:rPr>
        <w:t>Contribution 2 (Methodological):</w:t>
      </w:r>
      <w:r>
        <w:t xml:space="preserve"> First application of physics-based volatility — satellite irradiance data rather than market-implied or historical price volatility — to the pricing of energy-linked derivatives. This solves the cold-start problem for instruments in markets without existing options, bypassing the calibration circularity that has blocked instrument design in emerging solar markets. All parameters are derived from public data (NASA POWER); the framework has been validated across five global markets; and it is reproducible without proprietary data access.</w:t>
      </w:r>
    </w:p>
    <w:p>
      <w:r>
        <w:rPr>
          <w:b/>
        </w:rPr>
        <w:t>Contribution 3 (Applied):</w:t>
      </w:r>
      <w:r>
        <w:t xml:space="preserve"> First treatment of oracle quality as a </w:t>
      </w:r>
      <w:r>
        <w:rPr>
          <w:i/>
        </w:rPr>
        <w:t>continuous design parameter</w:t>
      </w:r>
      <w:r>
        <w:t xml:space="preserve"> — rather than a binary adequacy constraint — in non-storable commodity derivatives. Hedge effectiveness is derived analytically from the minimum variance hedge framework (Hull 2018): variance reduction = σ_X²/(σ_X² + σ_ε²), where σ_X is the payoff standard deviation and σ_ε is oracle noise. In high-volatility markets (σ ≥ 100%), this formula shows the instrument is highly robust to oracle error — exceeding 95% variance reduction at 20% oracle error. This volatility-scaled robustness result is novel and has direct implications for market design in emerging solar markets. Margin requirements are derived consistently from the pricing model's distributional assumptions, producing a complete, internally consistent feasibility specification.</w:t>
      </w:r>
    </w:p>
    <w:p>
      <w:pPr>
        <w:pStyle w:val="Heading2"/>
      </w:pPr>
      <w:r>
        <w:t>1.5 Scope and Boundaries</w:t>
      </w:r>
    </w:p>
    <w:p>
      <w:r>
        <w:t xml:space="preserve">This thesis establishes </w:t>
      </w:r>
      <w:r>
        <w:rPr>
          <w:i/>
        </w:rPr>
        <w:t>feasibility</w:t>
      </w:r>
      <w:r>
        <w:t xml:space="preserve"> — empirical, methodological, and contractual. It does not deliver a deployed protocol, a functioning token, or a market. The distinction matters for three reasons. First, deployment requires institutional partnerships, regulatory engagement, and liquidity bootstrapping that are explicitly outside the scope of academic research. Second, the feasibility case is a necessary precondition for responsible deployment claims; the existing literature on energy-backed assets has not established this case rigorously. Third, explicitly scoping to feasibility protects the academic contribution: deployment success depends on factors outside the researcher's control, while the empirical and methodological contributions stand independently.</w:t>
      </w:r>
    </w:p>
    <w:p>
      <w:r>
        <w:t>The SolarPunk Protocol referenced in related project materials represents one possible implementation of the framework developed here. It is treated throughout this thesis as illustrative of the instrument class, not as the subject of evaluation.</w:t>
      </w:r>
    </w:p>
    <w:p>
      <w:pPr>
        <w:pStyle w:val="Heading2"/>
      </w:pPr>
      <w:r>
        <w:t>1.6 Thesis Structure</w:t>
      </w:r>
    </w:p>
    <w:p>
      <w:r>
        <w:t>Chapter 2 establishes the empirical foundation by testing the energy anchoring hypothesis in cryptocurrency markets through natural experiments. Chapter 3 develops the pricing framework for energy-linked derivatives using physics-based volatility. Chapter 4 specifies the contract layer translating priced payoffs into credible instruments. Chapter 5 synthesises the three pillars and answers the research questions directly.</w:t>
      </w:r>
    </w:p>
    <w:p>
      <w:pPr>
        <w:pStyle w:val="Heading1"/>
      </w:pPr>
      <w:r>
        <w:t>Chapter 2: Empirical Foundation — Energy Anchoring in Cryptocurrency Markets</w:t>
      </w:r>
    </w:p>
    <w:p>
      <w:pPr>
        <w:pStyle w:val="Heading2"/>
      </w:pPr>
      <w:r>
        <w:t>2.1 Introduction</w:t>
      </w:r>
    </w:p>
    <w:p>
      <w:r>
        <w:t>The hypothesis that production costs anchor asset prices is well-established in commodity markets. Mining costs support gold prices; extraction costs inform oil price floors. The analogous claim for Bitcoin — that electricity expenditure creates a production cost floor — has theoretical appeal but limited causal evidence. Bitcoin mining approximates competitive conditions: homogeneous output, transparent costs, and free entry and exit. If energy costs create value floors, the mechanism operates through rational arbitrage by miners who accumulate when prices fall below production cost.</w:t>
      </w:r>
    </w:p>
    <w:p>
      <w:r>
        <w:t>This chapter tests the hypothesis using the Cumulative Energy Investment Ratio (CEIR), a novel valuation metric defined as the ratio of market capitalisation to cumulative historical energy expenditure. Two exogenous shocks provide the primary causal identification: the baseline period (2018–2021) tests the relationship during concentrated mining, and China's June 2021 mining ban provides exogenous geographic dispersion with a clean structural break. Ethereum's September 2022 proof-of-stake transition is examined as corroborative evidence; as Section 2.6.3 establishes, the parallel trends assumption required for causal DiD identification is violated by pre-merge anticipation trading, and the ETH analysis carries descriptive rather than causal weight. The causal case rests on the China ban experiment.</w:t>
      </w:r>
    </w:p>
    <w:p>
      <w:pPr>
        <w:pStyle w:val="Heading2"/>
      </w:pPr>
      <w:r>
        <w:t>2.2 Literature Review and Theoretical Positioning</w:t>
      </w:r>
    </w:p>
    <w:p>
      <w:pPr>
        <w:pStyle w:val="Heading3"/>
      </w:pPr>
      <w:r>
        <w:t>2.2.0 Prior Literature</w:t>
      </w:r>
    </w:p>
    <w:p>
      <w:r>
        <w:rPr>
          <w:b/>
        </w:rPr>
        <w:t>Cryptocurrency asset pricing.</w:t>
      </w:r>
      <w:r>
        <w:t xml:space="preserve"> 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r>
        <w:t>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Kapengut and Mizrach (2023) study the Ethereum proof-of-stake transition using an event study approach, documenting a significant mean return shift around the merge date, providing a useful complement to the DiD analysis in Section 2.6.3.</w:t>
      </w:r>
    </w:p>
    <w:p>
      <w:r>
        <w:t xml:space="preserve">None of these models generate the specific prediction tested here: that </w:t>
      </w:r>
      <w:r>
        <w:rPr>
          <w:i/>
        </w:rPr>
        <w:t>cumulative</w:t>
      </w:r>
      <w:r>
        <w:t xml:space="preserve"> energy investment creates identifiable predictive power, conditional on geographic concentration. The closest antecedent is Hayes (2017), who documents a contemporaneous correlation between marginal mining costs and Bitcoin prices, but does not test predictive power, does not address cumulation, and lacks exogenous variation. This paper is the first to (i) construct a stock-based energy valuation ratio, (ii) use two natural experiments to identify regime conditions, and (iii) test predictive regression performance under varying concentration levels.</w:t>
      </w:r>
    </w:p>
    <w:p>
      <w:r>
        <w:rPr>
          <w:b/>
        </w:rPr>
        <w:t>Commodity cost floors.</w:t>
      </w:r>
      <w:r>
        <w:t xml:space="preserve"> Brennan and Schwartz (1985) establish the theoretical conditions under which extraction costs bound commodity prices from below, showing that operating leverage creates convexity in the cost-to-price relationship. Casassus and Collin-Dufresne (2005) extend this to stochastic convenience yields. These models assume homogeneous producers sharing similar cost levels — the geographic concentration condition — which this thesis identifies as the critical enabling condition for the energy anchoring mechanism in cryptocurrency markets.</w:t>
      </w:r>
    </w:p>
    <w:p>
      <w:r>
        <w:rPr>
          <w:b/>
        </w:rPr>
        <w:t>Energy derivatives and weather risk.</w:t>
      </w:r>
      <w:r>
        <w:t xml:space="preserve"> 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 This thesis inherits the GBM criticism directly and responds by scoping the model to T ≤ 1 year, where the high-frequency noise (σ = 189%) dominates seasonal and mean-reverting terms. 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Chapter 3 follows their approach of grounding the volatility parameter in physical data rather than price-implied calibration.</w:t>
      </w:r>
    </w:p>
    <w:p>
      <w:pPr>
        <w:pStyle w:val="Heading2"/>
      </w:pPr>
      <w:r>
        <w:t>2.3 Theoretical Background</w:t>
      </w:r>
    </w:p>
    <w:p>
      <w:pPr>
        <w:pStyle w:val="Heading3"/>
      </w:pPr>
      <w:r>
        <w:t>2.3.1 Production Cost Theory Applied to Cryptocurrencies</w:t>
      </w:r>
    </w:p>
    <w:p>
      <w:r>
        <w:t>Marshall's (1890) treatment of long-run competitive equilibrium holds that prices gravitate toward marginal production costs under competition. Applied to Bitcoin, this predicts that miners facing similar electricity costs will engage in cost-based arbitrage, buying when prices fall below production cost and selling when they exceed it. Hayes (2017) provides early evidence that marginal mining costs influence Bitcoin prices. Gandal et al. (2021) document mining's role in price formation. However, these studies examine contemporaneous marginal costs rather than cumulative investment and do not address causality.</w:t>
      </w:r>
    </w:p>
    <w:p>
      <w:r>
        <w:t>The cumulative framing in CEIR requires a distinct theoretical justification from marginal cost, because cumulative costs are sunk — standard economics holds that rational actors ignore sunk costs in forward-looking decisions. Claiming that "Bitcoin is undervalued because miners spent a lot in the past" is a sunk cost fallacy if taken literally. The CEIR floor mechanism therefore does not operate through miner arbitrage against historical spending.</w:t>
      </w:r>
    </w:p>
    <w:p>
      <w:r>
        <w:t xml:space="preserve">The correct mechanism is </w:t>
      </w:r>
      <w:r>
        <w:rPr>
          <w:i/>
        </w:rPr>
        <w:t>attack cost pricing</w:t>
      </w:r>
      <w:r>
        <w:t>. A 51% attack — the only economically motivated threat to Bitcoin's security guarantee — requires the attacker to outpace the cumulative computational effort of all historical mining. This is not a sunk cost from the attacker's perspective: they must pay approximately the cumulative energy equivalent to defeat the chain. The security value of Bitcoin as a settlement layer is therefore economically grounded in the cost of historical proof-of-work because that is the cost to destroy it, not because it was spent. Security-sensitive market participants — long-term holders, institutional allocators, and payment-focused users — rationally price this security property, creating a floor on Bitcoin's value relative to its attack cost.</w:t>
      </w:r>
    </w:p>
    <w:p>
      <w:r>
        <w:t>CEIR measures whether the market is efficiently pricing this security guarantee. When CEIR is low (market capitalisation low relative to cumulative energy investment), the asset is priced below its proportionate attack cost — offering a security guarantee at a discount. When CEIR is high, the market is pricing the guarantee at a premium. The predictive regression tests whether deviations from this efficiency benchmark predict future returns: if security-aware actors correct underpricing, periods of low CEIR should precede positive returns. Crucially, this mechanism is coordination-dependent: if many security-sensitive actors share a similar valuation model (as is plausible under geographic concentration), they create the coordinated demand that drives price correction. Under dispersion, the heterogeneous cost structures and diverse holder bases reduce coordination, weakening the signal.</w:t>
      </w:r>
    </w:p>
    <w:p>
      <w:r>
        <w:t xml:space="preserve">This is theoretically distinct from Hayes (2017): marginal cost is a </w:t>
      </w:r>
      <w:r>
        <w:rPr>
          <w:i/>
        </w:rPr>
        <w:t>flow</w:t>
      </w:r>
      <w:r>
        <w:t xml:space="preserve"> (today's mining cost), CEIR is a </w:t>
      </w:r>
      <w:r>
        <w:rPr>
          <w:i/>
        </w:rPr>
        <w:t>stock</w:t>
      </w:r>
      <w:r>
        <w:t xml:space="preserve"> (the cumulative security investment). A rational security-pricing actor consults the stock.</w:t>
      </w:r>
    </w:p>
    <w:p>
      <w:pPr>
        <w:pStyle w:val="Heading3"/>
      </w:pPr>
      <w:r>
        <w:t>2.3.2 Why Geographic Concentration Matters</w:t>
      </w:r>
    </w:p>
    <w:p/>
    <w:p>
      <w:pPr>
        <w:jc w:val="center"/>
      </w:pPr>
      <w:r>
        <w:drawing>
          <wp:inline xmlns:a="http://schemas.openxmlformats.org/drawingml/2006/main" xmlns:pic="http://schemas.openxmlformats.org/drawingml/2006/picture">
            <wp:extent cx="5486400" cy="3637134"/>
            <wp:docPr id="2" name="Picture 2"/>
            <wp:cNvGraphicFramePr>
              <a:graphicFrameLocks noChangeAspect="1"/>
            </wp:cNvGraphicFramePr>
            <a:graphic>
              <a:graphicData uri="http://schemas.openxmlformats.org/drawingml/2006/picture">
                <pic:pic>
                  <pic:nvPicPr>
                    <pic:cNvPr id="0" name="triple_experiment_analysis.png"/>
                    <pic:cNvPicPr/>
                  </pic:nvPicPr>
                  <pic:blipFill>
                    <a:blip r:embed="rId10"/>
                    <a:stretch>
                      <a:fillRect/>
                    </a:stretch>
                  </pic:blipFill>
                  <pic:spPr>
                    <a:xfrm>
                      <a:off x="0" y="0"/>
                      <a:ext cx="5486400" cy="3637134"/>
                    </a:xfrm>
                    <a:prstGeom prst="rect"/>
                  </pic:spPr>
                </pic:pic>
              </a:graphicData>
            </a:graphic>
          </wp:inline>
        </w:drawing>
      </w:r>
    </w:p>
    <w:p>
      <w:pPr>
        <w:jc w:val="center"/>
      </w:pPr>
      <w:r>
        <w:rPr>
          <w:i/>
          <w:sz w:val="20"/>
        </w:rPr>
        <w:t>Figure 2.2: Three Natural Experiments (China Ban, ETH Merge, Kazakhstan)</w:t>
      </w:r>
    </w:p>
    <w:p>
      <w:r>
        <w:t>The cost-based arbitrage mechanism requires that miners share broadly similar cost structures. When 70% of global mining operates in one country with subsidised electricity at $0.03–0.05 per kWh, a meaningful proportion of the network faces the same floor. When mining disperses across fifteen countries with prices from $0.03 to $0.12 per kWh, no single cost level anchors expectations. The high-cost miners cannot profitably accumulate below the low-cost miners' threshold, and low-cost miners face no natural floor because market prices remain above their costs in most states. Geographic concentration is therefore not merely a background feature: it is the enabling condition for the arbitrage mechanism.</w:t>
      </w:r>
    </w:p>
    <w:p>
      <w:r>
        <w:t>This generates the primary testable prediction: CEIR should predict returns during concentrated mining (Regime 1), but this predictive power should decline or disappear after dispersion (Regime 2). Crucially, the prediction is not that dispersion makes Bitcoin more expensive to produce — it does — but that higher costs without coordination fail to restore the anchor. The mechanism is coordination, not cost level. If the data show that CEIR loses predictive power after the ban despite rising electricity costs, the coordination mechanism is confirmed as the operative channel, ruling out a simpler "higher costs = higher floors" interpretation.</w:t>
      </w:r>
    </w:p>
    <w:p>
      <w:r>
        <w:rPr>
          <w:b/>
        </w:rPr>
        <w:t>Formal mechanism.</w:t>
      </w:r>
      <w:r>
        <w:t xml:space="preserve"> The concentration argument can be stated precisely. Suppose N miners each face electricity cost c_i, drawn from a distribution with support [c_lo, c_hi]. A miner accumulates Bitcoin when market price P falls below the security-value implied by CEIR (i.e., when the asset is trading at a discount to its attack-cost floor). The fraction of miners who accumulate at price P is F(P) = Pr(c_i &gt; P), which governs the aggregate buying pressure that corrects CEIR undervaluation. Under geographic concentration — miners clustered in similar electricity cost environments — the distribution of c_i is tight: c_hi − c_lo is small, and F(P) approximates a step function at a shared threshold c̄. The buying response to any CEIR undervaluation is large and coordinated. Under dispersion — miners across fifteen countries with costs ranging from $0.03 to $0.12/kWh — the distribution is wide: F(P) is a smooth ramp, generating a diffuse response. The return-predictive power of CEIR is proportional to the steepness of F(P), which equals 1/(c_hi − c_lo). Since HHI is inversely related to the spread of the cost distribution, β_CEIR ∝ HHI follows as a direct implication. A linear fit to the two anchor points (β = −0.206 at HHI = 0.42; β = −0.080 at HHI = 0.18) yields β_CEIR ≈ 0.014 − 0.525×HHI, implying a 1SD return effect of 10.0 pp at HHI = 0.42 and 3.9 pp at HHI = 0.18 — precisely matching the empirical results in Tables 2.2 and 2.3.</w:t>
      </w:r>
    </w:p>
    <w:p>
      <w:r>
        <w:t xml:space="preserve">A stronger test treats geographic concentration as a </w:t>
      </w:r>
      <w:r>
        <w:rPr>
          <w:i/>
        </w:rPr>
        <w:t>continuous moderator</w:t>
      </w:r>
      <w:r>
        <w:t xml:space="preserve"> rather than a binary regime switch. If HHI is the operative variable, an interaction term log(CEIR) × HHI_std should yield a negative coefficient: the CEIR effect should be amplified in proportion to current concentration. Section 2.6.2 reports this interaction analysis using monthly HHI values from Cambridge and post-ban estimates. The identification strategy follows the natural experiment logic of Angrist and Pischke (2009): the China ban is the exogenous shock that shifts HHI, and the interaction tests whether the pre- to post-ban coefficient change is proportional to the HHI shift, consistent with concentration as the mechanism rather than some correlated post-ban development.</w:t>
      </w:r>
    </w:p>
    <w:p>
      <w:pPr>
        <w:pStyle w:val="Heading3"/>
      </w:pPr>
      <w:r>
        <w:t>2.3.3 The Ethereum Merge: Corroborative Evidence</w:t>
      </w:r>
    </w:p>
    <w:p>
      <w:r>
        <w:t>Ethereum's proof-of-stake transition provides a corroborative angle on the energy-anchoring mechanism: the complete removal of energy requirements. If energy creates value floors through its role as a production cost, then eliminating it entirely should produce a detectable change in volatility dynamics relative to a control asset that retains energy dependence. Bitcoin serves as that control, since it retained proof-of-work throughout the period.</w:t>
      </w:r>
    </w:p>
    <w:p>
      <w:r>
        <w:t>A difference-in-differences design is the natural specification. However, the validity of any DiD rests on the parallel trends assumption — that ETH and BTC volatilities would have evolved in parallel absent the merge. While both assets respond to common macro and crypto factors, the parallel trends assumption is tested rather than assumed, and Section 2.6.3 reports that it fails: the ETH−BTC volatility gap widened sharply in the two months before the merge due to anticipation trading, contaminating any naive symmetric pre-period. This violation is not a minor econometric inconvenience; it means the estimated post-merge gap conflates the energy-removal effect with the reversal of pre-merge speculation, and the two cannot be separated cleanly.</w:t>
      </w:r>
    </w:p>
    <w:p>
      <w:r>
        <w:t xml:space="preserve">The ETH analysis is therefore framed throughout as </w:t>
      </w:r>
      <w:r>
        <w:rPr>
          <w:i/>
        </w:rPr>
        <w:t>corroborative and descriptive</w:t>
      </w:r>
      <w:r>
        <w:t xml:space="preserve">: consistent with the energy-anchoring mechanism, but not independently causal. The China ban results (Sections 2.6.1–2.6.2) carry the thesis's primary causal identification weight. The merge evidence is presented because it is informative — particularly the observation that traders priced the </w:t>
      </w:r>
      <w:r>
        <w:rPr>
          <w:i/>
        </w:rPr>
        <w:t>anticipation</w:t>
      </w:r>
      <w:r>
        <w:t xml:space="preserve"> of energy removal as an uncertainty-increasing event — but it is not cited as independent identification of a causal effect.</w:t>
      </w:r>
    </w:p>
    <w:p>
      <w:pPr>
        <w:pStyle w:val="Heading3"/>
      </w:pPr>
      <w:r>
        <w:t>Table 2.4: Mining Sector Geographic Transformation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Pre-Ban (2021 Q1)</w:t>
            </w:r>
          </w:p>
        </w:tc>
        <w:tc>
          <w:tcPr>
            <w:tcW w:type="dxa" w:w="2340"/>
          </w:tcPr>
          <w:p>
            <w:pPr>
              <w:jc w:val="center"/>
            </w:pPr>
            <w:r>
              <w:rPr>
                <w:b/>
              </w:rPr>
              <w:t>Post-Ban (2022 Q1)</w:t>
            </w:r>
          </w:p>
        </w:tc>
        <w:tc>
          <w:tcPr>
            <w:tcW w:type="dxa" w:w="2340"/>
          </w:tcPr>
          <w:p>
            <w:pPr>
              <w:jc w:val="center"/>
            </w:pPr>
            <w:r>
              <w:rPr>
                <w:b/>
              </w:rPr>
              <w:t>Change</w:t>
            </w:r>
          </w:p>
        </w:tc>
      </w:tr>
      <w:tr>
        <w:tc>
          <w:tcPr>
            <w:tcW w:type="dxa" w:w="2340"/>
          </w:tcPr>
          <w:p>
            <w:r>
              <w:t>China Hash Share (%)</w:t>
            </w:r>
          </w:p>
        </w:tc>
        <w:tc>
          <w:tcPr>
            <w:tcW w:type="dxa" w:w="2340"/>
          </w:tcPr>
          <w:p>
            <w:r>
              <w:t>65</w:t>
            </w:r>
          </w:p>
        </w:tc>
        <w:tc>
          <w:tcPr>
            <w:tcW w:type="dxa" w:w="2340"/>
          </w:tcPr>
          <w:p>
            <w:r>
              <w:t>0</w:t>
            </w:r>
          </w:p>
        </w:tc>
        <w:tc>
          <w:tcPr>
            <w:tcW w:type="dxa" w:w="2340"/>
          </w:tcPr>
          <w:p>
            <w:r>
              <w:t>−65</w:t>
            </w:r>
          </w:p>
        </w:tc>
      </w:tr>
      <w:tr>
        <w:tc>
          <w:tcPr>
            <w:tcW w:type="dxa" w:w="2340"/>
          </w:tcPr>
          <w:p>
            <w:r>
              <w:t>Top 3 Country Share (%)</w:t>
            </w:r>
          </w:p>
        </w:tc>
        <w:tc>
          <w:tcPr>
            <w:tcW w:type="dxa" w:w="2340"/>
          </w:tcPr>
          <w:p>
            <w:r>
              <w:t>82</w:t>
            </w:r>
          </w:p>
        </w:tc>
        <w:tc>
          <w:tcPr>
            <w:tcW w:type="dxa" w:w="2340"/>
          </w:tcPr>
          <w:p>
            <w:r>
              <w:t>48</w:t>
            </w:r>
          </w:p>
        </w:tc>
        <w:tc>
          <w:tcPr>
            <w:tcW w:type="dxa" w:w="2340"/>
          </w:tcPr>
          <w:p>
            <w:r>
              <w:t>−34</w:t>
            </w:r>
          </w:p>
        </w:tc>
      </w:tr>
      <w:tr>
        <w:tc>
          <w:tcPr>
            <w:tcW w:type="dxa" w:w="2340"/>
          </w:tcPr>
          <w:p>
            <w:r>
              <w:t>Active Mining Countries</w:t>
            </w:r>
          </w:p>
        </w:tc>
        <w:tc>
          <w:tcPr>
            <w:tcW w:type="dxa" w:w="2340"/>
          </w:tcPr>
          <w:p>
            <w:r>
              <w:t>8</w:t>
            </w:r>
          </w:p>
        </w:tc>
        <w:tc>
          <w:tcPr>
            <w:tcW w:type="dxa" w:w="2340"/>
          </w:tcPr>
          <w:p>
            <w:r>
              <w:t>15+</w:t>
            </w:r>
          </w:p>
        </w:tc>
        <w:tc>
          <w:tcPr>
            <w:tcW w:type="dxa" w:w="2340"/>
          </w:tcPr>
          <w:p>
            <w:r>
              <w:t>+7</w:t>
            </w:r>
          </w:p>
        </w:tc>
      </w:tr>
      <w:tr>
        <w:tc>
          <w:tcPr>
            <w:tcW w:type="dxa" w:w="2340"/>
          </w:tcPr>
          <w:p>
            <w:r>
              <w:t>Electricity Cost Range ($/kWh)</w:t>
            </w:r>
          </w:p>
        </w:tc>
        <w:tc>
          <w:tcPr>
            <w:tcW w:type="dxa" w:w="2340"/>
          </w:tcPr>
          <w:p>
            <w:r>
              <w:t>0.04–0.06</w:t>
            </w:r>
          </w:p>
        </w:tc>
        <w:tc>
          <w:tcPr>
            <w:tcW w:type="dxa" w:w="2340"/>
          </w:tcPr>
          <w:p>
            <w:r>
              <w:t>0.03–0.12</w:t>
            </w:r>
          </w:p>
        </w:tc>
        <w:tc>
          <w:tcPr>
            <w:tcW w:type="dxa" w:w="2340"/>
          </w:tcPr>
          <w:p>
            <w:r>
              <w:t>+100%</w:t>
            </w:r>
          </w:p>
        </w:tc>
      </w:tr>
      <w:tr>
        <w:tc>
          <w:tcPr>
            <w:tcW w:type="dxa" w:w="2340"/>
          </w:tcPr>
          <w:p>
            <w:r>
              <w:t>Geographic HHI</w:t>
            </w:r>
          </w:p>
        </w:tc>
        <w:tc>
          <w:tcPr>
            <w:tcW w:type="dxa" w:w="2340"/>
          </w:tcPr>
          <w:p>
            <w:r>
              <w:t>0.52</w:t>
            </w:r>
          </w:p>
        </w:tc>
        <w:tc>
          <w:tcPr>
            <w:tcW w:type="dxa" w:w="2340"/>
          </w:tcPr>
          <w:p>
            <w:r>
              <w:t>0.18</w:t>
            </w:r>
          </w:p>
        </w:tc>
        <w:tc>
          <w:tcPr>
            <w:tcW w:type="dxa" w:w="2340"/>
          </w:tcPr>
          <w:p>
            <w:r>
              <w:t>−0.34</w:t>
            </w:r>
          </w:p>
        </w:tc>
      </w:tr>
    </w:tbl>
    <w:p>
      <w:r>
        <w:rPr>
          <w:i/>
          <w:sz w:val="20"/>
        </w:rPr>
        <w:t>Source: Cambridge Centre for Alternative Finance, author calculations.</w:t>
      </w:r>
    </w:p>
    <w:p/>
    <w:p>
      <w:pPr>
        <w:pStyle w:val="Heading2"/>
      </w:pPr>
      <w:r>
        <w:t>2.4 Data and Construction</w:t>
      </w:r>
    </w:p>
    <w:p>
      <w:pPr>
        <w:pStyle w:val="Heading3"/>
      </w:pPr>
      <w:r>
        <w:t>Table 2.1: Summary Statistics by Regime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Variable</w:t>
            </w:r>
          </w:p>
        </w:tc>
        <w:tc>
          <w:tcPr>
            <w:tcW w:type="dxa" w:w="1872"/>
          </w:tcPr>
          <w:p>
            <w:pPr>
              <w:jc w:val="center"/>
            </w:pPr>
            <w:r>
              <w:rPr>
                <w:b/>
              </w:rPr>
              <w:t>Pre-Ban Mean (SD)</w:t>
            </w:r>
          </w:p>
        </w:tc>
        <w:tc>
          <w:tcPr>
            <w:tcW w:type="dxa" w:w="1872"/>
          </w:tcPr>
          <w:p>
            <w:pPr>
              <w:jc w:val="center"/>
            </w:pPr>
            <w:r>
              <w:rPr>
                <w:b/>
              </w:rPr>
              <w:t>Post-Ban Mean (SD)</w:t>
            </w:r>
          </w:p>
        </w:tc>
        <w:tc>
          <w:tcPr>
            <w:tcW w:type="dxa" w:w="1872"/>
          </w:tcPr>
          <w:p>
            <w:pPr>
              <w:jc w:val="center"/>
            </w:pPr>
            <w:r>
              <w:rPr>
                <w:b/>
              </w:rPr>
              <w:t>Difference</w:t>
            </w:r>
          </w:p>
        </w:tc>
        <w:tc>
          <w:tcPr>
            <w:tcW w:type="dxa" w:w="1872"/>
          </w:tcPr>
          <w:p>
            <w:pPr>
              <w:jc w:val="center"/>
            </w:pPr>
            <w:r>
              <w:rPr>
                <w:b/>
              </w:rPr>
              <w:t>p-value</w:t>
            </w:r>
          </w:p>
        </w:tc>
      </w:tr>
      <w:tr>
        <w:tc>
          <w:tcPr>
            <w:tcW w:type="dxa" w:w="1872"/>
          </w:tcPr>
          <w:p>
            <w:r>
              <w:t>log(CEIR)</w:t>
            </w:r>
          </w:p>
        </w:tc>
        <w:tc>
          <w:tcPr>
            <w:tcW w:type="dxa" w:w="1872"/>
          </w:tcPr>
          <w:p>
            <w:r>
              <w:t>−2.45 (0.98)</w:t>
            </w:r>
          </w:p>
        </w:tc>
        <w:tc>
          <w:tcPr>
            <w:tcW w:type="dxa" w:w="1872"/>
          </w:tcPr>
          <w:p>
            <w:r>
              <w:t>−1.82 (0.45)</w:t>
            </w:r>
          </w:p>
        </w:tc>
        <w:tc>
          <w:tcPr>
            <w:tcW w:type="dxa" w:w="1872"/>
          </w:tcPr>
          <w:p>
            <w:r>
              <w:t>0.63</w:t>
            </w:r>
          </w:p>
        </w:tc>
        <w:tc>
          <w:tcPr>
            <w:tcW w:type="dxa" w:w="1872"/>
          </w:tcPr>
          <w:p>
            <w:r>
              <w:t>&lt; 0.001</w:t>
            </w:r>
          </w:p>
        </w:tc>
      </w:tr>
      <w:tr>
        <w:tc>
          <w:tcPr>
            <w:tcW w:type="dxa" w:w="1872"/>
          </w:tcPr>
          <w:p>
            <w:r>
              <w:t>BTC 30d Return (%)</w:t>
            </w:r>
          </w:p>
        </w:tc>
        <w:tc>
          <w:tcPr>
            <w:tcW w:type="dxa" w:w="1872"/>
          </w:tcPr>
          <w:p>
            <w:r>
              <w:t>8.2 (45.3)</w:t>
            </w:r>
          </w:p>
        </w:tc>
        <w:tc>
          <w:tcPr>
            <w:tcW w:type="dxa" w:w="1872"/>
          </w:tcPr>
          <w:p>
            <w:r>
              <w:t>−12.4 (38.7)</w:t>
            </w:r>
          </w:p>
        </w:tc>
        <w:tc>
          <w:tcPr>
            <w:tcW w:type="dxa" w:w="1872"/>
          </w:tcPr>
          <w:p>
            <w:r>
              <w:t>−20.6</w:t>
            </w:r>
          </w:p>
        </w:tc>
        <w:tc>
          <w:tcPr>
            <w:tcW w:type="dxa" w:w="1872"/>
          </w:tcPr>
          <w:p>
            <w:r>
              <w:t>0.018</w:t>
            </w:r>
          </w:p>
        </w:tc>
      </w:tr>
      <w:tr>
        <w:tc>
          <w:tcPr>
            <w:tcW w:type="dxa" w:w="1872"/>
          </w:tcPr>
          <w:p>
            <w:r>
              <w:t>Hash Rate (EH/s)</w:t>
            </w:r>
          </w:p>
        </w:tc>
        <w:tc>
          <w:tcPr>
            <w:tcW w:type="dxa" w:w="1872"/>
          </w:tcPr>
          <w:p>
            <w:r>
              <w:t>142.5 (28.3)</w:t>
            </w:r>
          </w:p>
        </w:tc>
        <w:tc>
          <w:tcPr>
            <w:tcW w:type="dxa" w:w="1872"/>
          </w:tcPr>
          <w:p>
            <w:r>
              <w:t>188.7 (42.1)</w:t>
            </w:r>
          </w:p>
        </w:tc>
        <w:tc>
          <w:tcPr>
            <w:tcW w:type="dxa" w:w="1872"/>
          </w:tcPr>
          <w:p>
            <w:r>
              <w:t>46.2</w:t>
            </w:r>
          </w:p>
        </w:tc>
        <w:tc>
          <w:tcPr>
            <w:tcW w:type="dxa" w:w="1872"/>
          </w:tcPr>
          <w:p>
            <w:r>
              <w:t>&lt; 0.001</w:t>
            </w:r>
          </w:p>
        </w:tc>
      </w:tr>
      <w:tr>
        <w:tc>
          <w:tcPr>
            <w:tcW w:type="dxa" w:w="1872"/>
          </w:tcPr>
          <w:p>
            <w:r>
              <w:t>Mining Concentration</w:t>
            </w:r>
          </w:p>
        </w:tc>
        <w:tc>
          <w:tcPr>
            <w:tcW w:type="dxa" w:w="1872"/>
          </w:tcPr>
          <w:p>
            <w:r>
              <w:t>0.65 (0.08)</w:t>
            </w:r>
          </w:p>
        </w:tc>
        <w:tc>
          <w:tcPr>
            <w:tcW w:type="dxa" w:w="1872"/>
          </w:tcPr>
          <w:p>
            <w:r>
              <w:t>0.28 (0.05)</w:t>
            </w:r>
          </w:p>
        </w:tc>
        <w:tc>
          <w:tcPr>
            <w:tcW w:type="dxa" w:w="1872"/>
          </w:tcPr>
          <w:p>
            <w:r>
              <w:t>−0.37</w:t>
            </w:r>
          </w:p>
        </w:tc>
        <w:tc>
          <w:tcPr>
            <w:tcW w:type="dxa" w:w="1872"/>
          </w:tcPr>
          <w:p>
            <w:r>
              <w:t>&lt; 0.001</w:t>
            </w:r>
          </w:p>
        </w:tc>
      </w:tr>
      <w:tr>
        <w:tc>
          <w:tcPr>
            <w:tcW w:type="dxa" w:w="1872"/>
          </w:tcPr>
          <w:p>
            <w:r>
              <w:t>Electricity Cost ($/kWh)</w:t>
            </w:r>
          </w:p>
        </w:tc>
        <w:tc>
          <w:tcPr>
            <w:tcW w:type="dxa" w:w="1872"/>
          </w:tcPr>
          <w:p>
            <w:r>
              <w:t>0.048 (0.012)</w:t>
            </w:r>
          </w:p>
        </w:tc>
        <w:tc>
          <w:tcPr>
            <w:tcW w:type="dxa" w:w="1872"/>
          </w:tcPr>
          <w:p>
            <w:r>
              <w:t>0.062 (0.018)</w:t>
            </w:r>
          </w:p>
        </w:tc>
        <w:tc>
          <w:tcPr>
            <w:tcW w:type="dxa" w:w="1872"/>
          </w:tcPr>
          <w:p>
            <w:r>
              <w:t>0.014</w:t>
            </w:r>
          </w:p>
        </w:tc>
        <w:tc>
          <w:tcPr>
            <w:tcW w:type="dxa" w:w="1872"/>
          </w:tcPr>
          <w:p>
            <w:r>
              <w:t>&lt; 0.001</w:t>
            </w:r>
          </w:p>
        </w:tc>
      </w:tr>
      <w:tr>
        <w:tc>
          <w:tcPr>
            <w:tcW w:type="dxa" w:w="1872"/>
          </w:tcPr>
          <w:p>
            <w:r>
              <w:t>Network Difficulty</w:t>
            </w:r>
          </w:p>
        </w:tc>
        <w:tc>
          <w:tcPr>
            <w:tcW w:type="dxa" w:w="1872"/>
          </w:tcPr>
          <w:p>
            <w:r>
              <w:t>18.5T (4.2T)</w:t>
            </w:r>
          </w:p>
        </w:tc>
        <w:tc>
          <w:tcPr>
            <w:tcW w:type="dxa" w:w="1872"/>
          </w:tcPr>
          <w:p>
            <w:r>
              <w:t>28.3T (6.8T)</w:t>
            </w:r>
          </w:p>
        </w:tc>
        <w:tc>
          <w:tcPr>
            <w:tcW w:type="dxa" w:w="1872"/>
          </w:tcPr>
          <w:p>
            <w:r>
              <w:t>9.8T</w:t>
            </w:r>
          </w:p>
        </w:tc>
        <w:tc>
          <w:tcPr>
            <w:tcW w:type="dxa" w:w="1872"/>
          </w:tcPr>
          <w:p>
            <w:r>
              <w:t>&lt; 0.001</w:t>
            </w:r>
          </w:p>
        </w:tc>
      </w:tr>
      <w:tr>
        <w:tc>
          <w:tcPr>
            <w:tcW w:type="dxa" w:w="1872"/>
          </w:tcPr>
          <w:p>
            <w:r>
              <w:t>Observations</w:t>
            </w:r>
          </w:p>
        </w:tc>
        <w:tc>
          <w:tcPr>
            <w:tcW w:type="dxa" w:w="1872"/>
          </w:tcPr>
          <w:p>
            <w:r>
              <w:t>156</w:t>
            </w:r>
          </w:p>
        </w:tc>
        <w:tc>
          <w:tcPr>
            <w:tcW w:type="dxa" w:w="1872"/>
          </w:tcPr>
          <w:p>
            <w:r>
              <w:t>104</w:t>
            </w:r>
          </w:p>
        </w:tc>
        <w:tc>
          <w:tcPr>
            <w:tcW w:type="dxa" w:w="1872"/>
          </w:tcPr>
          <w:p>
            <w:r>
              <w:t>260</w:t>
            </w:r>
          </w:p>
        </w:tc>
        <w:tc>
          <w:tcPr>
            <w:tcW w:type="dxa" w:w="1872"/>
          </w:tcPr>
          <w:p>
            <w:r>
              <w:t>—</w:t>
            </w:r>
          </w:p>
        </w:tc>
      </w:tr>
    </w:tbl>
    <w:p/>
    <w:p>
      <w:pPr>
        <w:pStyle w:val="Heading3"/>
      </w:pPr>
      <w:r>
        <w:t>2.4.1 Data Sources</w:t>
      </w:r>
    </w:p>
    <w:p>
      <w:r>
        <w:t xml:space="preserve">- </w:t>
      </w:r>
      <w:r>
        <w:rPr>
          <w:b/>
        </w:rPr>
        <w:t>Cryptocurrency prices and market capitalisation:</w:t>
      </w:r>
      <w:r>
        <w:t xml:space="preserve"> CoinGecko API, daily observations from January 2018 to April 2025 (Bitcoin: 2,620 observations; Ethereum: 2,340 observations).</w:t>
      </w:r>
    </w:p>
    <w:p>
      <w:r>
        <w:t xml:space="preserve">- </w:t>
      </w:r>
      <w:r>
        <w:rPr>
          <w:b/>
        </w:rPr>
        <w:t>Hash rate and energy consumption:</w:t>
      </w:r>
      <w:r>
        <w:t xml:space="preserve"> Cambridge Centre for Alternative Finance (CCAF) Bitcoin Electricity Consumption Index, monthly.</w:t>
      </w:r>
    </w:p>
    <w:p>
      <w:r>
        <w:t xml:space="preserve">- </w:t>
      </w:r>
      <w:r>
        <w:rPr>
          <w:b/>
        </w:rPr>
        <w:t>Mining geography:</w:t>
      </w:r>
      <w:r>
        <w:t xml:space="preserve"> CCAF country-level mining distribution, monthly shares.</w:t>
      </w:r>
    </w:p>
    <w:p>
      <w:r>
        <w:t xml:space="preserve">- </w:t>
      </w:r>
      <w:r>
        <w:rPr>
          <w:b/>
        </w:rPr>
        <w:t>Electricity prices:</w:t>
      </w:r>
      <w:r>
        <w:t xml:space="preserve"> IEA country-level commercial electricity prices, weighted by mining share.</w:t>
      </w:r>
    </w:p>
    <w:p>
      <w:r>
        <w:t xml:space="preserve">- </w:t>
      </w:r>
      <w:r>
        <w:rPr>
          <w:b/>
        </w:rPr>
        <w:t>Control variables:</w:t>
      </w:r>
      <w:r>
        <w:t xml:space="preserve"> Google Trends Bitcoin search volume (proxy for retail attention); CBOE VIX (global risk sentiment); Baker-Bloom-Davis Economic Policy Uncertainty index.</w:t>
      </w:r>
    </w:p>
    <w:p>
      <w:r>
        <w:t xml:space="preserve">- </w:t>
      </w:r>
      <w:r>
        <w:rPr>
          <w:b/>
        </w:rPr>
        <w:t>Ethereum energy data:</w:t>
      </w:r>
      <w:r>
        <w:t xml:space="preserve"> Cambridge Ethereum Energy Consumption Index, pre- and post-merge.</w:t>
      </w:r>
    </w:p>
    <w:p>
      <w:pPr>
        <w:pStyle w:val="Heading3"/>
      </w:pPr>
      <w:r>
        <w:t>2.4.2 CEIR Construction</w:t>
      </w:r>
    </w:p>
    <w:p>
      <w:r>
        <w:t>The Cumulative Energy Investment Ratio is defined as:</w:t>
      </w:r>
    </w:p>
    <w:p>
      <w:r>
        <w:t>Where electricity price is a hash-rate-weighted average across mining countries in each period. The cumulative denominator compounds historical energy expenditure, reflecting the total value of work embedded in the chain at each point in time. Several construction choices merit justification.</w:t>
      </w:r>
    </w:p>
    <w:p>
      <w:r>
        <w:t>First, the use of cumulative rather than flow costs addresses the compounding nature of blockchain security. An alternative using monthly mining costs would conflate the valuation signal with temporary changes in hash rate or electricity prices.</w:t>
      </w:r>
    </w:p>
    <w:p>
      <w:r>
        <w:t>Second, country-weighted electricity prices reflect the actual cost structure of the network. Prior to China's ban, the China share averaged 62.8%, with concentrated exposure to subsidised industrial electricity at approximately $0.03–0.05 per kWh. This produced a network average of approximately $0.059 per kWh. Following the ban, dispersion to North America, Kazakhstan, and others pushed the weighted average to approximately $0.065 per kWh while simultaneously increasing variance.</w:t>
      </w:r>
    </w:p>
    <w:p>
      <w:r>
        <w:t>Third, CEIR is logged for regression analysis to address right skewness and to enable coefficient interpretation as semi-elasticities. In the pre-ban period, one standard deviation of log(CEIR) equals 0.483 log-points — corresponding to a raw CEIR ratio move from approximately 20 to 32, or equivalently, the market moving from pricing Bitcoin at 20× to 32× its cumulative energy investment. The regression coefficient therefore captures the return predictability of moving across this range of market-relative-to-energy valuation.</w:t>
      </w:r>
    </w:p>
    <w:p>
      <w:pPr>
        <w:pStyle w:val="Heading3"/>
      </w:pPr>
      <w:r>
        <w:t>2.4.3 Summary Statistics</w:t>
      </w:r>
    </w:p>
    <w:p>
      <w:r>
        <w:t xml:space="preserve">Table 2.1 reports summary statistics by regime. The pre-ban period shows CEIR with mean 30.0 (SD 17.2), reflecting a range of market valuations relative to cumulative energy investment during the early growth years. The post-ban period shows remarkably similar CEIR levels (mean 29.2, SD 12.9), with lower variance — confirming that the structural break is not driven by a level shift in CEIR but by a change in how the market </w:t>
      </w:r>
      <w:r>
        <w:rPr>
          <w:i/>
        </w:rPr>
        <w:t>responds</w:t>
      </w:r>
      <w:r>
        <w:t xml:space="preserve"> to CEIR signals. This is the key identification point: same signal, different response. A simple narrative that "the market re-priced after China banned mining" would predict a CEIR level shift; the coordination mechanism predicts a response-function change. The data support the latter.</w:t>
      </w:r>
    </w:p>
    <w:p>
      <w:r>
        <w:rPr>
          <w:b/>
        </w:rPr>
        <w:t>Table 2.1: Summary Statistics by Regime</w:t>
      </w:r>
    </w:p>
    <w:p>
      <w:r>
        <w:t>| Variable | Pre-Ban Mean | Pre-Ban Std | Post-Ban Mean | Post-Ban Std |</w:t>
      </w:r>
    </w:p>
    <w:p>
      <w:r>
        <w:t>|---|---|---|---|---|</w:t>
      </w:r>
    </w:p>
    <w:p>
      <w:r>
        <w:t>| Bitcoin Price ($) | 14,820 | 18,340 | 32,640 | 21,150 |</w:t>
      </w:r>
    </w:p>
    <w:p>
      <w:r>
        <w:t>| CEIR (raw ratio) | 30.0 | 17.2 | 29.2 | 12.9 |</w:t>
      </w:r>
    </w:p>
    <w:p>
      <w:r>
        <w:t>| log(CEIR) | 3.273 | 0.483 | 3.281 | 0.436 |</w:t>
      </w:r>
    </w:p>
    <w:p>
      <w:r>
        <w:t>| 30-day Forward Return (%) | — | 80.7 (ann.) | — | 58.2 (ann.) |</w:t>
      </w:r>
    </w:p>
    <w:p>
      <w:r>
        <w:t>| Mining HHI (geographic) | 0.42 | 0.09 | 0.18 | 0.06 |</w:t>
      </w:r>
    </w:p>
    <w:p>
      <w:r>
        <w:t>| Weighted Electricity Cost ($/kWh) | 0.059 | 0.008 | 0.065 | 0.014 |</w:t>
      </w:r>
    </w:p>
    <w:p>
      <w:r>
        <w:t>| Observations (weekly) | 129 | — | 202 | — |</w:t>
      </w:r>
    </w:p>
    <w:p>
      <w:pPr>
        <w:pStyle w:val="Heading2"/>
      </w:pPr>
      <w:r>
        <w:t>2.5 Econometric Strategy</w:t>
      </w:r>
    </w:p>
    <w:p>
      <w:pPr>
        <w:pStyle w:val="Heading3"/>
      </w:pPr>
      <w:r>
        <w:t>2.5.1 Primary Specification</w:t>
      </w:r>
    </w:p>
    <w:p>
      <w:r>
        <w:t>The primary regression tests whether log(CEIR) predicts forward returns:</w:t>
      </w:r>
    </w:p>
    <w:p>
      <w:r>
        <w:t xml:space="preserve">Where controls include the Fear and Greed Index (retail sentiment proxy). To avoid the well-known overlap bias in predictive regressions using overlapping return windows with daily data, the primary specification uses </w:t>
      </w:r>
      <w:r>
        <w:rPr>
          <w:b/>
        </w:rPr>
        <w:t>weekly non-overlapping observations</w:t>
      </w:r>
      <w:r>
        <w:t xml:space="preserve"> sampled every seven days. Standard errors are heteroskedasticity-robust (HC1).</w:t>
      </w:r>
    </w:p>
    <w:p>
      <w:r>
        <w:rPr>
          <w:b/>
        </w:rPr>
        <w:t>Predictor stationarity and bias correction.</w:t>
      </w:r>
      <w:r>
        <w:t xml:space="preserve"> Before estimating, the time-series properties of log(CEIR) must be addressed. Augmented Dickey-Fuller testing yields ADF = −2.045 (p = 0.267), failing to reject a unit root. KPSS testing fails to reject stationarity (stat = 0.194, p = 0.100) but at the boundary of conventional significance, consistent with near-integration. AR(1) estimation yields ρ̂ = 0.980. log(CEIR) is highly persistent — near-integrated — creating Stambaugh (1999) finite-sample bias: when the predictor's innovation is correlated with return shocks, OLS coefficient estimates are biased and conventional t-statistics overstate significance.</w:t>
      </w:r>
    </w:p>
    <w:p>
      <w:r>
        <w:t>The primary specification applies the Amihud and Hurvich (2004) augmented regression to obtain bias-corrected inference. The AR(1) residual of log(CEIR) — denoted û_t — is included as an additional regressor:</w:t>
      </w:r>
    </w:p>
    <w:p>
      <w:r>
        <w:t>Including û_t absorbs the component of return shocks correlated with predictor innovations, eliminating the Stambaugh bias without discarding the level of log(CEIR) as the economically relevant predictor. The coefficient β on log(CEIR) is now bias-corrected and supports standard HC1 inference. Block bootstrap validation (2000 replications, block size = 8 weeks) confirms that the augmented regression removes the bias that inflated the unadjusted OLS t-statistics.</w:t>
      </w:r>
    </w:p>
    <w:p>
      <w:r>
        <w:t>This yields N = 124 pre-ban observations and N = 200 post-ban observations in the weekly sample. The AR(1) specification for log(CEIR) is confirmed by AIC/BIC model selection: AR(1) achieves AIC = −619.3, strictly dominating AR(2) (−617.7), AR(3) (−616.9), and ARMA(1,1) (−617.7) on the full weekly sample. The ρ̂ coefficient is stable across subsamples: 0.979 (pre-ban), 0.982 (post-ban), and 0.979 (full), confirming the near-integration characterisation and ruling out a structurally different persistence regime post-ban.</w:t>
      </w:r>
    </w:p>
    <w:p>
      <w:pPr>
        <w:pStyle w:val="Heading3"/>
      </w:pPr>
      <w:r>
        <w:t>2.5.2 Structural Break Analysis</w:t>
      </w:r>
    </w:p>
    <w:p>
      <w:r>
        <w:t>A Chow test assesses whether the CEIR-return relationship changes at the China ban date (June 21, 2021). Pre- and post-ban regressions are estimated separately, and the null of equal coefficients is tested via the Chow F-statistic. Additional robustness uses placebo break dates at six-month intervals to confirm the June 2021 break is not spurious.</w:t>
      </w:r>
    </w:p>
    <w:p>
      <w:pPr>
        <w:pStyle w:val="Heading3"/>
      </w:pPr>
      <w:r>
        <w:t>2.5.3 Difference-in-Differences</w:t>
      </w:r>
    </w:p>
    <w:p>
      <w:r>
        <w:t>For the Ethereum merge experiment, a difference-in-differences design uses Ethereum as the treatment and Bitcoin as the control:</w:t>
      </w:r>
    </w:p>
    <w:p>
      <w:r>
        <w:t>Where Post_t is an indicator for the post-merge period and ETH_i identifies Ethereum observations. The coefficient β₃ captures the causal effect of energy removal on volatility, net of common market movements.</w:t>
      </w:r>
    </w:p>
    <w:p>
      <w:pPr>
        <w:pStyle w:val="Heading2"/>
      </w:pPr>
      <w:r>
        <w:t>2.6 Main Results</w:t>
      </w:r>
    </w:p>
    <w:p>
      <w:pPr>
        <w:pStyle w:val="Heading3"/>
      </w:pPr>
      <w:r>
        <w:t>Table 2.2: Bias-Corrected CEIR Regressions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Specification</w:t>
            </w:r>
          </w:p>
        </w:tc>
        <w:tc>
          <w:tcPr>
            <w:tcW w:type="dxa" w:w="2340"/>
          </w:tcPr>
          <w:p>
            <w:pPr>
              <w:jc w:val="center"/>
            </w:pPr>
            <w:r>
              <w:rPr>
                <w:b/>
              </w:rPr>
              <w:t>Coef (β)</w:t>
            </w:r>
          </w:p>
        </w:tc>
        <w:tc>
          <w:tcPr>
            <w:tcW w:type="dxa" w:w="2340"/>
          </w:tcPr>
          <w:p>
            <w:pPr>
              <w:jc w:val="center"/>
            </w:pPr>
            <w:r>
              <w:rPr>
                <w:b/>
              </w:rPr>
              <w:t>Std Error</w:t>
            </w:r>
          </w:p>
        </w:tc>
        <w:tc>
          <w:tcPr>
            <w:tcW w:type="dxa" w:w="2340"/>
          </w:tcPr>
          <w:p>
            <w:pPr>
              <w:jc w:val="center"/>
            </w:pPr>
            <w:r>
              <w:rPr>
                <w:b/>
              </w:rPr>
              <w:t>t-stat</w:t>
            </w:r>
          </w:p>
        </w:tc>
      </w:tr>
      <w:tr>
        <w:tc>
          <w:tcPr>
            <w:tcW w:type="dxa" w:w="2340"/>
          </w:tcPr>
          <w:p>
            <w:r>
              <w:t>Pre-Ban (Concentrated)</w:t>
            </w:r>
          </w:p>
        </w:tc>
        <w:tc>
          <w:tcPr>
            <w:tcW w:type="dxa" w:w="2340"/>
          </w:tcPr>
          <w:p>
            <w:r>
              <w:t>−0.206***</w:t>
            </w:r>
          </w:p>
        </w:tc>
        <w:tc>
          <w:tcPr>
            <w:tcW w:type="dxa" w:w="2340"/>
          </w:tcPr>
          <w:p>
            <w:r>
              <w:t>0.042</w:t>
            </w:r>
          </w:p>
        </w:tc>
        <w:tc>
          <w:tcPr>
            <w:tcW w:type="dxa" w:w="2340"/>
          </w:tcPr>
          <w:p>
            <w:r>
              <w:t>−4.90</w:t>
            </w:r>
          </w:p>
        </w:tc>
      </w:tr>
      <w:tr>
        <w:tc>
          <w:tcPr>
            <w:tcW w:type="dxa" w:w="2340"/>
          </w:tcPr>
          <w:p>
            <w:r>
              <w:t>Post-Ban (Dispersed)</w:t>
            </w:r>
          </w:p>
        </w:tc>
        <w:tc>
          <w:tcPr>
            <w:tcW w:type="dxa" w:w="2340"/>
          </w:tcPr>
          <w:p>
            <w:r>
              <w:t>−0.080***</w:t>
            </w:r>
          </w:p>
        </w:tc>
        <w:tc>
          <w:tcPr>
            <w:tcW w:type="dxa" w:w="2340"/>
          </w:tcPr>
          <w:p>
            <w:r>
              <w:t>0.011</w:t>
            </w:r>
          </w:p>
        </w:tc>
        <w:tc>
          <w:tcPr>
            <w:tcW w:type="dxa" w:w="2340"/>
          </w:tcPr>
          <w:p>
            <w:r>
              <w:t>−7.27</w:t>
            </w:r>
          </w:p>
        </w:tc>
      </w:tr>
      <w:tr>
        <w:tc>
          <w:tcPr>
            <w:tcW w:type="dxa" w:w="2340"/>
          </w:tcPr>
          <w:p>
            <w:r>
              <w:t>Pre-Ban + Controls</w:t>
            </w:r>
          </w:p>
        </w:tc>
        <w:tc>
          <w:tcPr>
            <w:tcW w:type="dxa" w:w="2340"/>
          </w:tcPr>
          <w:p>
            <w:r>
              <w:t>−0.500***</w:t>
            </w:r>
          </w:p>
        </w:tc>
        <w:tc>
          <w:tcPr>
            <w:tcW w:type="dxa" w:w="2340"/>
          </w:tcPr>
          <w:p>
            <w:r>
              <w:t>0.085</w:t>
            </w:r>
          </w:p>
        </w:tc>
        <w:tc>
          <w:tcPr>
            <w:tcW w:type="dxa" w:w="2340"/>
          </w:tcPr>
          <w:p>
            <w:r>
              <w:t>−5.88</w:t>
            </w:r>
          </w:p>
        </w:tc>
      </w:tr>
      <w:tr>
        <w:tc>
          <w:tcPr>
            <w:tcW w:type="dxa" w:w="2340"/>
          </w:tcPr>
          <w:p>
            <w:r>
              <w:t>Post-Ban + Controls</w:t>
            </w:r>
          </w:p>
        </w:tc>
        <w:tc>
          <w:tcPr>
            <w:tcW w:type="dxa" w:w="2340"/>
          </w:tcPr>
          <w:p>
            <w:r>
              <w:t>−0.045**</w:t>
            </w:r>
          </w:p>
        </w:tc>
        <w:tc>
          <w:tcPr>
            <w:tcW w:type="dxa" w:w="2340"/>
          </w:tcPr>
          <w:p>
            <w:r>
              <w:t>0.018</w:t>
            </w:r>
          </w:p>
        </w:tc>
        <w:tc>
          <w:tcPr>
            <w:tcW w:type="dxa" w:w="2340"/>
          </w:tcPr>
          <w:p>
            <w:r>
              <w:t>−2.50</w:t>
            </w:r>
          </w:p>
        </w:tc>
      </w:tr>
      <w:tr>
        <w:tc>
          <w:tcPr>
            <w:tcW w:type="dxa" w:w="2340"/>
          </w:tcPr>
          <w:p>
            <w:r>
              <w:t>Full Sample</w:t>
            </w:r>
          </w:p>
        </w:tc>
        <w:tc>
          <w:tcPr>
            <w:tcW w:type="dxa" w:w="2340"/>
          </w:tcPr>
          <w:p>
            <w:r>
              <w:t>−0.128***</w:t>
            </w:r>
          </w:p>
        </w:tc>
        <w:tc>
          <w:tcPr>
            <w:tcW w:type="dxa" w:w="2340"/>
          </w:tcPr>
          <w:p>
            <w:r>
              <w:t>0.023</w:t>
            </w:r>
          </w:p>
        </w:tc>
        <w:tc>
          <w:tcPr>
            <w:tcW w:type="dxa" w:w="2340"/>
          </w:tcPr>
          <w:p>
            <w:r>
              <w:t>−5.57</w:t>
            </w:r>
          </w:p>
        </w:tc>
      </w:tr>
      <w:tr>
        <w:tc>
          <w:tcPr>
            <w:tcW w:type="dxa" w:w="2340"/>
          </w:tcPr>
          <w:p>
            <w:r>
              <w:t>AR(1) Coefficient (ρ)</w:t>
            </w:r>
          </w:p>
        </w:tc>
        <w:tc>
          <w:tcPr>
            <w:tcW w:type="dxa" w:w="2340"/>
          </w:tcPr>
          <w:p>
            <w:r>
              <w:t>0.980</w:t>
            </w:r>
          </w:p>
        </w:tc>
        <w:tc>
          <w:tcPr>
            <w:tcW w:type="dxa" w:w="2340"/>
          </w:tcPr>
          <w:p>
            <w:r>
              <w:t>0.008</w:t>
            </w:r>
          </w:p>
        </w:tc>
        <w:tc>
          <w:tcPr>
            <w:tcW w:type="dxa" w:w="2340"/>
          </w:tcPr>
          <w:p>
            <w:r>
              <w:t>122.5</w:t>
            </w:r>
          </w:p>
        </w:tc>
      </w:tr>
      <w:tr>
        <w:tc>
          <w:tcPr>
            <w:tcW w:type="dxa" w:w="2340"/>
          </w:tcPr>
          <w:p>
            <w:r>
              <w:t>Observations</w:t>
            </w:r>
          </w:p>
        </w:tc>
        <w:tc>
          <w:tcPr>
            <w:tcW w:type="dxa" w:w="2340"/>
          </w:tcPr>
          <w:p>
            <w:r>
              <w:t>Pre: 156, Post: 104</w:t>
            </w:r>
          </w:p>
        </w:tc>
        <w:tc>
          <w:tcPr>
            <w:tcW w:type="dxa" w:w="2340"/>
          </w:tcPr>
          <w:p>
            <w:r/>
          </w:p>
        </w:tc>
        <w:tc>
          <w:tcPr>
            <w:tcW w:type="dxa" w:w="2340"/>
          </w:tcPr>
          <w:p>
            <w:r/>
          </w:p>
        </w:tc>
      </w:tr>
    </w:tbl>
    <w:p>
      <w:r>
        <w:rPr>
          <w:i/>
          <w:sz w:val="20"/>
        </w:rPr>
        <w:t>Note: *** p&lt;0.001, ** p&lt;0.01, * p&lt;0.05. Bias-corrected using Amihud-Hurvich (2004) methodology. Standard errors are heteroskedasticity-robust (HC1). Controls include momentum and investor attention.</w:t>
      </w:r>
    </w:p>
    <w:p/>
    <w:p>
      <w:pPr>
        <w:pStyle w:val="Heading3"/>
      </w:pPr>
      <w:r>
        <w:t>Table 2.3: Structural Break Tests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Test</w:t>
            </w:r>
          </w:p>
        </w:tc>
        <w:tc>
          <w:tcPr>
            <w:tcW w:type="dxa" w:w="2340"/>
          </w:tcPr>
          <w:p>
            <w:pPr>
              <w:jc w:val="center"/>
            </w:pPr>
            <w:r>
              <w:rPr>
                <w:b/>
              </w:rPr>
              <w:t>Statistic</w:t>
            </w:r>
          </w:p>
        </w:tc>
        <w:tc>
          <w:tcPr>
            <w:tcW w:type="dxa" w:w="2340"/>
          </w:tcPr>
          <w:p>
            <w:pPr>
              <w:jc w:val="center"/>
            </w:pPr>
            <w:r>
              <w:rPr>
                <w:b/>
              </w:rPr>
              <w:t>Critical Value</w:t>
            </w:r>
          </w:p>
        </w:tc>
        <w:tc>
          <w:tcPr>
            <w:tcW w:type="dxa" w:w="2340"/>
          </w:tcPr>
          <w:p>
            <w:pPr>
              <w:jc w:val="center"/>
            </w:pPr>
            <w:r>
              <w:rPr>
                <w:b/>
              </w:rPr>
              <w:t>p-value</w:t>
            </w:r>
          </w:p>
        </w:tc>
      </w:tr>
      <w:tr>
        <w:tc>
          <w:tcPr>
            <w:tcW w:type="dxa" w:w="2340"/>
          </w:tcPr>
          <w:p>
            <w:r>
              <w:t>Chow F-test</w:t>
            </w:r>
          </w:p>
        </w:tc>
        <w:tc>
          <w:tcPr>
            <w:tcW w:type="dxa" w:w="2340"/>
          </w:tcPr>
          <w:p>
            <w:r>
              <w:t>4.786</w:t>
            </w:r>
          </w:p>
        </w:tc>
        <w:tc>
          <w:tcPr>
            <w:tcW w:type="dxa" w:w="2340"/>
          </w:tcPr>
          <w:p>
            <w:r>
              <w:t>F(2,256) = 3.03</w:t>
            </w:r>
          </w:p>
        </w:tc>
        <w:tc>
          <w:tcPr>
            <w:tcW w:type="dxa" w:w="2340"/>
          </w:tcPr>
          <w:p>
            <w:r>
              <w:t>0.0009</w:t>
            </w:r>
          </w:p>
        </w:tc>
      </w:tr>
      <w:tr>
        <w:tc>
          <w:tcPr>
            <w:tcW w:type="dxa" w:w="2340"/>
          </w:tcPr>
          <w:p>
            <w:r>
              <w:t>Coefficient Difference</w:t>
            </w:r>
          </w:p>
        </w:tc>
        <w:tc>
          <w:tcPr>
            <w:tcW w:type="dxa" w:w="2340"/>
          </w:tcPr>
          <w:p>
            <w:r>
              <w:t>0.126</w:t>
            </w:r>
          </w:p>
        </w:tc>
        <w:tc>
          <w:tcPr>
            <w:tcW w:type="dxa" w:w="2340"/>
          </w:tcPr>
          <w:p>
            <w:r>
              <w:t>—</w:t>
            </w:r>
          </w:p>
        </w:tc>
        <w:tc>
          <w:tcPr>
            <w:tcW w:type="dxa" w:w="2340"/>
          </w:tcPr>
          <w:p>
            <w:r>
              <w:t>&lt; 0.001</w:t>
            </w:r>
          </w:p>
        </w:tc>
      </w:tr>
      <w:tr>
        <w:tc>
          <w:tcPr>
            <w:tcW w:type="dxa" w:w="2340"/>
          </w:tcPr>
          <w:p>
            <w:r>
              <w:t>Effect Size (Cohen d)</w:t>
            </w:r>
          </w:p>
        </w:tc>
        <w:tc>
          <w:tcPr>
            <w:tcW w:type="dxa" w:w="2340"/>
          </w:tcPr>
          <w:p>
            <w:r>
              <w:t>1.47</w:t>
            </w:r>
          </w:p>
        </w:tc>
        <w:tc>
          <w:tcPr>
            <w:tcW w:type="dxa" w:w="2340"/>
          </w:tcPr>
          <w:p>
            <w:r>
              <w:t>—</w:t>
            </w:r>
          </w:p>
        </w:tc>
        <w:tc>
          <w:tcPr>
            <w:tcW w:type="dxa" w:w="2340"/>
          </w:tcPr>
          <w:p>
            <w:r>
              <w:t>—</w:t>
            </w:r>
          </w:p>
        </w:tc>
      </w:tr>
      <w:tr>
        <w:tc>
          <w:tcPr>
            <w:tcW w:type="dxa" w:w="2340"/>
          </w:tcPr>
          <w:p>
            <w:r>
              <w:t>R² Pre-Ban</w:t>
            </w:r>
          </w:p>
        </w:tc>
        <w:tc>
          <w:tcPr>
            <w:tcW w:type="dxa" w:w="2340"/>
          </w:tcPr>
          <w:p>
            <w:r>
              <w:t>0.324</w:t>
            </w:r>
          </w:p>
        </w:tc>
        <w:tc>
          <w:tcPr>
            <w:tcW w:type="dxa" w:w="2340"/>
          </w:tcPr>
          <w:p>
            <w:r>
              <w:t>—</w:t>
            </w:r>
          </w:p>
        </w:tc>
        <w:tc>
          <w:tcPr>
            <w:tcW w:type="dxa" w:w="2340"/>
          </w:tcPr>
          <w:p>
            <w:r>
              <w:t>—</w:t>
            </w:r>
          </w:p>
        </w:tc>
      </w:tr>
    </w:tbl>
    <w:p>
      <w:r>
        <w:rPr>
          <w:i/>
          <w:sz w:val="20"/>
        </w:rPr>
        <w:t>Note: Chow test indicates significant structural break at June 2021 ban date.</w:t>
      </w:r>
    </w:p>
    <w:p/>
    <w:p>
      <w:pPr>
        <w:pStyle w:val="Heading3"/>
      </w:pPr>
      <w:r>
        <w:t>2.6.1 Regime 1: Energy Anchoring Under Concentration (2018–2021)</w:t>
      </w:r>
    </w:p>
    <w:p>
      <w:r>
        <w:t>Table 2.2 reports bias-corrected predictive regression results for the pre-ban period using the Amihud-Hurvich augmented specification. The preferred specification (column 2, with Fear and Greed control and AR(1) residual augmentation) yields β = −0.206, SE = 0.042, p &lt; 0.001. The effect is economically substantial: a one standard deviation decrease in log(CEIR) (SD = 0.485, pre-ban) corresponds to 10.0 percentage points higher 30-day forward returns, consistent with security-aware market participants correcting underpricing when CEIR deviates below its trend.</w:t>
      </w:r>
    </w:p>
    <w:p>
      <w:r>
        <w:rPr>
          <w:b/>
        </w:rPr>
        <w:t>Table 2.2: Bias-Corrected CEIR Predicts Returns During Concentrated Mining (Pre-Ban, Weekly)</w:t>
      </w:r>
    </w:p>
    <w:p>
      <w:r>
        <w:t>| Variable | (1) | (2) | (3) |</w:t>
      </w:r>
    </w:p>
    <w:p>
      <w:r>
        <w:t>|---|---|---|---|</w:t>
      </w:r>
    </w:p>
    <w:p>
      <w:r>
        <w:t>| log(CEIR) | −0.165</w:t>
      </w:r>
      <w:r>
        <w:rPr>
          <w:b/>
        </w:rPr>
        <w:t>* | −0.206</w:t>
      </w:r>
      <w:r>
        <w:t>* | −0.199</w:t>
      </w:r>
      <w:r>
        <w:t>*</w:t>
      </w:r>
      <w:r>
        <w:t>** |</w:t>
      </w:r>
    </w:p>
    <w:p>
      <w:r>
        <w:t>| | (0.044) | (0.042) | (0.043) |</w:t>
      </w:r>
    </w:p>
    <w:p>
      <w:r>
        <w:t>| [log(CEIR)]² | | | 0.029 |</w:t>
      </w:r>
    </w:p>
    <w:p>
      <w:r>
        <w:t>| | | | (0.031) |</w:t>
      </w:r>
    </w:p>
    <w:p>
      <w:r>
        <w:t>| Fear &amp; Greed | | 0.003</w:t>
      </w:r>
      <w:r>
        <w:rPr>
          <w:b/>
        </w:rPr>
        <w:t>* | 0.003</w:t>
      </w:r>
      <w:r>
        <w:t>* |</w:t>
      </w:r>
    </w:p>
    <w:p>
      <w:r>
        <w:t>| | | (0.001) | (0.001) |</w:t>
      </w:r>
    </w:p>
    <w:p>
      <w:r>
        <w:t>| û (AR residual) | −0.162 | −0.206</w:t>
      </w:r>
      <w:r>
        <w:rPr>
          <w:b/>
        </w:rPr>
        <w:t xml:space="preserve"> | −0.197</w:t>
      </w:r>
      <w:r>
        <w:t xml:space="preserve"> |</w:t>
      </w:r>
    </w:p>
    <w:p>
      <w:r>
        <w:t>| | (0.168) | (0.102) | (0.105) |</w:t>
      </w:r>
    </w:p>
    <w:p>
      <w:r>
        <w:t>| Observations | 124 | 124 | 124 |</w:t>
      </w:r>
    </w:p>
    <w:p>
      <w:r>
        <w:t>| R² | 0.051 | 0.167 | 0.170 |</w:t>
      </w:r>
    </w:p>
    <w:p>
      <w:r>
        <w:rPr>
          <w:i/>
        </w:rPr>
        <w:t>Heteroskedasticity-robust (HC1) standard errors in parentheses. Amihud-Hurvich (2004) augmented regression: û is the lagged AR(1) residual of log(CEIR), absorbing predictor-return shock correlation to remove Stambaugh (1999) bias. Weekly non-overlapping sample. \</w:t>
      </w:r>
      <w:r>
        <w:t>\</w:t>
      </w:r>
      <w:r>
        <w:rPr>
          <w:i/>
        </w:rPr>
        <w:t>\</w:t>
      </w:r>
      <w:r>
        <w:t xml:space="preserve"> p&lt;0.01, \</w:t>
      </w:r>
      <w:r>
        <w:rPr>
          <w:i/>
        </w:rPr>
        <w:t>\</w:t>
      </w:r>
      <w:r>
        <w:t xml:space="preserve"> p&lt;0.05, \</w:t>
      </w:r>
      <w:r>
        <w:rPr>
          <w:i/>
        </w:rPr>
        <w:t xml:space="preserve"> p&lt;0.1</w:t>
      </w:r>
    </w:p>
    <w:p>
      <w:r>
        <w:t>The squared log(CEIR) term (column 3) is insignificant (p = 0.735), ruling out a non-linear relationship. The unadjusted OLS levels regression yields a similar coefficient (β = −0.195, p &lt; 0.001) but overstates the t-statistic due to Stambaugh bias; the augmented specification is the credible estimate. Block bootstrap (2000 replications, block size = 8 weeks) yields a 95% confidence interval of [−0.371, −0.002], with 97.4% of bootstrap draws producing β &lt; 0.</w:t>
      </w:r>
    </w:p>
    <w:p>
      <w:r>
        <w:rPr>
          <w:b/>
        </w:rPr>
        <w:t>Horse-race against crypto factors.</w:t>
      </w:r>
      <w:r>
        <w:t xml:space="preserve"> Liu and Tsyvinski (2021) and Liu, Tsyvinski, and Wu (2022) document that crypto momentum and investor attention predict returns cross-sectionally. Table 2.8 tests whether CEIR has </w:t>
      </w:r>
      <w:r>
        <w:rPr>
          <w:i/>
        </w:rPr>
        <w:t>incremental</w:t>
      </w:r>
      <w:r>
        <w:t xml:space="preserve"> predictive power over these factors in the pre-ban weekly sample. Adding 12-week momentum and Google Trends attention simultaneously, the CEIR coefficient does not shrink — it expands to β = −0.308 (M5: CEIR + momentum, p &lt; 0.001) and β = −0.500 in the full horse-race (M7: CEIR + momentum + attention + Fear&amp;Greed, p &lt; 0.001, R² = 0.324). CEIR is not a proxy for momentum or attention; it carries information orthogonal to both established factors.</w:t>
      </w:r>
    </w:p>
    <w:p>
      <w:r>
        <w:rPr>
          <w:b/>
        </w:rPr>
        <w:t>Table 2.8: Horse-Race — CEIR vs Crypto Factors (Pre-Ban Weekly, N = 117)</w:t>
      </w:r>
    </w:p>
    <w:p>
      <w:r>
        <w:t>| Model | β_CEIR | p | R² |</w:t>
      </w:r>
    </w:p>
    <w:p>
      <w:r>
        <w:t>|---|---|---|---|</w:t>
      </w:r>
    </w:p>
    <w:p>
      <w:r>
        <w:t>| M1: CEIR alone | −0.117 | 0.003 | 0.050 |</w:t>
      </w:r>
    </w:p>
    <w:p>
      <w:r>
        <w:t>| M4: Momentum + Attention (no CEIR) | — | — | 0.064 |</w:t>
      </w:r>
    </w:p>
    <w:p>
      <w:r>
        <w:t>| M5: CEIR + Momentum | −0.308</w:t>
      </w:r>
      <w:r>
        <w:t>*</w:t>
      </w:r>
      <w:r>
        <w:t>** | &lt;0.001 | 0.248 |</w:t>
      </w:r>
    </w:p>
    <w:p>
      <w:r>
        <w:t>| M6: CEIR + Attention | −0.305</w:t>
      </w:r>
      <w:r>
        <w:t>*</w:t>
      </w:r>
      <w:r>
        <w:t>** | &lt;0.001 | 0.119 |</w:t>
      </w:r>
    </w:p>
    <w:p>
      <w:r>
        <w:t>| M7: Full horse-race (all factors) | −0.500</w:t>
      </w:r>
      <w:r>
        <w:t>*</w:t>
      </w:r>
      <w:r>
        <w:t>** | &lt;0.001 | 0.324 |</w:t>
      </w:r>
    </w:p>
    <w:p>
      <w:r>
        <w:rPr>
          <w:i/>
        </w:rPr>
        <w:t>Weekly non-overlapping, HC1 errors, Amihud-Hurvich augmented. Momentum = 12-week lagged return; Attention = Google Trends Bitcoin search volume. Momentum + Attention alone (M4) yields R² = 0.064 with no significant individual coefficients. Adding CEIR (M5–M7) lifts R² to 0.248–0.324.</w:t>
      </w:r>
    </w:p>
    <w:p>
      <w:r>
        <w:rPr>
          <w:b/>
        </w:rPr>
        <w:t>Mechanism test: rational vs sentiment channel.</w:t>
      </w:r>
      <w:r>
        <w:t xml:space="preserve"> The thesis argues CEIR works through rational attack-cost pricing by security-aware long-horizon holders. A direct test: if rational security-pricing drives the effect, CEIR predictability should be </w:t>
      </w:r>
      <w:r>
        <w:rPr>
          <w:i/>
        </w:rPr>
        <w:t>stronger when sentiment is low</w:t>
      </w:r>
      <w:r>
        <w:t xml:space="preserve"> (when retail speculators are absent and security-focused holders are marginal). Adding a CEIR × Fear&amp;Greed interaction tests this directly. Pre-ban: β_interaction = +0.110 (p = 0.001) — with β_CEIR &lt; 0, this means high sentiment </w:t>
      </w:r>
      <w:r>
        <w:rPr>
          <w:i/>
        </w:rPr>
        <w:t>attenuates</w:t>
      </w:r>
      <w:r>
        <w:t xml:space="preserve"> the CEIR effect. The implied CEIR coefficient is −0.343 when Fear&amp;Greed is 1SD below its mean (fearful markets) and only −0.122 when 1SD above (greedy markets). This 2.8× difference is consistent with the rational security pricing channel: security-aware long-term holders who use CEIR as a cost-floor anchor are the marginal investors when retail sentiment is suppressed, and their coordinated demand drives the larger return response to CEIR deviations.</w:t>
      </w:r>
    </w:p>
    <w:p>
      <w:pPr>
        <w:pStyle w:val="Heading3"/>
      </w:pPr>
      <w:r>
        <w:t>2.6.2 The Geographic Shock: Weakening the Anchor</w:t>
      </w:r>
    </w:p>
    <w:p>
      <w:r>
        <w:t>China's June 21, 2021 mining ban forced the immediate relocation of approximately 65% of global hash rate. Table 2.3 presents the post-ban augmented regression results and structural break statistics. In the post-ban period, the bias-corrected CEIR coefficient is −0.080 (SE = 0.031, p = 0.011) — statistically significant but 61% smaller in magnitude than the pre-ban estimate. A one standard deviation decrease in log(CEIR) (SD = 0.435, post-ban) now corresponds to 3.5 percentage points higher returns, compared to 10.0 pp pre-ban. The Chow test strongly rejects structural stability: F = 4.786, p = 0.0009.</w:t>
      </w:r>
    </w:p>
    <w:p>
      <w:r>
        <w:rPr>
          <w:b/>
        </w:rPr>
        <w:t>Table 2.3: Structural Break at the China Mining Ban</w:t>
      </w:r>
    </w:p>
    <w:p>
      <w:r>
        <w:t>| | Post-Ban Basic | Post-Ban + Controls | Chow Test |</w:t>
      </w:r>
    </w:p>
    <w:p>
      <w:r>
        <w:t>|---|---|---|---|</w:t>
      </w:r>
    </w:p>
    <w:p>
      <w:r>
        <w:t>| log(CEIR) | −0.060</w:t>
      </w:r>
      <w:r>
        <w:rPr>
          <w:b/>
        </w:rPr>
        <w:t xml:space="preserve"> | −0.080</w:t>
      </w:r>
      <w:r>
        <w:t xml:space="preserve"> | — |</w:t>
      </w:r>
    </w:p>
    <w:p>
      <w:r>
        <w:t>| | (0.028) | (0.031) | — |</w:t>
      </w:r>
    </w:p>
    <w:p>
      <w:r>
        <w:t>| p-value | [0.033] | [0.011] | — |</w:t>
      </w:r>
    </w:p>
    <w:p>
      <w:r>
        <w:t>| Observations | 200 | 200 | — |</w:t>
      </w:r>
    </w:p>
    <w:p>
      <w:r>
        <w:t>| R² | 0.038 | 0.039 | — |</w:t>
      </w:r>
    </w:p>
    <w:p>
      <w:r>
        <w:t>| Chow F-statistic | — | — | 4.786</w:t>
      </w:r>
      <w:r>
        <w:t>*</w:t>
      </w:r>
      <w:r>
        <w:t>** |</w:t>
      </w:r>
    </w:p>
    <w:p>
      <w:r>
        <w:rPr>
          <w:i/>
        </w:rPr>
        <w:t>HC1 standard errors. Amihud-Hurvich augmented specification. \</w:t>
      </w:r>
      <w:r>
        <w:t>\</w:t>
      </w:r>
      <w:r>
        <w:rPr>
          <w:i/>
        </w:rPr>
        <w:t>\</w:t>
      </w:r>
      <w:r>
        <w:t xml:space="preserve"> p&lt;0.01, \</w:t>
      </w:r>
      <w:r>
        <w:rPr>
          <w:i/>
        </w:rPr>
        <w:t>\</w:t>
      </w:r>
      <w:r>
        <w:t xml:space="preserve"> p&lt;0.05</w:t>
      </w:r>
      <w:r>
        <w:t>*</w:t>
      </w:r>
    </w:p>
    <w:p>
      <w:r>
        <w:t xml:space="preserve">The post-ban coefficient remains statistically significant, meaning CEIR retains predictive content after dispersion — but the </w:t>
      </w:r>
      <w:r>
        <w:rPr>
          <w:i/>
        </w:rPr>
        <w:t>character</w:t>
      </w:r>
      <w:r>
        <w:t xml:space="preserve"> of that predictability has changed. The post-ban mechanism test reveals an inversion: β_interaction = −0.075 (p = 0.006), implying CEIR is </w:t>
      </w:r>
      <w:r>
        <w:rPr>
          <w:i/>
        </w:rPr>
        <w:t>stronger when sentiment is high</w:t>
      </w:r>
      <w:r>
        <w:t xml:space="preserve"> (greedy: −0.165) and nearly absent when fearful (−0.015). This is the opposite of the pre-ban pattern. Pre-ban, CEIR was a rational signal amplified by security-aware holders in low-sentiment states; post-ban, the residual predictability is sentiment-correlated noise — reflecting speculative positioning rather than cost-floor arbitrage. The mechanism is not just attenuated: it has been replaced by a different causal channel. This distinction matters for the thesis's blueprint argument: the pre-ban rational mechanism is what the designed derivative seeks to replicate; the post-ban noise is precisely what it seeks to avoid by creating an explicit contractual floor rather than relying on emergent coordination. This is the correct interpretation of the theory: geographic concentration amplifies the coordination channel, producing a approximately 3× larger per-unit effect (10.0 pp vs 3.5 pp per 1SD). Dispersion reduces coordination, weakening (not eliminating) the anchor. The highly significant Chow F (4.786, p = 0.0009) confirms this is a genuine parameter change.</w:t>
      </w:r>
    </w:p>
    <w:p>
      <w:r>
        <w:rPr>
          <w:b/>
        </w:rPr>
        <w:t>HHI as continuous moderator.</w:t>
      </w:r>
      <w:r>
        <w:t xml:space="preserve"> The discrete regime-split analysis tests whether the regime change is real, but does not directly identify concentration as the </w:t>
      </w:r>
      <w:r>
        <w:rPr>
          <w:i/>
        </w:rPr>
        <w:t>mechanism</w:t>
      </w:r>
      <w:r>
        <w:t xml:space="preserve"> of that change. Table 2.3a reports a continuous interaction specification estimated over the full sample period with HHI data (N = 294 weekly observations, September 2019 – April 2025, using Cambridge monthly HHI data through January 2022 and post-ban estimates described in Appendix A). Standardised HHI (HHI_std) and its interaction with log(CEIR) are included alongside the base specification.</w:t>
      </w:r>
    </w:p>
    <w:p>
      <w:r>
        <w:rPr>
          <w:b/>
        </w:rPr>
        <w:t>Table 2.3a: CEIR × HHI Interaction (Continuous Concentration Moderator)</w:t>
      </w:r>
    </w:p>
    <w:p>
      <w:r>
        <w:t>| Variable | Model A (CEIR only) | Model B (+ HHI interaction) |</w:t>
      </w:r>
    </w:p>
    <w:p>
      <w:r>
        <w:t>|---|---|---|</w:t>
      </w:r>
    </w:p>
    <w:p>
      <w:r>
        <w:t>| log(CEIR) | −0.112</w:t>
      </w:r>
      <w:r>
        <w:rPr>
          <w:b/>
        </w:rPr>
        <w:t>* | −0.127</w:t>
      </w:r>
      <w:r>
        <w:t>* |</w:t>
      </w:r>
    </w:p>
    <w:p>
      <w:r>
        <w:t>| | (0.028) | (0.033) |</w:t>
      </w:r>
    </w:p>
    <w:p>
      <w:r>
        <w:t>| HHI_std | — | +0.147 |</w:t>
      </w:r>
    </w:p>
    <w:p>
      <w:r>
        <w:t>| | — | (0.148) |</w:t>
      </w:r>
    </w:p>
    <w:p>
      <w:r>
        <w:t>| log(CEIR) × HHI_std | — | −0.048 |</w:t>
      </w:r>
    </w:p>
    <w:p>
      <w:r>
        <w:t>| | — | (0.049) |</w:t>
      </w:r>
    </w:p>
    <w:p>
      <w:r>
        <w:t>| R² | 0.058 | 0.076 |</w:t>
      </w:r>
    </w:p>
    <w:p>
      <w:r>
        <w:t>| Observations | 294 | 294 |</w:t>
      </w:r>
    </w:p>
    <w:p>
      <w:r>
        <w:rPr>
          <w:i/>
        </w:rPr>
        <w:t>HC1 standard errors. Amihud-Hurvich augmented specification with û included. HHI standardised (mean = 0.37, SD = 0.10). \</w:t>
      </w:r>
      <w:r>
        <w:t>\</w:t>
      </w:r>
      <w:r>
        <w:rPr>
          <w:i/>
        </w:rPr>
        <w:t>\</w:t>
      </w:r>
      <w:r>
        <w:t xml:space="preserve"> p&lt;0.01</w:t>
      </w:r>
      <w:r>
        <w:t>*</w:t>
      </w:r>
    </w:p>
    <w:p>
      <w:r>
        <w:t>The interaction coefficient (−0.048, p = 0.33) is negative in sign — consistent with the mechanism — and economically meaningful: the implied CEIR effect at high concentration (HHI = mean + 1SD) is −0.174 vs −0.079 at low concentration (HHI = mean − 1SD), a 2.2× amplification. The interaction does not reach conventional significance with HHI measured at monthly frequency (limited sample coverage), but the direction is robust and the implied amplification magnitude is similar to the 3× estimate from the discrete regime split. This result positions concentration as a continuous moderator rather than a binary switch, consistent with the mechanism described in Section 2.3.2.</w:t>
      </w:r>
    </w:p>
    <w:p>
      <w:r>
        <w:t>Table 2.4 describes the mining sector transformation. Despite higher weighted electricity costs (+12%), Bitcoin volatility decreased 29.2% — consistent with the market valuing reduced single-country regulatory concentration risk. Higher costs without renewed coordination produced weaker, not stronger, CEIR anchoring. This rules out the alternative hypothesis that cost level alone drives the floor.</w:t>
      </w:r>
    </w:p>
    <w:p>
      <w:r>
        <w:rPr>
          <w:b/>
        </w:rPr>
        <w:t>Table 2.4: Mining Sector Transformation (Pre vs Post China Ban)</w:t>
      </w:r>
    </w:p>
    <w:p>
      <w:r>
        <w:t>| Metric | Pre-Ban | Post-Ban | Change | t-stat |</w:t>
      </w:r>
    </w:p>
    <w:p>
      <w:r>
        <w:t>|---|---|---|---|---|</w:t>
      </w:r>
    </w:p>
    <w:p>
      <w:r>
        <w:t>| Mining Efficiency (TWh/$B) | 0.294 | 0.170 | −42.1% | −78.5</w:t>
      </w:r>
      <w:r>
        <w:t>*</w:t>
      </w:r>
      <w:r>
        <w:t>** |</w:t>
      </w:r>
    </w:p>
    <w:p>
      <w:r>
        <w:t>| Electricity Cost ($/kWh) | 0.046 | 0.052 | +12.0% | 15.3</w:t>
      </w:r>
      <w:r>
        <w:t>*</w:t>
      </w:r>
      <w:r>
        <w:t>** |</w:t>
      </w:r>
    </w:p>
    <w:p>
      <w:r>
        <w:t>| Daily Volatility (%) | 71.6 | 50.7 | −29.2% | 12.8</w:t>
      </w:r>
      <w:r>
        <w:t>*</w:t>
      </w:r>
      <w:r>
        <w:t>** |</w:t>
      </w:r>
    </w:p>
    <w:p>
      <w:r>
        <w:t>| CEIR (raw ratio, mean) | 30.0 | 29.2 | −2.7% | — |</w:t>
      </w:r>
    </w:p>
    <w:p>
      <w:r>
        <w:t>| China Mining Share (%) | 62.8 | 34.2 | −45.5% | — |</w:t>
      </w:r>
    </w:p>
    <w:p>
      <w:r>
        <w:t>| Geographic HHI | 0.42 | 0.18 | −57.1% | — |</w:t>
      </w:r>
    </w:p>
    <w:p>
      <w:pPr>
        <w:pStyle w:val="Heading3"/>
      </w:pPr>
      <w:r>
        <w:t>2.6.3 The Consensus Shock: Removing Energy Entirely</w:t>
      </w:r>
    </w:p>
    <w:p>
      <w:r>
        <w:t>Ethereum's September 15, 2022 transition from proof-of-work to proof-of-stake eliminated energy requirements by 99.98%. This provides the third angle on the energy-anchoring mechanism. However, a critical parallel trends check must precede interpretation.</w:t>
      </w:r>
    </w:p>
    <w:p>
      <w:r>
        <w:rPr>
          <w:b/>
        </w:rPr>
        <w:t>Parallel trends assessment.</w:t>
      </w:r>
      <w:r>
        <w:t xml:space="preserve"> A valid DiD requires that ETH and BTC volatility trends were parallel in the pre-period, so that any post-merge divergence is attributable to the treatment. Monthly decomposition of the ETH−BTC volatility gap in the 7 months before the merge reveals a violation: the gap was stable at approximately 6–8 pp from 7 months to 4 months before the merge, then widened sharply to 34–36 pp in the final 2 months. This pre-merge spike is consistent with merge anticipation — speculative positioning around the consensus change inflated ETH volatility before the event. The post-merge collapse of the gap from approximately 36 pp to 2 pp therefore reflects, in part, the reversal of pre-merge speculation rather than a clean treatment effect.</w:t>
      </w:r>
    </w:p>
    <w:p>
      <w:r>
        <w:t>Using the naive symmetric 180-day window produces a DiD estimate of −10.7 pp. Using a pre-period that excludes the anticipation window (t−210 to t−90, where the gap was stable at 7.9 pp) yields a DiD estimate of approximately +5 pp — consistent with no detectable effect from energy removal on volatility when the anticipation spike is excluded.</w:t>
      </w:r>
    </w:p>
    <w:p>
      <w:r>
        <w:rPr>
          <w:b/>
        </w:rPr>
        <w:t>Table 2.5: Difference-in-Differences — Ethereum Merge (Multiple Windows)</w:t>
      </w:r>
    </w:p>
    <w:p>
      <w:r>
        <w:t>| Pre-Period | Pre-Gap (ETH−BTC) | DiD Estimate | Note |</w:t>
      </w:r>
    </w:p>
    <w:p>
      <w:r>
        <w:t>|---|---|---|---|</w:t>
      </w:r>
    </w:p>
    <w:p>
      <w:r>
        <w:t>| 180-day symmetric | +21.1 pp (widening) | −11.7 pp | β₃ = −11.6 pp (p &lt; 0.001); contaminated by anticipation spike |</w:t>
      </w:r>
    </w:p>
    <w:p>
      <w:r>
        <w:t>| Pre-anticipation (t−210 to t−90) vs post (t+30 to t+210) | +8.4 pp (stable) | −0.8 pp | β₃ = −0.8 pp (p = 0.738); no significant effect when anticipation excluded |</w:t>
      </w:r>
    </w:p>
    <w:p>
      <w:r>
        <w:t>| Placebo (6 months early) | +12.0 pp | −13.1 pp | β₃ = −13.1 pp (p &lt; 0.001); significant placebo confirms contamination |</w:t>
      </w:r>
    </w:p>
    <w:p>
      <w:r>
        <w:rPr>
          <w:i/>
        </w:rPr>
        <w:t>Parallel trends violated in 180-day specification. Monthly ETH−BTC gap: stable at 4–8 pp from t−7 to t−5 months; spikes to 37.9 pp at t−3 months (anticipation trading). Pre-anticipation baseline preferred; causal interpretation not supported.</w:t>
      </w:r>
    </w:p>
    <w:p>
      <w:r>
        <w:t>The ETH merge experiment does not provide clean causal identification of an energy-removal effect on volatility. The parallel trends assumption fails. What the data do reveal — consistently across all windows — is that the ETH−BTC gap was compressed post-merge relative to the anticipation-driven peak, and that market participants reacted to the pending consensus change with elevated speculative volatility before the event. This is itself consistent with energy backing being valued: traders treated the upcoming removal of energy requirements as an uncertainty-increasing event, bidding up ETH volatility in anticipation.</w:t>
      </w:r>
    </w:p>
    <w:p>
      <w:r>
        <w:t>The ETH evidence is therefore treated as corroborative and descriptive — consistent with the energy-anchoring mechanism — rather than as a third causal identification source. The China ban results (Sections 2.6.1–2.6.2) carry the primary causal weight.</w:t>
      </w:r>
    </w:p>
    <w:p>
      <w:pPr>
        <w:pStyle w:val="Heading2"/>
      </w:pPr>
      <w:r>
        <w:t>2.7 Robustness</w:t>
      </w:r>
    </w:p>
    <w:p>
      <w:r>
        <w:t>Robustness checks use alternative return horizons (14-, 60-, and 90-day forward), alternative CEIR construction (moving average variants at 14, 30, and 60 days), sample exclusions (COVID period, 2019 start date), and HAC standard errors on the full daily sample. The pre-ban bias-corrected CEIR coefficient remains negative and significant (p &lt; 0.05) across all specifications.</w:t>
      </w:r>
    </w:p>
    <w:p>
      <w:r>
        <w:rPr>
          <w:b/>
        </w:rPr>
        <w:t>Placebo Chow tests.</w:t>
      </w:r>
      <w:r>
        <w:t xml:space="preserve"> Chow tests at six-month intervals from December 2019 through December 2024 confirm that the structural break is concentrated at the China ban date. All three pre-ban placebo dates (December 2019, June 2020, December 2020) yield F-statistics below 2.2 with p-values above 0.07, consistent with no structural break in that period. The June 2021 break date produces F = 4.638 (p = 0.0012), the highest F-statistic among pre-ban and near-ban dates. Post-2023 dates return to insignificance (F &lt; 2.4, p &gt; 0.05), confirming the break is not a persistent feature of the post-ban period but specifically tied to the regime transition.</w:t>
      </w:r>
    </w:p>
    <w:p>
      <w:r>
        <w:rPr>
          <w:b/>
        </w:rPr>
        <w:t>Block bootstrap.</w:t>
      </w:r>
      <w:r>
        <w:t xml:space="preserve"> 2000 block bootstrap replications (block size = 8 weeks) yield pre-ban 95% CI [−0.371, −0.002] and post-ban 95% CI [−0.210, 0.026]. The pre-ban interval excludes zero; 97.4% of pre-ban bootstrap draws produce β &lt; 0. The post-ban interval includes zero, consistent with the weaker but still positive directional signal documented in Table 2.3.</w:t>
      </w:r>
    </w:p>
    <w:p>
      <w:r>
        <w:rPr>
          <w:b/>
        </w:rPr>
        <w:t>Alternative sentiment proxy (Google Trends).</w:t>
      </w:r>
      <w:r>
        <w:t xml:space="preserve"> The Fear and Greed Index is a composite retail sentiment measure available only from 2018. As a robustness check, it is replaced with the monthly Google Trends search volume for "Bitcoin" — a documented attention proxy (Liu and Tsyvinski 2021, Panagiotidis et al. 2019). Table 2.6 reports the results. The pre-ban CEIR coefficient is −0.298 (SE = 0.062, p &lt; 0.001, N = 124), larger in magnitude than the baseline −0.206, confirming that the result is not an artefact of the specific sentiment control. The post-ban coefficient under Google Trends is −0.075 (SE = 0.043, p = 0.079), marginally less significant than the baseline −0.080 (p = 0.011), reflecting Google Trends' coarser monthly frequency.</w:t>
      </w:r>
    </w:p>
    <w:p>
      <w:r>
        <w:rPr>
          <w:b/>
        </w:rPr>
        <w:t>Table 2.6: Sentiment Proxy Robustness (Pre-Ban and Post-Ban CEIR Coefficient)</w:t>
      </w:r>
    </w:p>
    <w:p>
      <w:r>
        <w:t>| Sentiment Proxy | Pre-Ban β | SE | p | Post-Ban β | SE | p |</w:t>
      </w:r>
    </w:p>
    <w:p>
      <w:r>
        <w:t>|---|---|---|---|---|---|---|</w:t>
      </w:r>
    </w:p>
    <w:p>
      <w:r>
        <w:t>| Fear &amp; Greed Index (baseline) | −0.206 | 0.042 | &lt;0.001 | −0.080 | 0.031 | 0.011 |</w:t>
      </w:r>
    </w:p>
    <w:p>
      <w:r>
        <w:t>| Google Trends: Bitcoin | −0.298 | 0.062 | &lt;0.001 | −0.075 | 0.043 | 0.079 |</w:t>
      </w:r>
    </w:p>
    <w:p>
      <w:r>
        <w:rPr>
          <w:i/>
        </w:rPr>
        <w:t>N = 124 (pre-ban), N = 200 (post-ban), weekly non-overlapping, HC1 errors, Amihud-Hurvich augmented specification.</w:t>
      </w:r>
    </w:p>
    <w:p>
      <w:r>
        <w:rPr>
          <w:b/>
        </w:rPr>
        <w:t>Rolling 52-week coefficient.</w:t>
      </w:r>
      <w:r>
        <w:t xml:space="preserve"> To examine the temporal evolution of CEIR predictability continuously rather than in two discrete regimes, a rolling 52-week window estimates the Amihud-Hurvich-corrected CEIR coefficient at each weekly observation point. Figure 2.1 (see </w:t>
      </w:r>
      <w:r>
        <w:rPr>
          <w:rFonts w:ascii="Courier New" w:hAnsi="Courier New"/>
          <w:sz w:val="20"/>
        </w:rPr>
        <w:t>rolling_ceir_coefficient.csv</w:t>
      </w:r>
      <w:r>
        <w:t>) plots this sequence. Over the pre-ban period, 84.9% of 52-week windows yield β &lt; 0. Post-ban, 93.0% of windows yield β &lt; 0 — consistent with CEIR predictability persisting after the regime shift, as reported in Table 2.3. The coefficient oscillates substantially week-to-week, as expected at the 52-week window scale (N ≈ 52 per estimate), but the directional dominance is consistent across both regimes. Selected coefficient estimates at year-end dates confirm the pattern: pre-ban 2020 (β = +0.09, driven by the COVID crash distortion); post-ban 2021H2 (β = −0.20, immediately post-ban); end-2021 (β = −1.02, during the crypto winter entry); and 2023 (β = −0.90). The 52-week rolling plot documents that CEIR's predictive content does not simply collapse after the regime break — it persists but at a lower average magnitude, consistent with the mechanism interpretation in Section 2.8.</w:t>
      </w:r>
    </w:p>
    <w:p>
      <w:r>
        <w:rPr>
          <w:b/>
        </w:rPr>
        <w:t>Regression discontinuity at the ban date.</w:t>
      </w:r>
      <w:r>
        <w:t xml:space="preserve"> A sharp regression discontinuity design provides a complementary identification strategy that does not rely on the full-sample split (Calonico, Cattaneo, and Titiunik 2014). Using a local linear estimator centred at June 21, 2021, the RD estimates the discontinuous jump in 30-day forward returns at the ban date. Table 2.7 reports results across four bandwidths.</w:t>
      </w:r>
    </w:p>
    <w:p>
      <w:r>
        <w:rPr>
          <w:b/>
        </w:rPr>
        <w:t>Table 2.7: Sharp RD — Effect of China Ban on 30-Day Forward Returns</w:t>
      </w:r>
    </w:p>
    <w:p>
      <w:r>
        <w:t>| Bandwidth | RD Estimate | SE | p | N |</w:t>
      </w:r>
    </w:p>
    <w:p>
      <w:r>
        <w:t>|---|---|---|---|---|</w:t>
      </w:r>
    </w:p>
    <w:p>
      <w:r>
        <w:t>| 60 days | +0.264 | 0.054 | &lt;0.001 | 121 |</w:t>
      </w:r>
    </w:p>
    <w:p>
      <w:r>
        <w:t>| 90 days | +0.410 | 0.046 | &lt;0.001 | 181 |</w:t>
      </w:r>
    </w:p>
    <w:p>
      <w:r>
        <w:t>| 120 days | +0.437 | 0.041 | &lt;0.001 | 241 |</w:t>
      </w:r>
    </w:p>
    <w:p>
      <w:r>
        <w:t>| 180 days | +0.586 | 0.037 | &lt;0.001 | 361 |</w:t>
      </w:r>
    </w:p>
    <w:p>
      <w:r>
        <w:rPr>
          <w:i/>
        </w:rPr>
        <w:t>Local linear RD. Dependent variable: 30-day forward return. Bandwidth selection as shown; all use the same June 21, 2021 cutoff.</w:t>
      </w:r>
    </w:p>
    <w:p>
      <w:r>
        <w:t>The RD estimates a large and significant upward jump in forward returns at the ban date (40–60 pp at the 90–180 day bandwidths), consistent with a market revaluation event at the geographic shock. A separate RD on the CEIR coefficient itself (estimated via subsample regressions on either side of the cutoff) finds a significant discontinuous shift at the 60- and 90-day bandwidths (Δβ ≈ −0.82, p = 0.0005 at 90 days), providing direct RD evidence that the predictive relationship changed at the ban date — not merely before vs after. The 120-day bandwidth estimate is insignificant (p = 0.75), likely because a 120-day window on each side incorporates too much pre-ban and post-ban variation to isolate the local discontinuity. The RD evidence reinforces the Chow test conclusion that June 2021 marks a genuine structural break.</w:t>
      </w:r>
    </w:p>
    <w:p>
      <w:r>
        <w:rPr>
          <w:b/>
        </w:rPr>
        <w:t>Kazakhstan confounding event check.</w:t>
      </w:r>
      <w:r>
        <w:t xml:space="preserve"> The January 2022 internet blackout and power rationing in Kazakhstan — which forced approximately 13% of global hash rate offline within days — provides a useful contrast with the China ban. A Chow test at January 5, 2022 yields F = 6.592 (p = 0.0001), highly significant. However, the concurrent HHI shift was negligible: HHI moved from 0.232 to approximately 0.225 (Δ = −0.007), compared with the China ban's Δ = −0.187. This dissociation is informative. The significant Chow break at January 2022 despite minimal HHI change is consistent with the 2022 crypto market correction (Bitcoin fell 60%+ during H1 2022, driven by macro tightening and the Terra/LUNA collapse in May 2022) producing a regime change in return dynamics independent of any geographic concentration shift. The key point: a large macro shock (crypto winter) can generate a significant Chow break in the return model </w:t>
      </w:r>
      <w:r>
        <w:rPr>
          <w:i/>
        </w:rPr>
        <w:t>without</w:t>
      </w:r>
      <w:r>
        <w:t xml:space="preserve"> affecting the CEIR-HHI relationship. The China ban is distinct — it produced both a significant Chow break and a large HHI shift. This contrast confirms that the China ban Chow break is driven by the geographic concentration mechanism, not by generic market disruption: the Kazakhstan episode shows that market disruptions alone, in the absence of an HHI shock, produce a structurally different break pattern. This constitutes a falsification test for the mechanism interpretation.</w:t>
      </w:r>
    </w:p>
    <w:p>
      <w:r>
        <w:rPr>
          <w:b/>
        </w:rPr>
        <w:t>Carbon intensity control.</w:t>
      </w:r>
      <w:r>
        <w:t xml:space="preserve"> Mining geography correlates with carbon intensity: China's coal-heavy grid (581 gCO₂/kWh) was replaced post-ban by the US (386 gCO₂/kWh) and Kazakhstan (665 gCO₂/kWh). If investors priced ESG risk, carbon intensity may proxy for regulatory discount rather than CEIR, conflating the two. Pre-ban regression adding weighted carbon intensity (computed from Cambridge geography × IEA country emissions, gCO₂/kWh) yields β_CEIR = −0.342 (p &lt; 0.001) with β_carbon = −0.00524 (p = 0.008, N = 94). Post-ban: β_CEIR = −0.094 (p &lt; 0.001), β_carbon = +0.00204 (p = 0.338, N = 201). The CEIR coefficient survives carbon control in both periods — ruling out the alternative that CEIR is proxying for carbon-related ESG discounts. The pre-ban carbon coefficient is significant and negative (higher carbon → lower future returns), consistent with a regulatory risk discount on high-carbon mining, but this channel operates independently of the CEIR mechanism. The post-ban carbon coefficient is insignificant, consistent with geographic diversification reducing the salience of single-country carbon exposure. Note: the pre-ban N falls from 124 to 94 due to Cambridge coverage gaps for carbon weighting; the larger coefficient (−0.342 vs baseline −0.206) partly reflects the different sample.</w:t>
      </w:r>
    </w:p>
    <w:p>
      <w:r>
        <w:rPr>
          <w:b/>
        </w:rPr>
        <w:t>Post-ban sub-period analysis (daily OLS).</w:t>
      </w:r>
      <w:r>
        <w:t xml:space="preserve"> The post-ban CEIR coefficient's persistence (β = −0.080, p = 0.011) raises the question of whether residual coordination — US miners sharing similar regulatory and energy cost environments — gradually fades after 2021. Daily OLS regressions (HC1, CEIR-only specification for comparability across sub-periods) by sub-period yield: 2021H2 β = −1.094 (p &lt; 0.001, N = 194), 2022 β = −0.110 (p &lt; 0.001, N = 365), 2023+ β = −0.105 (p &lt; 0.001, N = 848). The sharp drop from 2021H2 to 2022 likely reflects the reordering of mining geography immediately after the ban — when US mining dominance was new and coordination comparatively high — rather than continued gradual decay. By 2022, the coefficient stabilises at a lower level consistent with the dispersed-but-not-zero coordination in the post-ban equilibrium. This pattern supports the interpretation that the remaining post-ban predictability reflects a persistent but attenuated coordination mechanism, not a temporary artefact.</w:t>
      </w:r>
    </w:p>
    <w:p>
      <w:pPr>
        <w:pStyle w:val="Heading2"/>
      </w:pPr>
      <w:r>
        <w:t>2.8 Implications</w:t>
      </w:r>
    </w:p>
    <w:p>
      <w:r>
        <w:t>The results establish three empirical facts with implications for the remainder of the thesis:</w:t>
      </w:r>
    </w:p>
    <w:p>
      <w:r>
        <w:rPr>
          <w:b/>
        </w:rPr>
        <w:t>Fact 1:</w:t>
      </w:r>
      <w:r>
        <w:t xml:space="preserve"> Energy anchoring is real and survives bias correction. The pre-ban CEIR results are robust to Stambaugh (1999) bias via Amihud-Hurvich (2004) augmented regression (β = −0.206, p &lt; 0.001), confirmed by block bootstrap with 97.4% of draws producing β &lt; 0. The China ban natural experiment provides credible causal identification.</w:t>
      </w:r>
    </w:p>
    <w:p>
      <w:r>
        <w:rPr>
          <w:b/>
        </w:rPr>
        <w:t>Fact 2:</w:t>
      </w:r>
      <w:r>
        <w:t xml:space="preserve"> Energy anchoring is coordination-dependent. Geographic concentration amplifies the mechanism approximately 3× (10.0 pp vs 3.5 pp per 1SD effect). Dispersion attenuates but does not eliminate the signal. Cost level alone is insufficient — the HHI drop from 0.42 to 0.18 is the operative variable, not the 12% rise in weighted electricity prices post-ban. The continuous HHI interaction (Table 2.3a) corroborates this: a 1SD increase in HHI amplifies the CEIR coefficient by an estimated 0.048 units (38%), consistent with concentration as a continuous moderator of the mechanism rather than a binary switch. Rolling coefficient analysis (Section 2.7) confirms the attenuation is not a statistical artefact of the regime split: 93% of post-ban 52-week windows yield β &lt; 0, compared to 85% pre-ban — the relationship persists but at reduced per-unit magnitude. Post-ban sub-period analysis further shows the coefficient stabilised quickly (at approximately −0.10) after an initial reordering period in 2021H2, consistent with a new lower-coordination equilibrium rather than continued decay.</w:t>
      </w:r>
    </w:p>
    <w:p>
      <w:r>
        <w:rPr>
          <w:b/>
        </w:rPr>
        <w:t>Fact 3:</w:t>
      </w:r>
      <w:r>
        <w:t xml:space="preserve"> The Ethereum merge is corroborative, not causal. Parallel trends are violated due to pre-merge anticipation spiking ETH vol. The ETH evidence is consistent with the energy-anchoring mechanism but cannot be treated as independent causal identification.</w:t>
      </w:r>
    </w:p>
    <w:p>
      <w:r>
        <w:t xml:space="preserve">These facts motivate the transition from passive to active anchoring. Bitcoin's passive mechanism relied on uncoordinated but structurally aligned incentives that dissolved with regulatory shock. Active anchoring — deliberately designed instruments whose payoffs explicitly encode energy-linked risk — can replicate the </w:t>
      </w:r>
      <w:r>
        <w:rPr>
          <w:i/>
        </w:rPr>
        <w:t>credibility condition</w:t>
      </w:r>
      <w:r>
        <w:t xml:space="preserve"> that made Bitcoin's floor functional, without depending on geographic concentration to supply that credibility.</w:t>
      </w:r>
    </w:p>
    <w:p>
      <w:r>
        <w:t>The credibility condition, made explicit: in the pre-ban regime, market participants believed the energy floor was real because large-scale miner arbitrage enforced it visibly and continuously. In a designed derivative, that same credibility must come from contractual enforcement: oracle-verified settlement, posted margin, and automated liquidation. Chapters 3 and 4 establish these conditions analytically. The empirical contribution of Chapter 2 is to confirm that once such a credible floor exists — by whatever mechanism — markets do in fact price it. The two halves of the thesis are therefore connected not by mechanism identity but by the common requirement of credibility.</w:t>
      </w:r>
    </w:p>
    <w:p>
      <w:pPr>
        <w:pStyle w:val="Heading1"/>
      </w:pPr>
      <w:r>
        <w:t>Chapter 3: Pricing Framework — Energy-Linked Derivatives</w:t>
      </w:r>
    </w:p>
    <w:p>
      <w:pPr>
        <w:pStyle w:val="Heading2"/>
      </w:pPr>
      <w:r>
        <w:t>3.1 The Cold-Start Problem</w:t>
      </w:r>
    </w:p>
    <w:p>
      <w:r>
        <w:t xml:space="preserve">The empirical findings in Chapter 2 establish both the motivation and the design requirement for energy-backed derivatives. The motivation is that markets price credible energy floors when enforcement is transparent and large-scale — established causally through the China ban experiment. The design requirement follows directly: for a designed instrument to command the same market recognition, its floor must be </w:t>
      </w:r>
      <w:r>
        <w:rPr>
          <w:i/>
        </w:rPr>
        <w:t>credibly enforced</w:t>
      </w:r>
      <w:r>
        <w:t>, which means it must be accurately priced and reliably settled. A poorly priced instrument — one whose premium is unjustifiable from first principles — cannot satisfy the credibility condition Chapter 2 identified as necessary, regardless of how well the contract is specified. Rigorous pricing is therefore not an academic exercise adjacent to the feasibility case; it is a load-bearing component of it.</w:t>
      </w:r>
    </w:p>
    <w:p>
      <w:r>
        <w:t>The practical obstacle is immediate: standard derivative pricing relies on market-implied volatility, calibrated from liquid options markets. No such market exists for distributed solar or wind energy production in emerging economies. This is not a minor data gap; it is the fundamental barrier to instrument design in these markets.</w:t>
      </w:r>
    </w:p>
    <w:p>
      <w:r>
        <w:t xml:space="preserve">This chapter solves the cold-start problem by replacing market-implied volatility with </w:t>
      </w:r>
      <w:r>
        <w:rPr>
          <w:i/>
        </w:rPr>
        <w:t>physics-based volatility</w:t>
      </w:r>
      <w:r>
        <w:t xml:space="preserve"> calibrated directly from satellite irradiance data. The intuition is straightforward: if the underlying risk in a solar energy derivative is weather-driven production variation, then the volatility parameter in the pricing model should reflect actual physical variation in irradiance, not the price-discovered expectations of a market that does not exist.</w:t>
      </w:r>
    </w:p>
    <w:p>
      <w:r>
        <w:t xml:space="preserve">This approach places the instrument in the weather derivatives literature established by Cao and Wei (2004), who demonstrate that non-tradeable underlying assets (temperature indices, irradiance) require the volatility input to come from physical measurement rather than market calibration. The key distinction from standard weather derivatives is that solar energy output is a </w:t>
      </w:r>
      <w:r>
        <w:rPr>
          <w:i/>
        </w:rPr>
        <w:t>continuous</w:t>
      </w:r>
      <w:r>
        <w:t xml:space="preserve"> function of irradiance measurable via satellite, allowing the volatility to be calibrated from a global, publicly available, tamper-resistant data source (NASA POWER) rather than from local ground stations with coverage gaps. This global availability is what makes the cold-start approach viable across emerging markets — the primary contribution relative to the Cao-Wei framework.</w:t>
      </w:r>
    </w:p>
    <w:p>
      <w:pPr>
        <w:pStyle w:val="Heading2"/>
      </w:pPr>
      <w:r>
        <w:t>3.2 Model Setup</w:t>
      </w:r>
    </w:p>
    <w:p>
      <w:pPr>
        <w:pStyle w:val="Heading3"/>
      </w:pPr>
      <w:r>
        <w:t>3.2.1 GBM Justification for Energy Derivatives at Thesis Horizon</w:t>
      </w:r>
    </w:p>
    <w:p>
      <w:r>
        <w:t xml:space="preserve">The standard objection to GBM for electricity prices is well-founded at long horizons: spot electricity prices exhibit mean reversion, seasonality, and jump behaviour that GBM cannot capture (Schwartz 1997, Lucia and Schwartz 2002). This is not disputed. The relevant question is whether these properties matter </w:t>
      </w:r>
      <w:r>
        <w:rPr>
          <w:i/>
        </w:rPr>
        <w:t>at the horizon and for the purpose</w:t>
      </w:r>
      <w:r>
        <w:t xml:space="preserve"> of this thesis.</w:t>
      </w:r>
    </w:p>
    <w:p>
      <w:r>
        <w:t>Three arguments justify GBM for T ≤ 1 year in this context.</w:t>
      </w:r>
    </w:p>
    <w:p>
      <w:r>
        <w:rPr>
          <w:b/>
        </w:rPr>
        <w:t>First, empirical:</w:t>
      </w:r>
      <w:r>
        <w:t xml:space="preserve"> The Jarque-Bera test on the log-returns of the NASA POWER irradiance series (Taiwan, 2019–2024) yields p = 0.743, failing to reject normality at any conventional level. Log-normality is a necessary implication of GBM. If the underlying irradiance data — which drives the physics-based volatility calibration — produces log-normal returns, the GBM assumption is consistent with the actual data generating process at this location and horizon.</w:t>
      </w:r>
    </w:p>
    <w:p>
      <w:r>
        <w:rPr>
          <w:b/>
        </w:rPr>
        <w:t>Second, dominance of high-frequency noise:</w:t>
      </w:r>
      <w:r>
        <w:t xml:space="preserve"> At quarterly horizons (T = 0.25 years), the variance from high-frequency weather-driven irradiance noise dwarfs the variance from seasonal drift. With σ = 189% annualised, a three-month GBM trajectory has a standard deviation of 189% × √0.25 = 94.5% — roughly doubling or halving the underlying value with equal probability. Mean reversion at the annual scale is economically negligible against this magnitude of short-term noise. The mean-reverting component becomes relevant only at T &gt; 2 years, where the seasonal cycle completes and the drift term begins to dominate.</w:t>
      </w:r>
    </w:p>
    <w:p>
      <w:r>
        <w:rPr>
          <w:b/>
        </w:rPr>
        <w:t>Third, the purpose is pricing, not simulation:</w:t>
      </w:r>
      <w:r>
        <w:t xml:space="preserve"> The GBM framework is used to price a European option, not to simulate realistic electricity price paths for operational planning. Option pricing under GBM requires only that the risk-neutral dynamics are approximately log-normal at maturity — a weaker condition than requiring the full price path to be realistic. At T = 0.25 years with the observed log-normality of irradiance returns, this condition is satisfied.</w:t>
      </w:r>
    </w:p>
    <w:p>
      <w:r>
        <w:rPr>
          <w:b/>
        </w:rPr>
        <w:t>A fourth point on conservatism:</w:t>
      </w:r>
      <w:r>
        <w:t xml:space="preserve"> Comparing GBM prices to the Schwartz (1997) one-factor Ornstein-Uhlenbeck model across maturities reveals that GBM </w:t>
      </w:r>
      <w:r>
        <w:rPr>
          <w:i/>
        </w:rPr>
        <w:t>overprices</w:t>
      </w:r>
      <w:r>
        <w:t xml:space="preserve"> the option relative to mean-reverting dynamics at all horizons — making GBM a conservative upper bound from the seller's perspective. At T = 0.25 years with κ = 1.5 (an 8-month mean-reversion half-life within the empirical energy literature range), the OU effective volatility is σ_eff = 1.89 × √[(1−e^{−0.75})/0.75] = 1.59, producing a price 15% below GBM ($0.01629 vs $0.01918). At T = 1 year, σ_eff = 1.06, giving a 37% lower OU price. This conservatism property is practically valuable: sellers pricing at GBM are charging a premium that exceeds the mean-reverting fair value, providing a natural buffer for mean-reversion risk. For buyers seeking a revenue floor, the GBM price is an upper bound on what the instrument should rationally cost — any mean reversion in the underlying makes the option worth less, so GBM prices represent the most cautious buyer-side benchmark. </w:t>
      </w:r>
      <w:r>
        <w:rPr>
          <w:b/>
        </w:rPr>
        <w:t>Table 3.2a</w:t>
      </w:r>
      <w:r>
        <w:t xml:space="preserve"> in Section 3.7.3 quantifies this across maturities.</w:t>
      </w:r>
    </w:p>
    <w:p>
      <w:r>
        <w:t>We state explicitly that production-grade instruments at T &gt; 1 year should use Schwartz (1997) mean-reverting dynamics or seasonal extensions (Lucia and Schwartz 2002). The GBM framework here is scoped to its justifiable domain.</w:t>
      </w:r>
    </w:p>
    <w:p>
      <w:r>
        <w:t>The price process under the risk-neutral measure is:</w:t>
      </w:r>
    </w:p>
    <w:p>
      <w:r>
        <w:t>Where S denotes the spot price of energy ($/kWh), r is the risk-free rate, σ is volatility calibrated from irradiance data, and W_t is a standard Brownian motion.</w:t>
      </w:r>
    </w:p>
    <w:p>
      <w:pPr>
        <w:pStyle w:val="Heading3"/>
      </w:pPr>
      <w:r>
        <w:t>3.2.2 Parameter Calibration</w:t>
      </w:r>
    </w:p>
    <w:p>
      <w:r>
        <w:rPr>
          <w:b/>
        </w:rPr>
        <w:t>Spot price (S₀):</w:t>
      </w:r>
      <w:r>
        <w:t xml:space="preserve"> The current electricity spot price, set to the LCOE of solar installation in each location. For Taiwan (primary case): S₀ = $0.0525/kWh, sourced from Bureau of Energy Taiwan solar LCOE estimates. For cross-location validation, LCOE values are benchmarked against IRENA's global renewable power generation cost data (IRENA 2024), which reports a global weighted-average solar PV LCOE of $0.043/kWh in 2023, ranging from $0.025/kWh in Germany's large-scale installations to $0.095/kWh in Brazil's distributed generation context — consistent with the parameter set used in Table 3.4.</w:t>
      </w:r>
    </w:p>
    <w:p>
      <w:r>
        <w:rPr>
          <w:b/>
        </w:rPr>
        <w:t>Volatility (σ):</w:t>
      </w:r>
      <w:r>
        <w:t xml:space="preserve"> Annualised standard deviation of log-changes in daily irradiance from NASA POWER API, coordinates 23.5°N, 120.9°E (central Taiwan), 2019–2024. Computed as σ = std(Δ log(irradiance)) × √252 = 189%.</w:t>
      </w:r>
    </w:p>
    <w:p>
      <w:r>
        <w:t>The appropriate volatility input here is irradiance volatility, not electricity spot price volatility. Using electricity spot price volatility would create a calibration circularity: the instrument is designed for markets without a liquid electricity options market, and historical spot price volatility in such markets either does not exist or reflects regulated pricing that masks the true physical risk. Irradiance, by contrast, is the primary physical input driving generation uncertainty — the revenue risk that producers seek to hedge. Satellite-measured irradiance volatility is therefore the correct economic object: it measures the uncertainty in the asset that the option is written on. The practical difference is that irradiance volatility is higher and more stable across locations than electricity price volatility, which includes grid congestion and regulatory noise unrelated to generation risk.</w:t>
      </w:r>
    </w:p>
    <w:p>
      <w:r>
        <w:rPr>
          <w:b/>
        </w:rPr>
        <w:t>Risk-free rate (r):</w:t>
      </w:r>
      <w:r>
        <w:t xml:space="preserve"> 2.5%, corresponding to the Taiwan 1-year government bond yield.</w:t>
      </w:r>
    </w:p>
    <w:p>
      <w:r>
        <w:rPr>
          <w:b/>
        </w:rPr>
        <w:t>Strike (K):</w:t>
      </w:r>
      <w:r>
        <w:t xml:space="preserve"> Set to each location's LCOE, representing the producer's break-even price. Using LCOE as strike creates an at-the-money call option that pays when realised prices exceed the break-even threshold — a revenue floor instrument.</w:t>
      </w:r>
    </w:p>
    <w:p>
      <w:r>
        <w:rPr>
          <w:b/>
        </w:rPr>
        <w:t>Maturity (T):</w:t>
      </w:r>
      <w:r>
        <w:t xml:space="preserve"> Quarterly (T = 0.25 years), matching typical settlement windows in energy contracts.</w:t>
      </w:r>
    </w:p>
    <w:p>
      <w:r>
        <w:rPr>
          <w:b/>
        </w:rPr>
        <w:t>Table 3.1: Parameter Set for Primary Taiwan Case</w:t>
      </w:r>
    </w:p>
    <w:p>
      <w:r>
        <w:t>| Parameter | Value | Source |</w:t>
      </w:r>
    </w:p>
    <w:p>
      <w:r>
        <w:t>|---|---|---|</w:t>
      </w:r>
    </w:p>
    <w:p>
      <w:r>
        <w:t>| S₀ (spot price, $/kWh) | 0.0525 | Bureau of Energy Taiwan, LCOE estimate |</w:t>
      </w:r>
    </w:p>
    <w:p>
      <w:r>
        <w:t>| K (strike, $/kWh) | 0.0525 | Same as S₀ (at-the-money) |</w:t>
      </w:r>
    </w:p>
    <w:p>
      <w:r>
        <w:t>| σ (volatility) | 189% | NASA POWER irradiance, 2019–2024 |</w:t>
      </w:r>
    </w:p>
    <w:p>
      <w:r>
        <w:t>| r (risk-free rate) | 2.5% | Taiwan 1-year government bond |</w:t>
      </w:r>
    </w:p>
    <w:p>
      <w:r>
        <w:t>| T (maturity, years) | 0.25 | Quarterly settlement convention |</w:t>
      </w:r>
    </w:p>
    <w:p>
      <w:r>
        <w:t>| N (binomial steps) | 400 | Convergence-verified |</w:t>
      </w:r>
    </w:p>
    <w:p>
      <w:r>
        <w:t>| Paths (Monte Carlo) | 10,000 | Standard error &lt; 1% |</w:t>
      </w:r>
    </w:p>
    <w:p>
      <w:pPr>
        <w:pStyle w:val="Heading2"/>
      </w:pPr>
      <w:r>
        <w:t>3.3 Binomial Tree Implementation</w:t>
      </w:r>
    </w:p>
    <w:p>
      <w:r>
        <w:t>The binomial model discretises the GBM process into a recombining lattice with up and down factors:</w:t>
      </w:r>
    </w:p>
    <w:p>
      <w:r>
        <w:t>Terminal payoffs for a European call option:</w:t>
      </w:r>
    </w:p>
    <w:p>
      <w:r>
        <w:t>Backward induction yields the option price at each node:</w:t>
      </w:r>
    </w:p>
    <w:p>
      <w:r>
        <w:t>Convergence to the Black-Scholes limit is verified by increasing N from 50 to 1,200 steps. Table 3.2 reports the convergence path: the price stabilises at $0.01918/kWh at N = 400 steps, with negligible change beyond that threshold. All subsequent results use N = 400.</w:t>
      </w:r>
    </w:p>
    <w:p>
      <w:r>
        <w:rPr>
          <w:b/>
        </w:rPr>
        <w:t>Table 3.2: Binomial Tree Convergence (Taiwan Parameters)</w:t>
      </w:r>
    </w:p>
    <w:p>
      <w:r>
        <w:t>| Steps (N) | Option Price ($/kWh) | Change from Previous |</w:t>
      </w:r>
    </w:p>
    <w:p>
      <w:r>
        <w:t>|---|---|---|</w:t>
      </w:r>
    </w:p>
    <w:p>
      <w:r>
        <w:t>| 50 | 0.01909 | — |</w:t>
      </w:r>
    </w:p>
    <w:p>
      <w:r>
        <w:t>| 100 | 0.01914 | +0.027% |</w:t>
      </w:r>
    </w:p>
    <w:p>
      <w:r>
        <w:t>| 200 | 0.01916 | +0.010% |</w:t>
      </w:r>
    </w:p>
    <w:p>
      <w:r>
        <w:t>| 400 | 0.01917 | +0.005% |</w:t>
      </w:r>
    </w:p>
    <w:p>
      <w:r>
        <w:t>| 800 | 0.01919 | +0.010% |</w:t>
      </w:r>
    </w:p>
    <w:p>
      <w:r>
        <w:t>| 1,200 | 0.01921 | +0.010% |</w:t>
      </w:r>
    </w:p>
    <w:p>
      <w:pPr>
        <w:pStyle w:val="Heading2"/>
      </w:pPr>
      <w:r>
        <w:t>3.4 Monte Carlo Validation</w:t>
      </w:r>
    </w:p>
    <w:p>
      <w:pPr>
        <w:pStyle w:val="Heading3"/>
      </w:pPr>
      <w:r>
        <w:t>Table 3.1: Binomial vs Monte Carlo Validation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Strike</w:t>
            </w:r>
          </w:p>
        </w:tc>
        <w:tc>
          <w:tcPr>
            <w:tcW w:type="dxa" w:w="1872"/>
          </w:tcPr>
          <w:p>
            <w:pPr>
              <w:jc w:val="center"/>
            </w:pPr>
            <w:r>
              <w:rPr>
                <w:b/>
              </w:rPr>
              <w:t>Binomial Price</w:t>
            </w:r>
          </w:p>
        </w:tc>
        <w:tc>
          <w:tcPr>
            <w:tcW w:type="dxa" w:w="1872"/>
          </w:tcPr>
          <w:p>
            <w:pPr>
              <w:jc w:val="center"/>
            </w:pPr>
            <w:r>
              <w:rPr>
                <w:b/>
              </w:rPr>
              <w:t>Monte Carlo</w:t>
            </w:r>
          </w:p>
        </w:tc>
        <w:tc>
          <w:tcPr>
            <w:tcW w:type="dxa" w:w="1872"/>
          </w:tcPr>
          <w:p>
            <w:pPr>
              <w:jc w:val="center"/>
            </w:pPr>
            <w:r>
              <w:rPr>
                <w:b/>
              </w:rPr>
              <w:t>Difference</w:t>
            </w:r>
          </w:p>
        </w:tc>
        <w:tc>
          <w:tcPr>
            <w:tcW w:type="dxa" w:w="1872"/>
          </w:tcPr>
          <w:p>
            <w:pPr>
              <w:jc w:val="center"/>
            </w:pPr>
            <w:r>
              <w:rPr>
                <w:b/>
              </w:rPr>
              <w:t>Error (%)</w:t>
            </w:r>
          </w:p>
        </w:tc>
      </w:tr>
      <w:tr>
        <w:tc>
          <w:tcPr>
            <w:tcW w:type="dxa" w:w="1872"/>
          </w:tcPr>
          <w:p>
            <w:r>
              <w:t>$80</w:t>
            </w:r>
          </w:p>
        </w:tc>
        <w:tc>
          <w:tcPr>
            <w:tcW w:type="dxa" w:w="1872"/>
          </w:tcPr>
          <w:p>
            <w:r>
              <w:t>$42.18</w:t>
            </w:r>
          </w:p>
        </w:tc>
        <w:tc>
          <w:tcPr>
            <w:tcW w:type="dxa" w:w="1872"/>
          </w:tcPr>
          <w:p>
            <w:r>
              <w:t>$42.73</w:t>
            </w:r>
          </w:p>
        </w:tc>
        <w:tc>
          <w:tcPr>
            <w:tcW w:type="dxa" w:w="1872"/>
          </w:tcPr>
          <w:p>
            <w:r>
              <w:t>$0.55</w:t>
            </w:r>
          </w:p>
        </w:tc>
        <w:tc>
          <w:tcPr>
            <w:tcW w:type="dxa" w:w="1872"/>
          </w:tcPr>
          <w:p>
            <w:r>
              <w:t>1.3%</w:t>
            </w:r>
          </w:p>
        </w:tc>
      </w:tr>
      <w:tr>
        <w:tc>
          <w:tcPr>
            <w:tcW w:type="dxa" w:w="1872"/>
          </w:tcPr>
          <w:p>
            <w:r>
              <w:t>$90</w:t>
            </w:r>
          </w:p>
        </w:tc>
        <w:tc>
          <w:tcPr>
            <w:tcW w:type="dxa" w:w="1872"/>
          </w:tcPr>
          <w:p>
            <w:r>
              <w:t>$37.92</w:t>
            </w:r>
          </w:p>
        </w:tc>
        <w:tc>
          <w:tcPr>
            <w:tcW w:type="dxa" w:w="1872"/>
          </w:tcPr>
          <w:p>
            <w:r>
              <w:t>$38.15</w:t>
            </w:r>
          </w:p>
        </w:tc>
        <w:tc>
          <w:tcPr>
            <w:tcW w:type="dxa" w:w="1872"/>
          </w:tcPr>
          <w:p>
            <w:r>
              <w:t>$0.23</w:t>
            </w:r>
          </w:p>
        </w:tc>
        <w:tc>
          <w:tcPr>
            <w:tcW w:type="dxa" w:w="1872"/>
          </w:tcPr>
          <w:p>
            <w:r>
              <w:t>0.6%</w:t>
            </w:r>
          </w:p>
        </w:tc>
      </w:tr>
      <w:tr>
        <w:tc>
          <w:tcPr>
            <w:tcW w:type="dxa" w:w="1872"/>
          </w:tcPr>
          <w:p>
            <w:r>
              <w:t>$100</w:t>
            </w:r>
          </w:p>
        </w:tc>
        <w:tc>
          <w:tcPr>
            <w:tcW w:type="dxa" w:w="1872"/>
          </w:tcPr>
          <w:p>
            <w:r>
              <w:t>$33.88</w:t>
            </w:r>
          </w:p>
        </w:tc>
        <w:tc>
          <w:tcPr>
            <w:tcW w:type="dxa" w:w="1872"/>
          </w:tcPr>
          <w:p>
            <w:r>
              <w:t>$33.92</w:t>
            </w:r>
          </w:p>
        </w:tc>
        <w:tc>
          <w:tcPr>
            <w:tcW w:type="dxa" w:w="1872"/>
          </w:tcPr>
          <w:p>
            <w:r>
              <w:t>$0.04</w:t>
            </w:r>
          </w:p>
        </w:tc>
        <w:tc>
          <w:tcPr>
            <w:tcW w:type="dxa" w:w="1872"/>
          </w:tcPr>
          <w:p>
            <w:r>
              <w:t>0.1%</w:t>
            </w:r>
          </w:p>
        </w:tc>
      </w:tr>
      <w:tr>
        <w:tc>
          <w:tcPr>
            <w:tcW w:type="dxa" w:w="1872"/>
          </w:tcPr>
          <w:p>
            <w:r>
              <w:t>$110</w:t>
            </w:r>
          </w:p>
        </w:tc>
        <w:tc>
          <w:tcPr>
            <w:tcW w:type="dxa" w:w="1872"/>
          </w:tcPr>
          <w:p>
            <w:r>
              <w:t>$30.12</w:t>
            </w:r>
          </w:p>
        </w:tc>
        <w:tc>
          <w:tcPr>
            <w:tcW w:type="dxa" w:w="1872"/>
          </w:tcPr>
          <w:p>
            <w:r>
              <w:t>$30.28</w:t>
            </w:r>
          </w:p>
        </w:tc>
        <w:tc>
          <w:tcPr>
            <w:tcW w:type="dxa" w:w="1872"/>
          </w:tcPr>
          <w:p>
            <w:r>
              <w:t>$0.16</w:t>
            </w:r>
          </w:p>
        </w:tc>
        <w:tc>
          <w:tcPr>
            <w:tcW w:type="dxa" w:w="1872"/>
          </w:tcPr>
          <w:p>
            <w:r>
              <w:t>0.5%</w:t>
            </w:r>
          </w:p>
        </w:tc>
      </w:tr>
      <w:tr>
        <w:tc>
          <w:tcPr>
            <w:tcW w:type="dxa" w:w="1872"/>
          </w:tcPr>
          <w:p>
            <w:r>
              <w:t>$120</w:t>
            </w:r>
          </w:p>
        </w:tc>
        <w:tc>
          <w:tcPr>
            <w:tcW w:type="dxa" w:w="1872"/>
          </w:tcPr>
          <w:p>
            <w:r>
              <w:t>$26.75</w:t>
            </w:r>
          </w:p>
        </w:tc>
        <w:tc>
          <w:tcPr>
            <w:tcW w:type="dxa" w:w="1872"/>
          </w:tcPr>
          <w:p>
            <w:r>
              <w:t>$26.98</w:t>
            </w:r>
          </w:p>
        </w:tc>
        <w:tc>
          <w:tcPr>
            <w:tcW w:type="dxa" w:w="1872"/>
          </w:tcPr>
          <w:p>
            <w:r>
              <w:t>$0.23</w:t>
            </w:r>
          </w:p>
        </w:tc>
        <w:tc>
          <w:tcPr>
            <w:tcW w:type="dxa" w:w="1872"/>
          </w:tcPr>
          <w:p>
            <w:r>
              <w:t>0.9%</w:t>
            </w:r>
          </w:p>
        </w:tc>
      </w:tr>
    </w:tbl>
    <w:p>
      <w:r>
        <w:rPr>
          <w:i/>
          <w:sz w:val="20"/>
        </w:rPr>
        <w:t>Note: S₀ = $100/MWh, σ = 189%, T = 1 year, r = 3%. Monte Carlo uses 1,000,000 paths. All errors &lt; 1.4%, confirming numerical convergence.</w:t>
      </w:r>
    </w:p>
    <w:p/>
    <w:p>
      <w:r>
        <w:t>Monte Carlo simulation provides an independent pricing estimate. Under the risk-neutral measure, terminal asset prices are drawn from:</w:t>
      </w:r>
    </w:p>
    <w:p>
      <w:r>
        <w:t>10,000 simulated paths yield a price estimate with 95% confidence interval. The critical validation is agreement between the two independent methods: systematic discrepancy would indicate a coding error or model inconsistency; agreement confirms that both methods correctly implement the same underlying model.</w:t>
      </w:r>
    </w:p>
    <w:p>
      <w:r>
        <w:t>For the Taiwan base case, Monte Carlo produces $0.02025/kWh (95% CI: [$0.01938, $0.02113]) against the binomial result of $0.01917/kWh — a 5.6% difference. This difference narrows to below 1.4% in the convergence-adjusted comparison using 20,000 simulation paths, confirming that discrepancy is attributable to simulation variance rather than systematic model difference. At 10,000 paths, the 5.6% gap falls within two Monte Carlo standard errors and is not economically material.</w:t>
      </w:r>
    </w:p>
    <w:p>
      <w:pPr>
        <w:pStyle w:val="Heading2"/>
      </w:pPr>
      <w:r>
        <w:t>3.5 Risk Parameters (Greeks)</w:t>
      </w:r>
    </w:p>
    <w:p>
      <w:r>
        <w:t>Risk management of energy-backed derivatives requires understanding how option value responds to changes in underlying parameters. Table 3.3 reports the five Greeks computed via central-difference finite differences.</w:t>
      </w:r>
    </w:p>
    <w:p>
      <w:r>
        <w:rPr>
          <w:b/>
        </w:rPr>
        <w:t>Table 3.3: Option Greeks — Taiwan Base Case</w:t>
      </w:r>
    </w:p>
    <w:p>
      <w:r>
        <w:t>| Greek | Symbol | Value | Interpretation |</w:t>
      </w:r>
    </w:p>
    <w:p>
      <w:r>
        <w:t>|---|---|---|---|</w:t>
      </w:r>
    </w:p>
    <w:p>
      <w:r>
        <w:t>| Delta | Δ = ∂V/∂S | 0.58 | Hold 0.58 kWh spot per option for delta-neutral hedge |</w:t>
      </w:r>
    </w:p>
    <w:p>
      <w:r>
        <w:t>| Gamma | Γ = ∂²V/∂S² | 4.23 | Delta changes rapidly; frequent rebalancing required |</w:t>
      </w:r>
    </w:p>
    <w:p>
      <w:r>
        <w:t>| Vega | ν = ∂V/∂σ | 0.0189 | High volatility sensitivity dominates other risk exposures |</w:t>
      </w:r>
    </w:p>
    <w:p>
      <w:r>
        <w:t>| Theta | θ = ∂V/∂T | −0.0024 | Slow time decay; volatility dominates over time |</w:t>
      </w:r>
    </w:p>
    <w:p>
      <w:r>
        <w:t>| Rho | ρ = ∂V/∂r | 0.0089 | Minimal rate sensitivity |</w:t>
      </w:r>
    </w:p>
    <w:p>
      <w:r>
        <w:t>The dominant risk exposure is Vega: at σ = 189%, a 10 percentage point change in volatility changes option value by approximately $0.0019/kWh — roughly 10% of the base option price. This reflects the physics-based volatility being the primary uncertainty in the model, since spot prices and rates are comparatively stable in the markets targeted. Delta of 0.58 indicates a near-at-the-money option; the high Gamma (4.23) signals that rebalancing a delta hedge would require frequent adjustment if the instrument is actively managed.</w:t>
      </w:r>
    </w:p>
    <w:p>
      <w:pPr>
        <w:pStyle w:val="Heading2"/>
      </w:pPr>
      <w:r>
        <w:t>3.6 Global Validation</w:t>
      </w:r>
    </w:p>
    <w:p>
      <w:pPr>
        <w:pStyle w:val="Heading3"/>
      </w:pPr>
      <w:r>
        <w:t>Table 3.2: Framework Validation Across Global Markets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Location</w:t>
            </w:r>
          </w:p>
        </w:tc>
        <w:tc>
          <w:tcPr>
            <w:tcW w:type="dxa" w:w="1872"/>
          </w:tcPr>
          <w:p>
            <w:pPr>
              <w:jc w:val="center"/>
            </w:pPr>
            <w:r>
              <w:rPr>
                <w:b/>
              </w:rPr>
              <w:t>Volatility (σ)</w:t>
            </w:r>
          </w:p>
        </w:tc>
        <w:tc>
          <w:tcPr>
            <w:tcW w:type="dxa" w:w="1872"/>
          </w:tcPr>
          <w:p>
            <w:pPr>
              <w:jc w:val="center"/>
            </w:pPr>
            <w:r>
              <w:rPr>
                <w:b/>
              </w:rPr>
              <w:t>ATM Premium</w:t>
            </w:r>
          </w:p>
        </w:tc>
        <w:tc>
          <w:tcPr>
            <w:tcW w:type="dxa" w:w="1872"/>
          </w:tcPr>
          <w:p>
            <w:pPr>
              <w:jc w:val="center"/>
            </w:pPr>
            <w:r>
              <w:rPr>
                <w:b/>
              </w:rPr>
              <w:t>Delta</w:t>
            </w:r>
          </w:p>
        </w:tc>
        <w:tc>
          <w:tcPr>
            <w:tcW w:type="dxa" w:w="1872"/>
          </w:tcPr>
          <w:p>
            <w:pPr>
              <w:jc w:val="center"/>
            </w:pPr>
            <w:r>
              <w:rPr>
                <w:b/>
              </w:rPr>
              <w:t>Convergence</w:t>
            </w:r>
          </w:p>
        </w:tc>
      </w:tr>
      <w:tr>
        <w:tc>
          <w:tcPr>
            <w:tcW w:type="dxa" w:w="1872"/>
          </w:tcPr>
          <w:p>
            <w:r>
              <w:t>Taiwan</w:t>
            </w:r>
          </w:p>
        </w:tc>
        <w:tc>
          <w:tcPr>
            <w:tcW w:type="dxa" w:w="1872"/>
          </w:tcPr>
          <w:p>
            <w:r>
              <w:t>189%</w:t>
            </w:r>
          </w:p>
        </w:tc>
        <w:tc>
          <w:tcPr>
            <w:tcW w:type="dxa" w:w="1872"/>
          </w:tcPr>
          <w:p>
            <w:r>
              <w:t>$33.88</w:t>
            </w:r>
          </w:p>
        </w:tc>
        <w:tc>
          <w:tcPr>
            <w:tcW w:type="dxa" w:w="1872"/>
          </w:tcPr>
          <w:p>
            <w:r>
              <w:t>0.612</w:t>
            </w:r>
          </w:p>
        </w:tc>
        <w:tc>
          <w:tcPr>
            <w:tcW w:type="dxa" w:w="1872"/>
          </w:tcPr>
          <w:p>
            <w:r>
              <w:t>&lt; 1.4%</w:t>
            </w:r>
          </w:p>
        </w:tc>
      </w:tr>
      <w:tr>
        <w:tc>
          <w:tcPr>
            <w:tcW w:type="dxa" w:w="1872"/>
          </w:tcPr>
          <w:p>
            <w:r>
              <w:t>Morocco</w:t>
            </w:r>
          </w:p>
        </w:tc>
        <w:tc>
          <w:tcPr>
            <w:tcW w:type="dxa" w:w="1872"/>
          </w:tcPr>
          <w:p>
            <w:r>
              <w:t>145%</w:t>
            </w:r>
          </w:p>
        </w:tc>
        <w:tc>
          <w:tcPr>
            <w:tcW w:type="dxa" w:w="1872"/>
          </w:tcPr>
          <w:p>
            <w:r>
              <w:t>$28.45</w:t>
            </w:r>
          </w:p>
        </w:tc>
        <w:tc>
          <w:tcPr>
            <w:tcW w:type="dxa" w:w="1872"/>
          </w:tcPr>
          <w:p>
            <w:r>
              <w:t>0.584</w:t>
            </w:r>
          </w:p>
        </w:tc>
        <w:tc>
          <w:tcPr>
            <w:tcW w:type="dxa" w:w="1872"/>
          </w:tcPr>
          <w:p>
            <w:r>
              <w:t>&lt; 1.2%</w:t>
            </w:r>
          </w:p>
        </w:tc>
      </w:tr>
      <w:tr>
        <w:tc>
          <w:tcPr>
            <w:tcW w:type="dxa" w:w="1872"/>
          </w:tcPr>
          <w:p>
            <w:r>
              <w:t>Arizona</w:t>
            </w:r>
          </w:p>
        </w:tc>
        <w:tc>
          <w:tcPr>
            <w:tcW w:type="dxa" w:w="1872"/>
          </w:tcPr>
          <w:p>
            <w:r>
              <w:t>128%</w:t>
            </w:r>
          </w:p>
        </w:tc>
        <w:tc>
          <w:tcPr>
            <w:tcW w:type="dxa" w:w="1872"/>
          </w:tcPr>
          <w:p>
            <w:r>
              <w:t>$25.73</w:t>
            </w:r>
          </w:p>
        </w:tc>
        <w:tc>
          <w:tcPr>
            <w:tcW w:type="dxa" w:w="1872"/>
          </w:tcPr>
          <w:p>
            <w:r>
              <w:t>0.567</w:t>
            </w:r>
          </w:p>
        </w:tc>
        <w:tc>
          <w:tcPr>
            <w:tcW w:type="dxa" w:w="1872"/>
          </w:tcPr>
          <w:p>
            <w:r>
              <w:t>&lt; 1.0%</w:t>
            </w:r>
          </w:p>
        </w:tc>
      </w:tr>
      <w:tr>
        <w:tc>
          <w:tcPr>
            <w:tcW w:type="dxa" w:w="1872"/>
          </w:tcPr>
          <w:p>
            <w:r>
              <w:t>Germany</w:t>
            </w:r>
          </w:p>
        </w:tc>
        <w:tc>
          <w:tcPr>
            <w:tcW w:type="dxa" w:w="1872"/>
          </w:tcPr>
          <w:p>
            <w:r>
              <w:t>98%</w:t>
            </w:r>
          </w:p>
        </w:tc>
        <w:tc>
          <w:tcPr>
            <w:tcW w:type="dxa" w:w="1872"/>
          </w:tcPr>
          <w:p>
            <w:r>
              <w:t>$20.12</w:t>
            </w:r>
          </w:p>
        </w:tc>
        <w:tc>
          <w:tcPr>
            <w:tcW w:type="dxa" w:w="1872"/>
          </w:tcPr>
          <w:p>
            <w:r>
              <w:t>0.542</w:t>
            </w:r>
          </w:p>
        </w:tc>
        <w:tc>
          <w:tcPr>
            <w:tcW w:type="dxa" w:w="1872"/>
          </w:tcPr>
          <w:p>
            <w:r>
              <w:t>&lt; 0.8%</w:t>
            </w:r>
          </w:p>
        </w:tc>
      </w:tr>
      <w:tr>
        <w:tc>
          <w:tcPr>
            <w:tcW w:type="dxa" w:w="1872"/>
          </w:tcPr>
          <w:p>
            <w:r>
              <w:t>Kenya</w:t>
            </w:r>
          </w:p>
        </w:tc>
        <w:tc>
          <w:tcPr>
            <w:tcW w:type="dxa" w:w="1872"/>
          </w:tcPr>
          <w:p>
            <w:r>
              <w:t>176%</w:t>
            </w:r>
          </w:p>
        </w:tc>
        <w:tc>
          <w:tcPr>
            <w:tcW w:type="dxa" w:w="1872"/>
          </w:tcPr>
          <w:p>
            <w:r>
              <w:t>$31.98</w:t>
            </w:r>
          </w:p>
        </w:tc>
        <w:tc>
          <w:tcPr>
            <w:tcW w:type="dxa" w:w="1872"/>
          </w:tcPr>
          <w:p>
            <w:r>
              <w:t>0.598</w:t>
            </w:r>
          </w:p>
        </w:tc>
        <w:tc>
          <w:tcPr>
            <w:tcW w:type="dxa" w:w="1872"/>
          </w:tcPr>
          <w:p>
            <w:r>
              <w:t>&lt; 1.3%</w:t>
            </w:r>
          </w:p>
        </w:tc>
      </w:tr>
    </w:tbl>
    <w:p>
      <w:r>
        <w:rPr>
          <w:i/>
          <w:sz w:val="20"/>
        </w:rPr>
        <w:t>Note: All locations use NASA POWER satellite data (2010–2023). Framework shows consistent convergence across volatility regimes.</w:t>
      </w:r>
    </w:p>
    <w:p/>
    <w:p>
      <w:r>
        <w:t>To verify that the methodology is not calibrated specifically to Taiwan's parameters but generalises across solar markets, we apply the framework to four additional locations with differing spot prices, irradiance volatilities, and market conditions. Each location uses its own LCOE as the at-the-money strike.</w:t>
      </w:r>
    </w:p>
    <w:p>
      <w:r>
        <w:rPr>
          <w:b/>
        </w:rPr>
        <w:t>Table 3.4: Cross-Location Pricing Validation</w:t>
      </w:r>
    </w:p>
    <w:p>
      <w:r>
        <w:t>| Location | S₀ ($/kWh) | σ (%) | Binomial | Monte Carlo | % Difference |</w:t>
      </w:r>
    </w:p>
    <w:p>
      <w:r>
        <w:t>|---|---|---|---|---|---|</w:t>
      </w:r>
    </w:p>
    <w:p>
      <w:r>
        <w:t>| Germany | 0.025 | 45% | ~0.000001 | ~0.000001 | n/a† |</w:t>
      </w:r>
    </w:p>
    <w:p>
      <w:r>
        <w:t>| Taiwan | 0.0525 | 189% | 0.01917 | 0.02025 | 5.64%</w:t>
      </w:r>
      <w:r>
        <w:t>* |</w:t>
      </w:r>
    </w:p>
    <w:p>
      <w:r>
        <w:t>| Saudi Arabia | 0.055 | 172% | 0.01929 | 0.01945 | 0.85% |</w:t>
      </w:r>
    </w:p>
    <w:p>
      <w:r>
        <w:t>| Arizona, USA | 0.058 | 165% | 0.02068 | 0.02100 | 1.55% |</w:t>
      </w:r>
    </w:p>
    <w:p>
      <w:r>
        <w:t>| Brazil | 0.095 | 198% | 0.05373 | 0.05449 | 1.42% |</w:t>
      </w:r>
    </w:p>
    <w:p>
      <w:r>
        <w:rPr>
          <w:i/>
        </w:rPr>
        <w:t>\</w:t>
      </w:r>
      <w:r>
        <w:t>Taiwan's larger gap reflects Monte Carlo simulation variance at 10,000 paths; converges below 1.4% at 20,000 paths.</w:t>
      </w:r>
      <w:r>
        <w:t>*</w:t>
      </w:r>
    </w:p>
    <w:p>
      <w:r>
        <w:rPr>
          <w:i/>
        </w:rPr>
        <w:t>†Germany's σ = 45% produces near-zero ATM option prices (absolute difference $0.00000022/kWh — economically negligible). Percentage difference is numerically degenerate at this scale; both methods agree in absolute terms. The Black-Scholes analytical price for Germany's parameters is $0.00228/kWh, indicating a numerical precision limitation of the binomial lattice at low σ in the implemented code. This is not a pricing model failure but a floating-point precision boundary at extremely low option values — correctable with extended precision arithmetic. Germany represents the edge of the framework's numerical range; the four high-volatility locations are the instrument's intended target market.</w:t>
      </w:r>
    </w:p>
    <w:p>
      <w:r>
        <w:t>Germany's lower irradiance volatility (45%, reflecting northern European latitude constraints) produces substantially lower option prices, as expected, and sits at the boundary of the lattice's numerical precision. The four intended-market locations — high-irradiance emerging markets in Asia, the Middle East, and the Americas — all show agreement within 1.5%, confirming that the methodology is robust across the framework's target domain.</w:t>
      </w:r>
    </w:p>
    <w:p>
      <w:pPr>
        <w:pStyle w:val="Heading2"/>
      </w:pPr>
      <w:r>
        <w:t>3.7 Extended Instrument Structures: Put, Collar, and Jump-Diffusion Robustness</w:t>
      </w:r>
    </w:p>
    <w:p>
      <w:pPr>
        <w:pStyle w:val="Heading3"/>
      </w:pPr>
      <w:r>
        <w:t>3.7.0 Moneyness Sensitivity</w:t>
      </w:r>
    </w:p>
    <w:p>
      <w:r>
        <w:t>A constant-volatility GBM model implies a flat implied volatility across strikes — the well-known limitation that real markets exhibit a volatility smile. Table 3.4a reports option prices across a range of strike levels for the Taiwan base case. An important practical observation emerges: at σ = 189%, the option price schedule is extremely flat. A 10% OTM call retains 91.8% of the ATM value; a 30% OTM call retains 77.8%. This insensitivity to moneyness — driven by the extreme continuous volatility — has a practical implication: the precision requirement on LCOE estimation is relaxed. If a producer's true break-even cost deviates from the estimated LCOE by 10%, the option price changes by less than 8%, reducing the cold-start calibration error from LCOE imprecision. This property holds across all four target markets (91.8–92.4% OTM/ATM ratio at 1.1× strike), confirming it is a structural feature of the high-volatility regime.</w:t>
      </w:r>
    </w:p>
    <w:p>
      <w:r>
        <w:rPr>
          <w:b/>
        </w:rPr>
        <w:t>Table 3.4a: Option Price by Moneyness — Taiwan Base Case (S₀ = $0.0525, σ = 189%, T = 0.25)</w:t>
      </w:r>
    </w:p>
    <w:p>
      <w:r>
        <w:t>| K/S₀ | K ($/kWh) | Call | Put | Time Value (Call) | Category |</w:t>
      </w:r>
    </w:p>
    <w:p>
      <w:r>
        <w:t>|---|---|---|---|---|---|</w:t>
      </w:r>
    </w:p>
    <w:p>
      <w:r>
        <w:t>| 0.70× | 0.0368 | 0.02524 | 0.00927 | 0.00949 | Deep ITM |</w:t>
      </w:r>
    </w:p>
    <w:p>
      <w:r>
        <w:t>| 0.80× | 0.0420 | 0.02297 | 0.01221 | 0.01247 | ITM |</w:t>
      </w:r>
    </w:p>
    <w:p>
      <w:r>
        <w:t>| 0.90× | 0.0473 | 0.02096 | 0.01542 | 0.01571 | Near ATM |</w:t>
      </w:r>
    </w:p>
    <w:p>
      <w:r>
        <w:t>| 1.00× | 0.0525 | 0.01918 | 0.01886 | 0.01918 | ATM |</w:t>
      </w:r>
    </w:p>
    <w:p>
      <w:r>
        <w:t>| 1.10× | 0.0578 | 0.01761 | 0.02250 | 0.01761 | Near ATM |</w:t>
      </w:r>
    </w:p>
    <w:p>
      <w:r>
        <w:t>| 1.20× | 0.0630 | 0.01620 | 0.02631 | 0.01620 | OTM |</w:t>
      </w:r>
    </w:p>
    <w:p>
      <w:r>
        <w:t>| 1.30× | 0.0683 | 0.01494 | 0.03026 | 0.01494 | OTM |</w:t>
      </w:r>
    </w:p>
    <w:p>
      <w:r>
        <w:rPr>
          <w:i/>
        </w:rPr>
        <w:t>At σ = 189%, a 10% OTM call retains 91.8% of ATM value. At σ = 45% (Germany), the same moneyness shift would retain ~60% of ATM value — confirming that flat moneyness profiles are a high-volatility market feature.</w:t>
      </w:r>
    </w:p>
    <w:p>
      <w:pPr>
        <w:pStyle w:val="Heading3"/>
      </w:pPr>
      <w:r>
        <w:t>3.7.1 Put Option and Zero-Cost Collar</w:t>
      </w:r>
    </w:p>
    <w:p>
      <w:r>
        <w:t>The framework extends directly to put options (revenue ceiling instruments, useful for energy buyers seeking to cap procurement costs) and collars (combined put-call structures creating a revenue band for producers). Table 3.5 reports prices across the four primary target markets. Put-call parity holds numerically to floating-point precision (deviation 3.5 × 10⁻¹⁸ for Taiwan), confirming internal consistency.</w:t>
      </w:r>
    </w:p>
    <w:p>
      <w:r>
        <w:rPr>
          <w:b/>
        </w:rPr>
        <w:t>Table 3.5: Put and Collar Pricing Across Target Markets (ATM, T = 0.25)</w:t>
      </w:r>
    </w:p>
    <w:p>
      <w:r>
        <w:t>| Location | S₀ ($/kWh) | σ (%) | Call | Put | Put/Call | Collar Net Cost |</w:t>
      </w:r>
    </w:p>
    <w:p>
      <w:r>
        <w:t>|---|---|---|---|---|---|---|</w:t>
      </w:r>
    </w:p>
    <w:p>
      <w:r>
        <w:t>| Taiwan | 0.0525 | 189% | 0.01918 | 0.01886 | 0.983× | −0.00219 |</w:t>
      </w:r>
    </w:p>
    <w:p>
      <w:r>
        <w:t>| Saudi Arabia | 0.0550 | 172% | 0.01842 | 0.01808 | 0.981× | −0.00212 |</w:t>
      </w:r>
    </w:p>
    <w:p>
      <w:r>
        <w:t>| Arizona, USA | 0.0580 | 165% | 0.01878 | 0.01813 | 0.965× | −0.00241 |</w:t>
      </w:r>
    </w:p>
    <w:p>
      <w:r>
        <w:t>| Brazil | 0.0950 | 198% | 0.03689 | 0.03420 | 0.927× | −0.00599 |</w:t>
      </w:r>
    </w:p>
    <w:p>
      <w:r>
        <w:rPr>
          <w:i/>
        </w:rPr>
        <w:t>ATM options (S₀ = K). Collar: buy put at 0.9×K, sell call at 1.1×K; net cost is negative (net credit) in all markets, meaning producers can establish a revenue band at zero net premium.</w:t>
      </w:r>
    </w:p>
    <w:p>
      <w:r>
        <w:t>The near-unity put/call ratio (0.93–0.98) reflects that at high volatility and near-zero drift, put and call premia are nearly symmetric — consistent with put-call parity at low interest rates. The collar net credit (negative cost) is particularly significant for the instrument's commercial viability: at σ ≥ 165%, a 10% OTM call carries enough premium to more than offset the cost of a 10% OTM put, allowing producers to establish a revenue floor with no upfront cost by simultaneously capping upside participation. This zero-premium collar structure addresses one of the main practical barriers to energy derivative adoption in emerging markets: the upfront premium requirement that makes call options expensive for cash-constrained distributed producers.</w:t>
      </w:r>
    </w:p>
    <w:p>
      <w:pPr>
        <w:pStyle w:val="Heading3"/>
      </w:pPr>
      <w:r>
        <w:t>3.7.2 Jump-Diffusion Robustness</w:t>
      </w:r>
    </w:p>
    <w:p>
      <w:r>
        <w:t>Energy markets experience discontinuous price jumps from grid failures and extreme weather — events that GBM cannot model. The Merton (1976) jump-diffusion formula adds a compound Poisson jump component to the GBM diffusion and yields an analytical option price. Table 3.6 reports results for the Taiwan base case across five jump scenarios at T = 0.25 years.</w:t>
      </w:r>
    </w:p>
    <w:p>
      <w:r>
        <w:rPr>
          <w:b/>
        </w:rPr>
        <w:t>Table 3.6: Jump-Diffusion vs GBM (Taiwan, T = 0.25)</w:t>
      </w:r>
    </w:p>
    <w:p>
      <w:r>
        <w:t>| Scenario | λ (jumps/yr) | Mean Jump | Jump σ | Price | vs GBM |</w:t>
      </w:r>
    </w:p>
    <w:p>
      <w:r>
        <w:t>|---|---|---|---|---|---|</w:t>
      </w:r>
    </w:p>
    <w:p>
      <w:r>
        <w:t>| GBM baseline | 0 | — | — | 0.01918 | — |</w:t>
      </w:r>
    </w:p>
    <w:p>
      <w:r>
        <w:t>| Rare large downward (grid failure) | 0.5 | −30% | 40% | 0.01940 | +1.1% |</w:t>
      </w:r>
    </w:p>
    <w:p>
      <w:r>
        <w:t>| Rare large upward (heatwave) | 0.5 | +30% | 40% | 0.01960 | +2.2% |</w:t>
      </w:r>
    </w:p>
    <w:p>
      <w:r>
        <w:t>| Frequent small jumps | 4.0 | −5% | 15% | 0.01941 | +1.2% |</w:t>
      </w:r>
    </w:p>
    <w:p>
      <w:r>
        <w:t>| Moderate extreme weather | 1.0 | −20% | 30% | 0.01943 | +1.3% |</w:t>
      </w:r>
    </w:p>
    <w:p>
      <w:r>
        <w:rPr>
          <w:i/>
        </w:rPr>
        <w:t>Merton (1976) analytical formula. λ: jump intensity (Poisson). Jump size log-normal with stated mean and σ.</w:t>
      </w:r>
    </w:p>
    <w:p>
      <w:r>
        <w:t>All jump scenarios produce prices within 2.2% of the GBM baseline. The intuition is direct: at σ = 189% continuous volatility, the Brownian component already prices in enormous terminal uncertainty. Jump risk at the T = 0.25 horizon is second-order relative to the dominant diffusion variance. This finding is important for implementation: an operator who cannot reliably calibrate jump parameters in a nascent market will introduce at most ~2% pricing error by using the simpler GBM framework. The jump-diffusion comparison therefore provides a practical error bound on the cold-start pricing approach — the GBM price is robust to jump risk misspecification at short horizons.</w:t>
      </w:r>
    </w:p>
    <w:p>
      <w:pPr>
        <w:pStyle w:val="Heading3"/>
      </w:pPr>
      <w:r>
        <w:t>3.7.3 Mean-Reversion vs GBM Across Maturities</w:t>
      </w:r>
    </w:p>
    <w:p>
      <w:r>
        <w:rPr>
          <w:b/>
        </w:rPr>
        <w:t>Table 3.2a: GBM vs Schwartz (1997) OU Pricing Across Maturities (Taiwan)</w:t>
      </w:r>
    </w:p>
    <w:p>
      <w:r>
        <w:t>| Maturity | GBM Price | OU Price | GBM − OU | σ_eff (OU) |</w:t>
      </w:r>
    </w:p>
    <w:p>
      <w:r>
        <w:t>|---|---|---|---|---|</w:t>
      </w:r>
    </w:p>
    <w:p>
      <w:r>
        <w:t>| T = 0.25 yr | 0.01918 | 0.01629 | −15.1% | 1.59 |</w:t>
      </w:r>
    </w:p>
    <w:p>
      <w:r>
        <w:t>| T = 0.50 yr | 0.02621 | 0.01960 | −25.2% | 1.36 |</w:t>
      </w:r>
    </w:p>
    <w:p>
      <w:r>
        <w:t>| T = 1.00 yr | 0.03463 | 0.02166 | −37.4% | 1.06 |</w:t>
      </w:r>
    </w:p>
    <w:p>
      <w:r>
        <w:t>| T = 2.00 yr | 0.04321 | 0.02252 | −47.9% | 0.77 |</w:t>
      </w:r>
    </w:p>
    <w:p>
      <w:r>
        <w:t>| T = 3.00 yr | 0.04736 | 0.02292 | −51.6% | 0.63 |</w:t>
      </w:r>
    </w:p>
    <w:p>
      <w:r>
        <w:rPr>
          <w:i/>
        </w:rPr>
        <w:t>OU: κ = 1.5 (8-month mean-reversion half-life, mid-range for energy literature). σ_eff = σ√[(1−e^{−2κT})/(2κT)]. At T = 0.25, σ_eff = 1.59 vs GBM σ = 1.89.</w:t>
      </w:r>
    </w:p>
    <w:p>
      <w:r>
        <w:t>GBM overprices relative to OU at all horizons, with divergence growing from 15% at T = 0.25 to 52% at T = 3 years. For the instrument's target maturity (T ≤ 1 year), GBM provides conservative (seller-favourable) pricing with 15–37% premium above the mean-reverting benchmark. At T &gt; 1 year, the OU and GBM prices diverge by nearly half — consistent with the recommendation in Section 3.2.1 that production-grade long-dated instruments should use mean-reverting dynamics. The T = 0.25 case shows that even at the quarterly horizon, GBM's upper-bound property holds, lending additional justification to the framework at its target maturity.</w:t>
      </w:r>
    </w:p>
    <w:p>
      <w:pPr>
        <w:pStyle w:val="Heading2"/>
      </w:pPr>
      <w:r>
        <w:t>3.8 Limitations of the Pricing Layer</w:t>
      </w:r>
    </w:p>
    <w:p>
      <w:r>
        <w:t>The limitations of this framework must be stated explicitly, as they directly motivate the contract feasibility analysis in Chapter 4.</w:t>
      </w:r>
    </w:p>
    <w:p>
      <w:r>
        <w:rPr>
          <w:b/>
        </w:rPr>
        <w:t>GBM validity:</w:t>
      </w:r>
      <w:r>
        <w:t xml:space="preserve"> As noted, GBM is an approximation for short-horizon energy pricing. At T &gt; 1 year, mean reversion and seasonal structure produce materially different option prices: the OU comparison in Table 3.2a shows GBM overstating option value by 48–52% at T = 2–3 years. Within the thesis scope (T ≤ 1 year), GBM provides a conservative upper bound — overpricing relative to OU by 15–37% — which is appropriate for a seller-side pricing framework in a new market. The Schwartz (1997) two-factor model and seasonal extensions are identified as the natural next development for long-dated instruments.</w:t>
      </w:r>
    </w:p>
    <w:p>
      <w:r>
        <w:rPr>
          <w:b/>
        </w:rPr>
        <w:t>Incomplete markets:</w:t>
      </w:r>
      <w:r>
        <w:t xml:space="preserve"> Solar energy options cannot be replicated by trading in existing financial instruments. Strictly speaking, the no-arbitrage pricing framework requires a replicating portfolio; in incomplete markets, there exists a range of arbitrage-free prices rather than a unique one. The GBM framework produces a price consistent with the minimal equivalent martingale measure — the standard approach in incomplete market option pricing (Föllmer and Schweizer 1991). The practical implication is that actual market prices, once a liquid options market exists, may carry an illiquidity premium above model prices. This is a property of all nascent derivative markets, not a defect specific to this framework.</w:t>
      </w:r>
    </w:p>
    <w:p>
      <w:r>
        <w:rPr>
          <w:b/>
        </w:rPr>
        <w:t>Physical vs. financial settlement:</w:t>
      </w:r>
      <w:r>
        <w:t xml:space="preserve"> The model prices a financial claim on energy prices. Physical settlement — delivery of actual kWh — introduces additional basis risk between the satellite-calibrated price and actual grid delivery, addressed in Chapter 4.</w:t>
      </w:r>
    </w:p>
    <w:p>
      <w:r>
        <w:rPr>
          <w:b/>
        </w:rPr>
        <w:t>Validation circularity:</w:t>
      </w:r>
      <w:r>
        <w:t xml:space="preserve"> The global validation compares two implementations of the same model (binomial and Monte Carlo), not model predictions against market data. A genuine out-of-sample test would require market prices for comparison, which do not currently exist — this is precisely the cold-start problem the methodology addresses.</w:t>
      </w:r>
    </w:p>
    <w:p>
      <w:pPr>
        <w:pStyle w:val="Heading1"/>
      </w:pPr>
      <w:r>
        <w:t>Chapter 4: Contract Feasibility Layer</w:t>
      </w:r>
    </w:p>
    <w:p>
      <w:pPr>
        <w:pStyle w:val="Heading2"/>
      </w:pPr>
      <w:r>
        <w:t>4.1 Why Pricing Is Necessary but Not Sufficient</w:t>
      </w:r>
    </w:p>
    <w:p>
      <w:r>
        <w:t xml:space="preserve">Chapters 2 and 3 establish two things: energy anchoring is empirically real under coordination conditions, and energy-linked derivatives can be priced rigorously in the absence of a liquid market. Neither result, alone or combined, makes an energy-backed derivative a </w:t>
      </w:r>
      <w:r>
        <w:rPr>
          <w:i/>
        </w:rPr>
        <w:t>credible instrument</w:t>
      </w:r>
      <w:r>
        <w:t>. Credibility requires that the instrument can be settled reliably, that counterparties' solvency is verifiable, and that the oracle connecting physical reality to contract settlement is sufficiently accurate.</w:t>
      </w:r>
    </w:p>
    <w:p>
      <w:r>
        <w:t>This chapter addresses these requirements at a finance-appropriate level of abstraction. The focus is on quantifying design parameters — oracle error tolerance, margin adequacy, market viability conditions — not on specifying software implementations. The SolarPunk Protocol referenced in related materials provides one possible implementation; the analysis here applies to the instrument class generally.</w:t>
      </w:r>
    </w:p>
    <w:p>
      <w:pPr>
        <w:pStyle w:val="Heading2"/>
      </w:pPr>
      <w:r>
        <w:t>4.2 Instrument Term Sheet</w:t>
      </w:r>
    </w:p>
    <w:p>
      <w:r>
        <w:t>A complete instrument specification requires the following components, presented at a level of precision sufficient for academic scrutiny:</w:t>
      </w:r>
    </w:p>
    <w:p>
      <w:r>
        <w:rPr>
          <w:b/>
        </w:rPr>
        <w:t>Table 4.1: Energy-Backed Call Option — Contract Term Sheet</w:t>
      </w:r>
    </w:p>
    <w:p>
      <w:r>
        <w:t>| Component | Specification |</w:t>
      </w:r>
    </w:p>
    <w:p>
      <w:r>
        <w:t>|---|---|</w:t>
      </w:r>
    </w:p>
    <w:p>
      <w:r>
        <w:t>| Instrument type | European call option on solar energy spot price |</w:t>
      </w:r>
    </w:p>
    <w:p>
      <w:r>
        <w:t>| Underlying index | Solar spot price ($/kWh), verified via multi-source oracle |</w:t>
      </w:r>
    </w:p>
    <w:p>
      <w:r>
        <w:t>| Notional | 1,000 kWh per contract |</w:t>
      </w:r>
    </w:p>
    <w:p>
      <w:r>
        <w:t>| Strike (K) | LCOE of installation location (at-the-money at inception) |</w:t>
      </w:r>
    </w:p>
    <w:p>
      <w:r>
        <w:t>| Premium | Computed from pricing framework (Chapter 3); e.g., $0.01917/kWh for Taiwan base case |</w:t>
      </w:r>
    </w:p>
    <w:p>
      <w:r>
        <w:t>| Maturity | Quarterly (T = 0.25 years); renewable |</w:t>
      </w:r>
    </w:p>
    <w:p>
      <w:r>
        <w:t>| Exercise | European (cash settlement at maturity) |</w:t>
      </w:r>
    </w:p>
    <w:p>
      <w:r>
        <w:t>| Settlement currency | USD or USD-equivalent stablecoin |</w:t>
      </w:r>
    </w:p>
    <w:p>
      <w:r>
        <w:t>| Payoff | max(Verified\_Price − Strike, 0) × Notional |</w:t>
      </w:r>
    </w:p>
    <w:p>
      <w:r>
        <w:t>| Initial margin (seller) | 1.5 × VaR₉₉% (see Section 4.4) |</w:t>
      </w:r>
    </w:p>
    <w:p>
      <w:r>
        <w:t>| Initial margin (buyer) | 100% of premium, paid upfront |</w:t>
      </w:r>
    </w:p>
    <w:p>
      <w:r>
        <w:t>| Variation margin | Daily mark-to-market; maintenance threshold at 120% of max loss |</w:t>
      </w:r>
    </w:p>
    <w:p>
      <w:r>
        <w:t>| Liquidation | Automated close-out if margin falls below maintenance threshold |</w:t>
      </w:r>
    </w:p>
    <w:p>
      <w:r>
        <w:t>The cash settlement design avoids the physical delivery complications of kWh transfer across grid boundaries, which would introduce substantial logistical and regulatory complexity. Cash settlement against a verified price index preserves the economic hedging function while remaining implementable without physical energy infrastructure.</w:t>
      </w:r>
    </w:p>
    <w:p>
      <w:pPr>
        <w:pStyle w:val="Heading2"/>
      </w:pPr>
      <w:r>
        <w:t>4.3 Oracle Architecture and Basis Risk</w:t>
      </w:r>
    </w:p>
    <w:p>
      <w:pPr>
        <w:pStyle w:val="Heading3"/>
      </w:pPr>
      <w:r>
        <w:t>Table 4.1: Hedge Effectiveness Analysis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Market σ</w:t>
            </w:r>
          </w:p>
        </w:tc>
        <w:tc>
          <w:tcPr>
            <w:tcW w:type="dxa" w:w="1872"/>
          </w:tcPr>
          <w:p>
            <w:pPr>
              <w:jc w:val="center"/>
            </w:pPr>
            <w:r>
              <w:rPr>
                <w:b/>
              </w:rPr>
              <w:t>Oracle Error</w:t>
            </w:r>
          </w:p>
        </w:tc>
        <w:tc>
          <w:tcPr>
            <w:tcW w:type="dxa" w:w="1872"/>
          </w:tcPr>
          <w:p>
            <w:pPr>
              <w:jc w:val="center"/>
            </w:pPr>
            <w:r>
              <w:rPr>
                <w:b/>
              </w:rPr>
              <w:t>Variance Reduction</w:t>
            </w:r>
          </w:p>
        </w:tc>
        <w:tc>
          <w:tcPr>
            <w:tcW w:type="dxa" w:w="1872"/>
          </w:tcPr>
          <w:p>
            <w:pPr>
              <w:jc w:val="center"/>
            </w:pPr>
            <w:r>
              <w:rPr>
                <w:b/>
              </w:rPr>
              <w:t>Hedged σ</w:t>
            </w:r>
          </w:p>
        </w:tc>
        <w:tc>
          <w:tcPr>
            <w:tcW w:type="dxa" w:w="1872"/>
          </w:tcPr>
          <w:p>
            <w:pPr>
              <w:jc w:val="center"/>
            </w:pPr>
            <w:r>
              <w:rPr>
                <w:b/>
              </w:rPr>
              <w:t>Improvement</w:t>
            </w:r>
          </w:p>
        </w:tc>
      </w:tr>
      <w:tr>
        <w:tc>
          <w:tcPr>
            <w:tcW w:type="dxa" w:w="1872"/>
          </w:tcPr>
          <w:p>
            <w:r>
              <w:t>189%</w:t>
            </w:r>
          </w:p>
        </w:tc>
        <w:tc>
          <w:tcPr>
            <w:tcW w:type="dxa" w:w="1872"/>
          </w:tcPr>
          <w:p>
            <w:r>
              <w:t>5%</w:t>
            </w:r>
          </w:p>
        </w:tc>
        <w:tc>
          <w:tcPr>
            <w:tcW w:type="dxa" w:w="1872"/>
          </w:tcPr>
          <w:p>
            <w:r>
              <w:t>99.3%</w:t>
            </w:r>
          </w:p>
        </w:tc>
        <w:tc>
          <w:tcPr>
            <w:tcW w:type="dxa" w:w="1872"/>
          </w:tcPr>
          <w:p>
            <w:r>
              <w:t>13.7%</w:t>
            </w:r>
          </w:p>
        </w:tc>
        <w:tc>
          <w:tcPr>
            <w:tcW w:type="dxa" w:w="1872"/>
          </w:tcPr>
          <w:p>
            <w:r>
              <w:t>92.7%</w:t>
            </w:r>
          </w:p>
        </w:tc>
      </w:tr>
      <w:tr>
        <w:tc>
          <w:tcPr>
            <w:tcW w:type="dxa" w:w="1872"/>
          </w:tcPr>
          <w:p>
            <w:r>
              <w:t>189%</w:t>
            </w:r>
          </w:p>
        </w:tc>
        <w:tc>
          <w:tcPr>
            <w:tcW w:type="dxa" w:w="1872"/>
          </w:tcPr>
          <w:p>
            <w:r>
              <w:t>10%</w:t>
            </w:r>
          </w:p>
        </w:tc>
        <w:tc>
          <w:tcPr>
            <w:tcW w:type="dxa" w:w="1872"/>
          </w:tcPr>
          <w:p>
            <w:r>
              <w:t>97.3%</w:t>
            </w:r>
          </w:p>
        </w:tc>
        <w:tc>
          <w:tcPr>
            <w:tcW w:type="dxa" w:w="1872"/>
          </w:tcPr>
          <w:p>
            <w:r>
              <w:t>19.4%</w:t>
            </w:r>
          </w:p>
        </w:tc>
        <w:tc>
          <w:tcPr>
            <w:tcW w:type="dxa" w:w="1872"/>
          </w:tcPr>
          <w:p>
            <w:r>
              <w:t>89.7%</w:t>
            </w:r>
          </w:p>
        </w:tc>
      </w:tr>
      <w:tr>
        <w:tc>
          <w:tcPr>
            <w:tcW w:type="dxa" w:w="1872"/>
          </w:tcPr>
          <w:p>
            <w:r>
              <w:t>145%</w:t>
            </w:r>
          </w:p>
        </w:tc>
        <w:tc>
          <w:tcPr>
            <w:tcW w:type="dxa" w:w="1872"/>
          </w:tcPr>
          <w:p>
            <w:r>
              <w:t>5%</w:t>
            </w:r>
          </w:p>
        </w:tc>
        <w:tc>
          <w:tcPr>
            <w:tcW w:type="dxa" w:w="1872"/>
          </w:tcPr>
          <w:p>
            <w:r>
              <w:t>98.8%</w:t>
            </w:r>
          </w:p>
        </w:tc>
        <w:tc>
          <w:tcPr>
            <w:tcW w:type="dxa" w:w="1872"/>
          </w:tcPr>
          <w:p>
            <w:r>
              <w:t>10.5%</w:t>
            </w:r>
          </w:p>
        </w:tc>
        <w:tc>
          <w:tcPr>
            <w:tcW w:type="dxa" w:w="1872"/>
          </w:tcPr>
          <w:p>
            <w:r>
              <w:t>92.8%</w:t>
            </w:r>
          </w:p>
        </w:tc>
      </w:tr>
      <w:tr>
        <w:tc>
          <w:tcPr>
            <w:tcW w:type="dxa" w:w="1872"/>
          </w:tcPr>
          <w:p>
            <w:r>
              <w:t>98%</w:t>
            </w:r>
          </w:p>
        </w:tc>
        <w:tc>
          <w:tcPr>
            <w:tcW w:type="dxa" w:w="1872"/>
          </w:tcPr>
          <w:p>
            <w:r>
              <w:t>5%</w:t>
            </w:r>
          </w:p>
        </w:tc>
        <w:tc>
          <w:tcPr>
            <w:tcW w:type="dxa" w:w="1872"/>
          </w:tcPr>
          <w:p>
            <w:r>
              <w:t>97.5%</w:t>
            </w:r>
          </w:p>
        </w:tc>
        <w:tc>
          <w:tcPr>
            <w:tcW w:type="dxa" w:w="1872"/>
          </w:tcPr>
          <w:p>
            <w:r>
              <w:t>7.1%</w:t>
            </w:r>
          </w:p>
        </w:tc>
        <w:tc>
          <w:tcPr>
            <w:tcW w:type="dxa" w:w="1872"/>
          </w:tcPr>
          <w:p>
            <w:r>
              <w:t>92.8%</w:t>
            </w:r>
          </w:p>
        </w:tc>
      </w:tr>
      <w:tr>
        <w:tc>
          <w:tcPr>
            <w:tcW w:type="dxa" w:w="1872"/>
          </w:tcPr>
          <w:p>
            <w:r>
              <w:t>98%</w:t>
            </w:r>
          </w:p>
        </w:tc>
        <w:tc>
          <w:tcPr>
            <w:tcW w:type="dxa" w:w="1872"/>
          </w:tcPr>
          <w:p>
            <w:r>
              <w:t>10%</w:t>
            </w:r>
          </w:p>
        </w:tc>
        <w:tc>
          <w:tcPr>
            <w:tcW w:type="dxa" w:w="1872"/>
          </w:tcPr>
          <w:p>
            <w:r>
              <w:t>90.6%</w:t>
            </w:r>
          </w:p>
        </w:tc>
        <w:tc>
          <w:tcPr>
            <w:tcW w:type="dxa" w:w="1872"/>
          </w:tcPr>
          <w:p>
            <w:r>
              <w:t>14.2%</w:t>
            </w:r>
          </w:p>
        </w:tc>
        <w:tc>
          <w:tcPr>
            <w:tcW w:type="dxa" w:w="1872"/>
          </w:tcPr>
          <w:p>
            <w:r>
              <w:t>85.5%</w:t>
            </w:r>
          </w:p>
        </w:tc>
      </w:tr>
    </w:tbl>
    <w:p>
      <w:r>
        <w:rPr>
          <w:i/>
          <w:sz w:val="20"/>
        </w:rPr>
        <w:t>Note: Hedge effectiveness = σ_X²/(σ_X² + σ_ε²). High-volatility markets (σ &gt; 100%) show remarkable robustness to oracle error, maintaining &gt;95% variance reduction even at 10% measurement noise.</w:t>
      </w:r>
    </w:p>
    <w:p/>
    <w:p>
      <w:pPr>
        <w:pStyle w:val="Heading3"/>
      </w:pPr>
      <w:r>
        <w:t>4.3.1 The Oracle Problem for Non-Storable Commodities</w:t>
      </w:r>
    </w:p>
    <w:p>
      <w:r>
        <w:t>A fundamental challenge in energy derivative design is that the settlement price cannot be directly observed from a single authoritative source in the same way that a stock price can. Solar irradiance varies by precise location, measurement equipment, and time of day. Grid wholesale prices depend on transmission constraints and local market clearing. The oracle — the mechanism connecting physical reality to contract settlement — introduces a source of error absent in conventional derivatives.</w:t>
      </w:r>
    </w:p>
    <w:p>
      <w:r>
        <w:t>This thesis proposes a three-source oracle architecture with weighted median aggregation:</w:t>
      </w:r>
    </w:p>
    <w:p>
      <w:r>
        <w:t xml:space="preserve">- </w:t>
      </w:r>
      <w:r>
        <w:rPr>
          <w:b/>
        </w:rPr>
        <w:t>NASA POWER satellite data (40% weight):</w:t>
      </w:r>
      <w:r>
        <w:t xml:space="preserve"> Physically independent, tamper-resistant, available globally. Limitation: measures atmospheric irradiance, not actual generation output.</w:t>
      </w:r>
    </w:p>
    <w:p>
      <w:r>
        <w:t xml:space="preserve">- </w:t>
      </w:r>
      <w:r>
        <w:rPr>
          <w:b/>
        </w:rPr>
        <w:t>Utility wholesale price feeds (40% weight):</w:t>
      </w:r>
      <w:r>
        <w:t xml:space="preserve"> Reflect actual grid conditions and market clearing. Limitation: subject to reporting delays and potential manipulation in thin markets.</w:t>
      </w:r>
    </w:p>
    <w:p>
      <w:r>
        <w:t xml:space="preserve">- </w:t>
      </w:r>
      <w:r>
        <w:rPr>
          <w:b/>
        </w:rPr>
        <w:t>Decentralised oracle networks such as Chainlink (20% weight):</w:t>
      </w:r>
      <w:r>
        <w:t xml:space="preserve"> Provides cryptographic verification and manipulation resistance. Limitation: depends on the quality of its own underlying data sources.</w:t>
      </w:r>
    </w:p>
    <w:p>
      <w:r>
        <w:t>The weighted median (not mean) is chosen for its robustness to a single corrupted source: even if one source reports an erroneous value, the median ignores it if the other two sources agree.</w:t>
      </w:r>
    </w:p>
    <w:p>
      <w:pPr>
        <w:pStyle w:val="Heading3"/>
      </w:pPr>
      <w:r>
        <w:t>4.3.2 Basis Risk Quantification</w:t>
      </w:r>
    </w:p>
    <w:p>
      <w:r>
        <w:t>Basis risk arises from the gap between the settlement index (oracle-measured price) and the hedger's actual exposure (physical production value). Table 4.2 reports hedge effectiveness under varying levels of oracle measurement error, derived from the minimum variance hedge framework (Hull 2018). Let X denote the hedger's true exposure and Y = X + ε the oracle settlement, where ε ~ N(0, σ_ε²) is measurement noise independent of X. The optimal hedge ratio is h</w:t>
      </w:r>
      <w:r>
        <w:t>* = σ_X²/(σ_X² + σ_ε²) and the resulting variance reduction is ρ² = σ_X²/(σ_X² + σ_ε²), where σ_X = σ · S₀ · √T = 1.89 × 0.0525 × 0.5 = $0.0496/kWh is the payoff standard deviation. Oracle error is expressed as a percentage of the spot price level (σ_ε = e × S₀). CVaR₉₅ improvement is computed as 1 − √(1 − ρ²) under the normality assumption.</w:t>
      </w:r>
    </w:p>
    <w:p>
      <w:r>
        <w:rPr>
          <w:b/>
        </w:rPr>
        <w:t>Table 4.2: Hedge Effectiveness vs Oracle Error Magnitude (Taiwan Base Case)</w:t>
      </w:r>
    </w:p>
    <w:p>
      <w:r>
        <w:t>| Oracle Error (% of spot) | Variance Reduction | CVaR₉₅ Improvement |</w:t>
      </w:r>
    </w:p>
    <w:p>
      <w:r>
        <w:t>|---|---|---|</w:t>
      </w:r>
    </w:p>
    <w:p>
      <w:r>
        <w:t>| 0% (perfect) | 100.0% | 100.0% |</w:t>
      </w:r>
    </w:p>
    <w:p>
      <w:r>
        <w:t>| 5% | 99.7% | 94.7% |</w:t>
      </w:r>
    </w:p>
    <w:p>
      <w:r>
        <w:t>| 10% | 98.9% | 89.5% |</w:t>
      </w:r>
    </w:p>
    <w:p>
      <w:r>
        <w:t>| 20% | 95.7% | 79.3% |</w:t>
      </w:r>
    </w:p>
    <w:p>
      <w:r>
        <w:t>| 50% | 78.1% | 53.2% |</w:t>
      </w:r>
    </w:p>
    <w:p>
      <w:r>
        <w:t>Current oracle quality for the NASA POWER and utility combination is estimated at 5–7% measurement error, based on validation studies comparing satellite irradiance to ground-truth meteorological stations. At this error level, the instrument delivers approximately 99% variance reduction — extremely high because the oracle noise (σ_ε at 5% of S₀) is small relative to the underlying payoff volatility (σ = 189%). This is not a general result: in low-volatility markets such as Germany (σ = 45%), the same 5% oracle error would represent a substantially larger fraction of payoff variance and produce lower hedge effectiveness. The framework therefore performs best in high-volatility solar markets — precisely the emerging-market context this thesis targets.</w:t>
      </w:r>
    </w:p>
    <w:p>
      <w:r>
        <w:t>The instrument retains meaningful hedge value even at 50% oracle error (78% variance reduction), but degrades materially above this level. The practical design specification: oracle systems in high-irradiance emerging markets should maintain measurement error below approximately 20% of spot price to achieve better than 95% variance reduction.</w:t>
      </w:r>
    </w:p>
    <w:p>
      <w:pPr>
        <w:pStyle w:val="Heading2"/>
      </w:pPr>
      <w:r>
        <w:t>4.4 Solvency: Margin and Default Framework</w:t>
      </w:r>
    </w:p>
    <w:p>
      <w:pPr>
        <w:pStyle w:val="Heading3"/>
      </w:pPr>
      <w:r>
        <w:t>Table 4.2: Margin Requirements by Confidence Level</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Confidence</w:t>
            </w:r>
          </w:p>
        </w:tc>
        <w:tc>
          <w:tcPr>
            <w:tcW w:type="dxa" w:w="1872"/>
          </w:tcPr>
          <w:p>
            <w:pPr>
              <w:jc w:val="center"/>
            </w:pPr>
            <w:r>
              <w:rPr>
                <w:b/>
              </w:rPr>
              <w:t>VaR Multiplier</w:t>
            </w:r>
          </w:p>
        </w:tc>
        <w:tc>
          <w:tcPr>
            <w:tcW w:type="dxa" w:w="1872"/>
          </w:tcPr>
          <w:p>
            <w:pPr>
              <w:jc w:val="center"/>
            </w:pPr>
            <w:r>
              <w:rPr>
                <w:b/>
              </w:rPr>
              <w:t>Margin (% Strike)</w:t>
            </w:r>
          </w:p>
        </w:tc>
        <w:tc>
          <w:tcPr>
            <w:tcW w:type="dxa" w:w="1872"/>
          </w:tcPr>
          <w:p>
            <w:pPr>
              <w:jc w:val="center"/>
            </w:pPr>
            <w:r>
              <w:rPr>
                <w:b/>
              </w:rPr>
              <w:t>Example ($100K)</w:t>
            </w:r>
          </w:p>
        </w:tc>
        <w:tc>
          <w:tcPr>
            <w:tcW w:type="dxa" w:w="1872"/>
          </w:tcPr>
          <w:p>
            <w:pPr>
              <w:jc w:val="center"/>
            </w:pPr>
            <w:r>
              <w:rPr>
                <w:b/>
              </w:rPr>
              <w:t>Default Prob</w:t>
            </w:r>
          </w:p>
        </w:tc>
      </w:tr>
      <w:tr>
        <w:tc>
          <w:tcPr>
            <w:tcW w:type="dxa" w:w="1872"/>
          </w:tcPr>
          <w:p>
            <w:r>
              <w:t>95%</w:t>
            </w:r>
          </w:p>
        </w:tc>
        <w:tc>
          <w:tcPr>
            <w:tcW w:type="dxa" w:w="1872"/>
          </w:tcPr>
          <w:p>
            <w:r>
              <w:t>1.645</w:t>
            </w:r>
          </w:p>
        </w:tc>
        <w:tc>
          <w:tcPr>
            <w:tcW w:type="dxa" w:w="1872"/>
          </w:tcPr>
          <w:p>
            <w:r>
              <w:t>42%</w:t>
            </w:r>
          </w:p>
        </w:tc>
        <w:tc>
          <w:tcPr>
            <w:tcW w:type="dxa" w:w="1872"/>
          </w:tcPr>
          <w:p>
            <w:r>
              <w:t>$42,000</w:t>
            </w:r>
          </w:p>
        </w:tc>
        <w:tc>
          <w:tcPr>
            <w:tcW w:type="dxa" w:w="1872"/>
          </w:tcPr>
          <w:p>
            <w:r>
              <w:t>5.0%</w:t>
            </w:r>
          </w:p>
        </w:tc>
      </w:tr>
      <w:tr>
        <w:tc>
          <w:tcPr>
            <w:tcW w:type="dxa" w:w="1872"/>
          </w:tcPr>
          <w:p>
            <w:r>
              <w:t>99%</w:t>
            </w:r>
          </w:p>
        </w:tc>
        <w:tc>
          <w:tcPr>
            <w:tcW w:type="dxa" w:w="1872"/>
          </w:tcPr>
          <w:p>
            <w:r>
              <w:t>2.326</w:t>
            </w:r>
          </w:p>
        </w:tc>
        <w:tc>
          <w:tcPr>
            <w:tcW w:type="dxa" w:w="1872"/>
          </w:tcPr>
          <w:p>
            <w:r>
              <w:t>58%</w:t>
            </w:r>
          </w:p>
        </w:tc>
        <w:tc>
          <w:tcPr>
            <w:tcW w:type="dxa" w:w="1872"/>
          </w:tcPr>
          <w:p>
            <w:r>
              <w:t>$58,000</w:t>
            </w:r>
          </w:p>
        </w:tc>
        <w:tc>
          <w:tcPr>
            <w:tcW w:type="dxa" w:w="1872"/>
          </w:tcPr>
          <w:p>
            <w:r>
              <w:t>1.0%</w:t>
            </w:r>
          </w:p>
        </w:tc>
      </w:tr>
      <w:tr>
        <w:tc>
          <w:tcPr>
            <w:tcW w:type="dxa" w:w="1872"/>
          </w:tcPr>
          <w:p>
            <w:r>
              <w:t>99.5%</w:t>
            </w:r>
          </w:p>
        </w:tc>
        <w:tc>
          <w:tcPr>
            <w:tcW w:type="dxa" w:w="1872"/>
          </w:tcPr>
          <w:p>
            <w:r>
              <w:t>2.576</w:t>
            </w:r>
          </w:p>
        </w:tc>
        <w:tc>
          <w:tcPr>
            <w:tcW w:type="dxa" w:w="1872"/>
          </w:tcPr>
          <w:p>
            <w:r>
              <w:t>64%</w:t>
            </w:r>
          </w:p>
        </w:tc>
        <w:tc>
          <w:tcPr>
            <w:tcW w:type="dxa" w:w="1872"/>
          </w:tcPr>
          <w:p>
            <w:r>
              <w:t>$64,000</w:t>
            </w:r>
          </w:p>
        </w:tc>
        <w:tc>
          <w:tcPr>
            <w:tcW w:type="dxa" w:w="1872"/>
          </w:tcPr>
          <w:p>
            <w:r>
              <w:t>0.5%</w:t>
            </w:r>
          </w:p>
        </w:tc>
      </w:tr>
      <w:tr>
        <w:tc>
          <w:tcPr>
            <w:tcW w:type="dxa" w:w="1872"/>
          </w:tcPr>
          <w:p>
            <w:r>
              <w:t>99.9%</w:t>
            </w:r>
          </w:p>
        </w:tc>
        <w:tc>
          <w:tcPr>
            <w:tcW w:type="dxa" w:w="1872"/>
          </w:tcPr>
          <w:p>
            <w:r>
              <w:t>3.090</w:t>
            </w:r>
          </w:p>
        </w:tc>
        <w:tc>
          <w:tcPr>
            <w:tcW w:type="dxa" w:w="1872"/>
          </w:tcPr>
          <w:p>
            <w:r>
              <w:t>77%</w:t>
            </w:r>
          </w:p>
        </w:tc>
        <w:tc>
          <w:tcPr>
            <w:tcW w:type="dxa" w:w="1872"/>
          </w:tcPr>
          <w:p>
            <w:r>
              <w:t>$77,000</w:t>
            </w:r>
          </w:p>
        </w:tc>
        <w:tc>
          <w:tcPr>
            <w:tcW w:type="dxa" w:w="1872"/>
          </w:tcPr>
          <w:p>
            <w:r>
              <w:t>0.1%</w:t>
            </w:r>
          </w:p>
        </w:tc>
      </w:tr>
    </w:tbl>
    <w:p>
      <w:r>
        <w:rPr>
          <w:i/>
          <w:sz w:val="20"/>
        </w:rPr>
        <w:t>Note: Based on lognormal distribution with σ = 189%, T = 1 year. Margin = Strike × σ × √T × z_α. Conservative exchanges typically use 99%–99.5% confidence.</w:t>
      </w:r>
    </w:p>
    <w:p/>
    <w:p>
      <w:pPr>
        <w:pStyle w:val="Heading3"/>
      </w:pPr>
      <w:r>
        <w:t>4.4.1 Margin Logic</w:t>
      </w:r>
    </w:p>
    <w:p>
      <w:r>
        <w:t>The key solvency risk is seller default: the option writer may lack funds to meet settlement obligations in adverse scenarios. A VaR-based initial margin framework ensures sellers post collateral sufficient to cover tail losses:</w:t>
      </w:r>
    </w:p>
    <w:p>
      <w:r>
        <w:t>The 1.5× multiplier provides a buffer above the 99th percentile loss, covering scenarios between the 99th and approximately 99.9th percentile. For the Taiwan base case:</w:t>
      </w:r>
    </w:p>
    <w:p>
      <w:r>
        <w:t>Table 4.3 presents margin requirements across price and volatility scenarios, demonstrating how the framework scales to different market conditions.</w:t>
      </w:r>
    </w:p>
    <w:p>
      <w:r>
        <w:rPr>
          <w:b/>
        </w:rPr>
        <w:t>Table 4.3: Initial Margin Requirements (per contract) by Scenario</w:t>
      </w:r>
    </w:p>
    <w:p>
      <w:r>
        <w:t>| S₀ ($/kWh) | σ (%) | VaR₉₉% | Initial Margin (1.5×) |</w:t>
      </w:r>
    </w:p>
    <w:p>
      <w:r>
        <w:t>|---|---|---|---|</w:t>
      </w:r>
    </w:p>
    <w:p>
      <w:r>
        <w:t>| 0.042 | 142% | $0.1209 | $0.1814 |</w:t>
      </w:r>
    </w:p>
    <w:p>
      <w:r>
        <w:t>| 0.042 | 189% | $0.1875 | $0.2813 |</w:t>
      </w:r>
    </w:p>
    <w:p>
      <w:r>
        <w:t>| 0.042 | 236% | $0.2473 | $0.3710 |</w:t>
      </w:r>
    </w:p>
    <w:p>
      <w:r>
        <w:t>| 0.0525 | 142% | $0.1698 | $0.2548 |</w:t>
      </w:r>
    </w:p>
    <w:p>
      <w:r>
        <w:t>| 0.0525 | 189% | $0.2638 | $0.3957 |</w:t>
      </w:r>
    </w:p>
    <w:p>
      <w:r>
        <w:t>| 0.0525 | 236% | $0.3795 | $0.5692 |</w:t>
      </w:r>
    </w:p>
    <w:p>
      <w:r>
        <w:t>| 0.063 | 142% | $0.1996 | $0.2994 |</w:t>
      </w:r>
    </w:p>
    <w:p>
      <w:r>
        <w:t>| 0.063 | 189% | $0.3285 | $0.4927 |</w:t>
      </w:r>
    </w:p>
    <w:p>
      <w:r>
        <w:t>| 0.063 | 236% | $0.4452 | $0.6679 |</w:t>
      </w:r>
    </w:p>
    <w:p>
      <w:pPr>
        <w:pStyle w:val="Heading3"/>
      </w:pPr>
      <w:r>
        <w:t>4.4.2 Variation Margin and Liquidation</w:t>
      </w:r>
    </w:p>
    <w:p>
      <w:r>
        <w:t>Variation margin is marked daily: the seller's collateral account is adjusted by the change in option fair value. If the account balance falls below 120% of the current maximum loss, a margin call is issued. Failure to meet a margin call within one business day triggers automated liquidation of the position.</w:t>
      </w:r>
    </w:p>
    <w:p>
      <w:r>
        <w:t>Stress testing extends to five-sigma events, representing scenarios beyond the 99.9th percentile. An insurance fund funded at 0.5% of total open interest provides a mutualized backstop for simultaneous multiple-default scenarios. A circuit breaker — suspending settlement if the oracle price deviates more than three standard deviations from its 30-day moving average — prevents settlement during potential oracle manipulation events.</w:t>
      </w:r>
    </w:p>
    <w:p>
      <w:pPr>
        <w:pStyle w:val="Heading2"/>
      </w:pPr>
      <w:r>
        <w:t>4.5 Market Viability Conditions</w:t>
      </w:r>
    </w:p>
    <w:p>
      <w:r>
        <w:t>A priced, well-specified, solvent contract still fails as a market if no participants are available. This section specifies the minimal market structure required for the instrument to function, framed as a feasibility constraint rather than a microstructure design.</w:t>
      </w:r>
    </w:p>
    <w:p>
      <w:r>
        <w:rPr>
          <w:b/>
        </w:rPr>
        <w:t>Necessary participant roles:</w:t>
      </w:r>
    </w:p>
    <w:p>
      <w:r>
        <w:t xml:space="preserve">- </w:t>
      </w:r>
      <w:r>
        <w:rPr>
          <w:i/>
        </w:rPr>
        <w:t>Producers (natural buyers):</w:t>
      </w:r>
      <w:r>
        <w:t xml:space="preserve"> Solar farm operators purchasing call options to establish revenue floors. Their hedging demand is the fundamental source of market existence.</w:t>
      </w:r>
    </w:p>
    <w:p>
      <w:r>
        <w:t xml:space="preserve">- </w:t>
      </w:r>
      <w:r>
        <w:rPr>
          <w:i/>
        </w:rPr>
        <w:t>Speculators and institutional investors (natural sellers):</w:t>
      </w:r>
      <w:r>
        <w:t xml:space="preserve"> Counterparties willing to sell optionality in exchange for premium income. Solar irradiance risk carries a low correlation with conventional financial asset returns — it is driven by weather, not macroeconomic cycles — providing genuine portfolio diversification value to institutional sellers. This uncorrelated risk profile is what makes the instrument attractive to a broad investor base beyond dedicated energy funds.</w:t>
      </w:r>
    </w:p>
    <w:p>
      <w:r>
        <w:t xml:space="preserve">- </w:t>
      </w:r>
      <w:r>
        <w:rPr>
          <w:i/>
        </w:rPr>
        <w:t>Market makers:</w:t>
      </w:r>
      <w:r>
        <w:t xml:space="preserve"> Intermediaries maintaining bid-ask spreads through dynamic delta hedging. Their viability depends on bid-ask spreads sufficient to cover rebalancing costs at the observed Gamma level.</w:t>
      </w:r>
    </w:p>
    <w:p>
      <w:r>
        <w:rPr>
          <w:b/>
        </w:rPr>
        <w:t>Minimum liquidity thresholds:</w:t>
      </w:r>
    </w:p>
    <w:p>
      <w:r>
        <w:t>- Bid-ask spread &lt; 0.5% of option value</w:t>
      </w:r>
    </w:p>
    <w:p>
      <w:r>
        <w:t>- Market depth &gt; $500,000 at the touch</w:t>
      </w:r>
    </w:p>
    <w:p>
      <w:r>
        <w:t>- At least three independent market makers</w:t>
      </w:r>
    </w:p>
    <w:p>
      <w:r>
        <w:t>- Daily trading volume &gt; $2 million</w:t>
      </w:r>
    </w:p>
    <w:p>
      <w:r>
        <w:rPr>
          <w:b/>
        </w:rPr>
        <w:t>The bootstrapping challenge:</w:t>
      </w:r>
      <w:r>
        <w:t xml:space="preserve"> These liquidity thresholds create a coordination problem. Producers will not enter a market without sufficient speculator liquidity; speculators will not commit capital without demonstrated producer demand. This chicken-and-egg problem is the primary barrier to market launch and is not solved within this thesis. Resolution strategies — anchor participants, subsidised early trading, regulatory sandbox support — are identified as future work.</w:t>
      </w:r>
    </w:p>
    <w:p>
      <w:r>
        <w:t xml:space="preserve">The bootstrapping challenge does not undermine the feasibility case. It identifies the </w:t>
      </w:r>
      <w:r>
        <w:rPr>
          <w:i/>
        </w:rPr>
        <w:t>next</w:t>
      </w:r>
      <w:r>
        <w:t xml:space="preserve"> constraint to address after the empirical, pricing, and contractual layers are established. This thesis establishes those layers; resolving bootstrapping is an institutional and policy problem that follows from a credible technical foundation.</w:t>
      </w:r>
    </w:p>
    <w:p>
      <w:pPr>
        <w:pStyle w:val="Heading2"/>
      </w:pPr>
      <w:r>
        <w:t>4.6 Closing the Passive-to-Active Bridge: Formal Credibility Equivalence</w:t>
      </w:r>
    </w:p>
    <w:p>
      <w:r>
        <w:t xml:space="preserve">The three components of Chapter 4 — term sheet, oracle architecture, and margin framework — collectively address what Section 1.2 called the </w:t>
      </w:r>
      <w:r>
        <w:rPr>
          <w:i/>
        </w:rPr>
        <w:t>credibility condition</w:t>
      </w:r>
      <w:r>
        <w:t xml:space="preserve">: the requirements market participants need to satisfy before trusting that an energy floor is real and enforceable. Chapter 2 demonstrated empirically that markets </w:t>
      </w:r>
      <w:r>
        <w:rPr>
          <w:i/>
        </w:rPr>
        <w:t>do</w:t>
      </w:r>
      <w:r>
        <w:t xml:space="preserve"> price credible energy floors. Chapter 4 has now specified the contractual conditions under which the designed instrument satisfies that same credibility standard. It is worth making the equivalence explicit, since it is the logical joint connecting the empirical and contract layers of the thesis.</w:t>
      </w:r>
    </w:p>
    <w:p>
      <w:r>
        <w:t>In Bitcoin's pre-ban regime, the energy floor was credible for three reasons:</w:t>
      </w:r>
    </w:p>
    <w:p>
      <w:r>
        <w:t xml:space="preserve">1. </w:t>
      </w:r>
      <w:r>
        <w:rPr>
          <w:b/>
        </w:rPr>
        <w:t>Observability.</w:t>
      </w:r>
      <w:r>
        <w:t xml:space="preserve"> The floor price was independently derivable: any market participant could calculate CEIR from publicly available hash rate, energy consumption, and electricity prices. The signal was not proprietary.</w:t>
      </w:r>
    </w:p>
    <w:p>
      <w:r>
        <w:t xml:space="preserve">2. </w:t>
      </w:r>
      <w:r>
        <w:rPr>
          <w:b/>
        </w:rPr>
        <w:t>Mechanistic enforcement.</w:t>
      </w:r>
      <w:r>
        <w:t xml:space="preserve"> The floor was not maintained by any central decision-maker. Competitive mining economics made accumulation below production cost individually rational for thousands of independent miners, enforcing the floor through decentralised, self-interested action.</w:t>
      </w:r>
    </w:p>
    <w:p>
      <w:r>
        <w:t xml:space="preserve">3. </w:t>
      </w:r>
      <w:r>
        <w:rPr>
          <w:b/>
        </w:rPr>
        <w:t>Scale and continuity.</w:t>
      </w:r>
      <w:r>
        <w:t xml:space="preserve"> The enforcement mechanism operated continuously and at network scale. A single participant's defection could not suppress the price signal; the floor held because the incentive structure held for the entire network.</w:t>
      </w:r>
    </w:p>
    <w:p>
      <w:r>
        <w:t>In the designed energy derivative, these three credibility conditions have direct contractual equivalents:</w:t>
      </w:r>
    </w:p>
    <w:p>
      <w:r>
        <w:t xml:space="preserve">1. </w:t>
      </w:r>
      <w:r>
        <w:rPr>
          <w:b/>
        </w:rPr>
        <w:t>Observability.</w:t>
      </w:r>
      <w:r>
        <w:t xml:space="preserve"> The multi-source oracle architecture (Section 4.3) — NASA satellite data, utility wholesale feeds, and cryptographically verified network feeds aggregated via weighted median — makes the settlement price independently verifiable. A counterparty can audit each source. Observability is structural, not discretionary.</w:t>
      </w:r>
    </w:p>
    <w:p>
      <w:r>
        <w:t xml:space="preserve">2. </w:t>
      </w:r>
      <w:r>
        <w:rPr>
          <w:b/>
        </w:rPr>
        <w:t>Mechanistic enforcement.</w:t>
      </w:r>
      <w:r>
        <w:t xml:space="preserve"> Automated liquidation at the 120% maintenance margin threshold (Section 4.4) eliminates voluntary default: the floor is enforced algorithmically the moment collateral is insufficient, not by a counterparty's decision to honour an obligation. The enforcement mechanism is the smart contract liquidation engine, not human compliance.</w:t>
      </w:r>
    </w:p>
    <w:p>
      <w:r>
        <w:t xml:space="preserve">3. </w:t>
      </w:r>
      <w:r>
        <w:rPr>
          <w:b/>
        </w:rPr>
        <w:t>Scale and continuity.</w:t>
      </w:r>
      <w:r>
        <w:t xml:space="preserve"> The insurance fund (0.5% of open interest) and variation margin framework ensure that solvency is maintained continuously across the open interest pool, not just for individual contracts. A single seller's default does not propagate; the fund absorbs it.</w:t>
      </w:r>
    </w:p>
    <w:p>
      <w:r>
        <w:t>These are different mechanisms — one is market-emergent, the other is contractual — but they satisfy formally equivalent credibility requirements from the perspective of a market participant deciding whether to price in the floor. In both cases, the floor holds when: (i) its value is independently observable, (ii) its enforcement is automatic and not subject to counterparty discretion, and (iii) its solvency is guaranteed at system scale rather than individual-contract level.</w:t>
      </w:r>
    </w:p>
    <w:p>
      <w:r>
        <w:t>This equivalence is the precise claim the thesis makes in the passive-to-active transition. It does not assert that Bitcoin mining and derivatives are the same mechanism. It asserts that a market participant rationally confident in the pre-ban CEIR floor would, on inspecting the contract specification in Chapters 3 and 4, find the same three credibility conditions satisfied by different but structurally analogous means. The derivative premium is therefore justifiable by the same market logic that the CEIR evidence documents — not by analogy, but by formal equivalence of the credibility conditions both mechanisms satisfy.</w:t>
      </w:r>
    </w:p>
    <w:p>
      <w:pPr>
        <w:pStyle w:val="Heading1"/>
      </w:pPr>
      <w:r>
        <w:t>Chapter 5: Synthesis and Conclusions</w:t>
      </w:r>
    </w:p>
    <w:p>
      <w:pPr>
        <w:pStyle w:val="Heading2"/>
      </w:pPr>
      <w:r>
        <w:t>5.1 Integrated Framework: From Empirics to Credible Instrument</w:t>
      </w:r>
    </w:p>
    <w:p>
      <w:r>
        <w:t>This thesis develops an evidence-to-instrument pipeline connecting three layers of analysis. Figure 5.1 summarises the logical flow.</w:t>
      </w:r>
    </w:p>
    <w:p>
      <w:r>
        <w:t>The pipeline is the contribution. Each layer is a necessary but insufficient condition for the next: empirical motivation is necessary but not sufficient for pricing; pricing is necessary but not sufficient for a credible contract; a credible contract is necessary but not sufficient for a functioning market. The thesis establishes the first three layers and explicitly defers the fourth.</w:t>
      </w:r>
    </w:p>
    <w:p>
      <w:pPr>
        <w:pStyle w:val="Heading2"/>
      </w:pPr>
      <w:r>
        <w:t>5.2 Answers to Research Questions</w:t>
      </w:r>
    </w:p>
    <w:p>
      <w:r>
        <w:rPr>
          <w:b/>
        </w:rPr>
        <w:t>RQ1:</w:t>
      </w:r>
      <w:r>
        <w:t xml:space="preserve"> Do energy costs anchor cryptocurrency value, and is the relationship structural or regime-dependent?</w:t>
      </w:r>
    </w:p>
    <w:p>
      <w:r>
        <w:rPr>
          <w:i/>
        </w:rPr>
        <w:t>Answer:</w:t>
      </w:r>
      <w:r>
        <w:t xml:space="preserve"> The relationship is real, persistent across regimes, and concentration-dependent in magnitude. log(CEIR) is near-integrated (ρ̂ = 0.980); bias-corrected inference via Amihud-Hurvich (2004) augmented regression yields β = −0.206 pre-ban (SE = 0.042, p &lt; 0.001, 10.0 pp per 1SD) and β = −0.080 post-ban (SE = 0.031, p = 0.011, 3.5 pp per 1SD), with a highly significant structural break at the China ban date (Chow F = 4.786, p = 0.0009). Block bootstrap validation (2000 replications, block size = 8 weeks) confirms pre-ban directional robustness: 97.4% of bootstrap samples yield β &lt; 0. Geographic concentration amplifies the effect approximately 3×: the HHI drop from 0.42 to 0.18 is the operative variable, not absolute cost level (which rose post-ban without restoring the anchor magnitude). The Ethereum merge provides corroborative but non-causally-identified evidence: parallel trends are violated due to pre-merge anticipation trading, and the causal weight rests on the China ban experiment alone.</w:t>
      </w:r>
    </w:p>
    <w:p>
      <w:r>
        <w:rPr>
          <w:b/>
        </w:rPr>
        <w:t>RQ2:</w:t>
      </w:r>
      <w:r>
        <w:t xml:space="preserve"> How should an energy-linked derivative be priced and validated when volatility is physics-driven and the underlying is non-storable?</w:t>
      </w:r>
    </w:p>
    <w:p>
      <w:r>
        <w:rPr>
          <w:i/>
        </w:rPr>
        <w:t>Answer:</w:t>
      </w:r>
      <w:r>
        <w:t xml:space="preserve"> Physics-based volatility calibrated from satellite irradiance data (NASA POWER) can serve as the volatility input in a standard GBM-based pricing framework, provided the maturity horizon is short enough (T ≤ 1 year) that mean reversion and seasonal effects are second-order relative to the high-frequency noise. Validation requires cross-method convergence (binomial and Monte Carlo) and cross-location robustness. The framework achieves both: convergence below 1.4% at validated path counts, and sub-1% agreement across four of five global test locations.</w:t>
      </w:r>
    </w:p>
    <w:p>
      <w:r>
        <w:rPr>
          <w:b/>
        </w:rPr>
        <w:t>RQ3:</w:t>
      </w:r>
      <w:r>
        <w:t xml:space="preserve"> What minimum contract specifications and risk controls are required for an energy-backed derivative to remain credible under oracle error, manipulation risk, and tail events?</w:t>
      </w:r>
    </w:p>
    <w:p>
      <w:r>
        <w:rPr>
          <w:i/>
        </w:rPr>
        <w:t>Answer:</w:t>
      </w:r>
      <w:r>
        <w:t xml:space="preserve"> Three specifications are necessary: (1) a multi-source oracle architecture with weighted median aggregation; variance reduction in high-volatility markets (σ ≥ 100%) exceeds 95% even at 20% oracle error (derived analytically from the minimum variance hedge formula), but low-volatility markets require tighter oracle tolerances; (2) a VaR-based initial margin of 1.5 × VaR₉₉% with daily variation margin and automated liquidation at 120% of maximum loss; and (3) a market structure with at least three independent market makers, minimum $500,000 depth, and an insurance fund at 0.5% of open interest. The bootstrapping problem — coordinating initial participants — is identified as the primary remaining constraint not addressable within a single-stage feasibility analysis.</w:t>
      </w:r>
    </w:p>
    <w:p>
      <w:pPr>
        <w:pStyle w:val="Heading2"/>
      </w:pPr>
      <w:r>
        <w:t>5.3 Contributions</w:t>
      </w:r>
    </w:p>
    <w:p>
      <w:r>
        <w:rPr>
          <w:b/>
        </w:rPr>
        <w:t>Empirical contribution:</w:t>
      </w:r>
      <w:r>
        <w:t xml:space="preserve"> First bias-corrected causal evidence that energy anchoring of cryptocurrency value is concentration-dependent in both </w:t>
      </w:r>
      <w:r>
        <w:rPr>
          <w:i/>
        </w:rPr>
        <w:t>magnitude</w:t>
      </w:r>
      <w:r>
        <w:t xml:space="preserve"> and </w:t>
      </w:r>
      <w:r>
        <w:rPr>
          <w:i/>
        </w:rPr>
        <w:t>mechanism</w:t>
      </w:r>
      <w:r>
        <w:t xml:space="preserve">, using the China ban as a natural experiment. The magnitude finding survives nine robustness checks: Amihud-Hurvich (2004) bias correction; placebo Chow tests at six dates; block bootstrap (2000 replications); Google Trends sentiment substitution; a regression discontinuity at the ban date; carbon intensity controls; a Kazakhstan falsification test; a horse-race against crypto momentum and attention factors; and post-ban sub-period analysis. The mechanism finding — that the CEIR signal transitions from a </w:t>
      </w:r>
      <w:r>
        <w:rPr>
          <w:i/>
        </w:rPr>
        <w:t>rational</w:t>
      </w:r>
      <w:r>
        <w:t xml:space="preserve"> security-pricing channel (pre-ban: 2.8× stronger when sentiment is low) to a </w:t>
      </w:r>
      <w:r>
        <w:rPr>
          <w:i/>
        </w:rPr>
        <w:t>sentiment-correlated</w:t>
      </w:r>
      <w:r>
        <w:t xml:space="preserve"> residual (post-ban: inverted interaction pattern) — is new to the literature. This mechanism inversion formally demonstrates that the China ban eliminated the rational energy-anchoring mechanism, leaving only noise-correlated predictability. Geographic concentration amplifies this rational channel approximately 3×, formally derived via a heterogeneous-cost miner model showing β_CEIR ∝ HHI — the first structural derivation of the concentration mechanism in this literature.</w:t>
      </w:r>
    </w:p>
    <w:p>
      <w:r>
        <w:rPr>
          <w:b/>
        </w:rPr>
        <w:t>Methodological contribution:</w:t>
      </w:r>
      <w:r>
        <w:t xml:space="preserve"> First application of physics-based volatility estimation (satellite irradiance) to the pricing of energy-linked derivatives. The contribution is not the use of GBM — which is standard — but the identification of a public, globally available, physics-grounded volatility source that bypasses the cold-start problem blocking derivative design in nascent markets. The framework is validated across five global markets without proprietary data.</w:t>
      </w:r>
    </w:p>
    <w:p>
      <w:r>
        <w:rPr>
          <w:b/>
        </w:rPr>
        <w:t>Applied contribution:</w:t>
      </w:r>
      <w:r>
        <w:t xml:space="preserve"> First treatment of oracle quality as a continuous design parameter in non-storable commodity derivatives, with a full feasibility specification. Prior energy derivative literature (Deng and Oren 2006, Burger et al. 2004) treats settlement reliability as given. This thesis derives the conditions under which it holds, quantifies the hedging value gradient across oracle error levels, and links margin requirements to the pricing model's distributional assumptions. Additionally: the first demonstration that a zero-premium collar structure is achievable in high-volatility solar markets (σ ≥ 165%), where selling a 10% OTM call generates sufficient premium to offset a 10% OTM put — removing the upfront cost barrier that blocks hedging adoption in emerging market contexts. Jump-diffusion robustness (Merton 1976) confirms that at T = 0.25, jump risk adds at most 2.2% to the GBM price, bounding the cold-start pricing error from model misspecification.</w:t>
      </w:r>
    </w:p>
    <w:p>
      <w:pPr>
        <w:pStyle w:val="Heading2"/>
      </w:pPr>
      <w:r>
        <w:t>5.4 Limitations</w:t>
      </w:r>
    </w:p>
    <w:p>
      <w:r>
        <w:rPr>
          <w:b/>
        </w:rPr>
        <w:t>Empirical limitations:</w:t>
      </w:r>
      <w:r>
        <w:t xml:space="preserve"> The CEIR analysis covers 2019–2025, representing at most two complete crypto market cycles. The natural experiments are unique events and cannot be replicated, which is simultaneously their strength (clean identification) and their weakness (external validity). The findings are specific to Bitcoin proof-of-work; whether they generalise to Litecoin, Monero, or future proof-of-work assets is not tested.</w:t>
      </w:r>
    </w:p>
    <w:p>
      <w:r>
        <w:rPr>
          <w:b/>
        </w:rPr>
        <w:t>On the HHI interaction significance:</w:t>
      </w:r>
      <w:r>
        <w:t xml:space="preserve"> The continuous HHI × log(CEIR) interaction (Table 2.3a) yields a coefficient correctly signed (−0.048, 2.2× amplification at high concentration) but not significant at conventional levels (p = 0.33). This does not undermine the concentration mechanism. The interaction is estimated on monthly HHI data with 294 weekly observations and imputed post-2022 values; monthly frequency and imputation noise reduce statistical power substantially. The discrete regime split (Tables 2.2 and 2.3) uses N = 124 and N = 200 on each side — well-powered and robustly significant. The Chow F = 4.786 (p = 0.0009) directly tests whether the CEIR coefficient changed at the HHI shift, which is the precise mechanism test. The Kazakhstan falsification (Section 2.7) confirms that the China ban Chow break is tied to the geographic shock, not generic market disruption. The formal model in Section 2.3.2 derives β_CEIR ∝ HHI from first principles, and the linear fit to the two anchor data points (β = −0.206 at HHI = 0.42; β = −0.080 at HHI = 0.18) fits within the model's prediction. The concentration mechanism is thus supported by: (i) theory, (ii) the discrete regime comparison, (iii) the Chow test, (iv) the Kazakhstan falsification, and (v) the interaction's directional consistency — even if the continuous interaction alone is not independently significant.</w:t>
      </w:r>
    </w:p>
    <w:p>
      <w:r>
        <w:t>Post-2024 structural shifts — spot Bitcoin ETF approval (January 2024), corporate treasury adoption (MicroStrategy-class institutional accumulation) — may have introduced new coordination mechanisms not captured in the analysis window. Institutional holders with similar valuation frameworks could replicate a form of CEIR coordination without geographic mining concentration. If so, this would predict a partial recovery of CEIR predictive power in post-2024 data, testable as that period accumulates. This is identified as a priority extension of the empirical analysis.</w:t>
      </w:r>
    </w:p>
    <w:p>
      <w:r>
        <w:rPr>
          <w:b/>
        </w:rPr>
        <w:t>Pricing limitations:</w:t>
      </w:r>
      <w:r>
        <w:t xml:space="preserve"> GBM is justified at T ≤ 1 year as argued in Section 3.2.1; at longer maturities the framework should be replaced with Schwartz (1997) or Lucia-Schwartz (2002) mean-reverting dynamics. The convergence validation compares two implementations of the same model, not model predictions against market prices — because no market prices exist. This is the cold-start problem the methodology addresses, but it means out-of-sample validation is deferred to a future period when pilot markets emerge.</w:t>
      </w:r>
    </w:p>
    <w:p>
      <w:r>
        <w:rPr>
          <w:b/>
        </w:rPr>
        <w:t>Contract limitations:</w:t>
      </w:r>
      <w:r>
        <w:t xml:space="preserve"> Oracle error tolerance thresholds are derived analytically from the minimum variance hedge formula (Hull 2018), not from empirical observation of deployed energy oracles. The variance reduction figures assume measurement noise is independent of the true exposure; correlated oracle errors (e.g., systematic satellite calibration drift) would reduce actual hedge effectiveness below model predictions. The margin framework assumes log-normally distributed price changes; physically-driven tail events (grid failures, extreme weather) may generate non-log-normal payoffs not captured by the VaR₉₉ specification.</w:t>
      </w:r>
    </w:p>
    <w:p>
      <w:r>
        <w:rPr>
          <w:b/>
        </w:rPr>
        <w:t>Scope limitation — the credibility gap:</w:t>
      </w:r>
      <w:r>
        <w:t xml:space="preserve"> The passive-to-active bridge argued in Section 1.2 establishes that the </w:t>
      </w:r>
      <w:r>
        <w:rPr>
          <w:i/>
        </w:rPr>
        <w:t>same credibility condition</w:t>
      </w:r>
      <w:r>
        <w:t xml:space="preserve"> connects the empirical finding to the derivative design. This argument is conceptually sound but has not been tested in a live market. The ultimate test of whether market participants will price an energy derivative premium consistent with CEIR logic requires a functioning market — which does not yet exist. This is the one limitation the thesis cannot analytically resolve; it is the empirical question for future work.</w:t>
      </w:r>
    </w:p>
    <w:p>
      <w:pPr>
        <w:pStyle w:val="Heading2"/>
      </w:pPr>
      <w:r>
        <w:t>5.5 Future Work</w:t>
      </w:r>
    </w:p>
    <w:p>
      <w:r>
        <w:t>The three-pillar framework identifies natural extensions at each layer:</w:t>
      </w:r>
    </w:p>
    <w:p>
      <w:r>
        <w:rPr>
          <w:b/>
        </w:rPr>
        <w:t>Empirical:</w:t>
      </w:r>
      <w:r>
        <w:t xml:space="preserve"> Extension to post-2025 Bitcoin data to test whether institutional involvement (spot ETFs, corporate treasury adoption) creates a new form of concentration-independent CEIR coordination, as suggested by the potential third-regime hypothesis in Section 5.4. Cross-asset validation of CEIR on Litecoin and Ethereum Classic (both retained proof-of-work throughout the sample) to test external validity of the concentration mechanism. Panel regression extending the concentration moderator to multiple PoW assets simultaneously.</w:t>
      </w:r>
    </w:p>
    <w:p>
      <w:r>
        <w:rPr>
          <w:b/>
        </w:rPr>
        <w:t>Pricing:</w:t>
      </w:r>
      <w:r>
        <w:t xml:space="preserve"> Schwartz (1997) two-factor model with mean reversion for longer-maturity instruments; the maturity sensitivity table (Table 3.2a) shows 48–52% divergence from GBM at T = 2–3 years, establishing urgency for this extension. Seasonal adjustment using Fourier decomposition of irradiance data. Empirical validation against pilot market data if and when a liquid solar energy options market emerges.</w:t>
      </w:r>
    </w:p>
    <w:p>
      <w:r>
        <w:rPr>
          <w:b/>
        </w:rPr>
        <w:t>Contract:</w:t>
      </w:r>
      <w:r>
        <w:t xml:space="preserve"> Pilot data partnership with a grid operator or energy exchange to validate oracle quality estimates. Microstructure design for the market-making problem. Regulatory pathway analysis for Taiwan's Financial Supervisory Commission sandbox program.</w:t>
      </w:r>
    </w:p>
    <w:p>
      <w:r>
        <w:rPr>
          <w:b/>
        </w:rPr>
        <w:t>System-level (future work, not this thesis):</w:t>
      </w:r>
      <w:r>
        <w:t xml:space="preserve"> The SolarPunk Protocol — a smart-contract implementation of the instrument class specified in Chapter 4 — represents the natural next step if the feasibility constraints identified here are satisfied through institutional partnerships. That work is appropriately a post-thesis project requiring deployment infrastructure, regulatory approval, and liquidity partners.</w:t>
      </w:r>
    </w:p>
    <w:p>
      <w:pPr>
        <w:pStyle w:val="Heading2"/>
      </w:pPr>
      <w:r>
        <w:t>5.6 Closing Statement</w:t>
      </w:r>
    </w:p>
    <w:p>
      <w:r>
        <w:t>Energy is the foundation of all economic production. A currency or derivative anchored to verified energy output has a claim to value grounded in physical reality rather than institutional convention or computational scarcity. This thesis does not argue that energy-backed instruments will replace existing financial infrastructure; it argues that the technical foundation for credible energy-backed derivatives now exists, that the empirical motivation is causally established, and that the remaining barriers are institutional rather than methodological.</w:t>
      </w:r>
    </w:p>
    <w:p>
      <w:r>
        <w:t>The passive energy anchoring observed in Bitcoin was fragile because it depended on coordination that market forces dissolved. Active energy anchoring — deliberately designed into contractual payoffs, priced from physics, and protected by quantified risk controls — does not have this fragility. Whether such instruments achieve adoption depends on factors outside the scope of academic research. That the foundation is sound is what this thesis establishes.</w:t>
      </w:r>
    </w:p>
    <w:p>
      <w:pPr>
        <w:pStyle w:val="Heading1"/>
      </w:pPr>
      <w:r>
        <w:t>References</w:t>
      </w:r>
    </w:p>
    <w:p>
      <w:r>
        <w:t xml:space="preserve">Amihud, Y., &amp; Hurvich, C. M. (2004). Predictive regressions: A reduced-bias estimation method. </w:t>
      </w:r>
      <w:r>
        <w:rPr>
          <w:i/>
        </w:rPr>
        <w:t>Journal of Financial and Quantitative Analysis</w:t>
      </w:r>
      <w:r>
        <w:t>, 39(4), 813–841.</w:t>
      </w:r>
    </w:p>
    <w:p>
      <w:r>
        <w:t xml:space="preserve">Angrist, J. D., &amp; Pischke, J. S. (2009). </w:t>
      </w:r>
      <w:r>
        <w:rPr>
          <w:i/>
        </w:rPr>
        <w:t>Mostly Harmless Econometrics: An Empiricist's Companion</w:t>
      </w:r>
      <w:r>
        <w:t>. Princeton University Press.</w:t>
      </w:r>
    </w:p>
    <w:p>
      <w:r>
        <w:t xml:space="preserve">Baker, S., Bloom, N., &amp; Davis, S. (2016). Measuring economic policy uncertainty. </w:t>
      </w:r>
      <w:r>
        <w:rPr>
          <w:i/>
        </w:rPr>
        <w:t>Quarterly Journal of Economics</w:t>
      </w:r>
      <w:r>
        <w:t>, 131(4), 1593–1636.</w:t>
      </w:r>
    </w:p>
    <w:p>
      <w:r>
        <w:t xml:space="preserve">Biais, B., Bisière, C., Bouvard, M., &amp; Casamatta, C. (2019). The blockchain folk theorem. </w:t>
      </w:r>
      <w:r>
        <w:rPr>
          <w:i/>
        </w:rPr>
        <w:t>Review of Financial Studies</w:t>
      </w:r>
      <w:r>
        <w:t>, 32(5), 1662–1715.</w:t>
      </w:r>
    </w:p>
    <w:p>
      <w:r>
        <w:t xml:space="preserve">Brennan, M. J., &amp; Schwartz, E. S. (1985). Evaluating natural resource investments. </w:t>
      </w:r>
      <w:r>
        <w:rPr>
          <w:i/>
        </w:rPr>
        <w:t>Journal of Business</w:t>
      </w:r>
      <w:r>
        <w:t>, 58(2), 135–157.</w:t>
      </w:r>
    </w:p>
    <w:p>
      <w:r>
        <w:t xml:space="preserve">Burger, M., Graeber, B., &amp; Schindlmayr, G. (2004). </w:t>
      </w:r>
      <w:r>
        <w:rPr>
          <w:i/>
        </w:rPr>
        <w:t>Managing Energy Risk: An Integrated View on Field and Financial Energy Markets</w:t>
      </w:r>
      <w:r>
        <w:t>. Wiley Finance.</w:t>
      </w:r>
    </w:p>
    <w:p>
      <w:r>
        <w:t xml:space="preserve">Calonico, S., Cattaneo, M. D., &amp; Titiunik, R. (2014). Robust nonparametric confidence intervals for regression-discontinuity designs. </w:t>
      </w:r>
      <w:r>
        <w:rPr>
          <w:i/>
        </w:rPr>
        <w:t>Econometrica</w:t>
      </w:r>
      <w:r>
        <w:t>, 82(6), 2295–2326.</w:t>
      </w:r>
    </w:p>
    <w:p>
      <w:r>
        <w:t xml:space="preserve">Cambridge Centre for Alternative Finance. (2024). </w:t>
      </w:r>
      <w:r>
        <w:rPr>
          <w:i/>
        </w:rPr>
        <w:t>Cambridge Bitcoin Electricity Consumption Index</w:t>
      </w:r>
      <w:r>
        <w:t>. University of Cambridge.</w:t>
      </w:r>
    </w:p>
    <w:p>
      <w:r>
        <w:t xml:space="preserve">Cao, M., &amp; Wei, J. (2004). Weather derivatives valuation and market price of weather risk. </w:t>
      </w:r>
      <w:r>
        <w:rPr>
          <w:i/>
        </w:rPr>
        <w:t>Journal of Futures Markets</w:t>
      </w:r>
      <w:r>
        <w:t>, 24(11), 1065–1089.</w:t>
      </w:r>
    </w:p>
    <w:p>
      <w:r>
        <w:t xml:space="preserve">Casassus, J., &amp; Collin-Dufresne, P. (2005). Stochastic convenience yield implied from commodity futures and interest rates. </w:t>
      </w:r>
      <w:r>
        <w:rPr>
          <w:i/>
        </w:rPr>
        <w:t>Journal of Finance</w:t>
      </w:r>
      <w:r>
        <w:t>, 60(5), 2283–2331.</w:t>
      </w:r>
    </w:p>
    <w:p>
      <w:r>
        <w:t xml:space="preserve">Chow, G. C. (1960). Tests of equality between sets of coefficients in two linear regressions. </w:t>
      </w:r>
      <w:r>
        <w:rPr>
          <w:i/>
        </w:rPr>
        <w:t>Econometrica</w:t>
      </w:r>
      <w:r>
        <w:t>, 28(3), 591–605.</w:t>
      </w:r>
    </w:p>
    <w:p>
      <w:r>
        <w:t xml:space="preserve">Cong, L. W., Li, Y., &amp; Wang, N. (2021). Tokenomics: Dynamic adoption and valuation. </w:t>
      </w:r>
      <w:r>
        <w:rPr>
          <w:i/>
        </w:rPr>
        <w:t>Review of Financial Studies</w:t>
      </w:r>
      <w:r>
        <w:t>, 34(3), 1105–1155.</w:t>
      </w:r>
    </w:p>
    <w:p>
      <w:r>
        <w:t xml:space="preserve">Cox, J. C., Ross, S. A., &amp; Rubinstein, M. (1979). Option pricing: A simplified approach. </w:t>
      </w:r>
      <w:r>
        <w:rPr>
          <w:i/>
        </w:rPr>
        <w:t>Journal of Financial Economics</w:t>
      </w:r>
      <w:r>
        <w:t>, 7(3), 229–263.</w:t>
      </w:r>
    </w:p>
    <w:p>
      <w:r>
        <w:t xml:space="preserve">Deng, S. J., &amp; Oren, S. S. (2006). Electricity derivatives and risk management. </w:t>
      </w:r>
      <w:r>
        <w:rPr>
          <w:i/>
        </w:rPr>
        <w:t>Energy</w:t>
      </w:r>
      <w:r>
        <w:t>, 31(6–7), 940–953.</w:t>
      </w:r>
    </w:p>
    <w:p>
      <w:r>
        <w:t xml:space="preserve">Fama, E. F. (1970). Efficient capital markets: A review of theory and empirical work. </w:t>
      </w:r>
      <w:r>
        <w:rPr>
          <w:i/>
        </w:rPr>
        <w:t>Journal of Finance</w:t>
      </w:r>
      <w:r>
        <w:t>, 25(2), 383–417.</w:t>
      </w:r>
    </w:p>
    <w:p>
      <w:r>
        <w:t xml:space="preserve">Föllmer, H., &amp; Schweizer, M. (1991). Hedging of contingent claims under incomplete information. In M. H. A. Davis &amp; R. J. Elliott (Eds.), </w:t>
      </w:r>
      <w:r>
        <w:rPr>
          <w:i/>
        </w:rPr>
        <w:t>Applied Stochastic Analysis</w:t>
      </w:r>
      <w:r>
        <w:t xml:space="preserve"> (pp. 389–414). Gordon and Breach.</w:t>
      </w:r>
    </w:p>
    <w:p>
      <w:r>
        <w:t xml:space="preserve">Gandal, N., Hamrick, J. T., Moore, T., Vasek, M., &amp; Weinberg, D. (2021). The economics of cryptocurrency pump and dump schemes. </w:t>
      </w:r>
      <w:r>
        <w:rPr>
          <w:i/>
        </w:rPr>
        <w:t>Journal of Financial Economics</w:t>
      </w:r>
      <w:r>
        <w:t>.</w:t>
      </w:r>
    </w:p>
    <w:p>
      <w:r>
        <w:t xml:space="preserve">Hayes, A. S. (2017). Cryptocurrency value formation: An empirical study leading to a cost of production model for valuing Bitcoin. </w:t>
      </w:r>
      <w:r>
        <w:rPr>
          <w:i/>
        </w:rPr>
        <w:t>Telematics and Informatics</w:t>
      </w:r>
      <w:r>
        <w:t>, 34(7), 1308–1321.</w:t>
      </w:r>
    </w:p>
    <w:p>
      <w:r>
        <w:t xml:space="preserve">Hull, J. C. (2018). </w:t>
      </w:r>
      <w:r>
        <w:rPr>
          <w:i/>
        </w:rPr>
        <w:t>Options, Futures, and Other Derivatives</w:t>
      </w:r>
      <w:r>
        <w:t xml:space="preserve"> (10th ed.). Pearson.</w:t>
      </w:r>
    </w:p>
    <w:p>
      <w:r>
        <w:t xml:space="preserve">International Renewable Energy Agency. (2024). </w:t>
      </w:r>
      <w:r>
        <w:rPr>
          <w:i/>
        </w:rPr>
        <w:t>Renewable Power Generation Costs in 2023</w:t>
      </w:r>
      <w:r>
        <w:t>. IRENA, Abu Dhabi.</w:t>
      </w:r>
    </w:p>
    <w:p>
      <w:r>
        <w:t xml:space="preserve">Kapengut, E., &amp; Mizrach, B. (2023). An event study of the Ethereum transition to proof-of-stake. </w:t>
      </w:r>
      <w:r>
        <w:rPr>
          <w:i/>
        </w:rPr>
        <w:t>Commodities</w:t>
      </w:r>
      <w:r>
        <w:t>, 2(2), 96–110.</w:t>
      </w:r>
    </w:p>
    <w:p>
      <w:r>
        <w:t xml:space="preserve">Liu, Y., &amp; Tsyvinski, A. (2021). Risks and returns of cryptocurrency. </w:t>
      </w:r>
      <w:r>
        <w:rPr>
          <w:i/>
        </w:rPr>
        <w:t>Review of Financial Studies</w:t>
      </w:r>
      <w:r>
        <w:t>, 34(6), 2689–2727.</w:t>
      </w:r>
    </w:p>
    <w:p>
      <w:r>
        <w:t xml:space="preserve">Liu, Y., Tsyvinski, A., &amp; Wu, X. (2022). Common risk factors in cryptocurrency. </w:t>
      </w:r>
      <w:r>
        <w:rPr>
          <w:i/>
        </w:rPr>
        <w:t>Journal of Finance</w:t>
      </w:r>
      <w:r>
        <w:t>, 77(2), 1133–1177.</w:t>
      </w:r>
    </w:p>
    <w:p>
      <w:r>
        <w:t xml:space="preserve">Lucia, J. J., &amp; Schwartz, E. S. (2002). Electricity prices and power derivatives: Evidence from the Nordic power exchange. </w:t>
      </w:r>
      <w:r>
        <w:rPr>
          <w:i/>
        </w:rPr>
        <w:t>Review of Derivatives Research</w:t>
      </w:r>
      <w:r>
        <w:t>, 5(1), 5–50.</w:t>
      </w:r>
    </w:p>
    <w:p>
      <w:r>
        <w:t xml:space="preserve">Marshall, A. (1890). </w:t>
      </w:r>
      <w:r>
        <w:rPr>
          <w:i/>
        </w:rPr>
        <w:t>Principles of Economics</w:t>
      </w:r>
      <w:r>
        <w:t>. Macmillan.</w:t>
      </w:r>
    </w:p>
    <w:p>
      <w:r>
        <w:t xml:space="preserve">Merton, R. C. (1976). Option pricing when underlying stock returns are discontinuous. </w:t>
      </w:r>
      <w:r>
        <w:rPr>
          <w:i/>
        </w:rPr>
        <w:t>Journal of Financial Economics</w:t>
      </w:r>
      <w:r>
        <w:t>, 3(1–2), 125–144.</w:t>
      </w:r>
    </w:p>
    <w:p>
      <w:r>
        <w:t xml:space="preserve">NASA. (2024). </w:t>
      </w:r>
      <w:r>
        <w:rPr>
          <w:i/>
        </w:rPr>
        <w:t>POWER: Prediction of Worldwide Energy Resources</w:t>
      </w:r>
      <w:r>
        <w:t>. NASA Langland Research Center. https://power.larc.nasa.gov</w:t>
      </w:r>
    </w:p>
    <w:p>
      <w:r>
        <w:t xml:space="preserve">Pagnotta, E., &amp; Buraschi, A. (2018). An equilibrium valuation of Bitcoin and decentralized network assets. </w:t>
      </w:r>
      <w:r>
        <w:rPr>
          <w:i/>
        </w:rPr>
        <w:t>SSRN Working Paper</w:t>
      </w:r>
      <w:r>
        <w:t>.</w:t>
      </w:r>
    </w:p>
    <w:p>
      <w:r>
        <w:t xml:space="preserve">Panagiotidis, T., Stengos, T., &amp; Vravosinos, O. (2019). The effects of markets, uncertainty and search intensity on Bitcoin returns. </w:t>
      </w:r>
      <w:r>
        <w:rPr>
          <w:i/>
        </w:rPr>
        <w:t>International Review of Financial Analysis</w:t>
      </w:r>
      <w:r>
        <w:t>, 63, 220–242.</w:t>
      </w:r>
    </w:p>
    <w:p>
      <w:r>
        <w:t xml:space="preserve">Schwartz, E. S. (1997). The stochastic behavior of commodity prices: Implications for valuation and hedging. </w:t>
      </w:r>
      <w:r>
        <w:rPr>
          <w:i/>
        </w:rPr>
        <w:t>Journal of Finance</w:t>
      </w:r>
      <w:r>
        <w:t>, 52(3), 923–973.</w:t>
      </w:r>
    </w:p>
    <w:p>
      <w:r>
        <w:t xml:space="preserve">Schwartz, E. S., &amp; Smith, J. E. (2000). Short-term variations and long-term dynamics in commodity prices. </w:t>
      </w:r>
      <w:r>
        <w:rPr>
          <w:i/>
        </w:rPr>
        <w:t>Management Science</w:t>
      </w:r>
      <w:r>
        <w:t>, 46(7), 893–911.</w:t>
      </w:r>
    </w:p>
    <w:p>
      <w:r>
        <w:t xml:space="preserve">Stambaugh, R. F. (1999). Predictive regressions. </w:t>
      </w:r>
      <w:r>
        <w:rPr>
          <w:i/>
        </w:rPr>
        <w:t>Journal of Financial Economics</w:t>
      </w:r>
      <w:r>
        <w:t>, 54(3), 375–421.</w:t>
      </w:r>
    </w:p>
    <w:p>
      <w:r>
        <w:t xml:space="preserve">Sockin, M., &amp; Xiong, W. (2021). A model of cryptocurrencies. </w:t>
      </w:r>
      <w:r>
        <w:rPr>
          <w:i/>
        </w:rPr>
        <w:t>NBER Working Paper 26816</w:t>
      </w:r>
      <w:r>
        <w:t>.</w:t>
      </w:r>
    </w:p>
    <w:p>
      <w:pPr>
        <w:pStyle w:val="Heading2"/>
      </w:pPr>
      <w:r>
        <w:t>1.2A Addressing the Consumer-Producer Inversion</w:t>
      </w:r>
    </w:p>
    <w:p>
      <w:r>
        <w:t>A natural objection arises immediately: Bitcoin miners are energy consumers, while solar producers are energy suppliers. The energy flows in opposite directions. Why would evidence about one say anything about the other?</w:t>
        <w:br/>
        <w:br/>
        <w:t>The connection is not mechanical but epistemic. The thesis argues that markets recognize and price credible energy cost floors when those floors are operationally difficult to arbitrage away. Bitcoin mining demonstrated this during the concentrated era: when 65% of hash power operated in China with similar electricity costs ($0.05–0.06/kWh), arbitrageurs could not sustainably push Bitcoin below the implied mining floor without creating obvious profit opportunities that miners would exploit. The floor was credible because the enforcement mechanism—miner accumulation when price drops below cost—was transparent, large-scale, and coordination-resistant.</w:t>
        <w:br/>
        <w:br/>
        <w:t>The solar derivative replicates the credibility condition, not the mining mechanism itself. When a solar producer sells a put option at strike K, the buyer is guaranteed max(K − P, 0) at settlement, enforced not by mining arbitrage but by posted margin and oracle-verified measurement. Both mechanisms create a floor. Both require credibility to be priced by markets. The difference is implementation: mining's floor emerged passively from competitive dynamics, while the derivative's floor is contractual and requires explicit solvency constraints.</w:t>
        <w:br/>
        <w:br/>
        <w:t>The key insight from the CEIR evidence is therefore: credible energy floors can be priced by markets, provided three conditions hold: (1) the floor is observable (transparent cost structure or contract terms), (2) enforcement is operationally difficult to circumvent (geographic barriers or legal obligations), and (3) the mechanism operates at scale (not a trivial player). Bitcoin mining satisfied these conditions pre-ban; designed derivatives satisfy them through contract architecture.</w:t>
        <w:br/>
        <w:br/>
        <w:t>Table 1.2A illustrates the parallel: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Dimension</w:t>
            </w:r>
          </w:p>
        </w:tc>
        <w:tc>
          <w:tcPr>
            <w:tcW w:type="dxa" w:w="3120"/>
          </w:tcPr>
          <w:p>
            <w:r>
              <w:t>Bitcoin Mining Floor (Passive)</w:t>
            </w:r>
          </w:p>
        </w:tc>
        <w:tc>
          <w:tcPr>
            <w:tcW w:type="dxa" w:w="3120"/>
          </w:tcPr>
          <w:p>
            <w:r>
              <w:t>Derivative Floor (Active)</w:t>
            </w:r>
          </w:p>
        </w:tc>
      </w:tr>
      <w:tr>
        <w:tc>
          <w:tcPr>
            <w:tcW w:type="dxa" w:w="3120"/>
          </w:tcPr>
          <w:p>
            <w:r>
              <w:t>Energy Flow</w:t>
            </w:r>
          </w:p>
        </w:tc>
        <w:tc>
          <w:tcPr>
            <w:tcW w:type="dxa" w:w="3120"/>
          </w:tcPr>
          <w:p>
            <w:r>
              <w:t>Consumption (miners buy electricity)</w:t>
            </w:r>
          </w:p>
        </w:tc>
        <w:tc>
          <w:tcPr>
            <w:tcW w:type="dxa" w:w="3120"/>
          </w:tcPr>
          <w:p>
            <w:r>
              <w:t>Production (solar sells electricity)</w:t>
            </w:r>
          </w:p>
        </w:tc>
      </w:tr>
      <w:tr>
        <w:tc>
          <w:tcPr>
            <w:tcW w:type="dxa" w:w="3120"/>
          </w:tcPr>
          <w:p>
            <w:r>
              <w:t>Floor Mechanism</w:t>
            </w:r>
          </w:p>
        </w:tc>
        <w:tc>
          <w:tcPr>
            <w:tcW w:type="dxa" w:w="3120"/>
          </w:tcPr>
          <w:p>
            <w:r>
              <w:t>Cost-based arbitrage (accumulate when P &lt; cost)</w:t>
            </w:r>
          </w:p>
        </w:tc>
        <w:tc>
          <w:tcPr>
            <w:tcW w:type="dxa" w:w="3120"/>
          </w:tcPr>
          <w:p>
            <w:r>
              <w:t>Contractual obligation (seller pays max(K−P, 0))</w:t>
            </w:r>
          </w:p>
        </w:tc>
      </w:tr>
      <w:tr>
        <w:tc>
          <w:tcPr>
            <w:tcW w:type="dxa" w:w="3120"/>
          </w:tcPr>
          <w:p>
            <w:r>
              <w:t>Credibility Source</w:t>
            </w:r>
          </w:p>
        </w:tc>
        <w:tc>
          <w:tcPr>
            <w:tcW w:type="dxa" w:w="3120"/>
          </w:tcPr>
          <w:p>
            <w:r>
              <w:t>Geographic concentration + transparent costs</w:t>
            </w:r>
          </w:p>
        </w:tc>
        <w:tc>
          <w:tcPr>
            <w:tcW w:type="dxa" w:w="3120"/>
          </w:tcPr>
          <w:p>
            <w:r>
              <w:t>Posted margin + oracle verification</w:t>
            </w:r>
          </w:p>
        </w:tc>
      </w:tr>
      <w:tr>
        <w:tc>
          <w:tcPr>
            <w:tcW w:type="dxa" w:w="3120"/>
          </w:tcPr>
          <w:p>
            <w:r>
              <w:t>Market Recognition</w:t>
            </w:r>
          </w:p>
        </w:tc>
        <w:tc>
          <w:tcPr>
            <w:tcW w:type="dxa" w:w="3120"/>
          </w:tcPr>
          <w:p>
            <w:r>
              <w:t>β = -0.206 (empirical, pre-ban)</w:t>
            </w:r>
          </w:p>
        </w:tc>
        <w:tc>
          <w:tcPr>
            <w:tcW w:type="dxa" w:w="3120"/>
          </w:tcPr>
          <w:p>
            <w:r>
              <w:t>Premium = f(σ, K, T, oracle_quality) (analytical)</w:t>
            </w:r>
          </w:p>
        </w:tc>
      </w:tr>
    </w:tbl>
    <w:p>
      <w:r>
        <w:t>The empirical finding is that condition (2)—operationally difficult to circumvent—requires either geographic concentration (mining case) or legal enforcement (derivative case). When Bitcoin mining dispersed, condition (2) failed, and the floor dissolved. The derivative avoids this failure by encoding enforcement in contract law, not relying on coordination.</w:t>
      </w:r>
    </w:p>
    <w:p>
      <w:pPr>
        <w:pStyle w:val="Heading2"/>
      </w:pPr>
      <w:r>
        <w:t>1.4A Why a Three-Pillar Framework?</w:t>
      </w:r>
    </w:p>
    <w:p>
      <w:r>
        <w:t>A thesis combining cryptocurrency empirics, derivative pricing, and smart contract specification risks appearing as three disconnected papers rather than one integrated argument. This section addresses that concern directly.</w:t>
        <w:br/>
        <w:br/>
        <w:t>The thesis claim is not "energy anchoring exists" (Pillar 1), nor "we can price energy derivatives" (Pillar 2), nor "smart contracts can settle these instruments" (Pillar 3). The claim is: energy-backed derivatives for renewable producers are feasible, meaning they can be empirically motivated, methodologically priced, and contractually implemented under realistic frictions. Feasibility is inherently a multi-domain question. Answering it partially—proving empirical motivation without pricing, or pricing without settlement architecture—leaves the skeptic's next question unanswered.</w:t>
        <w:br/>
        <w:br/>
        <w:t>Consider the alternative structures:</w:t>
        <w:br/>
        <w:br/>
        <w:t>**Pillar 1 only (empirical):** "Energy costs anchor Bitcoin value under concentration." The skeptic asks: "So what? Bitcoin is not a solar farm." Without Pillars 2–3, the contribution is a cryptocurrency paper with no practical extension.</w:t>
        <w:br/>
        <w:br/>
        <w:t>**Pillars 1+2 (empirical + pricing):** "Energy anchoring is real, and we can price energy derivatives." The skeptic asks: "But can these contracts actually settle? Who measures production? What if the oracle fails?" Without Pillar 3, the framework is academic but not actionable.</w:t>
        <w:br/>
        <w:br/>
        <w:t>**All three pillars:** "Energy anchoring is real (empirical), we can price it (methodological), and we specify when contracts remain solvent (feasibility)." The skeptic's objections are preemptively addressed. The contribution is a complete feasibility framework, not a partial analysis.</w:t>
        <w:br/>
        <w:br/>
        <w:t>This structure has precedent. Brennan and Schwartz (1985) valued natural resource projects by combining geology (ore grades, extraction rates), finance (stochastic valuation), and engineering (operational constraints). The paper is cited for its integrated approach precisely because resource feasibility cannot be established from finance alone. Similarly, energy derivative feasibility cannot be established from crypto empirics alone. The three-pillar structure is not scope creep; it is the minimum scope necessary to answer the feasibility question credibly.</w:t>
        <w:br/>
        <w:br/>
        <w:t>The thesis does not claim deployment readiness—that would require regulatory analysis, market-making infrastructure, and pilot testing—but it does claim to have established the necessary conditions for such work to proceed. Each pillar answers a different type of skepticism:</w:t>
        <w:br/>
        <w:br/>
        <w:t>- Pillar 1 (Empirical): "Why should anyone believe energy can anchor value?" → Natural experiment shows it can, under conditions.</w:t>
        <w:br/>
        <w:t>- Pillar 2 (Pricing): "How would you price such an instrument?" → Binomial/Monte Carlo framework with convergence validation.</w:t>
        <w:br/>
        <w:t>- Pillar 3 (Feasibility): "What makes the contract credible?" → Oracle quality bounds + margin requirements.</w:t>
        <w:br/>
        <w:br/>
        <w:t>The alternative—presenting only Pillar 1 or only Pillars 1+2—would leave the feasibility question unanswered. The three-pillar structure is justified not by ambition but by necessity.</w:t>
      </w:r>
    </w:p>
    <w:p>
      <w:r>
        <w:rPr>
          <w:i/>
        </w:rPr>
        <w:t>NOTE FOR CHAPTER 2.6.2: When discussing robustness, lead with the five converging tests in this order: (1) Theoretical motivation, (2) Discrete HHI split, (3) Chow structural break, (4) Kazakhstan falsification, (5) Continuous HHI interaction. This emphasizes convergent evidence rather than relying on any single test.</w:t>
      </w:r>
    </w:p>
    <w:p>
      <w:r>
        <w:rPr>
          <w:i/>
        </w:rPr>
        <w:t>NOTE FOR SECTION 2.3.3/2.6.3: Consider moving the Ethereum Merge analysis to Appendix B. While it provides corroborative evidence, the parallel trends assumption is acknowledged as violated, which could distract from the strong causal evidence from the China ban. In the main text, replace with a brief paragraph noting the corroborative evidence and directing readers to the appendix.</w:t>
      </w:r>
    </w:p>
    <w:p>
      <w:r>
        <w:rPr>
          <w:i/>
        </w:rPr>
        <w:t>NOTE FOR CHAPTER 4: Consider adding Table 4.2 'Credibility Equivalence Across Mechanisms' to make the passive-to-active bridge visual. This table would compare mining floor conditions vs. derivative floor conditions across dimensions like enforcement, measurement, and market recognition.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