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5 - Constraints Framework and Proof-of-Concept Implementation</w:t>
      </w:r>
    </w:p>
    <w:p>
      <w:pPr>
        <w:pStyle w:val="Heading2"/>
      </w:pPr>
      <w:r>
        <w:t>5.1 Purpose of the Chapter</w:t>
      </w:r>
    </w:p>
    <w:p>
      <w:r>
        <w:rPr>
          <w:b w:val="0"/>
          <w:i w:val="0"/>
          <w:u w:val="none"/>
        </w:rPr>
        <w:t>Chapters 2 through 4 established the thesis in three steps. Chapter 2 explained why energy is worth studying as a monetary and financial constraint. Chapter 3 showed that energy cost can matter in an existing digital market, but that the relationship is conditional. Chapter 4 showed that renewable-energy-linked risk can be priced under explicit assumptions.</w:t>
      </w:r>
    </w:p>
    <w:p>
      <w:r>
        <w:rPr>
          <w:b w:val="0"/>
          <w:i w:val="0"/>
          <w:u w:val="none"/>
        </w:rPr>
        <w:t>This chapter asks what rules are needed for an energy-linked digital instrument to be credible in implementation.</w:t>
      </w:r>
    </w:p>
    <w:p>
      <w:r>
        <w:rPr>
          <w:b w:val="0"/>
          <w:i w:val="0"/>
          <w:u w:val="none"/>
        </w:rPr>
        <w:t>The key point is that a working contract is not enough. A smart contract can execute rules, but the rules must be economically meaningful. If the data is unreliable, issuance is discretionary, pricing ignores risk, or settlement is unprotected, then the instrument is not credible simply because it uses code.</w:t>
      </w:r>
    </w:p>
    <w:p>
      <w:r>
        <w:rPr>
          <w:b w:val="0"/>
          <w:i w:val="0"/>
          <w:u w:val="none"/>
        </w:rPr>
        <w:t>The chapter therefore presents a constraints framework. It then describes the proof-of-concept implementation built in this project. The implementation is used as feasibility evidence: it shows that the core rules can be expressed in software and tested. It is not presented as a production-ready financial system.</w:t>
      </w:r>
    </w:p>
    <w:p>
      <w:pPr>
        <w:pStyle w:val="Heading2"/>
      </w:pPr>
      <w:r>
        <w:t>5.2 The Constraints Framework</w:t>
      </w:r>
    </w:p>
    <w:p>
      <w:r>
        <w:rPr>
          <w:b w:val="0"/>
          <w:i w:val="0"/>
          <w:u w:val="none"/>
        </w:rPr>
        <w:t>The framework has five core constraints.</w:t>
      </w:r>
    </w:p>
    <w:p>
      <w:r>
        <w:rPr>
          <w:b w:val="0"/>
          <w:i w:val="0"/>
          <w:u w:val="none"/>
        </w:rPr>
        <w:t>First, energy data must be reliable enough for the claim being made. Modelled solar potential is useful for forecasting and benchmarking, but actual site-level settlement requires stronger evidence such as meter data, inverter logs, grid records, or audited operator files.</w:t>
      </w:r>
    </w:p>
    <w:p>
      <w:r>
        <w:rPr>
          <w:b w:val="0"/>
          <w:i w:val="0"/>
          <w:u w:val="none"/>
        </w:rPr>
        <w:t>Second, issuance must be rule-bound. If a token or financial claim can be created without verified energy evidence, then energy is not constraining the system.</w:t>
      </w:r>
    </w:p>
    <w:p>
      <w:r>
        <w:rPr>
          <w:b w:val="0"/>
          <w:i w:val="0"/>
          <w:u w:val="none"/>
        </w:rPr>
        <w:t>Third, risk must be priced explicitly. Energy output and energy value are uncertain. A credible system must account for volatility, shortfall risk, oracle error, and basis risk.</w:t>
      </w:r>
    </w:p>
    <w:p>
      <w:r>
        <w:rPr>
          <w:b w:val="0"/>
          <w:i w:val="0"/>
          <w:u w:val="none"/>
        </w:rPr>
        <w:t>Fourth, settlement must be protected. If users can redeem or settle claims, the system must define what is owed, who owes it, what happens during shortfall, and what collateral or reserve rules apply.</w:t>
      </w:r>
    </w:p>
    <w:p>
      <w:r>
        <w:rPr>
          <w:b w:val="0"/>
          <w:i w:val="0"/>
          <w:u w:val="none"/>
        </w:rPr>
        <w:t>Fifth, governance must be limited. If administrators can change rules instantly or override constraints, then the system reintroduces discretionary control. Governance delay, role separation, auditability, and emergency controls are part of credibility.</w:t>
      </w:r>
    </w:p>
    <w:p>
      <w:r>
        <w:rPr>
          <w:b w:val="0"/>
          <w:i w:val="0"/>
          <w:u w:val="none"/>
        </w:rPr>
        <w:t>These constraints are not independent decorations. They work together. Reliable data without settlement protection creates weak claims. Pricing without verifiable data prices the wrong thing. Rule-bound issuance without governance limits can be changed after users rely on it. Settlement without collateral can fail under stress.</w:t>
      </w:r>
    </w:p>
    <w:p>
      <w:r>
        <w:rPr>
          <w:b w:val="0"/>
          <w:i w:val="0"/>
          <w:u w:val="none"/>
        </w:rPr>
        <w:t>The thesis contribution is the integration of these constraints into one architecture.</w:t>
      </w:r>
    </w:p>
    <w:p>
      <w:pPr>
        <w:pStyle w:val="Caption"/>
        <w:ind w:firstLine="0"/>
        <w:jc w:val="center"/>
      </w:pPr>
      <w:r>
        <w:rPr>
          <w:b w:val="0"/>
          <w:i w:val="0"/>
          <w:u w:val="none"/>
        </w:rPr>
        <w:t>Table 5.1 summarises the five-constraint framework used in this thesis.</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Pr>
          <w:p>
            <w:pPr>
              <w:spacing w:line="240" w:lineRule="auto" w:before="0" w:after="0"/>
              <w:ind w:firstLine="0"/>
              <w:jc w:val="center"/>
            </w:pPr>
            <w:r>
              <w:rPr>
                <w:sz w:val="20"/>
              </w:rPr>
            </w:r>
            <w:r>
              <w:rPr>
                <w:b/>
                <w:i w:val="0"/>
                <w:sz w:val="20"/>
                <w:u w:val="none"/>
              </w:rPr>
              <w:t>Constraint</w:t>
            </w:r>
          </w:p>
        </w:tc>
        <w:tc>
          <w:tcPr>
            <w:tcW w:type="dxa" w:w="3120"/>
          </w:tcPr>
          <w:p>
            <w:pPr>
              <w:spacing w:line="240" w:lineRule="auto" w:before="0" w:after="0"/>
              <w:ind w:firstLine="0"/>
              <w:jc w:val="center"/>
            </w:pPr>
            <w:r>
              <w:rPr>
                <w:sz w:val="20"/>
              </w:rPr>
            </w:r>
            <w:r>
              <w:rPr>
                <w:b/>
                <w:i w:val="0"/>
                <w:sz w:val="20"/>
                <w:u w:val="none"/>
              </w:rPr>
              <w:t>Purpose</w:t>
            </w:r>
          </w:p>
        </w:tc>
        <w:tc>
          <w:tcPr>
            <w:tcW w:type="dxa" w:w="3120"/>
          </w:tcPr>
          <w:p>
            <w:pPr>
              <w:spacing w:line="240" w:lineRule="auto" w:before="0" w:after="0"/>
              <w:ind w:firstLine="0"/>
              <w:jc w:val="center"/>
            </w:pPr>
            <w:r>
              <w:rPr>
                <w:sz w:val="20"/>
              </w:rPr>
            </w:r>
            <w:r>
              <w:rPr>
                <w:b/>
                <w:i w:val="0"/>
                <w:sz w:val="20"/>
                <w:u w:val="none"/>
              </w:rPr>
              <w:t>Failure If Missing</w:t>
            </w:r>
          </w:p>
        </w:tc>
      </w:tr>
      <w:tr>
        <w:tc>
          <w:tcPr>
            <w:tcW w:type="dxa" w:w="3120"/>
          </w:tcPr>
          <w:p>
            <w:pPr>
              <w:spacing w:line="240" w:lineRule="auto" w:before="0" w:after="0"/>
              <w:ind w:firstLine="0"/>
              <w:jc w:val="center"/>
            </w:pPr>
            <w:r>
              <w:rPr>
                <w:sz w:val="20"/>
              </w:rPr>
            </w:r>
            <w:r>
              <w:rPr>
                <w:b w:val="0"/>
                <w:i w:val="0"/>
                <w:sz w:val="20"/>
                <w:u w:val="none"/>
              </w:rPr>
              <w:t>Reliable energy data</w:t>
            </w:r>
          </w:p>
        </w:tc>
        <w:tc>
          <w:tcPr>
            <w:tcW w:type="dxa" w:w="3120"/>
          </w:tcPr>
          <w:p>
            <w:pPr>
              <w:spacing w:line="240" w:lineRule="auto" w:before="0" w:after="0"/>
              <w:ind w:firstLine="0"/>
            </w:pPr>
            <w:r>
              <w:rPr>
                <w:sz w:val="20"/>
              </w:rPr>
            </w:r>
            <w:r>
              <w:rPr>
                <w:b w:val="0"/>
                <w:i w:val="0"/>
                <w:sz w:val="20"/>
                <w:u w:val="none"/>
              </w:rPr>
              <w:t>Defines what energy evidence the system accepts</w:t>
            </w:r>
          </w:p>
        </w:tc>
        <w:tc>
          <w:tcPr>
            <w:tcW w:type="dxa" w:w="3120"/>
          </w:tcPr>
          <w:p>
            <w:pPr>
              <w:spacing w:line="240" w:lineRule="auto" w:before="0" w:after="0"/>
              <w:ind w:firstLine="0"/>
            </w:pPr>
            <w:r>
              <w:rPr>
                <w:sz w:val="20"/>
              </w:rPr>
            </w:r>
            <w:r>
              <w:rPr>
                <w:b w:val="0"/>
                <w:i w:val="0"/>
                <w:sz w:val="20"/>
                <w:u w:val="none"/>
              </w:rPr>
              <w:t>The system may price or mint against false or weak claims</w:t>
            </w:r>
          </w:p>
        </w:tc>
      </w:tr>
      <w:tr>
        <w:tc>
          <w:tcPr>
            <w:tcW w:type="dxa" w:w="3120"/>
          </w:tcPr>
          <w:p>
            <w:pPr>
              <w:spacing w:line="240" w:lineRule="auto" w:before="0" w:after="0"/>
              <w:ind w:firstLine="0"/>
              <w:jc w:val="center"/>
            </w:pPr>
            <w:r>
              <w:rPr>
                <w:sz w:val="20"/>
              </w:rPr>
            </w:r>
            <w:r>
              <w:rPr>
                <w:b w:val="0"/>
                <w:i w:val="0"/>
                <w:sz w:val="20"/>
                <w:u w:val="none"/>
              </w:rPr>
              <w:t>Rule-bound issuance</w:t>
            </w:r>
          </w:p>
        </w:tc>
        <w:tc>
          <w:tcPr>
            <w:tcW w:type="dxa" w:w="3120"/>
          </w:tcPr>
          <w:p>
            <w:pPr>
              <w:spacing w:line="240" w:lineRule="auto" w:before="0" w:after="0"/>
              <w:ind w:firstLine="0"/>
            </w:pPr>
            <w:r>
              <w:rPr>
                <w:sz w:val="20"/>
              </w:rPr>
            </w:r>
            <w:r>
              <w:rPr>
                <w:b w:val="0"/>
                <w:i w:val="0"/>
                <w:sz w:val="20"/>
                <w:u w:val="none"/>
              </w:rPr>
              <w:t>Limits token or contract creation to accepted evidence</w:t>
            </w:r>
          </w:p>
        </w:tc>
        <w:tc>
          <w:tcPr>
            <w:tcW w:type="dxa" w:w="3120"/>
          </w:tcPr>
          <w:p>
            <w:pPr>
              <w:spacing w:line="240" w:lineRule="auto" w:before="0" w:after="0"/>
              <w:ind w:firstLine="0"/>
            </w:pPr>
            <w:r>
              <w:rPr>
                <w:sz w:val="20"/>
              </w:rPr>
            </w:r>
            <w:r>
              <w:rPr>
                <w:b w:val="0"/>
                <w:i w:val="0"/>
                <w:sz w:val="20"/>
                <w:u w:val="none"/>
              </w:rPr>
              <w:t>The issuer regains discretionary creation power</w:t>
            </w:r>
          </w:p>
        </w:tc>
      </w:tr>
      <w:tr>
        <w:tc>
          <w:tcPr>
            <w:tcW w:type="dxa" w:w="3120"/>
          </w:tcPr>
          <w:p>
            <w:pPr>
              <w:spacing w:line="240" w:lineRule="auto" w:before="0" w:after="0"/>
              <w:ind w:firstLine="0"/>
              <w:jc w:val="center"/>
            </w:pPr>
            <w:r>
              <w:rPr>
                <w:sz w:val="20"/>
              </w:rPr>
            </w:r>
            <w:r>
              <w:rPr>
                <w:b w:val="0"/>
                <w:i w:val="0"/>
                <w:sz w:val="20"/>
                <w:u w:val="none"/>
              </w:rPr>
              <w:t>Explicit pricing and risk controls</w:t>
            </w:r>
          </w:p>
        </w:tc>
        <w:tc>
          <w:tcPr>
            <w:tcW w:type="dxa" w:w="3120"/>
          </w:tcPr>
          <w:p>
            <w:pPr>
              <w:spacing w:line="240" w:lineRule="auto" w:before="0" w:after="0"/>
              <w:ind w:firstLine="0"/>
            </w:pPr>
            <w:r>
              <w:rPr>
                <w:sz w:val="20"/>
              </w:rPr>
            </w:r>
            <w:r>
              <w:rPr>
                <w:b w:val="0"/>
                <w:i w:val="0"/>
                <w:sz w:val="20"/>
                <w:u w:val="none"/>
              </w:rPr>
              <w:t>Accounts for volatility, basis risk, oracle error, and shortfall risk</w:t>
            </w:r>
          </w:p>
        </w:tc>
        <w:tc>
          <w:tcPr>
            <w:tcW w:type="dxa" w:w="3120"/>
          </w:tcPr>
          <w:p>
            <w:pPr>
              <w:spacing w:line="240" w:lineRule="auto" w:before="0" w:after="0"/>
              <w:ind w:firstLine="0"/>
            </w:pPr>
            <w:r>
              <w:rPr>
                <w:sz w:val="20"/>
              </w:rPr>
            </w:r>
            <w:r>
              <w:rPr>
                <w:b w:val="0"/>
                <w:i w:val="0"/>
                <w:sz w:val="20"/>
                <w:u w:val="none"/>
              </w:rPr>
              <w:t>Claims become underpriced or under-collateralised</w:t>
            </w:r>
          </w:p>
        </w:tc>
      </w:tr>
      <w:tr>
        <w:tc>
          <w:tcPr>
            <w:tcW w:type="dxa" w:w="3120"/>
          </w:tcPr>
          <w:p>
            <w:pPr>
              <w:spacing w:line="240" w:lineRule="auto" w:before="0" w:after="0"/>
              <w:ind w:firstLine="0"/>
              <w:jc w:val="center"/>
            </w:pPr>
            <w:r>
              <w:rPr>
                <w:sz w:val="20"/>
              </w:rPr>
            </w:r>
            <w:r>
              <w:rPr>
                <w:b w:val="0"/>
                <w:i w:val="0"/>
                <w:sz w:val="20"/>
                <w:u w:val="none"/>
              </w:rPr>
              <w:t>Protected settlement and redemption accounting</w:t>
            </w:r>
          </w:p>
        </w:tc>
        <w:tc>
          <w:tcPr>
            <w:tcW w:type="dxa" w:w="3120"/>
          </w:tcPr>
          <w:p>
            <w:pPr>
              <w:spacing w:line="240" w:lineRule="auto" w:before="0" w:after="0"/>
              <w:ind w:firstLine="0"/>
            </w:pPr>
            <w:r>
              <w:rPr>
                <w:sz w:val="20"/>
              </w:rPr>
            </w:r>
            <w:r>
              <w:rPr>
                <w:b w:val="0"/>
                <w:i w:val="0"/>
                <w:sz w:val="20"/>
                <w:u w:val="none"/>
              </w:rPr>
              <w:t>Defines what is owed and what happens during fulfillment, shortfall, or dispute</w:t>
            </w:r>
          </w:p>
        </w:tc>
        <w:tc>
          <w:tcPr>
            <w:tcW w:type="dxa" w:w="3120"/>
          </w:tcPr>
          <w:p>
            <w:pPr>
              <w:spacing w:line="240" w:lineRule="auto" w:before="0" w:after="0"/>
              <w:ind w:firstLine="0"/>
            </w:pPr>
            <w:r>
              <w:rPr>
                <w:sz w:val="20"/>
              </w:rPr>
            </w:r>
            <w:r>
              <w:rPr>
                <w:b w:val="0"/>
                <w:i w:val="0"/>
                <w:sz w:val="20"/>
                <w:u w:val="none"/>
              </w:rPr>
              <w:t>Users hold claims without credible resolution rules</w:t>
            </w:r>
          </w:p>
        </w:tc>
      </w:tr>
      <w:tr>
        <w:tc>
          <w:tcPr>
            <w:tcW w:type="dxa" w:w="3120"/>
          </w:tcPr>
          <w:p>
            <w:pPr>
              <w:spacing w:line="240" w:lineRule="auto" w:before="0" w:after="0"/>
              <w:ind w:firstLine="0"/>
              <w:jc w:val="center"/>
            </w:pPr>
            <w:r>
              <w:rPr>
                <w:sz w:val="20"/>
              </w:rPr>
            </w:r>
            <w:r>
              <w:rPr>
                <w:b w:val="0"/>
                <w:i w:val="0"/>
                <w:sz w:val="20"/>
                <w:u w:val="none"/>
              </w:rPr>
              <w:t>Limited governance</w:t>
            </w:r>
          </w:p>
        </w:tc>
        <w:tc>
          <w:tcPr>
            <w:tcW w:type="dxa" w:w="3120"/>
          </w:tcPr>
          <w:p>
            <w:pPr>
              <w:spacing w:line="240" w:lineRule="auto" w:before="0" w:after="0"/>
              <w:ind w:firstLine="0"/>
            </w:pPr>
            <w:r>
              <w:rPr>
                <w:sz w:val="20"/>
              </w:rPr>
            </w:r>
            <w:r>
              <w:rPr>
                <w:b w:val="0"/>
                <w:i w:val="0"/>
                <w:sz w:val="20"/>
                <w:u w:val="none"/>
              </w:rPr>
              <w:t>Restricts discretionary parameter changes and role abuse</w:t>
            </w:r>
          </w:p>
        </w:tc>
        <w:tc>
          <w:tcPr>
            <w:tcW w:type="dxa" w:w="3120"/>
          </w:tcPr>
          <w:p>
            <w:pPr>
              <w:spacing w:line="240" w:lineRule="auto" w:before="0" w:after="0"/>
              <w:ind w:firstLine="0"/>
            </w:pPr>
            <w:r>
              <w:rPr>
                <w:sz w:val="20"/>
              </w:rPr>
            </w:r>
            <w:r>
              <w:rPr>
                <w:b w:val="0"/>
                <w:i w:val="0"/>
                <w:sz w:val="20"/>
                <w:u w:val="none"/>
              </w:rPr>
              <w:t>The system can override its own constraints</w:t>
            </w:r>
          </w:p>
        </w:tc>
      </w:tr>
    </w:tbl>
    <w:p>
      <w:pPr>
        <w:pStyle w:val="Heading2"/>
      </w:pPr>
      <w:r>
        <w:t>5.3 Constraint 1: Reliable Energy Data</w:t>
      </w:r>
    </w:p>
    <w:p>
      <w:r>
        <w:rPr>
          <w:b w:val="0"/>
          <w:i w:val="0"/>
          <w:u w:val="none"/>
        </w:rPr>
        <w:t>The first requirement is a clear data path.</w:t>
      </w:r>
    </w:p>
    <w:p>
      <w:r>
        <w:rPr>
          <w:b w:val="0"/>
          <w:i w:val="0"/>
          <w:u w:val="none"/>
        </w:rPr>
        <w:t>An energy-linked instrument must define what is being measured. Several different quantities can be confused if the system is not precise:</w:t>
      </w:r>
    </w:p>
    <w:p>
      <w:pPr>
        <w:pStyle w:val="ListBullet"/>
        <w:ind w:left="0" w:firstLine="0"/>
      </w:pPr>
      <w:r>
        <w:rPr>
          <w:b w:val="0"/>
          <w:i w:val="0"/>
          <w:u w:val="none"/>
        </w:rPr>
        <w:t>solar resource potential;</w:t>
      </w:r>
    </w:p>
    <w:p>
      <w:pPr>
        <w:pStyle w:val="ListBullet"/>
        <w:ind w:left="0" w:firstLine="0"/>
      </w:pPr>
      <w:r>
        <w:rPr>
          <w:b w:val="0"/>
          <w:i w:val="0"/>
          <w:u w:val="none"/>
        </w:rPr>
        <w:t>modelled expected production;</w:t>
      </w:r>
    </w:p>
    <w:p>
      <w:pPr>
        <w:pStyle w:val="ListBullet"/>
        <w:ind w:left="0" w:firstLine="0"/>
      </w:pPr>
      <w:r>
        <w:rPr>
          <w:b w:val="0"/>
          <w:i w:val="0"/>
          <w:u w:val="none"/>
        </w:rPr>
        <w:t>actual generation;</w:t>
      </w:r>
    </w:p>
    <w:p>
      <w:pPr>
        <w:pStyle w:val="ListBullet"/>
        <w:ind w:left="0" w:firstLine="0"/>
      </w:pPr>
      <w:r>
        <w:rPr>
          <w:b w:val="0"/>
          <w:i w:val="0"/>
          <w:u w:val="none"/>
        </w:rPr>
        <w:t>surplus export;</w:t>
      </w:r>
    </w:p>
    <w:p>
      <w:pPr>
        <w:pStyle w:val="ListBullet"/>
        <w:ind w:left="0" w:firstLine="0"/>
      </w:pPr>
      <w:r>
        <w:rPr>
          <w:b w:val="0"/>
          <w:i w:val="0"/>
          <w:u w:val="none"/>
        </w:rPr>
        <w:t>avoided consumption;</w:t>
      </w:r>
    </w:p>
    <w:p>
      <w:pPr>
        <w:pStyle w:val="ListBullet"/>
        <w:ind w:left="0" w:firstLine="0"/>
      </w:pPr>
      <w:r>
        <w:rPr>
          <w:b w:val="0"/>
          <w:i w:val="0"/>
          <w:u w:val="none"/>
        </w:rPr>
        <w:t>energy value under tariff or market rules.</w:t>
      </w:r>
    </w:p>
    <w:p>
      <w:r>
        <w:rPr>
          <w:b w:val="0"/>
          <w:i w:val="0"/>
          <w:u w:val="none"/>
        </w:rPr>
        <w:t>These are related, but they are not the same.</w:t>
      </w:r>
    </w:p>
    <w:p>
      <w:r>
        <w:rPr>
          <w:b w:val="0"/>
          <w:i w:val="0"/>
          <w:u w:val="none"/>
        </w:rPr>
        <w:t>Public satellite and weather datasets can estimate resource conditions and expected output. They are valuable for modelling and forecasting. However, they do not prove that a specific site produced a specific quantity of electricity. For settlement, the system needs stronger evidence.</w:t>
      </w:r>
    </w:p>
    <w:p>
      <w:r>
        <w:rPr>
          <w:b w:val="0"/>
          <w:i w:val="0"/>
          <w:u w:val="none"/>
        </w:rPr>
        <w:t>The proof-of-concept therefore distinguishes between modelling data and claim data. NASA POWER and NREL/PVWatts style data can support baselines, forecasts, and anomaly checks. Meter or inverter data is needed for actual production claims. Signed readings, source hashes, nonces, timestamps, and replay protection are used to make the data path auditable.</w:t>
      </w:r>
    </w:p>
    <w:p>
      <w:r>
        <w:rPr>
          <w:b w:val="0"/>
          <w:i w:val="0"/>
          <w:u w:val="none"/>
        </w:rPr>
        <w:t>In the implementation, the attested mint path is:</w:t>
      </w:r>
    </w:p>
    <w:p>
      <w:pPr>
        <w:pStyle w:val="ListNumber"/>
        <w:ind w:left="0" w:firstLine="0"/>
      </w:pPr>
      <w:r>
        <w:rPr>
          <w:b w:val="0"/>
          <w:i w:val="0"/>
          <w:u w:val="none"/>
        </w:rPr>
        <w:t>raw meter-style readings are submitted;</w:t>
      </w:r>
    </w:p>
    <w:p>
      <w:pPr>
        <w:pStyle w:val="ListNumber"/>
        <w:ind w:left="0" w:firstLine="0"/>
      </w:pPr>
      <w:r>
        <w:rPr>
          <w:b w:val="0"/>
          <w:i w:val="0"/>
          <w:u w:val="none"/>
        </w:rPr>
        <w:t>readings are checked and accepted or rejected;</w:t>
      </w:r>
    </w:p>
    <w:p>
      <w:pPr>
        <w:pStyle w:val="ListNumber"/>
        <w:ind w:left="0" w:firstLine="0"/>
      </w:pPr>
      <w:r>
        <w:rPr>
          <w:b w:val="0"/>
          <w:i w:val="0"/>
          <w:u w:val="none"/>
        </w:rPr>
        <w:t>accepted readings are combined into a deterministic source hash;</w:t>
      </w:r>
    </w:p>
    <w:p>
      <w:pPr>
        <w:pStyle w:val="ListNumber"/>
        <w:ind w:left="0" w:firstLine="0"/>
      </w:pPr>
      <w:r>
        <w:rPr>
          <w:b w:val="0"/>
          <w:i w:val="0"/>
          <w:u w:val="none"/>
        </w:rPr>
        <w:t>an oracle-style attestation signs the accepted surplus amount and metadata;</w:t>
      </w:r>
    </w:p>
    <w:p>
      <w:pPr>
        <w:pStyle w:val="ListNumber"/>
        <w:ind w:left="0" w:firstLine="0"/>
      </w:pPr>
      <w:r>
        <w:rPr>
          <w:b w:val="0"/>
          <w:i w:val="0"/>
          <w:u w:val="none"/>
        </w:rPr>
        <w:t>the contract checks the attestation before minting.</w:t>
      </w:r>
    </w:p>
    <w:p>
      <w:r>
        <w:rPr>
          <w:b w:val="0"/>
          <w:i w:val="0"/>
          <w:u w:val="none"/>
        </w:rPr>
        <w:t>The important point is not that the current sample data proves physical finality. It does not. The important point is that the system separates accepted data from rejected data, binds the source hash to the mint, and prevents the same source from being reused.</w:t>
      </w:r>
    </w:p>
    <w:p>
      <w:pPr>
        <w:pStyle w:val="Heading2"/>
      </w:pPr>
      <w:r>
        <w:t>5.4 Constraint 2: Rule-Bound Issuance</w:t>
      </w:r>
    </w:p>
    <w:p>
      <w:r>
        <w:rPr>
          <w:b w:val="0"/>
          <w:i w:val="0"/>
          <w:u w:val="none"/>
        </w:rPr>
        <w:t>The second requirement is that token or contract creation must be limited by verified data.</w:t>
      </w:r>
    </w:p>
    <w:p>
      <w:r>
        <w:rPr>
          <w:b w:val="0"/>
          <w:i w:val="0"/>
          <w:u w:val="none"/>
        </w:rPr>
        <w:t>If an issuer can mint tokens without energy evidence, then the system is just a discretionary token with energy branding. That would not solve the credibility problem identified in Chapter 1.</w:t>
      </w:r>
    </w:p>
    <w:p>
      <w:r>
        <w:rPr>
          <w:b w:val="0"/>
          <w:i w:val="0"/>
          <w:u w:val="none"/>
        </w:rPr>
        <w:t>In the proof-of-concept implementation, this issue is addressed through surplus-attestation minting. The contract does not simply mint because an administrator says so. It verifies an attestation that binds several pieces of information:</w:t>
      </w:r>
    </w:p>
    <w:p>
      <w:pPr>
        <w:pStyle w:val="ListBullet"/>
        <w:ind w:left="0" w:firstLine="0"/>
      </w:pPr>
      <w:r>
        <w:rPr>
          <w:b w:val="0"/>
          <w:i w:val="0"/>
          <w:u w:val="none"/>
        </w:rPr>
        <w:t>recipient;</w:t>
      </w:r>
    </w:p>
    <w:p>
      <w:pPr>
        <w:pStyle w:val="ListBullet"/>
        <w:ind w:left="0" w:firstLine="0"/>
      </w:pPr>
      <w:r>
        <w:rPr>
          <w:b w:val="0"/>
          <w:i w:val="0"/>
          <w:u w:val="none"/>
        </w:rPr>
        <w:t>surplus kWh;</w:t>
      </w:r>
    </w:p>
    <w:p>
      <w:pPr>
        <w:pStyle w:val="ListBullet"/>
        <w:ind w:left="0" w:firstLine="0"/>
      </w:pPr>
      <w:r>
        <w:rPr>
          <w:b w:val="0"/>
          <w:i w:val="0"/>
          <w:u w:val="none"/>
        </w:rPr>
        <w:t>measurement window;</w:t>
      </w:r>
    </w:p>
    <w:p>
      <w:pPr>
        <w:pStyle w:val="ListBullet"/>
        <w:ind w:left="0" w:firstLine="0"/>
      </w:pPr>
      <w:r>
        <w:rPr>
          <w:b w:val="0"/>
          <w:i w:val="0"/>
          <w:u w:val="none"/>
        </w:rPr>
        <w:t>validity window;</w:t>
      </w:r>
    </w:p>
    <w:p>
      <w:pPr>
        <w:pStyle w:val="ListBullet"/>
        <w:ind w:left="0" w:firstLine="0"/>
      </w:pPr>
      <w:r>
        <w:rPr>
          <w:b w:val="0"/>
          <w:i w:val="0"/>
          <w:u w:val="none"/>
        </w:rPr>
        <w:t>source hash;</w:t>
      </w:r>
    </w:p>
    <w:p>
      <w:pPr>
        <w:pStyle w:val="ListBullet"/>
        <w:ind w:left="0" w:firstLine="0"/>
      </w:pPr>
      <w:r>
        <w:rPr>
          <w:b w:val="0"/>
          <w:i w:val="0"/>
          <w:u w:val="none"/>
        </w:rPr>
        <w:t>chain ID;</w:t>
      </w:r>
    </w:p>
    <w:p>
      <w:pPr>
        <w:pStyle w:val="ListBullet"/>
        <w:ind w:left="0" w:firstLine="0"/>
      </w:pPr>
      <w:r>
        <w:rPr>
          <w:b w:val="0"/>
          <w:i w:val="0"/>
          <w:u w:val="none"/>
        </w:rPr>
        <w:t>contract address.</w:t>
      </w:r>
    </w:p>
    <w:p>
      <w:r>
        <w:rPr>
          <w:b w:val="0"/>
          <w:i w:val="0"/>
          <w:u w:val="none"/>
        </w:rPr>
        <w:t>The source hash and attestation hash are consumed after use. This matters because it prevents the same energy data from being reused to create multiple claims.</w:t>
      </w:r>
    </w:p>
    <w:p>
      <w:r>
        <w:rPr>
          <w:b w:val="0"/>
          <w:i w:val="0"/>
          <w:u w:val="none"/>
        </w:rPr>
        <w:t xml:space="preserve">The public Sepolia proof demonstrates this path. The source-of-truth proof record shows a signed meter-style bundle, </w:t>
      </w:r>
      <w:r>
        <w:rPr>
          <w:rFonts w:ascii="Courier New" w:hAnsi="Courier New"/>
          <w:b w:val="0"/>
          <w:i w:val="0"/>
          <w:sz w:val="21"/>
          <w:u w:val="none"/>
        </w:rPr>
        <w:t>2606.7</w:t>
      </w:r>
      <w:r>
        <w:rPr>
          <w:b w:val="0"/>
          <w:i w:val="0"/>
          <w:u w:val="none"/>
        </w:rPr>
        <w:t xml:space="preserve"> kWh accepted surplus, </w:t>
      </w:r>
      <w:r>
        <w:rPr>
          <w:rFonts w:ascii="Courier New" w:hAnsi="Courier New"/>
          <w:b w:val="0"/>
          <w:i w:val="0"/>
          <w:sz w:val="21"/>
          <w:u w:val="none"/>
        </w:rPr>
        <w:t>2606</w:t>
      </w:r>
      <w:r>
        <w:rPr>
          <w:b w:val="0"/>
          <w:i w:val="0"/>
          <w:u w:val="none"/>
        </w:rPr>
        <w:t xml:space="preserve"> on-chain integer kWh, and </w:t>
      </w:r>
      <w:r>
        <w:rPr>
          <w:rFonts w:ascii="Courier New" w:hAnsi="Courier New"/>
          <w:b w:val="0"/>
          <w:i w:val="0"/>
          <w:sz w:val="21"/>
          <w:u w:val="none"/>
        </w:rPr>
        <w:t>130.1697</w:t>
      </w:r>
      <w:r>
        <w:rPr>
          <w:b w:val="0"/>
          <w:i w:val="0"/>
          <w:u w:val="none"/>
        </w:rPr>
        <w:t xml:space="preserve"> SPK minted at a </w:t>
      </w:r>
      <w:r>
        <w:rPr>
          <w:rFonts w:ascii="Courier New" w:hAnsi="Courier New"/>
          <w:b w:val="0"/>
          <w:i w:val="0"/>
          <w:sz w:val="21"/>
          <w:u w:val="none"/>
        </w:rPr>
        <w:t>$0.05/kWh</w:t>
      </w:r>
      <w:r>
        <w:rPr>
          <w:b w:val="0"/>
          <w:i w:val="0"/>
          <w:u w:val="none"/>
        </w:rPr>
        <w:t xml:space="preserve"> energy-price basis after fees. The transaction is public on Sepolia and serves as implementation evidence.</w:t>
      </w:r>
    </w:p>
    <w:p>
      <w:r>
        <w:rPr>
          <w:b w:val="0"/>
          <w:i w:val="0"/>
          <w:u w:val="none"/>
        </w:rPr>
        <w:t>This proof should be interpreted carefully. It proves that the data-to-mint path can be implemented and publicly inspected. It does not prove that the system is ready for production, that the sample data is a live revenue-grade meter source, or that a real-world legal claim exists.</w:t>
      </w:r>
    </w:p>
    <w:p>
      <w:pPr>
        <w:pStyle w:val="Heading2"/>
      </w:pPr>
      <w:r>
        <w:t>5.5 Constraint 3: Explicit Pricing and Risk Controls</w:t>
      </w:r>
    </w:p>
    <w:p>
      <w:r>
        <w:rPr>
          <w:b w:val="0"/>
          <w:i w:val="0"/>
          <w:u w:val="none"/>
        </w:rPr>
        <w:t>The third requirement is pricing.</w:t>
      </w:r>
    </w:p>
    <w:p>
      <w:r>
        <w:rPr>
          <w:b w:val="0"/>
          <w:i w:val="0"/>
          <w:u w:val="none"/>
        </w:rPr>
        <w:t>Energy data alone does not define financial value. A system also needs to know how much the energy is worth and how uncertain that value is. Chapter 4 showed that renewable-energy-linked claims can be priced under explicit assumptions and that pricing outputs can inform margin, reserves, and oracle tolerance.</w:t>
      </w:r>
    </w:p>
    <w:p>
      <w:r>
        <w:rPr>
          <w:b w:val="0"/>
          <w:i w:val="0"/>
          <w:u w:val="none"/>
        </w:rPr>
        <w:t>In the implementation context, pricing appears in several places.</w:t>
      </w:r>
    </w:p>
    <w:p>
      <w:r>
        <w:rPr>
          <w:b w:val="0"/>
          <w:i w:val="0"/>
          <w:u w:val="none"/>
        </w:rPr>
        <w:t xml:space="preserve">First, minting depends on an energy-price basis. In the public Sepolia proof, the energy basis is </w:t>
      </w:r>
      <w:r>
        <w:rPr>
          <w:rFonts w:ascii="Courier New" w:hAnsi="Courier New"/>
          <w:b w:val="0"/>
          <w:i w:val="0"/>
          <w:sz w:val="21"/>
          <w:u w:val="none"/>
        </w:rPr>
        <w:t>$0.05/kWh</w:t>
      </w:r>
      <w:r>
        <w:rPr>
          <w:b w:val="0"/>
          <w:i w:val="0"/>
          <w:u w:val="none"/>
        </w:rPr>
        <w:t>. This converts accepted surplus kWh into a token amount. A different energy price would create a different issuance result.</w:t>
      </w:r>
    </w:p>
    <w:p>
      <w:r>
        <w:rPr>
          <w:b w:val="0"/>
          <w:i w:val="0"/>
          <w:u w:val="none"/>
        </w:rPr>
        <w:t>Second, redemption or owed-energy claims depend on the energy price per kWh. If a holder burns tokens for an energy claim, the system must calculate how many kWh are owed.</w:t>
      </w:r>
    </w:p>
    <w:p>
      <w:r>
        <w:rPr>
          <w:b w:val="0"/>
          <w:i w:val="0"/>
          <w:u w:val="none"/>
        </w:rPr>
        <w:t>Third, reserves and shortfall analysis depend on stress testing. A system that promises energy-linked value must ask whether it has enough buffer when output falls, claims rise, or price assumptions fail.</w:t>
      </w:r>
    </w:p>
    <w:p>
      <w:r>
        <w:rPr>
          <w:b w:val="0"/>
          <w:i w:val="0"/>
          <w:u w:val="none"/>
        </w:rPr>
        <w:t>The implementation includes stress and finance artifacts for this reason. These artifacts do not make the system solvent by themselves. They expose the capital and policy requirements that would be needed before real-value deployment.</w:t>
      </w:r>
    </w:p>
    <w:p>
      <w:r>
        <w:rPr>
          <w:b w:val="0"/>
          <w:i w:val="0"/>
          <w:u w:val="none"/>
        </w:rPr>
        <w:t>This is the practical role of pricing in the constraints framework: it prevents issuance and settlement from becoming blind accounting.</w:t>
      </w:r>
    </w:p>
    <w:p>
      <w:pPr>
        <w:pStyle w:val="Heading2"/>
      </w:pPr>
      <w:r>
        <w:t>5.6 Constraint 4: Settlement and Redemption Accounting</w:t>
      </w:r>
    </w:p>
    <w:p>
      <w:r>
        <w:rPr>
          <w:b w:val="0"/>
          <w:i w:val="0"/>
          <w:u w:val="none"/>
        </w:rPr>
        <w:t>The fourth requirement is settlement protection.</w:t>
      </w:r>
    </w:p>
    <w:p>
      <w:r>
        <w:rPr>
          <w:b w:val="0"/>
          <w:i w:val="0"/>
          <w:u w:val="none"/>
        </w:rPr>
        <w:t>A token can be issued correctly but still fail if users do not know what it settles into. This is especially important for energy-linked instruments because energy output can be lower than expected, local tariffs can change, and delivery can fail.</w:t>
      </w:r>
    </w:p>
    <w:p>
      <w:r>
        <w:rPr>
          <w:b w:val="0"/>
          <w:i w:val="0"/>
          <w:u w:val="none"/>
        </w:rPr>
        <w:t>The proof-of-concept includes a currency-system contract that handles two basic functions.</w:t>
      </w:r>
    </w:p>
    <w:p>
      <w:r>
        <w:rPr>
          <w:b w:val="0"/>
          <w:i w:val="0"/>
          <w:u w:val="none"/>
        </w:rPr>
        <w:t>First, it supports invoice settlement. A payer can transfer SPK to a payee against a hashed invoice. The invoice hash is recorded and cannot be reused. This creates a replay-protected payment record.</w:t>
      </w:r>
    </w:p>
    <w:p>
      <w:r>
        <w:rPr>
          <w:b w:val="0"/>
          <w:i w:val="0"/>
          <w:u w:val="none"/>
        </w:rPr>
        <w:t>Second, it supports redemption accounting. A user can transfer SPK into the contract, burn it through the SPK token's redemption function, and open an owed-kWh claim. The claim can later be resolved as fulfilled, shortfall, or disputed.</w:t>
      </w:r>
    </w:p>
    <w:p>
      <w:r>
        <w:rPr>
          <w:b w:val="0"/>
          <w:i w:val="0"/>
          <w:u w:val="none"/>
        </w:rPr>
        <w:t>This is not the same as guaranteeing real-world electricity delivery. It is an accounting and rule-enforcement layer. It records what the system says is owed and how the claim is resolved. A real deployment would still need counterparties, legal terms, operator obligations, and reserve policy.</w:t>
      </w:r>
    </w:p>
    <w:p>
      <w:r>
        <w:rPr>
          <w:b w:val="0"/>
          <w:i w:val="0"/>
          <w:u w:val="none"/>
        </w:rPr>
        <w:t>The local proof loop demonstrates the mechanism: accepted surplus leads to token minting, tokens circulate through invoice-like payments, a portion is redeemed, and the system records the owed energy amount and delivery resolution. The important research point is that issuance, circulation, redemption, and settlement accounting can be connected in one rule-based path.</w:t>
      </w:r>
    </w:p>
    <w:p>
      <w:pPr>
        <w:pStyle w:val="Heading2"/>
      </w:pPr>
      <w:r>
        <w:t>5.7 Constraint 5: Governance Limits and Launch Gates</w:t>
      </w:r>
    </w:p>
    <w:p>
      <w:r>
        <w:rPr>
          <w:b w:val="0"/>
          <w:i w:val="0"/>
          <w:u w:val="none"/>
        </w:rPr>
        <w:t>The fifth requirement is governance discipline.</w:t>
      </w:r>
    </w:p>
    <w:p>
      <w:r>
        <w:rPr>
          <w:b w:val="0"/>
          <w:i w:val="0"/>
          <w:u w:val="none"/>
        </w:rPr>
        <w:t>If administrators can change parameters instantly, bypass data checks, or mint tokens without evidence, then the system returns to discretionary issuance. A credible energy-linked design must therefore specify who can change rules, how quickly changes apply, and what protections users have.</w:t>
      </w:r>
    </w:p>
    <w:p>
      <w:r>
        <w:rPr>
          <w:b w:val="0"/>
          <w:i w:val="0"/>
          <w:u w:val="none"/>
        </w:rPr>
        <w:t>The implementation uses role-based permissions, pausing controls, and governance-delay ideas in the broader protocol design. These are not enough for production by themselves, but they show the correct direction: separate roles, visible parameters, and constrained administrative power.</w:t>
      </w:r>
    </w:p>
    <w:p>
      <w:r>
        <w:rPr>
          <w:b w:val="0"/>
          <w:i w:val="0"/>
          <w:u w:val="none"/>
        </w:rPr>
        <w:t>The project also uses launch gates. The launch gate separates three stages:</w:t>
      </w:r>
    </w:p>
    <w:p>
      <w:pPr>
        <w:pStyle w:val="ListBullet"/>
        <w:ind w:left="0" w:firstLine="0"/>
      </w:pPr>
      <w:r>
        <w:rPr>
          <w:b w:val="0"/>
          <w:i w:val="0"/>
          <w:u w:val="none"/>
        </w:rPr>
        <w:t>public lab;</w:t>
      </w:r>
    </w:p>
    <w:p>
      <w:pPr>
        <w:pStyle w:val="ListBullet"/>
        <w:ind w:left="0" w:firstLine="0"/>
      </w:pPr>
      <w:r>
        <w:rPr>
          <w:b w:val="0"/>
          <w:i w:val="0"/>
          <w:u w:val="none"/>
        </w:rPr>
        <w:t>closed testnet pilot;</w:t>
      </w:r>
    </w:p>
    <w:p>
      <w:pPr>
        <w:pStyle w:val="ListBullet"/>
        <w:ind w:left="0" w:firstLine="0"/>
      </w:pPr>
      <w:r>
        <w:rPr>
          <w:b w:val="0"/>
          <w:i w:val="0"/>
          <w:u w:val="none"/>
        </w:rPr>
        <w:t>paid or mainnet product.</w:t>
      </w:r>
    </w:p>
    <w:p>
      <w:r>
        <w:rPr>
          <w:b w:val="0"/>
          <w:i w:val="0"/>
          <w:u w:val="none"/>
        </w:rPr>
        <w:t>The current launch gate marks the public lab as launchable, while closed-pilot and paid/mainnet stages remain blocked. The blockers are important:</w:t>
      </w:r>
    </w:p>
    <w:p>
      <w:pPr>
        <w:pStyle w:val="ListBullet"/>
        <w:ind w:left="0" w:firstLine="0"/>
      </w:pPr>
      <w:r>
        <w:rPr>
          <w:b w:val="0"/>
          <w:i w:val="0"/>
          <w:u w:val="none"/>
        </w:rPr>
        <w:t>governed attested-SPK redeployment;</w:t>
      </w:r>
    </w:p>
    <w:p>
      <w:pPr>
        <w:pStyle w:val="ListBullet"/>
        <w:ind w:left="0" w:firstLine="0"/>
      </w:pPr>
      <w:r>
        <w:rPr>
          <w:b w:val="0"/>
          <w:i w:val="0"/>
          <w:u w:val="none"/>
        </w:rPr>
        <w:t>real meter or inverter data;</w:t>
      </w:r>
    </w:p>
    <w:p>
      <w:pPr>
        <w:pStyle w:val="ListBullet"/>
        <w:ind w:left="0" w:firstLine="0"/>
      </w:pPr>
      <w:r>
        <w:rPr>
          <w:b w:val="0"/>
          <w:i w:val="0"/>
          <w:u w:val="none"/>
        </w:rPr>
        <w:t>stronger hardware provenance;</w:t>
      </w:r>
    </w:p>
    <w:p>
      <w:pPr>
        <w:pStyle w:val="ListBullet"/>
        <w:ind w:left="0" w:firstLine="0"/>
      </w:pPr>
      <w:r>
        <w:rPr>
          <w:b w:val="0"/>
          <w:i w:val="0"/>
          <w:u w:val="none"/>
        </w:rPr>
        <w:t>economic support terms for pilot readiness;</w:t>
      </w:r>
    </w:p>
    <w:p>
      <w:pPr>
        <w:pStyle w:val="ListBullet"/>
        <w:ind w:left="0" w:firstLine="0"/>
      </w:pPr>
      <w:r>
        <w:rPr>
          <w:b w:val="0"/>
          <w:i w:val="0"/>
          <w:u w:val="none"/>
        </w:rPr>
        <w:t>audit;</w:t>
      </w:r>
    </w:p>
    <w:p>
      <w:pPr>
        <w:pStyle w:val="ListBullet"/>
        <w:ind w:left="0" w:firstLine="0"/>
      </w:pPr>
      <w:r>
        <w:rPr>
          <w:b w:val="0"/>
          <w:i w:val="0"/>
          <w:u w:val="none"/>
        </w:rPr>
        <w:t>legal and commercial scope;</w:t>
      </w:r>
    </w:p>
    <w:p>
      <w:pPr>
        <w:pStyle w:val="ListBullet"/>
        <w:ind w:left="0" w:firstLine="0"/>
      </w:pPr>
      <w:r>
        <w:rPr>
          <w:b w:val="0"/>
          <w:i w:val="0"/>
          <w:u w:val="none"/>
        </w:rPr>
        <w:t>redemption policy;</w:t>
      </w:r>
    </w:p>
    <w:p>
      <w:pPr>
        <w:pStyle w:val="ListBullet"/>
        <w:ind w:left="0" w:firstLine="0"/>
      </w:pPr>
      <w:r>
        <w:rPr>
          <w:b w:val="0"/>
          <w:i w:val="0"/>
          <w:u w:val="none"/>
        </w:rPr>
        <w:t>production deployment evidence.</w:t>
      </w:r>
    </w:p>
    <w:p>
      <w:r>
        <w:rPr>
          <w:b w:val="0"/>
          <w:i w:val="0"/>
          <w:u w:val="none"/>
        </w:rPr>
        <w:t>This is not a weakness in the research. It is a strength of the framing. The implementation does not pretend that a testnet proof is a finished financial system. It states which controls exist and which remain open.</w:t>
      </w:r>
    </w:p>
    <w:p>
      <w:pPr>
        <w:pStyle w:val="Caption"/>
        <w:ind w:firstLine="0"/>
        <w:jc w:val="center"/>
      </w:pPr>
      <w:r>
        <w:rPr>
          <w:b w:val="0"/>
          <w:i w:val="0"/>
          <w:u w:val="none"/>
        </w:rPr>
        <w:t>Table 5.2 gives the current implementation status used in the thesis.</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Pr>
          <w:p>
            <w:pPr>
              <w:spacing w:line="240" w:lineRule="auto" w:before="0" w:after="0"/>
              <w:ind w:firstLine="0"/>
              <w:jc w:val="center"/>
            </w:pPr>
            <w:r>
              <w:rPr>
                <w:sz w:val="20"/>
              </w:rPr>
            </w:r>
            <w:r>
              <w:rPr>
                <w:b/>
                <w:i w:val="0"/>
                <w:sz w:val="20"/>
                <w:u w:val="none"/>
              </w:rPr>
              <w:t>Stage</w:t>
            </w:r>
          </w:p>
        </w:tc>
        <w:tc>
          <w:tcPr>
            <w:tcW w:type="dxa" w:w="3120"/>
          </w:tcPr>
          <w:p>
            <w:pPr>
              <w:spacing w:line="240" w:lineRule="auto" w:before="0" w:after="0"/>
              <w:ind w:firstLine="0"/>
              <w:jc w:val="center"/>
            </w:pPr>
            <w:r>
              <w:rPr>
                <w:sz w:val="20"/>
              </w:rPr>
            </w:r>
            <w:r>
              <w:rPr>
                <w:b/>
                <w:i w:val="0"/>
                <w:sz w:val="20"/>
                <w:u w:val="none"/>
              </w:rPr>
              <w:t>Current Status</w:t>
            </w:r>
          </w:p>
        </w:tc>
        <w:tc>
          <w:tcPr>
            <w:tcW w:type="dxa" w:w="3120"/>
          </w:tcPr>
          <w:p>
            <w:pPr>
              <w:spacing w:line="240" w:lineRule="auto" w:before="0" w:after="0"/>
              <w:ind w:firstLine="0"/>
              <w:jc w:val="center"/>
            </w:pPr>
            <w:r>
              <w:rPr>
                <w:sz w:val="20"/>
              </w:rPr>
            </w:r>
            <w:r>
              <w:rPr>
                <w:b/>
                <w:i w:val="0"/>
                <w:sz w:val="20"/>
                <w:u w:val="none"/>
              </w:rPr>
              <w:t>Interpretation</w:t>
            </w:r>
          </w:p>
        </w:tc>
      </w:tr>
      <w:tr>
        <w:tc>
          <w:tcPr>
            <w:tcW w:type="dxa" w:w="3120"/>
          </w:tcPr>
          <w:p>
            <w:pPr>
              <w:spacing w:line="240" w:lineRule="auto" w:before="0" w:after="0"/>
              <w:ind w:firstLine="0"/>
              <w:jc w:val="center"/>
            </w:pPr>
            <w:r>
              <w:rPr>
                <w:sz w:val="20"/>
              </w:rPr>
            </w:r>
            <w:r>
              <w:rPr>
                <w:b w:val="0"/>
                <w:i w:val="0"/>
                <w:sz w:val="20"/>
                <w:u w:val="none"/>
              </w:rPr>
              <w:t>Public lab</w:t>
            </w:r>
          </w:p>
        </w:tc>
        <w:tc>
          <w:tcPr>
            <w:tcW w:type="dxa" w:w="3120"/>
          </w:tcPr>
          <w:p>
            <w:pPr>
              <w:spacing w:line="240" w:lineRule="auto" w:before="0" w:after="0"/>
              <w:ind w:firstLine="0"/>
            </w:pPr>
            <w:r>
              <w:rPr>
                <w:sz w:val="20"/>
              </w:rPr>
            </w:r>
            <w:r>
              <w:rPr>
                <w:b w:val="0"/>
                <w:i w:val="0"/>
                <w:sz w:val="20"/>
                <w:u w:val="none"/>
              </w:rPr>
              <w:t>Launchable as proof/demo/research evidence</w:t>
            </w:r>
          </w:p>
        </w:tc>
        <w:tc>
          <w:tcPr>
            <w:tcW w:type="dxa" w:w="3120"/>
          </w:tcPr>
          <w:p>
            <w:pPr>
              <w:spacing w:line="240" w:lineRule="auto" w:before="0" w:after="0"/>
              <w:ind w:firstLine="0"/>
            </w:pPr>
            <w:r>
              <w:rPr>
                <w:sz w:val="20"/>
              </w:rPr>
            </w:r>
            <w:r>
              <w:rPr>
                <w:b w:val="0"/>
                <w:i w:val="0"/>
                <w:sz w:val="20"/>
                <w:u w:val="none"/>
              </w:rPr>
              <w:t>Suitable for advisor, reviewer, and public-lab inspection</w:t>
            </w:r>
          </w:p>
        </w:tc>
      </w:tr>
      <w:tr>
        <w:tc>
          <w:tcPr>
            <w:tcW w:type="dxa" w:w="3120"/>
          </w:tcPr>
          <w:p>
            <w:pPr>
              <w:spacing w:line="240" w:lineRule="auto" w:before="0" w:after="0"/>
              <w:ind w:firstLine="0"/>
              <w:jc w:val="center"/>
            </w:pPr>
            <w:r>
              <w:rPr>
                <w:sz w:val="20"/>
              </w:rPr>
            </w:r>
            <w:r>
              <w:rPr>
                <w:b w:val="0"/>
                <w:i w:val="0"/>
                <w:sz w:val="20"/>
                <w:u w:val="none"/>
              </w:rPr>
              <w:t>Closed testnet pilot</w:t>
            </w:r>
          </w:p>
        </w:tc>
        <w:tc>
          <w:tcPr>
            <w:tcW w:type="dxa" w:w="3120"/>
          </w:tcPr>
          <w:p>
            <w:pPr>
              <w:spacing w:line="240" w:lineRule="auto" w:before="0" w:after="0"/>
              <w:ind w:firstLine="0"/>
            </w:pPr>
            <w:r>
              <w:rPr>
                <w:sz w:val="20"/>
              </w:rPr>
            </w:r>
            <w:r>
              <w:rPr>
                <w:b w:val="0"/>
                <w:i w:val="0"/>
                <w:sz w:val="20"/>
                <w:u w:val="none"/>
              </w:rPr>
              <w:t>Blocked</w:t>
            </w:r>
          </w:p>
        </w:tc>
        <w:tc>
          <w:tcPr>
            <w:tcW w:type="dxa" w:w="3120"/>
          </w:tcPr>
          <w:p>
            <w:pPr>
              <w:spacing w:line="240" w:lineRule="auto" w:before="0" w:after="0"/>
              <w:ind w:firstLine="0"/>
            </w:pPr>
            <w:r>
              <w:rPr>
                <w:sz w:val="20"/>
              </w:rPr>
            </w:r>
            <w:r>
              <w:rPr>
                <w:b w:val="0"/>
                <w:i w:val="0"/>
                <w:sz w:val="20"/>
                <w:u w:val="none"/>
              </w:rPr>
              <w:t>Needs governed deployment, real operator data, stronger hardware provenance, and anchor economics/support terms</w:t>
            </w:r>
          </w:p>
        </w:tc>
      </w:tr>
      <w:tr>
        <w:tc>
          <w:tcPr>
            <w:tcW w:type="dxa" w:w="3120"/>
          </w:tcPr>
          <w:p>
            <w:pPr>
              <w:spacing w:line="240" w:lineRule="auto" w:before="0" w:after="0"/>
              <w:ind w:firstLine="0"/>
              <w:jc w:val="center"/>
            </w:pPr>
            <w:r>
              <w:rPr>
                <w:sz w:val="20"/>
              </w:rPr>
            </w:r>
            <w:r>
              <w:rPr>
                <w:b w:val="0"/>
                <w:i w:val="0"/>
                <w:sz w:val="20"/>
                <w:u w:val="none"/>
              </w:rPr>
              <w:t>Paid/mainnet product</w:t>
            </w:r>
          </w:p>
        </w:tc>
        <w:tc>
          <w:tcPr>
            <w:tcW w:type="dxa" w:w="3120"/>
          </w:tcPr>
          <w:p>
            <w:pPr>
              <w:spacing w:line="240" w:lineRule="auto" w:before="0" w:after="0"/>
              <w:ind w:firstLine="0"/>
            </w:pPr>
            <w:r>
              <w:rPr>
                <w:sz w:val="20"/>
              </w:rPr>
            </w:r>
            <w:r>
              <w:rPr>
                <w:b w:val="0"/>
                <w:i w:val="0"/>
                <w:sz w:val="20"/>
                <w:u w:val="none"/>
              </w:rPr>
              <w:t>Blocked</w:t>
            </w:r>
          </w:p>
        </w:tc>
        <w:tc>
          <w:tcPr>
            <w:tcW w:type="dxa" w:w="3120"/>
          </w:tcPr>
          <w:p>
            <w:pPr>
              <w:spacing w:line="240" w:lineRule="auto" w:before="0" w:after="0"/>
              <w:ind w:firstLine="0"/>
            </w:pPr>
            <w:r>
              <w:rPr>
                <w:sz w:val="20"/>
              </w:rPr>
            </w:r>
            <w:r>
              <w:rPr>
                <w:b w:val="0"/>
                <w:i w:val="0"/>
                <w:sz w:val="20"/>
                <w:u w:val="none"/>
              </w:rPr>
              <w:t>Needs audit, legal/commercial scope, redemption policy, production deployment, reserves, real counterparties, and demand</w:t>
            </w:r>
          </w:p>
        </w:tc>
      </w:tr>
    </w:tbl>
    <w:p>
      <w:pPr>
        <w:pStyle w:val="Heading2"/>
      </w:pPr>
      <w:r>
        <w:t>5.8 What the Proof-of-Concept Demonstrates</w:t>
      </w:r>
    </w:p>
    <w:p>
      <w:r>
        <w:rPr>
          <w:b w:val="0"/>
          <w:i w:val="0"/>
          <w:u w:val="none"/>
        </w:rPr>
        <w:t>The proof-of-concept demonstrates several things.</w:t>
      </w:r>
    </w:p>
    <w:p>
      <w:r>
        <w:rPr>
          <w:b w:val="0"/>
          <w:i w:val="0"/>
          <w:u w:val="none"/>
        </w:rPr>
        <w:t>First, an energy-data-to-token path can be implemented. Signed readings can be checked, bundled, hashed, attested, and used to mint tokens through a contract.</w:t>
      </w:r>
    </w:p>
    <w:p>
      <w:r>
        <w:rPr>
          <w:b w:val="0"/>
          <w:i w:val="0"/>
          <w:u w:val="none"/>
        </w:rPr>
        <w:t>Second, replay protection can be enforced. Source hashes and attestation hashes can be consumed so that the same energy claim is not reused.</w:t>
      </w:r>
    </w:p>
    <w:p>
      <w:r>
        <w:rPr>
          <w:b w:val="0"/>
          <w:i w:val="0"/>
          <w:u w:val="none"/>
        </w:rPr>
        <w:t>Third, token circulation and redemption accounting can be modelled. The currency-system contract can record invoice settlement, burn tokens into owed-kWh claims, and resolve delivery as fulfilled, shortfall, or disputed.</w:t>
      </w:r>
    </w:p>
    <w:p>
      <w:r>
        <w:rPr>
          <w:b w:val="0"/>
          <w:i w:val="0"/>
          <w:u w:val="none"/>
        </w:rPr>
        <w:t>Fourth, public testnet evidence can be produced. The Sepolia proof gives an inspectable transaction showing that the core mint path works under the test conditions.</w:t>
      </w:r>
    </w:p>
    <w:p>
      <w:r>
        <w:rPr>
          <w:b w:val="0"/>
          <w:i w:val="0"/>
          <w:u w:val="none"/>
        </w:rPr>
        <w:t>Fifth, readiness can be separated by stage. The project distinguishes public-lab evidence from closed-pilot readiness and production readiness.</w:t>
      </w:r>
    </w:p>
    <w:p>
      <w:r>
        <w:rPr>
          <w:b w:val="0"/>
          <w:i w:val="0"/>
          <w:u w:val="none"/>
        </w:rPr>
        <w:t>Together, these demonstrate technical feasibility. The framework is not only an essay. Its core rules can be expressed in software, run locally, and partially demonstrated on a public testnet.</w:t>
      </w:r>
    </w:p>
    <w:p>
      <w:pPr>
        <w:pStyle w:val="Heading2"/>
      </w:pPr>
      <w:r>
        <w:t>5.9 What the Proof-of-Concept Does Not Demonstrate</w:t>
      </w:r>
    </w:p>
    <w:p>
      <w:r>
        <w:rPr>
          <w:b w:val="0"/>
          <w:i w:val="0"/>
          <w:u w:val="none"/>
        </w:rPr>
        <w:t>The proof-of-concept also has clear limits.</w:t>
      </w:r>
    </w:p>
    <w:p>
      <w:r>
        <w:rPr>
          <w:b w:val="0"/>
          <w:i w:val="0"/>
          <w:u w:val="none"/>
        </w:rPr>
        <w:t>It does not prove production readiness.</w:t>
      </w:r>
    </w:p>
    <w:p>
      <w:r>
        <w:rPr>
          <w:b w:val="0"/>
          <w:i w:val="0"/>
          <w:u w:val="none"/>
        </w:rPr>
        <w:t>It does not prove legal classification.</w:t>
      </w:r>
    </w:p>
    <w:p>
      <w:r>
        <w:rPr>
          <w:b w:val="0"/>
          <w:i w:val="0"/>
          <w:u w:val="none"/>
        </w:rPr>
        <w:t>It does not prove that a real solar site has supplied revenue-grade meter data.</w:t>
      </w:r>
    </w:p>
    <w:p>
      <w:r>
        <w:rPr>
          <w:b w:val="0"/>
          <w:i w:val="0"/>
          <w:u w:val="none"/>
        </w:rPr>
        <w:t>It does not prove market demand or liquidity.</w:t>
      </w:r>
    </w:p>
    <w:p>
      <w:r>
        <w:rPr>
          <w:b w:val="0"/>
          <w:i w:val="0"/>
          <w:u w:val="none"/>
        </w:rPr>
        <w:t>It does not replace an external security audit.</w:t>
      </w:r>
    </w:p>
    <w:p>
      <w:r>
        <w:rPr>
          <w:b w:val="0"/>
          <w:i w:val="0"/>
          <w:u w:val="none"/>
        </w:rPr>
        <w:t>It does not establish a legally enforceable redemption claim.</w:t>
      </w:r>
    </w:p>
    <w:p>
      <w:r>
        <w:rPr>
          <w:b w:val="0"/>
          <w:i w:val="0"/>
          <w:u w:val="none"/>
        </w:rPr>
        <w:t>It does not solve reserve capital or shortfall policy.</w:t>
      </w:r>
    </w:p>
    <w:p>
      <w:r>
        <w:rPr>
          <w:b w:val="0"/>
          <w:i w:val="0"/>
          <w:u w:val="none"/>
        </w:rPr>
        <w:t>These limits matter because they prevent overclaiming. The thesis uses the implementation to support a narrower claim: the constraints framework is technically buildable as a proof of concept. It does not claim the prototype is ready to handle public financial value.</w:t>
      </w:r>
    </w:p>
    <w:p>
      <w:pPr>
        <w:pStyle w:val="Heading2"/>
      </w:pPr>
      <w:r>
        <w:t>5.10 SPK v1: Energy-Native Network Money on Sepolia</w:t>
      </w:r>
    </w:p>
    <w:p>
      <w:r>
        <w:rPr>
          <w:b w:val="0"/>
          <w:i w:val="0"/>
          <w:u w:val="none"/>
        </w:rPr>
        <w:t>After the attested dollar-translated mint proof (</w:t>
      </w:r>
      <w:r>
        <w:rPr>
          <w:rFonts w:ascii="Courier New" w:hAnsi="Courier New"/>
          <w:b w:val="0"/>
          <w:i w:val="0"/>
          <w:sz w:val="21"/>
          <w:u w:val="none"/>
        </w:rPr>
        <w:t>0x8ceDa…</w:t>
      </w:r>
      <w:r>
        <w:rPr>
          <w:b w:val="0"/>
          <w:i w:val="0"/>
          <w:u w:val="none"/>
        </w:rPr>
        <w:t xml:space="preserve">, May 2026), the project deployed a unified </w:t>
      </w:r>
      <w:r>
        <w:rPr>
          <w:b/>
          <w:i w:val="0"/>
          <w:u w:val="none"/>
        </w:rPr>
        <w:t>SPK v1</w:t>
      </w:r>
      <w:r>
        <w:rPr>
          <w:b w:val="0"/>
          <w:i w:val="0"/>
          <w:u w:val="none"/>
        </w:rPr>
        <w:t xml:space="preserve"> stack on Sepolia with a different monetary posture:</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Pr>
          <w:p>
            <w:pPr>
              <w:spacing w:line="240" w:lineRule="auto" w:before="0" w:after="0"/>
              <w:ind w:firstLine="0"/>
              <w:jc w:val="center"/>
            </w:pPr>
            <w:r>
              <w:rPr>
                <w:sz w:val="20"/>
              </w:rPr>
            </w:r>
            <w:r>
              <w:rPr>
                <w:b/>
                <w:i w:val="0"/>
                <w:sz w:val="20"/>
                <w:u w:val="none"/>
              </w:rPr>
              <w:t>Parameter</w:t>
            </w:r>
          </w:p>
        </w:tc>
        <w:tc>
          <w:tcPr>
            <w:tcW w:type="dxa" w:w="3120"/>
          </w:tcPr>
          <w:p>
            <w:pPr>
              <w:spacing w:line="240" w:lineRule="auto" w:before="0" w:after="0"/>
              <w:ind w:firstLine="0"/>
              <w:jc w:val="center"/>
            </w:pPr>
            <w:r>
              <w:rPr>
                <w:sz w:val="20"/>
              </w:rPr>
            </w:r>
            <w:r>
              <w:rPr>
                <w:b/>
                <w:i w:val="0"/>
                <w:sz w:val="20"/>
                <w:u w:val="none"/>
              </w:rPr>
              <w:t>SPK v1 (Jun 2026)</w:t>
            </w:r>
          </w:p>
        </w:tc>
        <w:tc>
          <w:tcPr>
            <w:tcW w:type="dxa" w:w="3120"/>
          </w:tcPr>
          <w:p>
            <w:pPr>
              <w:spacing w:line="240" w:lineRule="auto" w:before="0" w:after="0"/>
              <w:ind w:firstLine="0"/>
              <w:jc w:val="center"/>
            </w:pPr>
            <w:r>
              <w:rPr>
                <w:sz w:val="20"/>
              </w:rPr>
            </w:r>
            <w:r>
              <w:rPr>
                <w:b/>
                <w:i w:val="0"/>
                <w:sz w:val="20"/>
                <w:u w:val="none"/>
              </w:rPr>
              <w:t>Earlier attested proof</w:t>
            </w:r>
          </w:p>
        </w:tc>
      </w:tr>
      <w:tr>
        <w:tc>
          <w:tcPr>
            <w:tcW w:type="dxa" w:w="3120"/>
          </w:tcPr>
          <w:p>
            <w:pPr>
              <w:spacing w:line="240" w:lineRule="auto" w:before="0" w:after="0"/>
              <w:ind w:firstLine="0"/>
              <w:jc w:val="center"/>
            </w:pPr>
            <w:r>
              <w:rPr>
                <w:sz w:val="20"/>
              </w:rPr>
            </w:r>
            <w:r>
              <w:rPr>
                <w:b w:val="0"/>
                <w:i w:val="0"/>
                <w:sz w:val="20"/>
                <w:u w:val="none"/>
              </w:rPr>
              <w:t>Issuance</w:t>
            </w:r>
          </w:p>
        </w:tc>
        <w:tc>
          <w:tcPr>
            <w:tcW w:type="dxa" w:w="3120"/>
          </w:tcPr>
          <w:p>
            <w:pPr>
              <w:spacing w:line="240" w:lineRule="auto" w:before="0" w:after="0"/>
              <w:ind w:firstLine="0"/>
            </w:pPr>
            <w:r>
              <w:rPr>
                <w:sz w:val="20"/>
              </w:rPr>
            </w:r>
            <w:r>
              <w:rPr>
                <w:b w:val="0"/>
                <w:i w:val="0"/>
                <w:sz w:val="20"/>
                <w:u w:val="none"/>
              </w:rPr>
              <w:t>Energy-native (</w:t>
            </w:r>
            <w:r>
              <w:rPr>
                <w:rFonts w:ascii="Courier New" w:hAnsi="Courier New"/>
                <w:b w:val="0"/>
                <w:i w:val="0"/>
                <w:sz w:val="20"/>
                <w:u w:val="none"/>
              </w:rPr>
              <w:t>1 kWh → 1 SPK</w:t>
            </w:r>
            <w:r>
              <w:rPr>
                <w:b w:val="0"/>
                <w:i w:val="0"/>
                <w:sz w:val="20"/>
                <w:u w:val="none"/>
              </w:rPr>
              <w:t xml:space="preserve"> default)</w:t>
            </w:r>
          </w:p>
        </w:tc>
        <w:tc>
          <w:tcPr>
            <w:tcW w:type="dxa" w:w="3120"/>
          </w:tcPr>
          <w:p>
            <w:pPr>
              <w:spacing w:line="240" w:lineRule="auto" w:before="0" w:after="0"/>
              <w:ind w:firstLine="0"/>
            </w:pPr>
            <w:r>
              <w:rPr>
                <w:sz w:val="20"/>
              </w:rPr>
            </w:r>
            <w:r>
              <w:rPr>
                <w:b w:val="0"/>
                <w:i w:val="0"/>
                <w:sz w:val="20"/>
                <w:u w:val="none"/>
              </w:rPr>
              <w:t xml:space="preserve">Dollar-translated via </w:t>
            </w:r>
            <w:r>
              <w:rPr>
                <w:rFonts w:ascii="Courier New" w:hAnsi="Courier New"/>
                <w:b w:val="0"/>
                <w:i w:val="0"/>
                <w:sz w:val="20"/>
                <w:u w:val="none"/>
              </w:rPr>
              <w:t>$0.05/kWh</w:t>
            </w:r>
            <w:r>
              <w:rPr>
                <w:b w:val="0"/>
                <w:i w:val="0"/>
                <w:sz w:val="20"/>
                <w:u w:val="none"/>
              </w:rPr>
              <w:t xml:space="preserve"> basis</w:t>
            </w:r>
          </w:p>
        </w:tc>
      </w:tr>
      <w:tr>
        <w:tc>
          <w:tcPr>
            <w:tcW w:type="dxa" w:w="3120"/>
          </w:tcPr>
          <w:p>
            <w:pPr>
              <w:spacing w:line="240" w:lineRule="auto" w:before="0" w:after="0"/>
              <w:ind w:firstLine="0"/>
              <w:jc w:val="center"/>
            </w:pPr>
            <w:r>
              <w:rPr>
                <w:sz w:val="20"/>
              </w:rPr>
            </w:r>
            <w:r>
              <w:rPr>
                <w:b w:val="0"/>
                <w:i w:val="0"/>
                <w:sz w:val="20"/>
                <w:u w:val="none"/>
              </w:rPr>
              <w:t>Primary use</w:t>
            </w:r>
          </w:p>
        </w:tc>
        <w:tc>
          <w:tcPr>
            <w:tcW w:type="dxa" w:w="3120"/>
          </w:tcPr>
          <w:p>
            <w:pPr>
              <w:spacing w:line="240" w:lineRule="auto" w:before="0" w:after="0"/>
              <w:ind w:firstLine="0"/>
            </w:pPr>
            <w:r>
              <w:rPr>
                <w:sz w:val="20"/>
              </w:rPr>
            </w:r>
            <w:r>
              <w:rPr>
                <w:b w:val="0"/>
                <w:i w:val="0"/>
                <w:sz w:val="20"/>
                <w:u w:val="none"/>
              </w:rPr>
              <w:t>Network circulation (</w:t>
            </w:r>
            <w:r>
              <w:rPr>
                <w:rFonts w:ascii="Courier New" w:hAnsi="Courier New"/>
                <w:b w:val="0"/>
                <w:i w:val="0"/>
                <w:sz w:val="20"/>
                <w:u w:val="none"/>
              </w:rPr>
              <w:t>settleNetworkPayment</w:t>
            </w:r>
            <w:r>
              <w:rPr>
                <w:b w:val="0"/>
                <w:i w:val="0"/>
                <w:sz w:val="20"/>
                <w:u w:val="none"/>
              </w:rPr>
              <w:t>)</w:t>
            </w:r>
          </w:p>
        </w:tc>
        <w:tc>
          <w:tcPr>
            <w:tcW w:type="dxa" w:w="3120"/>
          </w:tcPr>
          <w:p>
            <w:pPr>
              <w:spacing w:line="240" w:lineRule="auto" w:before="0" w:after="0"/>
              <w:ind w:firstLine="0"/>
            </w:pPr>
            <w:r>
              <w:rPr>
                <w:sz w:val="20"/>
              </w:rPr>
            </w:r>
            <w:r>
              <w:rPr>
                <w:b w:val="0"/>
                <w:i w:val="0"/>
                <w:sz w:val="20"/>
                <w:u w:val="none"/>
              </w:rPr>
              <w:t>Mint proof + lab settlement</w:t>
            </w:r>
          </w:p>
        </w:tc>
      </w:tr>
      <w:tr>
        <w:tc>
          <w:tcPr>
            <w:tcW w:type="dxa" w:w="3120"/>
          </w:tcPr>
          <w:p>
            <w:pPr>
              <w:spacing w:line="240" w:lineRule="auto" w:before="0" w:after="0"/>
              <w:ind w:firstLine="0"/>
              <w:jc w:val="center"/>
            </w:pPr>
            <w:r>
              <w:rPr>
                <w:sz w:val="20"/>
              </w:rPr>
            </w:r>
            <w:r>
              <w:rPr>
                <w:b w:val="0"/>
                <w:i w:val="0"/>
                <w:sz w:val="20"/>
                <w:u w:val="none"/>
              </w:rPr>
              <w:t>Peg</w:t>
            </w:r>
          </w:p>
        </w:tc>
        <w:tc>
          <w:tcPr>
            <w:tcW w:type="dxa" w:w="3120"/>
          </w:tcPr>
          <w:p>
            <w:pPr>
              <w:spacing w:line="240" w:lineRule="auto" w:before="0" w:after="0"/>
              <w:ind w:firstLine="0"/>
            </w:pPr>
            <w:r>
              <w:rPr>
                <w:sz w:val="20"/>
              </w:rPr>
            </w:r>
            <w:r>
              <w:rPr>
                <w:b w:val="0"/>
                <w:i w:val="0"/>
                <w:sz w:val="20"/>
                <w:u w:val="none"/>
              </w:rPr>
              <w:t>Off by default</w:t>
            </w:r>
          </w:p>
        </w:tc>
        <w:tc>
          <w:tcPr>
            <w:tcW w:type="dxa" w:w="3120"/>
          </w:tcPr>
          <w:p>
            <w:pPr>
              <w:spacing w:line="240" w:lineRule="auto" w:before="0" w:after="0"/>
              <w:ind w:firstLine="0"/>
            </w:pPr>
            <w:r>
              <w:rPr>
                <w:sz w:val="20"/>
              </w:rPr>
            </w:r>
            <w:r>
              <w:rPr>
                <w:b w:val="0"/>
                <w:i w:val="0"/>
                <w:sz w:val="20"/>
                <w:u w:val="none"/>
              </w:rPr>
              <w:t>Dollar basis implicit</w:t>
            </w:r>
          </w:p>
        </w:tc>
      </w:tr>
      <w:tr>
        <w:tc>
          <w:tcPr>
            <w:tcW w:type="dxa" w:w="3120"/>
          </w:tcPr>
          <w:p>
            <w:pPr>
              <w:spacing w:line="240" w:lineRule="auto" w:before="0" w:after="0"/>
              <w:ind w:firstLine="0"/>
              <w:jc w:val="center"/>
            </w:pPr>
            <w:r>
              <w:rPr>
                <w:sz w:val="20"/>
              </w:rPr>
            </w:r>
            <w:r>
              <w:rPr>
                <w:b w:val="0"/>
                <w:i w:val="0"/>
                <w:sz w:val="20"/>
                <w:u w:val="none"/>
              </w:rPr>
              <w:t>Contracts</w:t>
            </w:r>
          </w:p>
        </w:tc>
        <w:tc>
          <w:tcPr>
            <w:tcW w:type="dxa" w:w="3120"/>
          </w:tcPr>
          <w:p>
            <w:pPr>
              <w:spacing w:line="240" w:lineRule="auto" w:before="0" w:after="0"/>
              <w:ind w:firstLine="0"/>
            </w:pPr>
            <w:r>
              <w:rPr>
                <w:sz w:val="20"/>
              </w:rPr>
            </w:r>
            <w:r>
              <w:rPr>
                <w:rFonts w:ascii="Courier New" w:hAnsi="Courier New"/>
                <w:b w:val="0"/>
                <w:i w:val="0"/>
                <w:sz w:val="20"/>
                <w:u w:val="none"/>
              </w:rPr>
              <w:t>0x8e189…</w:t>
            </w:r>
            <w:r>
              <w:rPr>
                <w:b w:val="0"/>
                <w:i w:val="0"/>
                <w:sz w:val="20"/>
                <w:u w:val="none"/>
              </w:rPr>
              <w:t xml:space="preserve"> (SPK), </w:t>
            </w:r>
            <w:r>
              <w:rPr>
                <w:rFonts w:ascii="Courier New" w:hAnsi="Courier New"/>
                <w:b w:val="0"/>
                <w:i w:val="0"/>
                <w:sz w:val="20"/>
                <w:u w:val="none"/>
              </w:rPr>
              <w:t>0x52016…</w:t>
            </w:r>
            <w:r>
              <w:rPr>
                <w:b w:val="0"/>
                <w:i w:val="0"/>
                <w:sz w:val="20"/>
                <w:u w:val="none"/>
              </w:rPr>
              <w:t xml:space="preserve"> (CurrencySystem)</w:t>
            </w:r>
          </w:p>
        </w:tc>
        <w:tc>
          <w:tcPr>
            <w:tcW w:type="dxa" w:w="3120"/>
          </w:tcPr>
          <w:p>
            <w:pPr>
              <w:spacing w:line="240" w:lineRule="auto" w:before="0" w:after="0"/>
              <w:ind w:firstLine="0"/>
            </w:pPr>
            <w:r>
              <w:rPr>
                <w:sz w:val="20"/>
              </w:rPr>
            </w:r>
            <w:r>
              <w:rPr>
                <w:rFonts w:ascii="Courier New" w:hAnsi="Courier New"/>
                <w:b w:val="0"/>
                <w:i w:val="0"/>
                <w:sz w:val="20"/>
                <w:u w:val="none"/>
              </w:rPr>
              <w:t>0x8ceDa…</w:t>
            </w:r>
          </w:p>
        </w:tc>
      </w:tr>
    </w:tbl>
    <w:p>
      <w:r>
        <w:rPr>
          <w:b w:val="0"/>
          <w:i w:val="0"/>
          <w:u w:val="none"/>
        </w:rPr>
        <w:t xml:space="preserve">This iteration is </w:t>
      </w:r>
      <w:r>
        <w:rPr>
          <w:b/>
          <w:i w:val="0"/>
          <w:u w:val="none"/>
        </w:rPr>
        <w:t>product-oriented evidence</w:t>
      </w:r>
      <w:r>
        <w:rPr>
          <w:b w:val="0"/>
          <w:i w:val="0"/>
          <w:u w:val="none"/>
        </w:rPr>
        <w:t>, not a new theoretical claim. It shows the same five constraints applied to a circulation-first design:</w:t>
      </w:r>
    </w:p>
    <w:p>
      <w:pPr>
        <w:pStyle w:val="ListNumber"/>
        <w:ind w:left="0" w:firstLine="0"/>
      </w:pPr>
      <w:r>
        <w:rPr>
          <w:b/>
          <w:i w:val="0"/>
          <w:u w:val="none"/>
        </w:rPr>
        <w:t>Data</w:t>
      </w:r>
      <w:r>
        <w:rPr>
          <w:b w:val="0"/>
          <w:i w:val="0"/>
          <w:u w:val="none"/>
        </w:rPr>
        <w:t xml:space="preserve"> — surplus kWh mint path (operator cycle can extend attested bundles later).</w:t>
      </w:r>
    </w:p>
    <w:p>
      <w:pPr>
        <w:pStyle w:val="ListNumber"/>
        <w:ind w:left="0" w:firstLine="0"/>
      </w:pPr>
      <w:r>
        <w:rPr>
          <w:b/>
          <w:i w:val="0"/>
          <w:u w:val="none"/>
        </w:rPr>
        <w:t>Rule-bound issuance</w:t>
      </w:r>
      <w:r>
        <w:rPr>
          <w:b w:val="0"/>
          <w:i w:val="0"/>
          <w:u w:val="none"/>
        </w:rPr>
        <w:t xml:space="preserve"> — </w:t>
      </w:r>
      <w:r>
        <w:rPr>
          <w:rFonts w:ascii="Courier New" w:hAnsi="Courier New"/>
          <w:b w:val="0"/>
          <w:i w:val="0"/>
          <w:sz w:val="21"/>
          <w:u w:val="none"/>
        </w:rPr>
        <w:t>mintFromSurplus</w:t>
      </w:r>
      <w:r>
        <w:rPr>
          <w:b w:val="0"/>
          <w:i w:val="0"/>
          <w:u w:val="none"/>
        </w:rPr>
        <w:t xml:space="preserve"> and attestation paths remain hash-consumed.</w:t>
      </w:r>
    </w:p>
    <w:p>
      <w:pPr>
        <w:pStyle w:val="ListNumber"/>
        <w:ind w:left="0" w:firstLine="0"/>
      </w:pPr>
      <w:r>
        <w:rPr>
          <w:b/>
          <w:i w:val="0"/>
          <w:u w:val="none"/>
        </w:rPr>
        <w:t>Pricing</w:t>
      </w:r>
      <w:r>
        <w:rPr>
          <w:b w:val="0"/>
          <w:i w:val="0"/>
          <w:u w:val="none"/>
        </w:rPr>
        <w:t xml:space="preserve"> — energy-native default; optional USD reference for redemption quotes only.</w:t>
      </w:r>
    </w:p>
    <w:p>
      <w:pPr>
        <w:pStyle w:val="ListNumber"/>
        <w:ind w:left="0" w:firstLine="0"/>
      </w:pPr>
      <w:r>
        <w:rPr>
          <w:b/>
          <w:i w:val="0"/>
          <w:u w:val="none"/>
        </w:rPr>
        <w:t>Settlement</w:t>
      </w:r>
      <w:r>
        <w:rPr>
          <w:b w:val="0"/>
          <w:i w:val="0"/>
          <w:u w:val="none"/>
        </w:rPr>
        <w:t xml:space="preserve"> — typed network payments (SERVICE, LABOR, GOODS, NETWORK) with invoice-hash replay protection; redemption gated and secondary.</w:t>
      </w:r>
    </w:p>
    <w:p>
      <w:pPr>
        <w:pStyle w:val="ListNumber"/>
        <w:ind w:left="0" w:firstLine="0"/>
      </w:pPr>
      <w:r>
        <w:rPr>
          <w:b/>
          <w:i w:val="0"/>
          <w:u w:val="none"/>
        </w:rPr>
        <w:t>Governance</w:t>
      </w:r>
      <w:r>
        <w:rPr>
          <w:b w:val="0"/>
          <w:i w:val="0"/>
          <w:u w:val="none"/>
        </w:rPr>
        <w:t xml:space="preserve"> — role separation on contracts; testnet operator key for demo only.</w:t>
      </w:r>
    </w:p>
    <w:p>
      <w:pPr>
        <w:pStyle w:val="Caption"/>
        <w:ind w:firstLine="0"/>
        <w:jc w:val="center"/>
      </w:pPr>
      <w:r>
        <w:rPr>
          <w:b w:val="0"/>
          <w:i w:val="0"/>
          <w:u w:val="none"/>
        </w:rPr>
        <w:t>Table 5.3 summarises the main public SPK v1 evidence (Table 5.4 and §5.10.1–5.10.3 below; regenerated on each thesis build).</w:t>
      </w:r>
    </w:p>
    <w:tbl>
      <w:tblPr>
        <w:tblStyle w:val="TableGrid"/>
        <w:tblW w:type="auto" w:w="0"/>
        <w:tblLayout w:type="autofit"/>
        <w:tblLook w:firstColumn="1" w:firstRow="1" w:lastColumn="0" w:lastRow="0" w:noHBand="0" w:noVBand="1" w:val="04A0"/>
      </w:tblPr>
      <w:tblGrid>
        <w:gridCol w:w="4680"/>
        <w:gridCol w:w="4680"/>
      </w:tblGrid>
      <w:tr>
        <w:tc>
          <w:tcPr>
            <w:tcW w:type="dxa" w:w="4680"/>
          </w:tcPr>
          <w:p>
            <w:pPr>
              <w:spacing w:line="240" w:lineRule="auto" w:before="0" w:after="0"/>
              <w:ind w:firstLine="0"/>
              <w:jc w:val="center"/>
            </w:pPr>
            <w:r>
              <w:rPr>
                <w:sz w:val="20"/>
              </w:rPr>
            </w:r>
            <w:r>
              <w:rPr>
                <w:b/>
                <w:i w:val="0"/>
                <w:sz w:val="20"/>
                <w:u w:val="none"/>
              </w:rPr>
              <w:t>Evidence item</w:t>
            </w:r>
          </w:p>
        </w:tc>
        <w:tc>
          <w:tcPr>
            <w:tcW w:type="dxa" w:w="4680"/>
          </w:tcPr>
          <w:p>
            <w:pPr>
              <w:spacing w:line="240" w:lineRule="auto" w:before="0" w:after="0"/>
              <w:ind w:firstLine="0"/>
              <w:jc w:val="center"/>
            </w:pPr>
            <w:r>
              <w:rPr>
                <w:sz w:val="20"/>
              </w:rPr>
            </w:r>
            <w:r>
              <w:rPr>
                <w:b/>
                <w:i w:val="0"/>
                <w:sz w:val="20"/>
                <w:u w:val="none"/>
              </w:rPr>
              <w:t>Sepolia transaction / contract</w:t>
            </w:r>
          </w:p>
        </w:tc>
      </w:tr>
      <w:tr>
        <w:tc>
          <w:tcPr>
            <w:tcW w:type="dxa" w:w="4680"/>
          </w:tcPr>
          <w:p>
            <w:pPr>
              <w:spacing w:line="240" w:lineRule="auto" w:before="0" w:after="0"/>
              <w:ind w:firstLine="0"/>
              <w:jc w:val="center"/>
            </w:pPr>
            <w:r>
              <w:rPr>
                <w:sz w:val="20"/>
              </w:rPr>
            </w:r>
            <w:r>
              <w:rPr>
                <w:b w:val="0"/>
                <w:i w:val="0"/>
                <w:sz w:val="20"/>
                <w:u w:val="none"/>
              </w:rPr>
              <w:t>SPK v1 deploy (energy-native)</w:t>
            </w:r>
          </w:p>
        </w:tc>
        <w:tc>
          <w:tcPr>
            <w:tcW w:type="dxa" w:w="4680"/>
          </w:tcPr>
          <w:p>
            <w:pPr>
              <w:spacing w:line="240" w:lineRule="auto" w:before="0" w:after="0"/>
              <w:ind w:firstLine="0"/>
            </w:pPr>
            <w:r>
              <w:rPr>
                <w:sz w:val="20"/>
              </w:rPr>
            </w:r>
            <w:r>
              <w:rPr>
                <w:b w:val="0"/>
                <w:i w:val="0"/>
                <w:sz w:val="20"/>
                <w:u w:val="none"/>
              </w:rPr>
              <w:t xml:space="preserve">Contract </w:t>
            </w:r>
            <w:r>
              <w:rPr>
                <w:rFonts w:ascii="Courier New" w:hAnsi="Courier New"/>
                <w:b w:val="0"/>
                <w:i w:val="0"/>
                <w:sz w:val="20"/>
                <w:u w:val="none"/>
              </w:rPr>
              <w:t>0x8e189002228Fd4C6fA7611bA49FBe1d9C3412128</w:t>
            </w:r>
          </w:p>
        </w:tc>
      </w:tr>
      <w:tr>
        <w:tc>
          <w:tcPr>
            <w:tcW w:type="dxa" w:w="4680"/>
          </w:tcPr>
          <w:p>
            <w:pPr>
              <w:spacing w:line="240" w:lineRule="auto" w:before="0" w:after="0"/>
              <w:ind w:firstLine="0"/>
              <w:jc w:val="center"/>
            </w:pPr>
            <w:r>
              <w:rPr>
                <w:sz w:val="20"/>
              </w:rPr>
            </w:r>
            <w:r>
              <w:rPr>
                <w:b w:val="0"/>
                <w:i w:val="0"/>
                <w:sz w:val="20"/>
                <w:u w:val="none"/>
              </w:rPr>
              <w:t>CurrencySystem deploy</w:t>
            </w:r>
          </w:p>
        </w:tc>
        <w:tc>
          <w:tcPr>
            <w:tcW w:type="dxa" w:w="4680"/>
          </w:tcPr>
          <w:p>
            <w:pPr>
              <w:spacing w:line="240" w:lineRule="auto" w:before="0" w:after="0"/>
              <w:ind w:firstLine="0"/>
            </w:pPr>
            <w:r>
              <w:rPr>
                <w:sz w:val="20"/>
              </w:rPr>
            </w:r>
            <w:r>
              <w:rPr>
                <w:b w:val="0"/>
                <w:i w:val="0"/>
                <w:sz w:val="20"/>
                <w:u w:val="none"/>
              </w:rPr>
              <w:t xml:space="preserve">Contract </w:t>
            </w:r>
            <w:r>
              <w:rPr>
                <w:rFonts w:ascii="Courier New" w:hAnsi="Courier New"/>
                <w:b w:val="0"/>
                <w:i w:val="0"/>
                <w:sz w:val="20"/>
                <w:u w:val="none"/>
              </w:rPr>
              <w:t>0x520162252F9B94824417678525FFd69145014970</w:t>
            </w:r>
          </w:p>
        </w:tc>
      </w:tr>
      <w:tr>
        <w:tc>
          <w:tcPr>
            <w:tcW w:type="dxa" w:w="4680"/>
          </w:tcPr>
          <w:p>
            <w:pPr>
              <w:spacing w:line="240" w:lineRule="auto" w:before="0" w:after="0"/>
              <w:ind w:firstLine="0"/>
              <w:jc w:val="center"/>
            </w:pPr>
            <w:r>
              <w:rPr>
                <w:sz w:val="20"/>
              </w:rPr>
            </w:r>
            <w:r>
              <w:rPr>
                <w:b w:val="0"/>
                <w:i w:val="0"/>
                <w:sz w:val="20"/>
                <w:u w:val="none"/>
              </w:rPr>
              <w:t>Attested mint (synthetic cycle bundle)</w:t>
            </w:r>
          </w:p>
        </w:tc>
        <w:tc>
          <w:tcPr>
            <w:tcW w:type="dxa" w:w="4680"/>
          </w:tcPr>
          <w:p>
            <w:pPr>
              <w:spacing w:line="240" w:lineRule="auto" w:before="0" w:after="0"/>
              <w:ind w:firstLine="0"/>
            </w:pPr>
            <w:r>
              <w:rPr>
                <w:sz w:val="20"/>
              </w:rPr>
            </w:r>
            <w:r>
              <w:rPr>
                <w:rFonts w:ascii="Courier New" w:hAnsi="Courier New"/>
                <w:b w:val="0"/>
                <w:i w:val="0"/>
                <w:sz w:val="20"/>
                <w:u w:val="none"/>
              </w:rPr>
              <w:t>0x9fcf885ff5df7f580db77651c4149b4862e4c69b4779f9330295375057f53109</w:t>
            </w:r>
          </w:p>
        </w:tc>
      </w:tr>
      <w:tr>
        <w:tc>
          <w:tcPr>
            <w:tcW w:type="dxa" w:w="4680"/>
          </w:tcPr>
          <w:p>
            <w:pPr>
              <w:spacing w:line="240" w:lineRule="auto" w:before="0" w:after="0"/>
              <w:ind w:firstLine="0"/>
              <w:jc w:val="center"/>
            </w:pPr>
            <w:r>
              <w:rPr>
                <w:sz w:val="20"/>
              </w:rPr>
            </w:r>
            <w:r>
              <w:rPr>
                <w:b w:val="0"/>
                <w:i w:val="0"/>
                <w:sz w:val="20"/>
                <w:u w:val="none"/>
              </w:rPr>
              <w:t>Attested mint (Taoyuan meter fixture, scaled)</w:t>
            </w:r>
          </w:p>
        </w:tc>
        <w:tc>
          <w:tcPr>
            <w:tcW w:type="dxa" w:w="4680"/>
          </w:tcPr>
          <w:p>
            <w:pPr>
              <w:spacing w:line="240" w:lineRule="auto" w:before="0" w:after="0"/>
              <w:ind w:firstLine="0"/>
            </w:pPr>
            <w:r>
              <w:rPr>
                <w:sz w:val="20"/>
              </w:rPr>
            </w:r>
            <w:r>
              <w:rPr>
                <w:rFonts w:ascii="Courier New" w:hAnsi="Courier New"/>
                <w:b w:val="0"/>
                <w:i w:val="0"/>
                <w:sz w:val="20"/>
                <w:u w:val="none"/>
              </w:rPr>
              <w:t>0x3527585fd110ae3e135e76b870232d1b30411d76953c15c94a237743a0d1754d</w:t>
            </w:r>
          </w:p>
        </w:tc>
      </w:tr>
      <w:tr>
        <w:tc>
          <w:tcPr>
            <w:tcW w:type="dxa" w:w="4680"/>
          </w:tcPr>
          <w:p>
            <w:pPr>
              <w:spacing w:line="240" w:lineRule="auto" w:before="0" w:after="0"/>
              <w:ind w:firstLine="0"/>
              <w:jc w:val="center"/>
            </w:pPr>
            <w:r>
              <w:rPr>
                <w:sz w:val="20"/>
              </w:rPr>
            </w:r>
            <w:r>
              <w:rPr>
                <w:b w:val="0"/>
                <w:i w:val="0"/>
                <w:sz w:val="20"/>
                <w:u w:val="none"/>
              </w:rPr>
              <w:t>Network payment (LABOR)</w:t>
            </w:r>
          </w:p>
        </w:tc>
        <w:tc>
          <w:tcPr>
            <w:tcW w:type="dxa" w:w="4680"/>
          </w:tcPr>
          <w:p>
            <w:pPr>
              <w:spacing w:line="240" w:lineRule="auto" w:before="0" w:after="0"/>
              <w:ind w:firstLine="0"/>
            </w:pPr>
            <w:r>
              <w:rPr>
                <w:sz w:val="20"/>
              </w:rPr>
            </w:r>
            <w:r>
              <w:rPr>
                <w:rFonts w:ascii="Courier New" w:hAnsi="Courier New"/>
                <w:b w:val="0"/>
                <w:i w:val="0"/>
                <w:sz w:val="20"/>
                <w:u w:val="none"/>
              </w:rPr>
              <w:t>0x1f7cd59612cf81dd4a43f1cb1b4e5d6e03f4be570e4ad4fc2c21e28ee72d09be</w:t>
            </w:r>
          </w:p>
        </w:tc>
      </w:tr>
    </w:tbl>
    <w:p>
      <w:r>
        <w:rPr>
          <w:b/>
          <w:i w:val="0"/>
          <w:u w:val="none"/>
        </w:rPr>
        <w:t>Thesis interpretation:</w:t>
      </w:r>
      <w:r>
        <w:rPr>
          <w:b w:val="0"/>
          <w:i w:val="0"/>
          <w:u w:val="none"/>
        </w:rPr>
        <w:t xml:space="preserve"> SPK v1 demonstrates that the constraints framework can support an energy-native, circulation-first instrument—not only a dollar-pegged lab token. It does </w:t>
      </w:r>
      <w:r>
        <w:rPr>
          <w:b/>
          <w:i w:val="0"/>
          <w:u w:val="none"/>
        </w:rPr>
        <w:t>not</w:t>
      </w:r>
      <w:r>
        <w:rPr>
          <w:b w:val="0"/>
          <w:i w:val="0"/>
          <w:u w:val="none"/>
        </w:rPr>
        <w:t xml:space="preserve"> demonstrate mainnet readiness, legal money status, or real-site meter finality. Those boundaries from §5.9 still apply. Launch-gate staging (§5.7) remains useful for separating research demos from production, but the </w:t>
      </w:r>
      <w:r>
        <w:rPr>
          <w:b/>
          <w:i w:val="0"/>
          <w:u w:val="none"/>
        </w:rPr>
        <w:t>primary implementation evidence</w:t>
      </w:r>
      <w:r>
        <w:rPr>
          <w:b w:val="0"/>
          <w:i w:val="0"/>
          <w:u w:val="none"/>
        </w:rPr>
        <w:t xml:space="preserve"> for this chapter is now the SPK v1 runtime and its on-chain payment history.</w:t>
      </w:r>
    </w:p>
    <w:p>
      <w:pPr>
        <w:pStyle w:val="TableNote"/>
        <w:ind w:firstLine="0"/>
      </w:pPr>
      <w:r>
        <w:rPr>
          <w:b w:val="0"/>
          <w:i/>
          <w:u w:val="none"/>
        </w:rPr>
        <w:t xml:space="preserve">The following blocks are exported from </w:t>
      </w:r>
      <w:r>
        <w:rPr>
          <w:rFonts w:ascii="Courier New" w:hAnsi="Courier New"/>
          <w:b w:val="0"/>
          <w:i/>
          <w:sz w:val="21"/>
          <w:u w:val="none"/>
        </w:rPr>
        <w:t>state/runtime/spk_v1.json</w:t>
      </w:r>
      <w:r>
        <w:rPr>
          <w:b w:val="0"/>
          <w:i/>
          <w:u w:val="none"/>
        </w:rPr>
        <w:t xml:space="preserve"> after Sepolia sync (generated 2026-06-09T10:16:17.836331+00:00).</w:t>
      </w:r>
    </w:p>
    <w:p>
      <w:pPr>
        <w:pStyle w:val="Heading3"/>
      </w:pPr>
      <w:r>
        <w:t>5.10.1 Canonical contracts and live metrics</w:t>
      </w:r>
    </w:p>
    <w:tbl>
      <w:tblPr>
        <w:tblStyle w:val="TableGrid"/>
        <w:tblW w:type="auto" w:w="0"/>
        <w:tblLayout w:type="autofit"/>
        <w:tblLook w:firstColumn="1" w:firstRow="1" w:lastColumn="0" w:lastRow="0" w:noHBand="0" w:noVBand="1" w:val="04A0"/>
      </w:tblPr>
      <w:tblGrid>
        <w:gridCol w:w="4680"/>
        <w:gridCol w:w="4680"/>
      </w:tblGrid>
      <w:tr>
        <w:tc>
          <w:tcPr>
            <w:tcW w:type="dxa" w:w="4680"/>
          </w:tcPr>
          <w:p>
            <w:pPr>
              <w:spacing w:line="240" w:lineRule="auto" w:before="0" w:after="0"/>
              <w:ind w:firstLine="0"/>
              <w:jc w:val="center"/>
            </w:pPr>
            <w:r>
              <w:rPr>
                <w:sz w:val="20"/>
              </w:rPr>
            </w:r>
            <w:r>
              <w:rPr>
                <w:b/>
                <w:i w:val="0"/>
                <w:sz w:val="20"/>
                <w:u w:val="none"/>
              </w:rPr>
              <w:t>Contract</w:t>
            </w:r>
          </w:p>
        </w:tc>
        <w:tc>
          <w:tcPr>
            <w:tcW w:type="dxa" w:w="4680"/>
          </w:tcPr>
          <w:p>
            <w:pPr>
              <w:spacing w:line="240" w:lineRule="auto" w:before="0" w:after="0"/>
              <w:ind w:firstLine="0"/>
              <w:jc w:val="center"/>
            </w:pPr>
            <w:r>
              <w:rPr>
                <w:sz w:val="20"/>
              </w:rPr>
            </w:r>
            <w:r>
              <w:rPr>
                <w:b/>
                <w:i w:val="0"/>
                <w:sz w:val="20"/>
                <w:u w:val="none"/>
              </w:rPr>
              <w:t>Address</w:t>
            </w:r>
          </w:p>
        </w:tc>
      </w:tr>
      <w:tr>
        <w:tc>
          <w:tcPr>
            <w:tcW w:type="dxa" w:w="4680"/>
          </w:tcPr>
          <w:p>
            <w:pPr>
              <w:spacing w:line="240" w:lineRule="auto" w:before="0" w:after="0"/>
              <w:ind w:firstLine="0"/>
              <w:jc w:val="center"/>
            </w:pPr>
            <w:r>
              <w:rPr>
                <w:sz w:val="20"/>
              </w:rPr>
            </w:r>
            <w:r>
              <w:rPr>
                <w:b w:val="0"/>
                <w:i w:val="0"/>
                <w:sz w:val="20"/>
                <w:u w:val="none"/>
              </w:rPr>
              <w:t>mock_usdc</w:t>
            </w:r>
          </w:p>
        </w:tc>
        <w:tc>
          <w:tcPr>
            <w:tcW w:type="dxa" w:w="4680"/>
          </w:tcPr>
          <w:p>
            <w:pPr>
              <w:spacing w:line="240" w:lineRule="auto" w:before="0" w:after="0"/>
              <w:ind w:firstLine="0"/>
            </w:pPr>
            <w:r>
              <w:rPr>
                <w:sz w:val="20"/>
              </w:rPr>
            </w:r>
            <w:r>
              <w:rPr>
                <w:rFonts w:ascii="Courier New" w:hAnsi="Courier New"/>
                <w:b w:val="0"/>
                <w:i w:val="0"/>
                <w:sz w:val="20"/>
                <w:u w:val="none"/>
              </w:rPr>
              <w:t>0xaD2A7169CfFBA9Bef8C45515fc85178DbBfEc2C9</w:t>
            </w:r>
          </w:p>
        </w:tc>
      </w:tr>
      <w:tr>
        <w:tc>
          <w:tcPr>
            <w:tcW w:type="dxa" w:w="4680"/>
          </w:tcPr>
          <w:p>
            <w:pPr>
              <w:spacing w:line="240" w:lineRule="auto" w:before="0" w:after="0"/>
              <w:ind w:firstLine="0"/>
              <w:jc w:val="center"/>
            </w:pPr>
            <w:r>
              <w:rPr>
                <w:sz w:val="20"/>
              </w:rPr>
            </w:r>
            <w:r>
              <w:rPr>
                <w:b w:val="0"/>
                <w:i w:val="0"/>
                <w:sz w:val="20"/>
                <w:u w:val="none"/>
              </w:rPr>
              <w:t>solar_punk_coin</w:t>
            </w:r>
          </w:p>
        </w:tc>
        <w:tc>
          <w:tcPr>
            <w:tcW w:type="dxa" w:w="4680"/>
          </w:tcPr>
          <w:p>
            <w:pPr>
              <w:spacing w:line="240" w:lineRule="auto" w:before="0" w:after="0"/>
              <w:ind w:firstLine="0"/>
            </w:pPr>
            <w:r>
              <w:rPr>
                <w:sz w:val="20"/>
              </w:rPr>
            </w:r>
            <w:r>
              <w:rPr>
                <w:rFonts w:ascii="Courier New" w:hAnsi="Courier New"/>
                <w:b w:val="0"/>
                <w:i w:val="0"/>
                <w:sz w:val="20"/>
                <w:u w:val="none"/>
              </w:rPr>
              <w:t>0x8e189002228Fd4C6fA7611bA49FBe1d9C3412128</w:t>
            </w:r>
          </w:p>
        </w:tc>
      </w:tr>
      <w:tr>
        <w:tc>
          <w:tcPr>
            <w:tcW w:type="dxa" w:w="4680"/>
          </w:tcPr>
          <w:p>
            <w:pPr>
              <w:spacing w:line="240" w:lineRule="auto" w:before="0" w:after="0"/>
              <w:ind w:firstLine="0"/>
              <w:jc w:val="center"/>
            </w:pPr>
            <w:r>
              <w:rPr>
                <w:sz w:val="20"/>
              </w:rPr>
            </w:r>
            <w:r>
              <w:rPr>
                <w:b w:val="0"/>
                <w:i w:val="0"/>
                <w:sz w:val="20"/>
                <w:u w:val="none"/>
              </w:rPr>
              <w:t>currency_system</w:t>
            </w:r>
          </w:p>
        </w:tc>
        <w:tc>
          <w:tcPr>
            <w:tcW w:type="dxa" w:w="4680"/>
          </w:tcPr>
          <w:p>
            <w:pPr>
              <w:spacing w:line="240" w:lineRule="auto" w:before="0" w:after="0"/>
              <w:ind w:firstLine="0"/>
            </w:pPr>
            <w:r>
              <w:rPr>
                <w:sz w:val="20"/>
              </w:rPr>
            </w:r>
            <w:r>
              <w:rPr>
                <w:rFonts w:ascii="Courier New" w:hAnsi="Courier New"/>
                <w:b w:val="0"/>
                <w:i w:val="0"/>
                <w:sz w:val="20"/>
                <w:u w:val="none"/>
              </w:rPr>
              <w:t>0x520162252F9B94824417678525FFd69145014970</w:t>
            </w:r>
          </w:p>
        </w:tc>
      </w:tr>
    </w:tbl>
    <w:p>
      <w:pPr>
        <w:pStyle w:val="ListBullet"/>
        <w:ind w:left="0" w:firstLine="0"/>
      </w:pPr>
      <w:r>
        <w:rPr>
          <w:b w:val="0"/>
          <w:i w:val="0"/>
          <w:u w:val="none"/>
        </w:rPr>
        <w:t xml:space="preserve">Total supply: </w:t>
      </w:r>
      <w:r>
        <w:rPr>
          <w:b/>
          <w:i w:val="0"/>
          <w:u w:val="none"/>
        </w:rPr>
        <w:t>5499.015 SPK</w:t>
      </w:r>
    </w:p>
    <w:p>
      <w:pPr>
        <w:pStyle w:val="ListBullet"/>
        <w:ind w:left="0" w:firstLine="0"/>
      </w:pPr>
      <w:r>
        <w:rPr>
          <w:b w:val="0"/>
          <w:i w:val="0"/>
          <w:u w:val="none"/>
        </w:rPr>
        <w:t xml:space="preserve">Settled: </w:t>
      </w:r>
      <w:r>
        <w:rPr>
          <w:b/>
          <w:i w:val="0"/>
          <w:u w:val="none"/>
        </w:rPr>
        <w:t>442.0 SPK</w:t>
      </w:r>
    </w:p>
    <w:p>
      <w:pPr>
        <w:pStyle w:val="ListBullet"/>
        <w:ind w:left="0" w:firstLine="0"/>
      </w:pPr>
      <w:r>
        <w:rPr>
          <w:b w:val="0"/>
          <w:i w:val="0"/>
          <w:u w:val="none"/>
        </w:rPr>
        <w:t xml:space="preserve">Network payments: </w:t>
      </w:r>
      <w:r>
        <w:rPr>
          <w:b/>
          <w:i w:val="0"/>
          <w:u w:val="none"/>
        </w:rPr>
        <w:t>21</w:t>
      </w:r>
    </w:p>
    <w:p>
      <w:pPr>
        <w:pStyle w:val="ListBullet"/>
        <w:ind w:left="0" w:firstLine="0"/>
      </w:pPr>
      <w:r>
        <w:rPr>
          <w:b w:val="0"/>
          <w:i w:val="0"/>
          <w:u w:val="none"/>
        </w:rPr>
        <w:t xml:space="preserve">Circulation share: </w:t>
      </w:r>
      <w:r>
        <w:rPr>
          <w:b/>
          <w:i w:val="0"/>
          <w:u w:val="none"/>
        </w:rPr>
        <w:t>96.71%</w:t>
      </w:r>
    </w:p>
    <w:p>
      <w:pPr>
        <w:pStyle w:val="Heading3"/>
      </w:pPr>
      <w:r>
        <w:t>5.10.2 Indexed payment ledger (Table 5.4)</w:t>
      </w:r>
    </w:p>
    <w:p>
      <w:pPr>
        <w:sectPr>
          <w:pgSz w:w="12240" w:h="15840"/>
          <w:pgMar w:top="1440" w:right="1440" w:bottom="1440" w:left="1440" w:header="720" w:footer="720" w:gutter="0"/>
          <w:cols w:space="720"/>
          <w:docGrid w:linePitch="360"/>
        </w:sectPr>
      </w:pPr>
    </w:p>
    <w:tbl>
      <w:tblPr>
        <w:tblStyle w:val="TableGrid"/>
        <w:tblW w:type="auto" w:w="0"/>
        <w:tblLayout w:type="autofit"/>
        <w:tblLook w:firstColumn="1" w:firstRow="1" w:lastColumn="0" w:lastRow="0" w:noHBand="0" w:noVBand="1" w:val="04A0"/>
      </w:tblPr>
      <w:tblGrid>
        <w:gridCol w:w="2280"/>
        <w:gridCol w:w="2280"/>
        <w:gridCol w:w="2280"/>
        <w:gridCol w:w="2280"/>
        <w:gridCol w:w="2280"/>
        <w:gridCol w:w="2280"/>
      </w:tblGrid>
      <w:tr>
        <w:tc>
          <w:tcPr>
            <w:tcW w:type="dxa" w:w="2280"/>
          </w:tcPr>
          <w:p>
            <w:pPr>
              <w:spacing w:line="240" w:lineRule="auto" w:before="0" w:after="0"/>
              <w:ind w:firstLine="0"/>
              <w:jc w:val="center"/>
            </w:pPr>
            <w:r>
              <w:rPr>
                <w:sz w:val="16"/>
              </w:rPr>
            </w:r>
            <w:r>
              <w:rPr>
                <w:b/>
                <w:i w:val="0"/>
                <w:sz w:val="16"/>
                <w:u w:val="none"/>
              </w:rPr>
              <w:t>#</w:t>
            </w:r>
          </w:p>
        </w:tc>
        <w:tc>
          <w:tcPr>
            <w:tcW w:type="dxa" w:w="2280"/>
          </w:tcPr>
          <w:p>
            <w:pPr>
              <w:spacing w:line="240" w:lineRule="auto" w:before="0" w:after="0"/>
              <w:ind w:firstLine="0"/>
              <w:jc w:val="center"/>
            </w:pPr>
            <w:r>
              <w:rPr>
                <w:sz w:val="16"/>
              </w:rPr>
            </w:r>
            <w:r>
              <w:rPr>
                <w:b/>
                <w:i w:val="0"/>
                <w:sz w:val="16"/>
                <w:u w:val="none"/>
              </w:rPr>
              <w:t>Kind</w:t>
            </w:r>
          </w:p>
        </w:tc>
        <w:tc>
          <w:tcPr>
            <w:tcW w:type="dxa" w:w="2280"/>
          </w:tcPr>
          <w:p>
            <w:pPr>
              <w:spacing w:line="240" w:lineRule="auto" w:before="0" w:after="0"/>
              <w:ind w:firstLine="0"/>
              <w:jc w:val="center"/>
            </w:pPr>
            <w:r>
              <w:rPr>
                <w:sz w:val="16"/>
              </w:rPr>
            </w:r>
            <w:r>
              <w:rPr>
                <w:b/>
                <w:i w:val="0"/>
                <w:sz w:val="16"/>
                <w:u w:val="none"/>
              </w:rPr>
              <w:t>SPK</w:t>
            </w:r>
          </w:p>
        </w:tc>
        <w:tc>
          <w:tcPr>
            <w:tcW w:type="dxa" w:w="2280"/>
          </w:tcPr>
          <w:p>
            <w:pPr>
              <w:spacing w:line="240" w:lineRule="auto" w:before="0" w:after="0"/>
              <w:ind w:firstLine="0"/>
              <w:jc w:val="center"/>
            </w:pPr>
            <w:r>
              <w:rPr>
                <w:sz w:val="16"/>
              </w:rPr>
            </w:r>
            <w:r>
              <w:rPr>
                <w:b/>
                <w:i w:val="0"/>
                <w:sz w:val="16"/>
                <w:u w:val="none"/>
              </w:rPr>
              <w:t>Payee</w:t>
            </w:r>
          </w:p>
        </w:tc>
        <w:tc>
          <w:tcPr>
            <w:tcW w:type="dxa" w:w="2280"/>
          </w:tcPr>
          <w:p>
            <w:pPr>
              <w:spacing w:line="240" w:lineRule="auto" w:before="0" w:after="0"/>
              <w:ind w:firstLine="0"/>
              <w:jc w:val="center"/>
            </w:pPr>
            <w:r>
              <w:rPr>
                <w:sz w:val="16"/>
              </w:rPr>
            </w:r>
            <w:r>
              <w:rPr>
                <w:b/>
                <w:i w:val="0"/>
                <w:sz w:val="16"/>
                <w:u w:val="none"/>
              </w:rPr>
              <w:t>Payer</w:t>
            </w:r>
          </w:p>
        </w:tc>
        <w:tc>
          <w:tcPr>
            <w:tcW w:type="dxa" w:w="2280"/>
          </w:tcPr>
          <w:p>
            <w:pPr>
              <w:spacing w:line="240" w:lineRule="auto" w:before="0" w:after="0"/>
              <w:ind w:firstLine="0"/>
              <w:jc w:val="center"/>
            </w:pPr>
            <w:r>
              <w:rPr>
                <w:sz w:val="16"/>
              </w:rPr>
            </w:r>
            <w:r>
              <w:rPr>
                <w:b/>
                <w:i w:val="0"/>
                <w:sz w:val="16"/>
                <w:u w:val="none"/>
              </w:rPr>
              <w:t>Tx</w:t>
            </w:r>
          </w:p>
        </w:tc>
      </w:tr>
      <w:tr>
        <w:tc>
          <w:tcPr>
            <w:tcW w:type="dxa" w:w="2280"/>
          </w:tcPr>
          <w:p>
            <w:pPr>
              <w:spacing w:line="240" w:lineRule="auto" w:before="0" w:after="0"/>
              <w:ind w:firstLine="0"/>
              <w:jc w:val="center"/>
            </w:pPr>
            <w:r>
              <w:rPr>
                <w:sz w:val="16"/>
              </w:rPr>
            </w:r>
            <w:r>
              <w:rPr>
                <w:b w:val="0"/>
                <w:i w:val="0"/>
                <w:sz w:val="16"/>
                <w:u w:val="none"/>
              </w:rPr>
              <w:t>1</w:t>
            </w:r>
          </w:p>
        </w:tc>
        <w:tc>
          <w:tcPr>
            <w:tcW w:type="dxa" w:w="2280"/>
          </w:tcPr>
          <w:p>
            <w:pPr>
              <w:spacing w:line="240" w:lineRule="auto" w:before="0" w:after="0"/>
              <w:ind w:firstLine="0"/>
            </w:pPr>
            <w:r>
              <w:rPr>
                <w:sz w:val="16"/>
              </w:rPr>
            </w:r>
            <w:r>
              <w:rPr>
                <w:b w:val="0"/>
                <w:i w:val="0"/>
                <w:sz w:val="16"/>
                <w:u w:val="none"/>
              </w:rPr>
              <w:t>SERVICE</w:t>
            </w:r>
          </w:p>
        </w:tc>
        <w:tc>
          <w:tcPr>
            <w:tcW w:type="dxa" w:w="2280"/>
          </w:tcPr>
          <w:p>
            <w:pPr>
              <w:spacing w:line="240" w:lineRule="auto" w:before="0" w:after="0"/>
              <w:ind w:firstLine="0"/>
            </w:pPr>
            <w:r>
              <w:rPr>
                <w:sz w:val="16"/>
              </w:rPr>
            </w:r>
            <w:r>
              <w:rPr>
                <w:b w:val="0"/>
                <w:i w:val="0"/>
                <w:sz w:val="16"/>
                <w:u w:val="none"/>
              </w:rPr>
              <w:t>12.0</w:t>
            </w:r>
          </w:p>
        </w:tc>
        <w:tc>
          <w:tcPr>
            <w:tcW w:type="dxa" w:w="2280"/>
          </w:tcPr>
          <w:p>
            <w:pPr>
              <w:spacing w:line="240" w:lineRule="auto" w:before="0" w:after="0"/>
              <w:ind w:firstLine="0"/>
            </w:pPr>
            <w:r>
              <w:rPr>
                <w:sz w:val="16"/>
              </w:rPr>
            </w:r>
            <w:r>
              <w:rPr>
                <w:b w:val="0"/>
                <w:i w:val="0"/>
                <w:sz w:val="16"/>
                <w:u w:val="none"/>
              </w:rPr>
              <w:t>Gateway</w:t>
            </w:r>
          </w:p>
        </w:tc>
        <w:tc>
          <w:tcPr>
            <w:tcW w:type="dxa" w:w="2280"/>
          </w:tcPr>
          <w:p>
            <w:pPr>
              <w:spacing w:line="240" w:lineRule="auto" w:before="0" w:after="0"/>
              <w:ind w:firstLine="0"/>
            </w:pPr>
            <w:r>
              <w:rPr>
                <w:sz w:val="16"/>
              </w:rPr>
            </w:r>
            <w:r>
              <w:rPr>
                <w:b w:val="0"/>
                <w:i w:val="0"/>
                <w:sz w:val="16"/>
                <w:u w:val="none"/>
              </w:rPr>
              <w:t>Operator</w:t>
            </w:r>
          </w:p>
        </w:tc>
        <w:tc>
          <w:tcPr>
            <w:tcW w:type="dxa" w:w="2280"/>
          </w:tcPr>
          <w:p>
            <w:pPr>
              <w:spacing w:line="240" w:lineRule="auto" w:before="0" w:after="0"/>
              <w:ind w:firstLine="0"/>
            </w:pPr>
            <w:r>
              <w:rPr>
                <w:sz w:val="16"/>
              </w:rPr>
            </w:r>
            <w:r>
              <w:rPr>
                <w:b w:val="0"/>
                <w:i w:val="0"/>
                <w:sz w:val="16"/>
                <w:u w:val="none"/>
              </w:rPr>
              <w:t>0x6c65e0ae…</w:t>
            </w:r>
          </w:p>
        </w:tc>
      </w:tr>
      <w:tr>
        <w:tc>
          <w:tcPr>
            <w:tcW w:type="dxa" w:w="2280"/>
          </w:tcPr>
          <w:p>
            <w:pPr>
              <w:spacing w:line="240" w:lineRule="auto" w:before="0" w:after="0"/>
              <w:ind w:firstLine="0"/>
              <w:jc w:val="center"/>
            </w:pPr>
            <w:r>
              <w:rPr>
                <w:sz w:val="16"/>
              </w:rPr>
            </w:r>
            <w:r>
              <w:rPr>
                <w:b w:val="0"/>
                <w:i w:val="0"/>
                <w:sz w:val="16"/>
                <w:u w:val="none"/>
              </w:rPr>
              <w:t>2</w:t>
            </w:r>
          </w:p>
        </w:tc>
        <w:tc>
          <w:tcPr>
            <w:tcW w:type="dxa" w:w="2280"/>
          </w:tcPr>
          <w:p>
            <w:pPr>
              <w:spacing w:line="240" w:lineRule="auto" w:before="0" w:after="0"/>
              <w:ind w:firstLine="0"/>
            </w:pPr>
            <w:r>
              <w:rPr>
                <w:sz w:val="16"/>
              </w:rPr>
            </w:r>
            <w:r>
              <w:rPr>
                <w:b w:val="0"/>
                <w:i w:val="0"/>
                <w:sz w:val="16"/>
                <w:u w:val="none"/>
              </w:rPr>
              <w:t>LABOR</w:t>
            </w:r>
          </w:p>
        </w:tc>
        <w:tc>
          <w:tcPr>
            <w:tcW w:type="dxa" w:w="2280"/>
          </w:tcPr>
          <w:p>
            <w:pPr>
              <w:spacing w:line="240" w:lineRule="auto" w:before="0" w:after="0"/>
              <w:ind w:firstLine="0"/>
            </w:pPr>
            <w:r>
              <w:rPr>
                <w:sz w:val="16"/>
              </w:rPr>
            </w:r>
            <w:r>
              <w:rPr>
                <w:b w:val="0"/>
                <w:i w:val="0"/>
                <w:sz w:val="16"/>
                <w:u w:val="none"/>
              </w:rPr>
              <w:t>40.0</w:t>
            </w:r>
          </w:p>
        </w:tc>
        <w:tc>
          <w:tcPr>
            <w:tcW w:type="dxa" w:w="2280"/>
          </w:tcPr>
          <w:p>
            <w:pPr>
              <w:spacing w:line="240" w:lineRule="auto" w:before="0" w:after="0"/>
              <w:ind w:firstLine="0"/>
            </w:pPr>
            <w:r>
              <w:rPr>
                <w:sz w:val="16"/>
              </w:rPr>
            </w:r>
            <w:r>
              <w:rPr>
                <w:b w:val="0"/>
                <w:i w:val="0"/>
                <w:sz w:val="16"/>
                <w:u w:val="none"/>
              </w:rPr>
              <w:t>Maintenance</w:t>
            </w:r>
          </w:p>
        </w:tc>
        <w:tc>
          <w:tcPr>
            <w:tcW w:type="dxa" w:w="2280"/>
          </w:tcPr>
          <w:p>
            <w:pPr>
              <w:spacing w:line="240" w:lineRule="auto" w:before="0" w:after="0"/>
              <w:ind w:firstLine="0"/>
            </w:pPr>
            <w:r>
              <w:rPr>
                <w:sz w:val="16"/>
              </w:rPr>
            </w:r>
            <w:r>
              <w:rPr>
                <w:b w:val="0"/>
                <w:i w:val="0"/>
                <w:sz w:val="16"/>
                <w:u w:val="none"/>
              </w:rPr>
              <w:t>Operator</w:t>
            </w:r>
          </w:p>
        </w:tc>
        <w:tc>
          <w:tcPr>
            <w:tcW w:type="dxa" w:w="2280"/>
          </w:tcPr>
          <w:p>
            <w:pPr>
              <w:spacing w:line="240" w:lineRule="auto" w:before="0" w:after="0"/>
              <w:ind w:firstLine="0"/>
            </w:pPr>
            <w:r>
              <w:rPr>
                <w:sz w:val="16"/>
              </w:rPr>
            </w:r>
            <w:r>
              <w:rPr>
                <w:b w:val="0"/>
                <w:i w:val="0"/>
                <w:sz w:val="16"/>
                <w:u w:val="none"/>
              </w:rPr>
              <w:t>0x8ad9f3ce…</w:t>
            </w:r>
          </w:p>
        </w:tc>
      </w:tr>
      <w:tr>
        <w:tc>
          <w:tcPr>
            <w:tcW w:type="dxa" w:w="2280"/>
          </w:tcPr>
          <w:p>
            <w:pPr>
              <w:spacing w:line="240" w:lineRule="auto" w:before="0" w:after="0"/>
              <w:ind w:firstLine="0"/>
              <w:jc w:val="center"/>
            </w:pPr>
            <w:r>
              <w:rPr>
                <w:sz w:val="16"/>
              </w:rPr>
            </w:r>
            <w:r>
              <w:rPr>
                <w:b w:val="0"/>
                <w:i w:val="0"/>
                <w:sz w:val="16"/>
                <w:u w:val="none"/>
              </w:rPr>
              <w:t>3</w:t>
            </w:r>
          </w:p>
        </w:tc>
        <w:tc>
          <w:tcPr>
            <w:tcW w:type="dxa" w:w="2280"/>
          </w:tcPr>
          <w:p>
            <w:pPr>
              <w:spacing w:line="240" w:lineRule="auto" w:before="0" w:after="0"/>
              <w:ind w:firstLine="0"/>
            </w:pPr>
            <w:r>
              <w:rPr>
                <w:sz w:val="16"/>
              </w:rPr>
            </w:r>
            <w:r>
              <w:rPr>
                <w:b w:val="0"/>
                <w:i w:val="0"/>
                <w:sz w:val="16"/>
                <w:u w:val="none"/>
              </w:rPr>
              <w:t>NETWORK</w:t>
            </w:r>
          </w:p>
        </w:tc>
        <w:tc>
          <w:tcPr>
            <w:tcW w:type="dxa" w:w="2280"/>
          </w:tcPr>
          <w:p>
            <w:pPr>
              <w:spacing w:line="240" w:lineRule="auto" w:before="0" w:after="0"/>
              <w:ind w:firstLine="0"/>
            </w:pPr>
            <w:r>
              <w:rPr>
                <w:sz w:val="16"/>
              </w:rPr>
            </w:r>
            <w:r>
              <w:rPr>
                <w:b w:val="0"/>
                <w:i w:val="0"/>
                <w:sz w:val="16"/>
                <w:u w:val="none"/>
              </w:rPr>
              <w:t>180.0</w:t>
            </w:r>
          </w:p>
        </w:tc>
        <w:tc>
          <w:tcPr>
            <w:tcW w:type="dxa" w:w="2280"/>
          </w:tcPr>
          <w:p>
            <w:pPr>
              <w:spacing w:line="240" w:lineRule="auto" w:before="0" w:after="0"/>
              <w:ind w:firstLine="0"/>
            </w:pPr>
            <w:r>
              <w:rPr>
                <w:sz w:val="16"/>
              </w:rPr>
            </w:r>
            <w:r>
              <w:rPr>
                <w:b w:val="0"/>
                <w:i w:val="0"/>
                <w:sz w:val="16"/>
                <w:u w:val="none"/>
              </w:rPr>
              <w:t>Operator</w:t>
            </w:r>
          </w:p>
        </w:tc>
        <w:tc>
          <w:tcPr>
            <w:tcW w:type="dxa" w:w="2280"/>
          </w:tcPr>
          <w:p>
            <w:pPr>
              <w:spacing w:line="240" w:lineRule="auto" w:before="0" w:after="0"/>
              <w:ind w:firstLine="0"/>
            </w:pPr>
            <w:r>
              <w:rPr>
                <w:sz w:val="16"/>
              </w:rPr>
            </w:r>
            <w:r>
              <w:rPr>
                <w:b w:val="0"/>
                <w:i w:val="0"/>
                <w:sz w:val="16"/>
                <w:u w:val="none"/>
              </w:rPr>
              <w:t>Operator</w:t>
            </w:r>
          </w:p>
        </w:tc>
        <w:tc>
          <w:tcPr>
            <w:tcW w:type="dxa" w:w="2280"/>
          </w:tcPr>
          <w:p>
            <w:pPr>
              <w:spacing w:line="240" w:lineRule="auto" w:before="0" w:after="0"/>
              <w:ind w:firstLine="0"/>
            </w:pPr>
            <w:r>
              <w:rPr>
                <w:sz w:val="16"/>
              </w:rPr>
            </w:r>
            <w:r>
              <w:rPr>
                <w:b w:val="0"/>
                <w:i w:val="0"/>
                <w:sz w:val="16"/>
                <w:u w:val="none"/>
              </w:rPr>
              <w:t>0x6dbbf639…</w:t>
            </w:r>
          </w:p>
        </w:tc>
      </w:tr>
      <w:tr>
        <w:tc>
          <w:tcPr>
            <w:tcW w:type="dxa" w:w="2280"/>
          </w:tcPr>
          <w:p>
            <w:pPr>
              <w:spacing w:line="240" w:lineRule="auto" w:before="0" w:after="0"/>
              <w:ind w:firstLine="0"/>
              <w:jc w:val="center"/>
            </w:pPr>
            <w:r>
              <w:rPr>
                <w:sz w:val="16"/>
              </w:rPr>
            </w:r>
            <w:r>
              <w:rPr>
                <w:b w:val="0"/>
                <w:i w:val="0"/>
                <w:sz w:val="16"/>
                <w:u w:val="none"/>
              </w:rPr>
              <w:t>4</w:t>
            </w:r>
          </w:p>
        </w:tc>
        <w:tc>
          <w:tcPr>
            <w:tcW w:type="dxa" w:w="2280"/>
          </w:tcPr>
          <w:p>
            <w:pPr>
              <w:spacing w:line="240" w:lineRule="auto" w:before="0" w:after="0"/>
              <w:ind w:firstLine="0"/>
            </w:pPr>
            <w:r>
              <w:rPr>
                <w:sz w:val="16"/>
              </w:rPr>
            </w:r>
            <w:r>
              <w:rPr>
                <w:b w:val="0"/>
                <w:i w:val="0"/>
                <w:sz w:val="16"/>
                <w:u w:val="none"/>
              </w:rPr>
              <w:t>GOODS</w:t>
            </w:r>
          </w:p>
        </w:tc>
        <w:tc>
          <w:tcPr>
            <w:tcW w:type="dxa" w:w="2280"/>
          </w:tcPr>
          <w:p>
            <w:pPr>
              <w:spacing w:line="240" w:lineRule="auto" w:before="0" w:after="0"/>
              <w:ind w:firstLine="0"/>
            </w:pPr>
            <w:r>
              <w:rPr>
                <w:sz w:val="16"/>
              </w:rPr>
            </w:r>
            <w:r>
              <w:rPr>
                <w:b w:val="0"/>
                <w:i w:val="0"/>
                <w:sz w:val="16"/>
                <w:u w:val="none"/>
              </w:rPr>
              <w:t>55.0</w:t>
            </w:r>
          </w:p>
        </w:tc>
        <w:tc>
          <w:tcPr>
            <w:tcW w:type="dxa" w:w="2280"/>
          </w:tcPr>
          <w:p>
            <w:pPr>
              <w:spacing w:line="240" w:lineRule="auto" w:before="0" w:after="0"/>
              <w:ind w:firstLine="0"/>
            </w:pPr>
            <w:r>
              <w:rPr>
                <w:sz w:val="16"/>
              </w:rPr>
            </w:r>
            <w:r>
              <w:rPr>
                <w:b w:val="0"/>
                <w:i w:val="0"/>
                <w:sz w:val="16"/>
                <w:u w:val="none"/>
              </w:rPr>
              <w:t>Merchant</w:t>
            </w:r>
          </w:p>
        </w:tc>
        <w:tc>
          <w:tcPr>
            <w:tcW w:type="dxa" w:w="2280"/>
          </w:tcPr>
          <w:p>
            <w:pPr>
              <w:spacing w:line="240" w:lineRule="auto" w:before="0" w:after="0"/>
              <w:ind w:firstLine="0"/>
            </w:pPr>
            <w:r>
              <w:rPr>
                <w:sz w:val="16"/>
              </w:rPr>
            </w:r>
            <w:r>
              <w:rPr>
                <w:b w:val="0"/>
                <w:i w:val="0"/>
                <w:sz w:val="16"/>
                <w:u w:val="none"/>
              </w:rPr>
              <w:t>Operator</w:t>
            </w:r>
          </w:p>
        </w:tc>
        <w:tc>
          <w:tcPr>
            <w:tcW w:type="dxa" w:w="2280"/>
          </w:tcPr>
          <w:p>
            <w:pPr>
              <w:spacing w:line="240" w:lineRule="auto" w:before="0" w:after="0"/>
              <w:ind w:firstLine="0"/>
            </w:pPr>
            <w:r>
              <w:rPr>
                <w:sz w:val="16"/>
              </w:rPr>
            </w:r>
            <w:r>
              <w:rPr>
                <w:b w:val="0"/>
                <w:i w:val="0"/>
                <w:sz w:val="16"/>
                <w:u w:val="none"/>
              </w:rPr>
              <w:t>0x0d7e506b…</w:t>
            </w:r>
          </w:p>
        </w:tc>
      </w:tr>
      <w:tr>
        <w:tc>
          <w:tcPr>
            <w:tcW w:type="dxa" w:w="2280"/>
          </w:tcPr>
          <w:p>
            <w:pPr>
              <w:spacing w:line="240" w:lineRule="auto" w:before="0" w:after="0"/>
              <w:ind w:firstLine="0"/>
              <w:jc w:val="center"/>
            </w:pPr>
            <w:r>
              <w:rPr>
                <w:sz w:val="16"/>
              </w:rPr>
            </w:r>
            <w:r>
              <w:rPr>
                <w:b w:val="0"/>
                <w:i w:val="0"/>
                <w:sz w:val="16"/>
                <w:u w:val="none"/>
              </w:rPr>
              <w:t>5</w:t>
            </w:r>
          </w:p>
        </w:tc>
        <w:tc>
          <w:tcPr>
            <w:tcW w:type="dxa" w:w="2280"/>
          </w:tcPr>
          <w:p>
            <w:pPr>
              <w:spacing w:line="240" w:lineRule="auto" w:before="0" w:after="0"/>
              <w:ind w:firstLine="0"/>
            </w:pPr>
            <w:r>
              <w:rPr>
                <w:sz w:val="16"/>
              </w:rPr>
            </w:r>
            <w:r>
              <w:rPr>
                <w:b w:val="0"/>
                <w:i w:val="0"/>
                <w:sz w:val="16"/>
                <w:u w:val="none"/>
              </w:rPr>
              <w:t>SERVICE</w:t>
            </w:r>
          </w:p>
        </w:tc>
        <w:tc>
          <w:tcPr>
            <w:tcW w:type="dxa" w:w="2280"/>
          </w:tcPr>
          <w:p>
            <w:pPr>
              <w:spacing w:line="240" w:lineRule="auto" w:before="0" w:after="0"/>
              <w:ind w:firstLine="0"/>
            </w:pPr>
            <w:r>
              <w:rPr>
                <w:sz w:val="16"/>
              </w:rPr>
            </w:r>
            <w:r>
              <w:rPr>
                <w:b w:val="0"/>
                <w:i w:val="0"/>
                <w:sz w:val="16"/>
                <w:u w:val="none"/>
              </w:rPr>
              <w:t>8.0</w:t>
            </w:r>
          </w:p>
        </w:tc>
        <w:tc>
          <w:tcPr>
            <w:tcW w:type="dxa" w:w="2280"/>
          </w:tcPr>
          <w:p>
            <w:pPr>
              <w:spacing w:line="240" w:lineRule="auto" w:before="0" w:after="0"/>
              <w:ind w:firstLine="0"/>
            </w:pPr>
            <w:r>
              <w:rPr>
                <w:sz w:val="16"/>
              </w:rPr>
            </w:r>
            <w:r>
              <w:rPr>
                <w:b w:val="0"/>
                <w:i w:val="0"/>
                <w:sz w:val="16"/>
                <w:u w:val="none"/>
              </w:rPr>
              <w:t>Gateway</w:t>
            </w:r>
          </w:p>
        </w:tc>
        <w:tc>
          <w:tcPr>
            <w:tcW w:type="dxa" w:w="2280"/>
          </w:tcPr>
          <w:p>
            <w:pPr>
              <w:spacing w:line="240" w:lineRule="auto" w:before="0" w:after="0"/>
              <w:ind w:firstLine="0"/>
            </w:pPr>
            <w:r>
              <w:rPr>
                <w:sz w:val="16"/>
              </w:rPr>
            </w:r>
            <w:r>
              <w:rPr>
                <w:b w:val="0"/>
                <w:i w:val="0"/>
                <w:sz w:val="16"/>
                <w:u w:val="none"/>
              </w:rPr>
              <w:t>Operator</w:t>
            </w:r>
          </w:p>
        </w:tc>
        <w:tc>
          <w:tcPr>
            <w:tcW w:type="dxa" w:w="2280"/>
          </w:tcPr>
          <w:p>
            <w:pPr>
              <w:spacing w:line="240" w:lineRule="auto" w:before="0" w:after="0"/>
              <w:ind w:firstLine="0"/>
            </w:pPr>
            <w:r>
              <w:rPr>
                <w:sz w:val="16"/>
              </w:rPr>
            </w:r>
            <w:r>
              <w:rPr>
                <w:b w:val="0"/>
                <w:i w:val="0"/>
                <w:sz w:val="16"/>
                <w:u w:val="none"/>
              </w:rPr>
              <w:t>0xeacc17a4…</w:t>
            </w:r>
          </w:p>
        </w:tc>
      </w:tr>
      <w:tr>
        <w:tc>
          <w:tcPr>
            <w:tcW w:type="dxa" w:w="2280"/>
          </w:tcPr>
          <w:p>
            <w:pPr>
              <w:spacing w:line="240" w:lineRule="auto" w:before="0" w:after="0"/>
              <w:ind w:firstLine="0"/>
              <w:jc w:val="center"/>
            </w:pPr>
            <w:r>
              <w:rPr>
                <w:sz w:val="16"/>
              </w:rPr>
            </w:r>
            <w:r>
              <w:rPr>
                <w:b w:val="0"/>
                <w:i w:val="0"/>
                <w:sz w:val="16"/>
                <w:u w:val="none"/>
              </w:rPr>
              <w:t>6</w:t>
            </w:r>
          </w:p>
        </w:tc>
        <w:tc>
          <w:tcPr>
            <w:tcW w:type="dxa" w:w="2280"/>
          </w:tcPr>
          <w:p>
            <w:pPr>
              <w:spacing w:line="240" w:lineRule="auto" w:before="0" w:after="0"/>
              <w:ind w:firstLine="0"/>
            </w:pPr>
            <w:r>
              <w:rPr>
                <w:sz w:val="16"/>
              </w:rPr>
            </w:r>
            <w:r>
              <w:rPr>
                <w:b w:val="0"/>
                <w:i w:val="0"/>
                <w:sz w:val="16"/>
                <w:u w:val="none"/>
              </w:rPr>
              <w:t>GOODS</w:t>
            </w:r>
          </w:p>
        </w:tc>
        <w:tc>
          <w:tcPr>
            <w:tcW w:type="dxa" w:w="2280"/>
          </w:tcPr>
          <w:p>
            <w:pPr>
              <w:spacing w:line="240" w:lineRule="auto" w:before="0" w:after="0"/>
              <w:ind w:firstLine="0"/>
            </w:pPr>
            <w:r>
              <w:rPr>
                <w:sz w:val="16"/>
              </w:rPr>
            </w:r>
            <w:r>
              <w:rPr>
                <w:b w:val="0"/>
                <w:i w:val="0"/>
                <w:sz w:val="16"/>
                <w:u w:val="none"/>
              </w:rPr>
              <w:t>12.0</w:t>
            </w:r>
          </w:p>
        </w:tc>
        <w:tc>
          <w:tcPr>
            <w:tcW w:type="dxa" w:w="2280"/>
          </w:tcPr>
          <w:p>
            <w:pPr>
              <w:spacing w:line="240" w:lineRule="auto" w:before="0" w:after="0"/>
              <w:ind w:firstLine="0"/>
            </w:pPr>
            <w:r>
              <w:rPr>
                <w:sz w:val="16"/>
              </w:rPr>
            </w:r>
            <w:r>
              <w:rPr>
                <w:b w:val="0"/>
                <w:i w:val="0"/>
                <w:sz w:val="16"/>
                <w:u w:val="none"/>
              </w:rPr>
              <w:t>Merchant</w:t>
            </w:r>
          </w:p>
        </w:tc>
        <w:tc>
          <w:tcPr>
            <w:tcW w:type="dxa" w:w="2280"/>
          </w:tcPr>
          <w:p>
            <w:pPr>
              <w:spacing w:line="240" w:lineRule="auto" w:before="0" w:after="0"/>
              <w:ind w:firstLine="0"/>
            </w:pPr>
            <w:r>
              <w:rPr>
                <w:sz w:val="16"/>
              </w:rPr>
            </w:r>
            <w:r>
              <w:rPr>
                <w:b w:val="0"/>
                <w:i w:val="0"/>
                <w:sz w:val="16"/>
                <w:u w:val="none"/>
              </w:rPr>
              <w:t>Operator</w:t>
            </w:r>
          </w:p>
        </w:tc>
        <w:tc>
          <w:tcPr>
            <w:tcW w:type="dxa" w:w="2280"/>
          </w:tcPr>
          <w:p>
            <w:pPr>
              <w:spacing w:line="240" w:lineRule="auto" w:before="0" w:after="0"/>
              <w:ind w:firstLine="0"/>
            </w:pPr>
            <w:r>
              <w:rPr>
                <w:sz w:val="16"/>
              </w:rPr>
            </w:r>
            <w:r>
              <w:rPr>
                <w:b w:val="0"/>
                <w:i w:val="0"/>
                <w:sz w:val="16"/>
                <w:u w:val="none"/>
              </w:rPr>
              <w:t>0xb4972856…</w:t>
            </w:r>
          </w:p>
        </w:tc>
      </w:tr>
      <w:tr>
        <w:tc>
          <w:tcPr>
            <w:tcW w:type="dxa" w:w="2280"/>
          </w:tcPr>
          <w:p>
            <w:pPr>
              <w:spacing w:line="240" w:lineRule="auto" w:before="0" w:after="0"/>
              <w:ind w:firstLine="0"/>
              <w:jc w:val="center"/>
            </w:pPr>
            <w:r>
              <w:rPr>
                <w:sz w:val="16"/>
              </w:rPr>
            </w:r>
            <w:r>
              <w:rPr>
                <w:b w:val="0"/>
                <w:i w:val="0"/>
                <w:sz w:val="16"/>
                <w:u w:val="none"/>
              </w:rPr>
              <w:t>7</w:t>
            </w:r>
          </w:p>
        </w:tc>
        <w:tc>
          <w:tcPr>
            <w:tcW w:type="dxa" w:w="2280"/>
          </w:tcPr>
          <w:p>
            <w:pPr>
              <w:spacing w:line="240" w:lineRule="auto" w:before="0" w:after="0"/>
              <w:ind w:firstLine="0"/>
            </w:pPr>
            <w:r>
              <w:rPr>
                <w:sz w:val="16"/>
              </w:rPr>
            </w:r>
            <w:r>
              <w:rPr>
                <w:b w:val="0"/>
                <w:i w:val="0"/>
                <w:sz w:val="16"/>
                <w:u w:val="none"/>
              </w:rPr>
              <w:t>SERVICE</w:t>
            </w:r>
          </w:p>
        </w:tc>
        <w:tc>
          <w:tcPr>
            <w:tcW w:type="dxa" w:w="2280"/>
          </w:tcPr>
          <w:p>
            <w:pPr>
              <w:spacing w:line="240" w:lineRule="auto" w:before="0" w:after="0"/>
              <w:ind w:firstLine="0"/>
            </w:pPr>
            <w:r>
              <w:rPr>
                <w:sz w:val="16"/>
              </w:rPr>
            </w:r>
            <w:r>
              <w:rPr>
                <w:b w:val="0"/>
                <w:i w:val="0"/>
                <w:sz w:val="16"/>
                <w:u w:val="none"/>
              </w:rPr>
              <w:t>6.0</w:t>
            </w:r>
          </w:p>
        </w:tc>
        <w:tc>
          <w:tcPr>
            <w:tcW w:type="dxa" w:w="2280"/>
          </w:tcPr>
          <w:p>
            <w:pPr>
              <w:spacing w:line="240" w:lineRule="auto" w:before="0" w:after="0"/>
              <w:ind w:firstLine="0"/>
            </w:pPr>
            <w:r>
              <w:rPr>
                <w:sz w:val="16"/>
              </w:rPr>
            </w:r>
            <w:r>
              <w:rPr>
                <w:b w:val="0"/>
                <w:i w:val="0"/>
                <w:sz w:val="16"/>
                <w:u w:val="none"/>
              </w:rPr>
              <w:t>Gateway</w:t>
            </w:r>
          </w:p>
        </w:tc>
        <w:tc>
          <w:tcPr>
            <w:tcW w:type="dxa" w:w="2280"/>
          </w:tcPr>
          <w:p>
            <w:pPr>
              <w:spacing w:line="240" w:lineRule="auto" w:before="0" w:after="0"/>
              <w:ind w:firstLine="0"/>
            </w:pPr>
            <w:r>
              <w:rPr>
                <w:sz w:val="16"/>
              </w:rPr>
            </w:r>
            <w:r>
              <w:rPr>
                <w:b w:val="0"/>
                <w:i w:val="0"/>
                <w:sz w:val="16"/>
                <w:u w:val="none"/>
              </w:rPr>
              <w:t>Operator</w:t>
            </w:r>
          </w:p>
        </w:tc>
        <w:tc>
          <w:tcPr>
            <w:tcW w:type="dxa" w:w="2280"/>
          </w:tcPr>
          <w:p>
            <w:pPr>
              <w:spacing w:line="240" w:lineRule="auto" w:before="0" w:after="0"/>
              <w:ind w:firstLine="0"/>
            </w:pPr>
            <w:r>
              <w:rPr>
                <w:sz w:val="16"/>
              </w:rPr>
            </w:r>
            <w:r>
              <w:rPr>
                <w:b w:val="0"/>
                <w:i w:val="0"/>
                <w:sz w:val="16"/>
                <w:u w:val="none"/>
              </w:rPr>
              <w:t>0x7bf52655…</w:t>
            </w:r>
          </w:p>
        </w:tc>
      </w:tr>
      <w:tr>
        <w:tc>
          <w:tcPr>
            <w:tcW w:type="dxa" w:w="2280"/>
          </w:tcPr>
          <w:p>
            <w:pPr>
              <w:spacing w:line="240" w:lineRule="auto" w:before="0" w:after="0"/>
              <w:ind w:firstLine="0"/>
              <w:jc w:val="center"/>
            </w:pPr>
            <w:r>
              <w:rPr>
                <w:sz w:val="16"/>
              </w:rPr>
            </w:r>
            <w:r>
              <w:rPr>
                <w:b w:val="0"/>
                <w:i w:val="0"/>
                <w:sz w:val="16"/>
                <w:u w:val="none"/>
              </w:rPr>
              <w:t>8</w:t>
            </w:r>
          </w:p>
        </w:tc>
        <w:tc>
          <w:tcPr>
            <w:tcW w:type="dxa" w:w="2280"/>
          </w:tcPr>
          <w:p>
            <w:pPr>
              <w:spacing w:line="240" w:lineRule="auto" w:before="0" w:after="0"/>
              <w:ind w:firstLine="0"/>
            </w:pPr>
            <w:r>
              <w:rPr>
                <w:sz w:val="16"/>
              </w:rPr>
            </w:r>
            <w:r>
              <w:rPr>
                <w:b w:val="0"/>
                <w:i w:val="0"/>
                <w:sz w:val="16"/>
                <w:u w:val="none"/>
              </w:rPr>
              <w:t>LABOR</w:t>
            </w:r>
          </w:p>
        </w:tc>
        <w:tc>
          <w:tcPr>
            <w:tcW w:type="dxa" w:w="2280"/>
          </w:tcPr>
          <w:p>
            <w:pPr>
              <w:spacing w:line="240" w:lineRule="auto" w:before="0" w:after="0"/>
              <w:ind w:firstLine="0"/>
            </w:pPr>
            <w:r>
              <w:rPr>
                <w:sz w:val="16"/>
              </w:rPr>
            </w:r>
            <w:r>
              <w:rPr>
                <w:b w:val="0"/>
                <w:i w:val="0"/>
                <w:sz w:val="16"/>
                <w:u w:val="none"/>
              </w:rPr>
              <w:t>10.0</w:t>
            </w:r>
          </w:p>
        </w:tc>
        <w:tc>
          <w:tcPr>
            <w:tcW w:type="dxa" w:w="2280"/>
          </w:tcPr>
          <w:p>
            <w:pPr>
              <w:spacing w:line="240" w:lineRule="auto" w:before="0" w:after="0"/>
              <w:ind w:firstLine="0"/>
            </w:pPr>
            <w:r>
              <w:rPr>
                <w:sz w:val="16"/>
              </w:rPr>
            </w:r>
            <w:r>
              <w:rPr>
                <w:b w:val="0"/>
                <w:i w:val="0"/>
                <w:sz w:val="16"/>
                <w:u w:val="none"/>
              </w:rPr>
              <w:t>Maintenance</w:t>
            </w:r>
          </w:p>
        </w:tc>
        <w:tc>
          <w:tcPr>
            <w:tcW w:type="dxa" w:w="2280"/>
          </w:tcPr>
          <w:p>
            <w:pPr>
              <w:spacing w:line="240" w:lineRule="auto" w:before="0" w:after="0"/>
              <w:ind w:firstLine="0"/>
            </w:pPr>
            <w:r>
              <w:rPr>
                <w:sz w:val="16"/>
              </w:rPr>
            </w:r>
            <w:r>
              <w:rPr>
                <w:b w:val="0"/>
                <w:i w:val="0"/>
                <w:sz w:val="16"/>
                <w:u w:val="none"/>
              </w:rPr>
              <w:t>Operator</w:t>
            </w:r>
          </w:p>
        </w:tc>
        <w:tc>
          <w:tcPr>
            <w:tcW w:type="dxa" w:w="2280"/>
          </w:tcPr>
          <w:p>
            <w:pPr>
              <w:spacing w:line="240" w:lineRule="auto" w:before="0" w:after="0"/>
              <w:ind w:firstLine="0"/>
            </w:pPr>
            <w:r>
              <w:rPr>
                <w:sz w:val="16"/>
              </w:rPr>
            </w:r>
            <w:r>
              <w:rPr>
                <w:b w:val="0"/>
                <w:i w:val="0"/>
                <w:sz w:val="16"/>
                <w:u w:val="none"/>
              </w:rPr>
              <w:t>0x1f7cd596…</w:t>
            </w:r>
          </w:p>
        </w:tc>
      </w:tr>
      <w:tr>
        <w:tc>
          <w:tcPr>
            <w:tcW w:type="dxa" w:w="2280"/>
          </w:tcPr>
          <w:p>
            <w:pPr>
              <w:spacing w:line="240" w:lineRule="auto" w:before="0" w:after="0"/>
              <w:ind w:firstLine="0"/>
              <w:jc w:val="center"/>
            </w:pPr>
            <w:r>
              <w:rPr>
                <w:sz w:val="16"/>
              </w:rPr>
            </w:r>
            <w:r>
              <w:rPr>
                <w:b w:val="0"/>
                <w:i w:val="0"/>
                <w:sz w:val="16"/>
                <w:u w:val="none"/>
              </w:rPr>
              <w:t>9</w:t>
            </w:r>
          </w:p>
        </w:tc>
        <w:tc>
          <w:tcPr>
            <w:tcW w:type="dxa" w:w="2280"/>
          </w:tcPr>
          <w:p>
            <w:pPr>
              <w:spacing w:line="240" w:lineRule="auto" w:before="0" w:after="0"/>
              <w:ind w:firstLine="0"/>
            </w:pPr>
            <w:r>
              <w:rPr>
                <w:sz w:val="16"/>
              </w:rPr>
            </w:r>
            <w:r>
              <w:rPr>
                <w:b w:val="0"/>
                <w:i w:val="0"/>
                <w:sz w:val="16"/>
                <w:u w:val="none"/>
              </w:rPr>
              <w:t>GOODS</w:t>
            </w:r>
          </w:p>
        </w:tc>
        <w:tc>
          <w:tcPr>
            <w:tcW w:type="dxa" w:w="2280"/>
          </w:tcPr>
          <w:p>
            <w:pPr>
              <w:spacing w:line="240" w:lineRule="auto" w:before="0" w:after="0"/>
              <w:ind w:firstLine="0"/>
            </w:pPr>
            <w:r>
              <w:rPr>
                <w:sz w:val="16"/>
              </w:rPr>
            </w:r>
            <w:r>
              <w:rPr>
                <w:b w:val="0"/>
                <w:i w:val="0"/>
                <w:sz w:val="16"/>
                <w:u w:val="none"/>
              </w:rPr>
              <w:t>14.0</w:t>
            </w:r>
          </w:p>
        </w:tc>
        <w:tc>
          <w:tcPr>
            <w:tcW w:type="dxa" w:w="2280"/>
          </w:tcPr>
          <w:p>
            <w:pPr>
              <w:spacing w:line="240" w:lineRule="auto" w:before="0" w:after="0"/>
              <w:ind w:firstLine="0"/>
            </w:pPr>
            <w:r>
              <w:rPr>
                <w:sz w:val="16"/>
              </w:rPr>
            </w:r>
            <w:r>
              <w:rPr>
                <w:b w:val="0"/>
                <w:i w:val="0"/>
                <w:sz w:val="16"/>
                <w:u w:val="none"/>
              </w:rPr>
              <w:t>Merchant</w:t>
            </w:r>
          </w:p>
        </w:tc>
        <w:tc>
          <w:tcPr>
            <w:tcW w:type="dxa" w:w="2280"/>
          </w:tcPr>
          <w:p>
            <w:pPr>
              <w:spacing w:line="240" w:lineRule="auto" w:before="0" w:after="0"/>
              <w:ind w:firstLine="0"/>
            </w:pPr>
            <w:r>
              <w:rPr>
                <w:sz w:val="16"/>
              </w:rPr>
            </w:r>
            <w:r>
              <w:rPr>
                <w:b w:val="0"/>
                <w:i w:val="0"/>
                <w:sz w:val="16"/>
                <w:u w:val="none"/>
              </w:rPr>
              <w:t>Operator</w:t>
            </w:r>
          </w:p>
        </w:tc>
        <w:tc>
          <w:tcPr>
            <w:tcW w:type="dxa" w:w="2280"/>
          </w:tcPr>
          <w:p>
            <w:pPr>
              <w:spacing w:line="240" w:lineRule="auto" w:before="0" w:after="0"/>
              <w:ind w:firstLine="0"/>
            </w:pPr>
            <w:r>
              <w:rPr>
                <w:sz w:val="16"/>
              </w:rPr>
            </w:r>
            <w:r>
              <w:rPr>
                <w:b w:val="0"/>
                <w:i w:val="0"/>
                <w:sz w:val="16"/>
                <w:u w:val="none"/>
              </w:rPr>
              <w:t>0x3b912b39…</w:t>
            </w:r>
          </w:p>
        </w:tc>
      </w:tr>
      <w:tr>
        <w:tc>
          <w:tcPr>
            <w:tcW w:type="dxa" w:w="2280"/>
          </w:tcPr>
          <w:p>
            <w:pPr>
              <w:spacing w:line="240" w:lineRule="auto" w:before="0" w:after="0"/>
              <w:ind w:firstLine="0"/>
              <w:jc w:val="center"/>
            </w:pPr>
            <w:r>
              <w:rPr>
                <w:sz w:val="16"/>
              </w:rPr>
            </w:r>
            <w:r>
              <w:rPr>
                <w:b w:val="0"/>
                <w:i w:val="0"/>
                <w:sz w:val="16"/>
                <w:u w:val="none"/>
              </w:rPr>
              <w:t>10</w:t>
            </w:r>
          </w:p>
        </w:tc>
        <w:tc>
          <w:tcPr>
            <w:tcW w:type="dxa" w:w="2280"/>
          </w:tcPr>
          <w:p>
            <w:pPr>
              <w:spacing w:line="240" w:lineRule="auto" w:before="0" w:after="0"/>
              <w:ind w:firstLine="0"/>
            </w:pPr>
            <w:r>
              <w:rPr>
                <w:sz w:val="16"/>
              </w:rPr>
            </w:r>
            <w:r>
              <w:rPr>
                <w:b w:val="0"/>
                <w:i w:val="0"/>
                <w:sz w:val="16"/>
                <w:u w:val="none"/>
              </w:rPr>
              <w:t>NETWORK</w:t>
            </w:r>
          </w:p>
        </w:tc>
        <w:tc>
          <w:tcPr>
            <w:tcW w:type="dxa" w:w="2280"/>
          </w:tcPr>
          <w:p>
            <w:pPr>
              <w:spacing w:line="240" w:lineRule="auto" w:before="0" w:after="0"/>
              <w:ind w:firstLine="0"/>
            </w:pPr>
            <w:r>
              <w:rPr>
                <w:sz w:val="16"/>
              </w:rPr>
            </w:r>
            <w:r>
              <w:rPr>
                <w:b w:val="0"/>
                <w:i w:val="0"/>
                <w:sz w:val="16"/>
                <w:u w:val="none"/>
              </w:rPr>
              <w:t>8.0</w:t>
            </w:r>
          </w:p>
        </w:tc>
        <w:tc>
          <w:tcPr>
            <w:tcW w:type="dxa" w:w="2280"/>
          </w:tcPr>
          <w:p>
            <w:pPr>
              <w:spacing w:line="240" w:lineRule="auto" w:before="0" w:after="0"/>
              <w:ind w:firstLine="0"/>
            </w:pPr>
            <w:r>
              <w:rPr>
                <w:sz w:val="16"/>
              </w:rPr>
            </w:r>
            <w:r>
              <w:rPr>
                <w:b w:val="0"/>
                <w:i w:val="0"/>
                <w:sz w:val="16"/>
                <w:u w:val="none"/>
              </w:rPr>
              <w:t>Network peer</w:t>
            </w:r>
          </w:p>
        </w:tc>
        <w:tc>
          <w:tcPr>
            <w:tcW w:type="dxa" w:w="2280"/>
          </w:tcPr>
          <w:p>
            <w:pPr>
              <w:spacing w:line="240" w:lineRule="auto" w:before="0" w:after="0"/>
              <w:ind w:firstLine="0"/>
            </w:pPr>
            <w:r>
              <w:rPr>
                <w:sz w:val="16"/>
              </w:rPr>
            </w:r>
            <w:r>
              <w:rPr>
                <w:b w:val="0"/>
                <w:i w:val="0"/>
                <w:sz w:val="16"/>
                <w:u w:val="none"/>
              </w:rPr>
              <w:t>Operator</w:t>
            </w:r>
          </w:p>
        </w:tc>
        <w:tc>
          <w:tcPr>
            <w:tcW w:type="dxa" w:w="2280"/>
          </w:tcPr>
          <w:p>
            <w:pPr>
              <w:spacing w:line="240" w:lineRule="auto" w:before="0" w:after="0"/>
              <w:ind w:firstLine="0"/>
            </w:pPr>
            <w:r>
              <w:rPr>
                <w:sz w:val="16"/>
              </w:rPr>
            </w:r>
            <w:r>
              <w:rPr>
                <w:b w:val="0"/>
                <w:i w:val="0"/>
                <w:sz w:val="16"/>
                <w:u w:val="none"/>
              </w:rPr>
              <w:t>0x100b4dec…</w:t>
            </w:r>
          </w:p>
        </w:tc>
      </w:tr>
      <w:tr>
        <w:tc>
          <w:tcPr>
            <w:tcW w:type="dxa" w:w="2280"/>
          </w:tcPr>
          <w:p>
            <w:pPr>
              <w:spacing w:line="240" w:lineRule="auto" w:before="0" w:after="0"/>
              <w:ind w:firstLine="0"/>
              <w:jc w:val="center"/>
            </w:pPr>
            <w:r>
              <w:rPr>
                <w:sz w:val="16"/>
              </w:rPr>
            </w:r>
            <w:r>
              <w:rPr>
                <w:b w:val="0"/>
                <w:i w:val="0"/>
                <w:sz w:val="16"/>
                <w:u w:val="none"/>
              </w:rPr>
              <w:t>11</w:t>
            </w:r>
          </w:p>
        </w:tc>
        <w:tc>
          <w:tcPr>
            <w:tcW w:type="dxa" w:w="2280"/>
          </w:tcPr>
          <w:p>
            <w:pPr>
              <w:spacing w:line="240" w:lineRule="auto" w:before="0" w:after="0"/>
              <w:ind w:firstLine="0"/>
            </w:pPr>
            <w:r>
              <w:rPr>
                <w:sz w:val="16"/>
              </w:rPr>
            </w:r>
            <w:r>
              <w:rPr>
                <w:b w:val="0"/>
                <w:i w:val="0"/>
                <w:sz w:val="16"/>
                <w:u w:val="none"/>
              </w:rPr>
              <w:t>SERVICE</w:t>
            </w:r>
          </w:p>
        </w:tc>
        <w:tc>
          <w:tcPr>
            <w:tcW w:type="dxa" w:w="2280"/>
          </w:tcPr>
          <w:p>
            <w:pPr>
              <w:spacing w:line="240" w:lineRule="auto" w:before="0" w:after="0"/>
              <w:ind w:firstLine="0"/>
            </w:pPr>
            <w:r>
              <w:rPr>
                <w:sz w:val="16"/>
              </w:rPr>
            </w:r>
            <w:r>
              <w:rPr>
                <w:b w:val="0"/>
                <w:i w:val="0"/>
                <w:sz w:val="16"/>
                <w:u w:val="none"/>
              </w:rPr>
              <w:t>6.0</w:t>
            </w:r>
          </w:p>
        </w:tc>
        <w:tc>
          <w:tcPr>
            <w:tcW w:type="dxa" w:w="2280"/>
          </w:tcPr>
          <w:p>
            <w:pPr>
              <w:spacing w:line="240" w:lineRule="auto" w:before="0" w:after="0"/>
              <w:ind w:firstLine="0"/>
            </w:pPr>
            <w:r>
              <w:rPr>
                <w:sz w:val="16"/>
              </w:rPr>
            </w:r>
            <w:r>
              <w:rPr>
                <w:b w:val="0"/>
                <w:i w:val="0"/>
                <w:sz w:val="16"/>
                <w:u w:val="none"/>
              </w:rPr>
              <w:t>Gateway</w:t>
            </w:r>
          </w:p>
        </w:tc>
        <w:tc>
          <w:tcPr>
            <w:tcW w:type="dxa" w:w="2280"/>
          </w:tcPr>
          <w:p>
            <w:pPr>
              <w:spacing w:line="240" w:lineRule="auto" w:before="0" w:after="0"/>
              <w:ind w:firstLine="0"/>
            </w:pPr>
            <w:r>
              <w:rPr>
                <w:sz w:val="16"/>
              </w:rPr>
            </w:r>
            <w:r>
              <w:rPr>
                <w:b w:val="0"/>
                <w:i w:val="0"/>
                <w:sz w:val="16"/>
                <w:u w:val="none"/>
              </w:rPr>
              <w:t>Operator</w:t>
            </w:r>
          </w:p>
        </w:tc>
        <w:tc>
          <w:tcPr>
            <w:tcW w:type="dxa" w:w="2280"/>
          </w:tcPr>
          <w:p>
            <w:pPr>
              <w:spacing w:line="240" w:lineRule="auto" w:before="0" w:after="0"/>
              <w:ind w:firstLine="0"/>
            </w:pPr>
            <w:r>
              <w:rPr>
                <w:sz w:val="16"/>
              </w:rPr>
            </w:r>
            <w:r>
              <w:rPr>
                <w:b w:val="0"/>
                <w:i w:val="0"/>
                <w:sz w:val="16"/>
                <w:u w:val="none"/>
              </w:rPr>
              <w:t>0x7d68647a…</w:t>
            </w:r>
          </w:p>
        </w:tc>
      </w:tr>
      <w:tr>
        <w:tc>
          <w:tcPr>
            <w:tcW w:type="dxa" w:w="2280"/>
          </w:tcPr>
          <w:p>
            <w:pPr>
              <w:spacing w:line="240" w:lineRule="auto" w:before="0" w:after="0"/>
              <w:ind w:firstLine="0"/>
              <w:jc w:val="center"/>
            </w:pPr>
            <w:r>
              <w:rPr>
                <w:sz w:val="16"/>
              </w:rPr>
            </w:r>
            <w:r>
              <w:rPr>
                <w:b w:val="0"/>
                <w:i w:val="0"/>
                <w:sz w:val="16"/>
                <w:u w:val="none"/>
              </w:rPr>
              <w:t>12</w:t>
            </w:r>
          </w:p>
        </w:tc>
        <w:tc>
          <w:tcPr>
            <w:tcW w:type="dxa" w:w="2280"/>
          </w:tcPr>
          <w:p>
            <w:pPr>
              <w:spacing w:line="240" w:lineRule="auto" w:before="0" w:after="0"/>
              <w:ind w:firstLine="0"/>
            </w:pPr>
            <w:r>
              <w:rPr>
                <w:sz w:val="16"/>
              </w:rPr>
            </w:r>
            <w:r>
              <w:rPr>
                <w:b w:val="0"/>
                <w:i w:val="0"/>
                <w:sz w:val="16"/>
                <w:u w:val="none"/>
              </w:rPr>
              <w:t>LABOR</w:t>
            </w:r>
          </w:p>
        </w:tc>
        <w:tc>
          <w:tcPr>
            <w:tcW w:type="dxa" w:w="2280"/>
          </w:tcPr>
          <w:p>
            <w:pPr>
              <w:spacing w:line="240" w:lineRule="auto" w:before="0" w:after="0"/>
              <w:ind w:firstLine="0"/>
            </w:pPr>
            <w:r>
              <w:rPr>
                <w:sz w:val="16"/>
              </w:rPr>
            </w:r>
            <w:r>
              <w:rPr>
                <w:b w:val="0"/>
                <w:i w:val="0"/>
                <w:sz w:val="16"/>
                <w:u w:val="none"/>
              </w:rPr>
              <w:t>10.0</w:t>
            </w:r>
          </w:p>
        </w:tc>
        <w:tc>
          <w:tcPr>
            <w:tcW w:type="dxa" w:w="2280"/>
          </w:tcPr>
          <w:p>
            <w:pPr>
              <w:spacing w:line="240" w:lineRule="auto" w:before="0" w:after="0"/>
              <w:ind w:firstLine="0"/>
            </w:pPr>
            <w:r>
              <w:rPr>
                <w:sz w:val="16"/>
              </w:rPr>
            </w:r>
            <w:r>
              <w:rPr>
                <w:b w:val="0"/>
                <w:i w:val="0"/>
                <w:sz w:val="16"/>
                <w:u w:val="none"/>
              </w:rPr>
              <w:t>Maintenance</w:t>
            </w:r>
          </w:p>
        </w:tc>
        <w:tc>
          <w:tcPr>
            <w:tcW w:type="dxa" w:w="2280"/>
          </w:tcPr>
          <w:p>
            <w:pPr>
              <w:spacing w:line="240" w:lineRule="auto" w:before="0" w:after="0"/>
              <w:ind w:firstLine="0"/>
            </w:pPr>
            <w:r>
              <w:rPr>
                <w:sz w:val="16"/>
              </w:rPr>
            </w:r>
            <w:r>
              <w:rPr>
                <w:b w:val="0"/>
                <w:i w:val="0"/>
                <w:sz w:val="16"/>
                <w:u w:val="none"/>
              </w:rPr>
              <w:t>Operator</w:t>
            </w:r>
          </w:p>
        </w:tc>
        <w:tc>
          <w:tcPr>
            <w:tcW w:type="dxa" w:w="2280"/>
          </w:tcPr>
          <w:p>
            <w:pPr>
              <w:spacing w:line="240" w:lineRule="auto" w:before="0" w:after="0"/>
              <w:ind w:firstLine="0"/>
            </w:pPr>
            <w:r>
              <w:rPr>
                <w:sz w:val="16"/>
              </w:rPr>
            </w:r>
            <w:r>
              <w:rPr>
                <w:b w:val="0"/>
                <w:i w:val="0"/>
                <w:sz w:val="16"/>
                <w:u w:val="none"/>
              </w:rPr>
              <w:t>0xc1eb24c0…</w:t>
            </w:r>
          </w:p>
        </w:tc>
      </w:tr>
      <w:tr>
        <w:tc>
          <w:tcPr>
            <w:tcW w:type="dxa" w:w="2280"/>
          </w:tcPr>
          <w:p>
            <w:pPr>
              <w:spacing w:line="240" w:lineRule="auto" w:before="0" w:after="0"/>
              <w:ind w:firstLine="0"/>
              <w:jc w:val="center"/>
            </w:pPr>
            <w:r>
              <w:rPr>
                <w:sz w:val="16"/>
              </w:rPr>
            </w:r>
            <w:r>
              <w:rPr>
                <w:b w:val="0"/>
                <w:i w:val="0"/>
                <w:sz w:val="16"/>
                <w:u w:val="none"/>
              </w:rPr>
              <w:t>13</w:t>
            </w:r>
          </w:p>
        </w:tc>
        <w:tc>
          <w:tcPr>
            <w:tcW w:type="dxa" w:w="2280"/>
          </w:tcPr>
          <w:p>
            <w:pPr>
              <w:spacing w:line="240" w:lineRule="auto" w:before="0" w:after="0"/>
              <w:ind w:firstLine="0"/>
            </w:pPr>
            <w:r>
              <w:rPr>
                <w:sz w:val="16"/>
              </w:rPr>
            </w:r>
            <w:r>
              <w:rPr>
                <w:b w:val="0"/>
                <w:i w:val="0"/>
                <w:sz w:val="16"/>
                <w:u w:val="none"/>
              </w:rPr>
              <w:t>GOODS</w:t>
            </w:r>
          </w:p>
        </w:tc>
        <w:tc>
          <w:tcPr>
            <w:tcW w:type="dxa" w:w="2280"/>
          </w:tcPr>
          <w:p>
            <w:pPr>
              <w:spacing w:line="240" w:lineRule="auto" w:before="0" w:after="0"/>
              <w:ind w:firstLine="0"/>
            </w:pPr>
            <w:r>
              <w:rPr>
                <w:sz w:val="16"/>
              </w:rPr>
            </w:r>
            <w:r>
              <w:rPr>
                <w:b w:val="0"/>
                <w:i w:val="0"/>
                <w:sz w:val="16"/>
                <w:u w:val="none"/>
              </w:rPr>
              <w:t>14.0</w:t>
            </w:r>
          </w:p>
        </w:tc>
        <w:tc>
          <w:tcPr>
            <w:tcW w:type="dxa" w:w="2280"/>
          </w:tcPr>
          <w:p>
            <w:pPr>
              <w:spacing w:line="240" w:lineRule="auto" w:before="0" w:after="0"/>
              <w:ind w:firstLine="0"/>
            </w:pPr>
            <w:r>
              <w:rPr>
                <w:sz w:val="16"/>
              </w:rPr>
            </w:r>
            <w:r>
              <w:rPr>
                <w:b w:val="0"/>
                <w:i w:val="0"/>
                <w:sz w:val="16"/>
                <w:u w:val="none"/>
              </w:rPr>
              <w:t>Merchant</w:t>
            </w:r>
          </w:p>
        </w:tc>
        <w:tc>
          <w:tcPr>
            <w:tcW w:type="dxa" w:w="2280"/>
          </w:tcPr>
          <w:p>
            <w:pPr>
              <w:spacing w:line="240" w:lineRule="auto" w:before="0" w:after="0"/>
              <w:ind w:firstLine="0"/>
            </w:pPr>
            <w:r>
              <w:rPr>
                <w:sz w:val="16"/>
              </w:rPr>
            </w:r>
            <w:r>
              <w:rPr>
                <w:b w:val="0"/>
                <w:i w:val="0"/>
                <w:sz w:val="16"/>
                <w:u w:val="none"/>
              </w:rPr>
              <w:t>Operator</w:t>
            </w:r>
          </w:p>
        </w:tc>
        <w:tc>
          <w:tcPr>
            <w:tcW w:type="dxa" w:w="2280"/>
          </w:tcPr>
          <w:p>
            <w:pPr>
              <w:spacing w:line="240" w:lineRule="auto" w:before="0" w:after="0"/>
              <w:ind w:firstLine="0"/>
            </w:pPr>
            <w:r>
              <w:rPr>
                <w:sz w:val="16"/>
              </w:rPr>
            </w:r>
            <w:r>
              <w:rPr>
                <w:b w:val="0"/>
                <w:i w:val="0"/>
                <w:sz w:val="16"/>
                <w:u w:val="none"/>
              </w:rPr>
              <w:t>0xd01d4ab8…</w:t>
            </w:r>
          </w:p>
        </w:tc>
      </w:tr>
      <w:tr>
        <w:tc>
          <w:tcPr>
            <w:tcW w:type="dxa" w:w="2280"/>
          </w:tcPr>
          <w:p>
            <w:pPr>
              <w:spacing w:line="240" w:lineRule="auto" w:before="0" w:after="0"/>
              <w:ind w:firstLine="0"/>
              <w:jc w:val="center"/>
            </w:pPr>
            <w:r>
              <w:rPr>
                <w:sz w:val="16"/>
              </w:rPr>
            </w:r>
            <w:r>
              <w:rPr>
                <w:b w:val="0"/>
                <w:i w:val="0"/>
                <w:sz w:val="16"/>
                <w:u w:val="none"/>
              </w:rPr>
              <w:t>14</w:t>
            </w:r>
          </w:p>
        </w:tc>
        <w:tc>
          <w:tcPr>
            <w:tcW w:type="dxa" w:w="2280"/>
          </w:tcPr>
          <w:p>
            <w:pPr>
              <w:spacing w:line="240" w:lineRule="auto" w:before="0" w:after="0"/>
              <w:ind w:firstLine="0"/>
            </w:pPr>
            <w:r>
              <w:rPr>
                <w:sz w:val="16"/>
              </w:rPr>
            </w:r>
            <w:r>
              <w:rPr>
                <w:b w:val="0"/>
                <w:i w:val="0"/>
                <w:sz w:val="16"/>
                <w:u w:val="none"/>
              </w:rPr>
              <w:t>NETWORK</w:t>
            </w:r>
          </w:p>
        </w:tc>
        <w:tc>
          <w:tcPr>
            <w:tcW w:type="dxa" w:w="2280"/>
          </w:tcPr>
          <w:p>
            <w:pPr>
              <w:spacing w:line="240" w:lineRule="auto" w:before="0" w:after="0"/>
              <w:ind w:firstLine="0"/>
            </w:pPr>
            <w:r>
              <w:rPr>
                <w:sz w:val="16"/>
              </w:rPr>
            </w:r>
            <w:r>
              <w:rPr>
                <w:b w:val="0"/>
                <w:i w:val="0"/>
                <w:sz w:val="16"/>
                <w:u w:val="none"/>
              </w:rPr>
              <w:t>8.0</w:t>
            </w:r>
          </w:p>
        </w:tc>
        <w:tc>
          <w:tcPr>
            <w:tcW w:type="dxa" w:w="2280"/>
          </w:tcPr>
          <w:p>
            <w:pPr>
              <w:spacing w:line="240" w:lineRule="auto" w:before="0" w:after="0"/>
              <w:ind w:firstLine="0"/>
            </w:pPr>
            <w:r>
              <w:rPr>
                <w:sz w:val="16"/>
              </w:rPr>
            </w:r>
            <w:r>
              <w:rPr>
                <w:b w:val="0"/>
                <w:i w:val="0"/>
                <w:sz w:val="16"/>
                <w:u w:val="none"/>
              </w:rPr>
              <w:t>Network peer</w:t>
            </w:r>
          </w:p>
        </w:tc>
        <w:tc>
          <w:tcPr>
            <w:tcW w:type="dxa" w:w="2280"/>
          </w:tcPr>
          <w:p>
            <w:pPr>
              <w:spacing w:line="240" w:lineRule="auto" w:before="0" w:after="0"/>
              <w:ind w:firstLine="0"/>
            </w:pPr>
            <w:r>
              <w:rPr>
                <w:sz w:val="16"/>
              </w:rPr>
            </w:r>
            <w:r>
              <w:rPr>
                <w:b w:val="0"/>
                <w:i w:val="0"/>
                <w:sz w:val="16"/>
                <w:u w:val="none"/>
              </w:rPr>
              <w:t>Operator</w:t>
            </w:r>
          </w:p>
        </w:tc>
        <w:tc>
          <w:tcPr>
            <w:tcW w:type="dxa" w:w="2280"/>
          </w:tcPr>
          <w:p>
            <w:pPr>
              <w:spacing w:line="240" w:lineRule="auto" w:before="0" w:after="0"/>
              <w:ind w:firstLine="0"/>
            </w:pPr>
            <w:r>
              <w:rPr>
                <w:sz w:val="16"/>
              </w:rPr>
            </w:r>
            <w:r>
              <w:rPr>
                <w:b w:val="0"/>
                <w:i w:val="0"/>
                <w:sz w:val="16"/>
                <w:u w:val="none"/>
              </w:rPr>
              <w:t>0x2b8e8efb…</w:t>
            </w:r>
          </w:p>
        </w:tc>
      </w:tr>
      <w:tr>
        <w:tc>
          <w:tcPr>
            <w:tcW w:type="dxa" w:w="2280"/>
          </w:tcPr>
          <w:p>
            <w:pPr>
              <w:spacing w:line="240" w:lineRule="auto" w:before="0" w:after="0"/>
              <w:ind w:firstLine="0"/>
              <w:jc w:val="center"/>
            </w:pPr>
            <w:r>
              <w:rPr>
                <w:sz w:val="16"/>
              </w:rPr>
            </w:r>
            <w:r>
              <w:rPr>
                <w:b w:val="0"/>
                <w:i w:val="0"/>
                <w:sz w:val="16"/>
                <w:u w:val="none"/>
              </w:rPr>
              <w:t>15</w:t>
            </w:r>
          </w:p>
        </w:tc>
        <w:tc>
          <w:tcPr>
            <w:tcW w:type="dxa" w:w="2280"/>
          </w:tcPr>
          <w:p>
            <w:pPr>
              <w:spacing w:line="240" w:lineRule="auto" w:before="0" w:after="0"/>
              <w:ind w:firstLine="0"/>
            </w:pPr>
            <w:r>
              <w:rPr>
                <w:sz w:val="16"/>
              </w:rPr>
            </w:r>
            <w:r>
              <w:rPr>
                <w:b w:val="0"/>
                <w:i w:val="0"/>
                <w:sz w:val="16"/>
                <w:u w:val="none"/>
              </w:rPr>
              <w:t>GOODS</w:t>
            </w:r>
          </w:p>
        </w:tc>
        <w:tc>
          <w:tcPr>
            <w:tcW w:type="dxa" w:w="2280"/>
          </w:tcPr>
          <w:p>
            <w:pPr>
              <w:spacing w:line="240" w:lineRule="auto" w:before="0" w:after="0"/>
              <w:ind w:firstLine="0"/>
            </w:pPr>
            <w:r>
              <w:rPr>
                <w:sz w:val="16"/>
              </w:rPr>
            </w:r>
            <w:r>
              <w:rPr>
                <w:b w:val="0"/>
                <w:i w:val="0"/>
                <w:sz w:val="16"/>
                <w:u w:val="none"/>
              </w:rPr>
              <w:t>5.0</w:t>
            </w:r>
          </w:p>
        </w:tc>
        <w:tc>
          <w:tcPr>
            <w:tcW w:type="dxa" w:w="2280"/>
          </w:tcPr>
          <w:p>
            <w:pPr>
              <w:spacing w:line="240" w:lineRule="auto" w:before="0" w:after="0"/>
              <w:ind w:firstLine="0"/>
            </w:pPr>
            <w:r>
              <w:rPr>
                <w:sz w:val="16"/>
              </w:rPr>
            </w:r>
            <w:r>
              <w:rPr>
                <w:b w:val="0"/>
                <w:i w:val="0"/>
                <w:sz w:val="16"/>
                <w:u w:val="none"/>
              </w:rPr>
              <w:t>Merchant</w:t>
            </w:r>
          </w:p>
        </w:tc>
        <w:tc>
          <w:tcPr>
            <w:tcW w:type="dxa" w:w="2280"/>
          </w:tcPr>
          <w:p>
            <w:pPr>
              <w:spacing w:line="240" w:lineRule="auto" w:before="0" w:after="0"/>
              <w:ind w:firstLine="0"/>
            </w:pPr>
            <w:r>
              <w:rPr>
                <w:sz w:val="16"/>
              </w:rPr>
            </w:r>
            <w:r>
              <w:rPr>
                <w:b w:val="0"/>
                <w:i w:val="0"/>
                <w:sz w:val="16"/>
                <w:u w:val="none"/>
              </w:rPr>
              <w:t>Pilot payer</w:t>
            </w:r>
          </w:p>
        </w:tc>
        <w:tc>
          <w:tcPr>
            <w:tcW w:type="dxa" w:w="2280"/>
          </w:tcPr>
          <w:p>
            <w:pPr>
              <w:spacing w:line="240" w:lineRule="auto" w:before="0" w:after="0"/>
              <w:ind w:firstLine="0"/>
            </w:pPr>
            <w:r>
              <w:rPr>
                <w:sz w:val="16"/>
              </w:rPr>
            </w:r>
            <w:r>
              <w:rPr>
                <w:b w:val="0"/>
                <w:i w:val="0"/>
                <w:sz w:val="16"/>
                <w:u w:val="none"/>
              </w:rPr>
              <w:t>0xbd7bb0e5…</w:t>
            </w:r>
          </w:p>
        </w:tc>
      </w:tr>
      <w:tr>
        <w:tc>
          <w:tcPr>
            <w:tcW w:type="dxa" w:w="2280"/>
          </w:tcPr>
          <w:p>
            <w:pPr>
              <w:spacing w:line="240" w:lineRule="auto" w:before="0" w:after="0"/>
              <w:ind w:firstLine="0"/>
              <w:jc w:val="center"/>
            </w:pPr>
            <w:r>
              <w:rPr>
                <w:sz w:val="16"/>
              </w:rPr>
            </w:r>
            <w:r>
              <w:rPr>
                <w:b w:val="0"/>
                <w:i w:val="0"/>
                <w:sz w:val="16"/>
                <w:u w:val="none"/>
              </w:rPr>
              <w:t>16</w:t>
            </w:r>
          </w:p>
        </w:tc>
        <w:tc>
          <w:tcPr>
            <w:tcW w:type="dxa" w:w="2280"/>
          </w:tcPr>
          <w:p>
            <w:pPr>
              <w:spacing w:line="240" w:lineRule="auto" w:before="0" w:after="0"/>
              <w:ind w:firstLine="0"/>
            </w:pPr>
            <w:r>
              <w:rPr>
                <w:sz w:val="16"/>
              </w:rPr>
            </w:r>
            <w:r>
              <w:rPr>
                <w:b w:val="0"/>
                <w:i w:val="0"/>
                <w:sz w:val="16"/>
                <w:u w:val="none"/>
              </w:rPr>
              <w:t>SERVICE</w:t>
            </w:r>
          </w:p>
        </w:tc>
        <w:tc>
          <w:tcPr>
            <w:tcW w:type="dxa" w:w="2280"/>
          </w:tcPr>
          <w:p>
            <w:pPr>
              <w:spacing w:line="240" w:lineRule="auto" w:before="0" w:after="0"/>
              <w:ind w:firstLine="0"/>
            </w:pPr>
            <w:r>
              <w:rPr>
                <w:sz w:val="16"/>
              </w:rPr>
            </w:r>
            <w:r>
              <w:rPr>
                <w:b w:val="0"/>
                <w:i w:val="0"/>
                <w:sz w:val="16"/>
                <w:u w:val="none"/>
              </w:rPr>
              <w:t>6.0</w:t>
            </w:r>
          </w:p>
        </w:tc>
        <w:tc>
          <w:tcPr>
            <w:tcW w:type="dxa" w:w="2280"/>
          </w:tcPr>
          <w:p>
            <w:pPr>
              <w:spacing w:line="240" w:lineRule="auto" w:before="0" w:after="0"/>
              <w:ind w:firstLine="0"/>
            </w:pPr>
            <w:r>
              <w:rPr>
                <w:sz w:val="16"/>
              </w:rPr>
            </w:r>
            <w:r>
              <w:rPr>
                <w:b w:val="0"/>
                <w:i w:val="0"/>
                <w:sz w:val="16"/>
                <w:u w:val="none"/>
              </w:rPr>
              <w:t>Gateway</w:t>
            </w:r>
          </w:p>
        </w:tc>
        <w:tc>
          <w:tcPr>
            <w:tcW w:type="dxa" w:w="2280"/>
          </w:tcPr>
          <w:p>
            <w:pPr>
              <w:spacing w:line="240" w:lineRule="auto" w:before="0" w:after="0"/>
              <w:ind w:firstLine="0"/>
            </w:pPr>
            <w:r>
              <w:rPr>
                <w:sz w:val="16"/>
              </w:rPr>
            </w:r>
            <w:r>
              <w:rPr>
                <w:b w:val="0"/>
                <w:i w:val="0"/>
                <w:sz w:val="16"/>
                <w:u w:val="none"/>
              </w:rPr>
              <w:t>Operator</w:t>
            </w:r>
          </w:p>
        </w:tc>
        <w:tc>
          <w:tcPr>
            <w:tcW w:type="dxa" w:w="2280"/>
          </w:tcPr>
          <w:p>
            <w:pPr>
              <w:spacing w:line="240" w:lineRule="auto" w:before="0" w:after="0"/>
              <w:ind w:firstLine="0"/>
            </w:pPr>
            <w:r>
              <w:rPr>
                <w:sz w:val="16"/>
              </w:rPr>
            </w:r>
            <w:r>
              <w:rPr>
                <w:b w:val="0"/>
                <w:i w:val="0"/>
                <w:sz w:val="16"/>
                <w:u w:val="none"/>
              </w:rPr>
              <w:t>0x7bd6389e…</w:t>
            </w:r>
          </w:p>
        </w:tc>
      </w:tr>
      <w:tr>
        <w:tc>
          <w:tcPr>
            <w:tcW w:type="dxa" w:w="2280"/>
          </w:tcPr>
          <w:p>
            <w:pPr>
              <w:spacing w:line="240" w:lineRule="auto" w:before="0" w:after="0"/>
              <w:ind w:firstLine="0"/>
              <w:jc w:val="center"/>
            </w:pPr>
            <w:r>
              <w:rPr>
                <w:sz w:val="16"/>
              </w:rPr>
            </w:r>
            <w:r>
              <w:rPr>
                <w:b w:val="0"/>
                <w:i w:val="0"/>
                <w:sz w:val="16"/>
                <w:u w:val="none"/>
              </w:rPr>
              <w:t>17</w:t>
            </w:r>
          </w:p>
        </w:tc>
        <w:tc>
          <w:tcPr>
            <w:tcW w:type="dxa" w:w="2280"/>
          </w:tcPr>
          <w:p>
            <w:pPr>
              <w:spacing w:line="240" w:lineRule="auto" w:before="0" w:after="0"/>
              <w:ind w:firstLine="0"/>
            </w:pPr>
            <w:r>
              <w:rPr>
                <w:sz w:val="16"/>
              </w:rPr>
            </w:r>
            <w:r>
              <w:rPr>
                <w:b w:val="0"/>
                <w:i w:val="0"/>
                <w:sz w:val="16"/>
                <w:u w:val="none"/>
              </w:rPr>
              <w:t>LABOR</w:t>
            </w:r>
          </w:p>
        </w:tc>
        <w:tc>
          <w:tcPr>
            <w:tcW w:type="dxa" w:w="2280"/>
          </w:tcPr>
          <w:p>
            <w:pPr>
              <w:spacing w:line="240" w:lineRule="auto" w:before="0" w:after="0"/>
              <w:ind w:firstLine="0"/>
            </w:pPr>
            <w:r>
              <w:rPr>
                <w:sz w:val="16"/>
              </w:rPr>
            </w:r>
            <w:r>
              <w:rPr>
                <w:b w:val="0"/>
                <w:i w:val="0"/>
                <w:sz w:val="16"/>
                <w:u w:val="none"/>
              </w:rPr>
              <w:t>10.0</w:t>
            </w:r>
          </w:p>
        </w:tc>
        <w:tc>
          <w:tcPr>
            <w:tcW w:type="dxa" w:w="2280"/>
          </w:tcPr>
          <w:p>
            <w:pPr>
              <w:spacing w:line="240" w:lineRule="auto" w:before="0" w:after="0"/>
              <w:ind w:firstLine="0"/>
            </w:pPr>
            <w:r>
              <w:rPr>
                <w:sz w:val="16"/>
              </w:rPr>
            </w:r>
            <w:r>
              <w:rPr>
                <w:b w:val="0"/>
                <w:i w:val="0"/>
                <w:sz w:val="16"/>
                <w:u w:val="none"/>
              </w:rPr>
              <w:t>Maintenance</w:t>
            </w:r>
          </w:p>
        </w:tc>
        <w:tc>
          <w:tcPr>
            <w:tcW w:type="dxa" w:w="2280"/>
          </w:tcPr>
          <w:p>
            <w:pPr>
              <w:spacing w:line="240" w:lineRule="auto" w:before="0" w:after="0"/>
              <w:ind w:firstLine="0"/>
            </w:pPr>
            <w:r>
              <w:rPr>
                <w:sz w:val="16"/>
              </w:rPr>
            </w:r>
            <w:r>
              <w:rPr>
                <w:b w:val="0"/>
                <w:i w:val="0"/>
                <w:sz w:val="16"/>
                <w:u w:val="none"/>
              </w:rPr>
              <w:t>Operator</w:t>
            </w:r>
          </w:p>
        </w:tc>
        <w:tc>
          <w:tcPr>
            <w:tcW w:type="dxa" w:w="2280"/>
          </w:tcPr>
          <w:p>
            <w:pPr>
              <w:spacing w:line="240" w:lineRule="auto" w:before="0" w:after="0"/>
              <w:ind w:firstLine="0"/>
            </w:pPr>
            <w:r>
              <w:rPr>
                <w:sz w:val="16"/>
              </w:rPr>
            </w:r>
            <w:r>
              <w:rPr>
                <w:b w:val="0"/>
                <w:i w:val="0"/>
                <w:sz w:val="16"/>
                <w:u w:val="none"/>
              </w:rPr>
              <w:t>0x2fd62cdc…</w:t>
            </w:r>
          </w:p>
        </w:tc>
      </w:tr>
      <w:tr>
        <w:tc>
          <w:tcPr>
            <w:tcW w:type="dxa" w:w="2280"/>
          </w:tcPr>
          <w:p>
            <w:pPr>
              <w:spacing w:line="240" w:lineRule="auto" w:before="0" w:after="0"/>
              <w:ind w:firstLine="0"/>
              <w:jc w:val="center"/>
            </w:pPr>
            <w:r>
              <w:rPr>
                <w:sz w:val="16"/>
              </w:rPr>
            </w:r>
            <w:r>
              <w:rPr>
                <w:b w:val="0"/>
                <w:i w:val="0"/>
                <w:sz w:val="16"/>
                <w:u w:val="none"/>
              </w:rPr>
              <w:t>18</w:t>
            </w:r>
          </w:p>
        </w:tc>
        <w:tc>
          <w:tcPr>
            <w:tcW w:type="dxa" w:w="2280"/>
          </w:tcPr>
          <w:p>
            <w:pPr>
              <w:spacing w:line="240" w:lineRule="auto" w:before="0" w:after="0"/>
              <w:ind w:firstLine="0"/>
            </w:pPr>
            <w:r>
              <w:rPr>
                <w:sz w:val="16"/>
              </w:rPr>
            </w:r>
            <w:r>
              <w:rPr>
                <w:b w:val="0"/>
                <w:i w:val="0"/>
                <w:sz w:val="16"/>
                <w:u w:val="none"/>
              </w:rPr>
              <w:t>SERVICE</w:t>
            </w:r>
          </w:p>
        </w:tc>
        <w:tc>
          <w:tcPr>
            <w:tcW w:type="dxa" w:w="2280"/>
          </w:tcPr>
          <w:p>
            <w:pPr>
              <w:spacing w:line="240" w:lineRule="auto" w:before="0" w:after="0"/>
              <w:ind w:firstLine="0"/>
            </w:pPr>
            <w:r>
              <w:rPr>
                <w:sz w:val="16"/>
              </w:rPr>
            </w:r>
            <w:r>
              <w:rPr>
                <w:b w:val="0"/>
                <w:i w:val="0"/>
                <w:sz w:val="16"/>
                <w:u w:val="none"/>
              </w:rPr>
              <w:t>6.0</w:t>
            </w:r>
          </w:p>
        </w:tc>
        <w:tc>
          <w:tcPr>
            <w:tcW w:type="dxa" w:w="2280"/>
          </w:tcPr>
          <w:p>
            <w:pPr>
              <w:spacing w:line="240" w:lineRule="auto" w:before="0" w:after="0"/>
              <w:ind w:firstLine="0"/>
            </w:pPr>
            <w:r>
              <w:rPr>
                <w:sz w:val="16"/>
              </w:rPr>
            </w:r>
            <w:r>
              <w:rPr>
                <w:b w:val="0"/>
                <w:i w:val="0"/>
                <w:sz w:val="16"/>
                <w:u w:val="none"/>
              </w:rPr>
              <w:t>Gateway</w:t>
            </w:r>
          </w:p>
        </w:tc>
        <w:tc>
          <w:tcPr>
            <w:tcW w:type="dxa" w:w="2280"/>
          </w:tcPr>
          <w:p>
            <w:pPr>
              <w:spacing w:line="240" w:lineRule="auto" w:before="0" w:after="0"/>
              <w:ind w:firstLine="0"/>
            </w:pPr>
            <w:r>
              <w:rPr>
                <w:sz w:val="16"/>
              </w:rPr>
            </w:r>
            <w:r>
              <w:rPr>
                <w:b w:val="0"/>
                <w:i w:val="0"/>
                <w:sz w:val="16"/>
                <w:u w:val="none"/>
              </w:rPr>
              <w:t>Operator</w:t>
            </w:r>
          </w:p>
        </w:tc>
        <w:tc>
          <w:tcPr>
            <w:tcW w:type="dxa" w:w="2280"/>
          </w:tcPr>
          <w:p>
            <w:pPr>
              <w:spacing w:line="240" w:lineRule="auto" w:before="0" w:after="0"/>
              <w:ind w:firstLine="0"/>
            </w:pPr>
            <w:r>
              <w:rPr>
                <w:sz w:val="16"/>
              </w:rPr>
            </w:r>
            <w:r>
              <w:rPr>
                <w:b w:val="0"/>
                <w:i w:val="0"/>
                <w:sz w:val="16"/>
                <w:u w:val="none"/>
              </w:rPr>
              <w:t>0xfc63cd22…</w:t>
            </w:r>
          </w:p>
        </w:tc>
      </w:tr>
      <w:tr>
        <w:tc>
          <w:tcPr>
            <w:tcW w:type="dxa" w:w="2280"/>
          </w:tcPr>
          <w:p>
            <w:pPr>
              <w:spacing w:line="240" w:lineRule="auto" w:before="0" w:after="0"/>
              <w:ind w:firstLine="0"/>
              <w:jc w:val="center"/>
            </w:pPr>
            <w:r>
              <w:rPr>
                <w:sz w:val="16"/>
              </w:rPr>
            </w:r>
            <w:r>
              <w:rPr>
                <w:b w:val="0"/>
                <w:i w:val="0"/>
                <w:sz w:val="16"/>
                <w:u w:val="none"/>
              </w:rPr>
              <w:t>19</w:t>
            </w:r>
          </w:p>
        </w:tc>
        <w:tc>
          <w:tcPr>
            <w:tcW w:type="dxa" w:w="2280"/>
          </w:tcPr>
          <w:p>
            <w:pPr>
              <w:spacing w:line="240" w:lineRule="auto" w:before="0" w:after="0"/>
              <w:ind w:firstLine="0"/>
            </w:pPr>
            <w:r>
              <w:rPr>
                <w:sz w:val="16"/>
              </w:rPr>
            </w:r>
            <w:r>
              <w:rPr>
                <w:b w:val="0"/>
                <w:i w:val="0"/>
                <w:sz w:val="16"/>
                <w:u w:val="none"/>
              </w:rPr>
              <w:t>LABOR</w:t>
            </w:r>
          </w:p>
        </w:tc>
        <w:tc>
          <w:tcPr>
            <w:tcW w:type="dxa" w:w="2280"/>
          </w:tcPr>
          <w:p>
            <w:pPr>
              <w:spacing w:line="240" w:lineRule="auto" w:before="0" w:after="0"/>
              <w:ind w:firstLine="0"/>
            </w:pPr>
            <w:r>
              <w:rPr>
                <w:sz w:val="16"/>
              </w:rPr>
            </w:r>
            <w:r>
              <w:rPr>
                <w:b w:val="0"/>
                <w:i w:val="0"/>
                <w:sz w:val="16"/>
                <w:u w:val="none"/>
              </w:rPr>
              <w:t>10.0</w:t>
            </w:r>
          </w:p>
        </w:tc>
        <w:tc>
          <w:tcPr>
            <w:tcW w:type="dxa" w:w="2280"/>
          </w:tcPr>
          <w:p>
            <w:pPr>
              <w:spacing w:line="240" w:lineRule="auto" w:before="0" w:after="0"/>
              <w:ind w:firstLine="0"/>
            </w:pPr>
            <w:r>
              <w:rPr>
                <w:sz w:val="16"/>
              </w:rPr>
            </w:r>
            <w:r>
              <w:rPr>
                <w:b w:val="0"/>
                <w:i w:val="0"/>
                <w:sz w:val="16"/>
                <w:u w:val="none"/>
              </w:rPr>
              <w:t>Maintenance</w:t>
            </w:r>
          </w:p>
        </w:tc>
        <w:tc>
          <w:tcPr>
            <w:tcW w:type="dxa" w:w="2280"/>
          </w:tcPr>
          <w:p>
            <w:pPr>
              <w:spacing w:line="240" w:lineRule="auto" w:before="0" w:after="0"/>
              <w:ind w:firstLine="0"/>
            </w:pPr>
            <w:r>
              <w:rPr>
                <w:sz w:val="16"/>
              </w:rPr>
            </w:r>
            <w:r>
              <w:rPr>
                <w:b w:val="0"/>
                <w:i w:val="0"/>
                <w:sz w:val="16"/>
                <w:u w:val="none"/>
              </w:rPr>
              <w:t>Operator</w:t>
            </w:r>
          </w:p>
        </w:tc>
        <w:tc>
          <w:tcPr>
            <w:tcW w:type="dxa" w:w="2280"/>
          </w:tcPr>
          <w:p>
            <w:pPr>
              <w:spacing w:line="240" w:lineRule="auto" w:before="0" w:after="0"/>
              <w:ind w:firstLine="0"/>
            </w:pPr>
            <w:r>
              <w:rPr>
                <w:sz w:val="16"/>
              </w:rPr>
            </w:r>
            <w:r>
              <w:rPr>
                <w:b w:val="0"/>
                <w:i w:val="0"/>
                <w:sz w:val="16"/>
                <w:u w:val="none"/>
              </w:rPr>
              <w:t>0xb620ea8c…</w:t>
            </w:r>
          </w:p>
        </w:tc>
      </w:tr>
      <w:tr>
        <w:tc>
          <w:tcPr>
            <w:tcW w:type="dxa" w:w="2280"/>
          </w:tcPr>
          <w:p>
            <w:pPr>
              <w:spacing w:line="240" w:lineRule="auto" w:before="0" w:after="0"/>
              <w:ind w:firstLine="0"/>
              <w:jc w:val="center"/>
            </w:pPr>
            <w:r>
              <w:rPr>
                <w:sz w:val="16"/>
              </w:rPr>
            </w:r>
            <w:r>
              <w:rPr>
                <w:b w:val="0"/>
                <w:i w:val="0"/>
                <w:sz w:val="16"/>
                <w:u w:val="none"/>
              </w:rPr>
              <w:t>20</w:t>
            </w:r>
          </w:p>
        </w:tc>
        <w:tc>
          <w:tcPr>
            <w:tcW w:type="dxa" w:w="2280"/>
          </w:tcPr>
          <w:p>
            <w:pPr>
              <w:spacing w:line="240" w:lineRule="auto" w:before="0" w:after="0"/>
              <w:ind w:firstLine="0"/>
            </w:pPr>
            <w:r>
              <w:rPr>
                <w:sz w:val="16"/>
              </w:rPr>
            </w:r>
            <w:r>
              <w:rPr>
                <w:b w:val="0"/>
                <w:i w:val="0"/>
                <w:sz w:val="16"/>
                <w:u w:val="none"/>
              </w:rPr>
              <w:t>GOODS</w:t>
            </w:r>
          </w:p>
        </w:tc>
        <w:tc>
          <w:tcPr>
            <w:tcW w:type="dxa" w:w="2280"/>
          </w:tcPr>
          <w:p>
            <w:pPr>
              <w:spacing w:line="240" w:lineRule="auto" w:before="0" w:after="0"/>
              <w:ind w:firstLine="0"/>
            </w:pPr>
            <w:r>
              <w:rPr>
                <w:sz w:val="16"/>
              </w:rPr>
            </w:r>
            <w:r>
              <w:rPr>
                <w:b w:val="0"/>
                <w:i w:val="0"/>
                <w:sz w:val="16"/>
                <w:u w:val="none"/>
              </w:rPr>
              <w:t>14.0</w:t>
            </w:r>
          </w:p>
        </w:tc>
        <w:tc>
          <w:tcPr>
            <w:tcW w:type="dxa" w:w="2280"/>
          </w:tcPr>
          <w:p>
            <w:pPr>
              <w:spacing w:line="240" w:lineRule="auto" w:before="0" w:after="0"/>
              <w:ind w:firstLine="0"/>
            </w:pPr>
            <w:r>
              <w:rPr>
                <w:sz w:val="16"/>
              </w:rPr>
            </w:r>
            <w:r>
              <w:rPr>
                <w:b w:val="0"/>
                <w:i w:val="0"/>
                <w:sz w:val="16"/>
                <w:u w:val="none"/>
              </w:rPr>
              <w:t>Merchant</w:t>
            </w:r>
          </w:p>
        </w:tc>
        <w:tc>
          <w:tcPr>
            <w:tcW w:type="dxa" w:w="2280"/>
          </w:tcPr>
          <w:p>
            <w:pPr>
              <w:spacing w:line="240" w:lineRule="auto" w:before="0" w:after="0"/>
              <w:ind w:firstLine="0"/>
            </w:pPr>
            <w:r>
              <w:rPr>
                <w:sz w:val="16"/>
              </w:rPr>
            </w:r>
            <w:r>
              <w:rPr>
                <w:b w:val="0"/>
                <w:i w:val="0"/>
                <w:sz w:val="16"/>
                <w:u w:val="none"/>
              </w:rPr>
              <w:t>Operator</w:t>
            </w:r>
          </w:p>
        </w:tc>
        <w:tc>
          <w:tcPr>
            <w:tcW w:type="dxa" w:w="2280"/>
          </w:tcPr>
          <w:p>
            <w:pPr>
              <w:spacing w:line="240" w:lineRule="auto" w:before="0" w:after="0"/>
              <w:ind w:firstLine="0"/>
            </w:pPr>
            <w:r>
              <w:rPr>
                <w:sz w:val="16"/>
              </w:rPr>
            </w:r>
            <w:r>
              <w:rPr>
                <w:b w:val="0"/>
                <w:i w:val="0"/>
                <w:sz w:val="16"/>
                <w:u w:val="none"/>
              </w:rPr>
              <w:t>0x6b1f3801…</w:t>
            </w:r>
          </w:p>
        </w:tc>
      </w:tr>
      <w:tr>
        <w:tc>
          <w:tcPr>
            <w:tcW w:type="dxa" w:w="2280"/>
          </w:tcPr>
          <w:p>
            <w:pPr>
              <w:spacing w:line="240" w:lineRule="auto" w:before="0" w:after="0"/>
              <w:ind w:firstLine="0"/>
              <w:jc w:val="center"/>
            </w:pPr>
            <w:r>
              <w:rPr>
                <w:sz w:val="16"/>
              </w:rPr>
            </w:r>
            <w:r>
              <w:rPr>
                <w:b w:val="0"/>
                <w:i w:val="0"/>
                <w:sz w:val="16"/>
                <w:u w:val="none"/>
              </w:rPr>
              <w:t>21</w:t>
            </w:r>
          </w:p>
        </w:tc>
        <w:tc>
          <w:tcPr>
            <w:tcW w:type="dxa" w:w="2280"/>
          </w:tcPr>
          <w:p>
            <w:pPr>
              <w:spacing w:line="240" w:lineRule="auto" w:before="0" w:after="0"/>
              <w:ind w:firstLine="0"/>
            </w:pPr>
            <w:r>
              <w:rPr>
                <w:sz w:val="16"/>
              </w:rPr>
            </w:r>
            <w:r>
              <w:rPr>
                <w:b w:val="0"/>
                <w:i w:val="0"/>
                <w:sz w:val="16"/>
                <w:u w:val="none"/>
              </w:rPr>
              <w:t>NETWORK</w:t>
            </w:r>
          </w:p>
        </w:tc>
        <w:tc>
          <w:tcPr>
            <w:tcW w:type="dxa" w:w="2280"/>
          </w:tcPr>
          <w:p>
            <w:pPr>
              <w:spacing w:line="240" w:lineRule="auto" w:before="0" w:after="0"/>
              <w:ind w:firstLine="0"/>
            </w:pPr>
            <w:r>
              <w:rPr>
                <w:sz w:val="16"/>
              </w:rPr>
            </w:r>
            <w:r>
              <w:rPr>
                <w:b w:val="0"/>
                <w:i w:val="0"/>
                <w:sz w:val="16"/>
                <w:u w:val="none"/>
              </w:rPr>
              <w:t>8.0</w:t>
            </w:r>
          </w:p>
        </w:tc>
        <w:tc>
          <w:tcPr>
            <w:tcW w:type="dxa" w:w="2280"/>
          </w:tcPr>
          <w:p>
            <w:pPr>
              <w:spacing w:line="240" w:lineRule="auto" w:before="0" w:after="0"/>
              <w:ind w:firstLine="0"/>
            </w:pPr>
            <w:r>
              <w:rPr>
                <w:sz w:val="16"/>
              </w:rPr>
            </w:r>
            <w:r>
              <w:rPr>
                <w:b w:val="0"/>
                <w:i w:val="0"/>
                <w:sz w:val="16"/>
                <w:u w:val="none"/>
              </w:rPr>
              <w:t>Network peer</w:t>
            </w:r>
          </w:p>
        </w:tc>
        <w:tc>
          <w:tcPr>
            <w:tcW w:type="dxa" w:w="2280"/>
          </w:tcPr>
          <w:p>
            <w:pPr>
              <w:spacing w:line="240" w:lineRule="auto" w:before="0" w:after="0"/>
              <w:ind w:firstLine="0"/>
            </w:pPr>
            <w:r>
              <w:rPr>
                <w:sz w:val="16"/>
              </w:rPr>
            </w:r>
            <w:r>
              <w:rPr>
                <w:b w:val="0"/>
                <w:i w:val="0"/>
                <w:sz w:val="16"/>
                <w:u w:val="none"/>
              </w:rPr>
              <w:t>Operator</w:t>
            </w:r>
          </w:p>
        </w:tc>
        <w:tc>
          <w:tcPr>
            <w:tcW w:type="dxa" w:w="2280"/>
          </w:tcPr>
          <w:p>
            <w:pPr>
              <w:spacing w:line="240" w:lineRule="auto" w:before="0" w:after="0"/>
              <w:ind w:firstLine="0"/>
            </w:pPr>
            <w:r>
              <w:rPr>
                <w:sz w:val="16"/>
              </w:rPr>
            </w:r>
            <w:r>
              <w:rPr>
                <w:b w:val="0"/>
                <w:i w:val="0"/>
                <w:sz w:val="16"/>
                <w:u w:val="none"/>
              </w:rPr>
              <w:t>0x5a72cc73…</w:t>
            </w:r>
          </w:p>
        </w:tc>
      </w:tr>
    </w:tbl>
    <w:p>
      <w:pPr>
        <w:sectPr>
          <w:pgSz w:w="15840" w:h="12240" w:orient="landscape"/>
          <w:pgMar w:top="1080" w:right="1080" w:bottom="1080" w:left="1080" w:header="720" w:footer="720" w:gutter="0"/>
          <w:cols w:space="720"/>
          <w:docGrid w:linePitch="360"/>
        </w:sectPr>
      </w:pPr>
    </w:p>
    <w:p>
      <w:pPr>
        <w:pStyle w:val="Caption"/>
        <w:ind w:firstLine="0"/>
        <w:jc w:val="center"/>
      </w:pPr>
      <w:r>
        <w:rPr>
          <w:b w:val="0"/>
          <w:i/>
          <w:u w:val="none"/>
        </w:rPr>
        <w:t>Table 5.4. Indexed network payments on Sepolia (SPK v1). Payment #15 is the wallet-initiated pilot transfer (Pilot payer → Merchant).</w:t>
      </w:r>
    </w:p>
    <w:p>
      <w:pPr>
        <w:pStyle w:val="Heading3"/>
      </w:pPr>
      <w:r>
        <w:t>5.10.3 Operator cycle log</w:t>
      </w:r>
    </w:p>
    <w:p>
      <w:pPr>
        <w:pStyle w:val="Heading4"/>
      </w:pPr>
      <w:r>
        <w:t>2026-06-07T15-36-04-187Z</w:t>
      </w:r>
    </w:p>
    <w:p>
      <w:pPr>
        <w:pStyle w:val="ListBullet"/>
        <w:ind w:left="0" w:firstLine="0"/>
      </w:pPr>
      <w:r>
        <w:rPr>
          <w:b/>
          <w:i w:val="0"/>
          <w:u w:val="none"/>
        </w:rPr>
        <w:t>mint_from_surplus</w:t>
      </w:r>
      <w:r>
        <w:rPr>
          <w:b w:val="0"/>
          <w:i w:val="0"/>
          <w:u w:val="none"/>
        </w:rPr>
        <w:t xml:space="preserve"> (100 kWh): 0xcf922f3883f5…</w:t>
      </w:r>
    </w:p>
    <w:p>
      <w:pPr>
        <w:pStyle w:val="ListBullet"/>
        <w:ind w:left="0" w:firstLine="0"/>
      </w:pPr>
      <w:r>
        <w:rPr>
          <w:b/>
          <w:i w:val="0"/>
          <w:u w:val="none"/>
        </w:rPr>
        <w:t>network_payment</w:t>
      </w:r>
      <w:r>
        <w:rPr>
          <w:b w:val="0"/>
          <w:i w:val="0"/>
          <w:u w:val="none"/>
        </w:rPr>
        <w:t xml:space="preserve"> (8 SPK): 0xeacc17a44e8e…</w:t>
      </w:r>
    </w:p>
    <w:p>
      <w:pPr>
        <w:pStyle w:val="ListBullet"/>
        <w:ind w:left="0" w:firstLine="0"/>
      </w:pPr>
      <w:r>
        <w:rPr>
          <w:b/>
          <w:i w:val="0"/>
          <w:u w:val="none"/>
        </w:rPr>
        <w:t>network_payment</w:t>
      </w:r>
      <w:r>
        <w:rPr>
          <w:b w:val="0"/>
          <w:i w:val="0"/>
          <w:u w:val="none"/>
        </w:rPr>
        <w:t xml:space="preserve"> (12 SPK): 0xb49728568174…</w:t>
      </w:r>
    </w:p>
    <w:p>
      <w:pPr>
        <w:pStyle w:val="ListBullet"/>
        <w:ind w:left="0" w:firstLine="0"/>
      </w:pPr>
      <w:r>
        <w:rPr>
          <w:b/>
          <w:i w:val="0"/>
          <w:u w:val="none"/>
        </w:rPr>
        <w:t>optional_redemption</w:t>
      </w:r>
      <w:r>
        <w:rPr>
          <w:b w:val="0"/>
          <w:i w:val="0"/>
          <w:u w:val="none"/>
        </w:rPr>
        <w:t xml:space="preserve"> (5 SPK): 0xabfc4d3462ac…</w:t>
      </w:r>
    </w:p>
    <w:p>
      <w:pPr>
        <w:pStyle w:val="Heading4"/>
      </w:pPr>
      <w:r>
        <w:t>2026-06-07T16-02-48-981Z</w:t>
      </w:r>
    </w:p>
    <w:p>
      <w:pPr>
        <w:pStyle w:val="ListBullet"/>
        <w:ind w:left="0" w:firstLine="0"/>
      </w:pPr>
      <w:r>
        <w:rPr>
          <w:b/>
          <w:i w:val="0"/>
          <w:u w:val="none"/>
        </w:rPr>
        <w:t>mint_from_attestation</w:t>
      </w:r>
      <w:r>
        <w:rPr>
          <w:b w:val="0"/>
          <w:i w:val="0"/>
          <w:u w:val="none"/>
        </w:rPr>
        <w:t xml:space="preserve"> (50 kWh): 0x9fcf885ff5df…</w:t>
      </w:r>
    </w:p>
    <w:p>
      <w:pPr>
        <w:pStyle w:val="ListBullet"/>
        <w:ind w:left="0" w:firstLine="0"/>
      </w:pPr>
      <w:r>
        <w:rPr>
          <w:b/>
          <w:i w:val="0"/>
          <w:u w:val="none"/>
        </w:rPr>
        <w:t>network_payment</w:t>
      </w:r>
      <w:r>
        <w:rPr>
          <w:b w:val="0"/>
          <w:i w:val="0"/>
          <w:u w:val="none"/>
        </w:rPr>
        <w:t xml:space="preserve"> (6 SPK): 0x7bf526551f5a…</w:t>
      </w:r>
    </w:p>
    <w:p>
      <w:pPr>
        <w:pStyle w:val="ListBullet"/>
        <w:ind w:left="0" w:firstLine="0"/>
      </w:pPr>
      <w:r>
        <w:rPr>
          <w:b/>
          <w:i w:val="0"/>
          <w:u w:val="none"/>
        </w:rPr>
        <w:t>network_payment</w:t>
      </w:r>
      <w:r>
        <w:rPr>
          <w:b w:val="0"/>
          <w:i w:val="0"/>
          <w:u w:val="none"/>
        </w:rPr>
        <w:t xml:space="preserve"> (10 SPK): 0x1f7cd59612cf…</w:t>
      </w:r>
    </w:p>
    <w:p>
      <w:pPr>
        <w:pStyle w:val="ListBullet"/>
        <w:ind w:left="0" w:firstLine="0"/>
      </w:pPr>
      <w:r>
        <w:rPr>
          <w:b/>
          <w:i w:val="0"/>
          <w:u w:val="none"/>
        </w:rPr>
        <w:t>network_payment</w:t>
      </w:r>
      <w:r>
        <w:rPr>
          <w:b w:val="0"/>
          <w:i w:val="0"/>
          <w:u w:val="none"/>
        </w:rPr>
        <w:t xml:space="preserve"> (14 SPK): 0x3b912b39ed24…</w:t>
      </w:r>
    </w:p>
    <w:p>
      <w:pPr>
        <w:pStyle w:val="ListBullet"/>
        <w:ind w:left="0" w:firstLine="0"/>
      </w:pPr>
      <w:r>
        <w:rPr>
          <w:b/>
          <w:i w:val="0"/>
          <w:u w:val="none"/>
        </w:rPr>
        <w:t>network_payment</w:t>
      </w:r>
      <w:r>
        <w:rPr>
          <w:b w:val="0"/>
          <w:i w:val="0"/>
          <w:u w:val="none"/>
        </w:rPr>
        <w:t xml:space="preserve"> (8 SPK): 0x100b4decd5e1…</w:t>
      </w:r>
    </w:p>
    <w:p>
      <w:pPr>
        <w:pStyle w:val="ListBullet"/>
        <w:ind w:left="0" w:firstLine="0"/>
      </w:pPr>
      <w:r>
        <w:rPr>
          <w:b/>
          <w:i w:val="0"/>
          <w:u w:val="none"/>
        </w:rPr>
        <w:t>optional_redemption</w:t>
      </w:r>
      <w:r>
        <w:rPr>
          <w:b w:val="0"/>
          <w:i w:val="0"/>
          <w:u w:val="none"/>
        </w:rPr>
        <w:t xml:space="preserve"> (5 SPK): 0xd14b9c118ce7…</w:t>
      </w:r>
    </w:p>
    <w:p>
      <w:pPr>
        <w:pStyle w:val="Heading4"/>
      </w:pPr>
      <w:r>
        <w:t>2026-06-07T16-25-38-349Z</w:t>
      </w:r>
    </w:p>
    <w:p>
      <w:pPr>
        <w:pStyle w:val="ListBullet"/>
        <w:ind w:left="0" w:firstLine="0"/>
      </w:pPr>
      <w:r>
        <w:rPr>
          <w:b/>
          <w:i w:val="0"/>
          <w:u w:val="none"/>
        </w:rPr>
        <w:t>mint_from_attestation</w:t>
      </w:r>
      <w:r>
        <w:rPr>
          <w:b w:val="0"/>
          <w:i w:val="0"/>
          <w:u w:val="none"/>
        </w:rPr>
        <w:t xml:space="preserve"> (52 kWh): 0x3527585fd110…</w:t>
      </w:r>
    </w:p>
    <w:p>
      <w:pPr>
        <w:pStyle w:val="ListBullet"/>
        <w:ind w:left="0" w:firstLine="0"/>
      </w:pPr>
      <w:r>
        <w:rPr>
          <w:b/>
          <w:i w:val="0"/>
          <w:u w:val="none"/>
        </w:rPr>
        <w:t>network_payment</w:t>
      </w:r>
      <w:r>
        <w:rPr>
          <w:b w:val="0"/>
          <w:i w:val="0"/>
          <w:u w:val="none"/>
        </w:rPr>
        <w:t xml:space="preserve"> (6 SPK): 0x7d68647acac4…</w:t>
      </w:r>
    </w:p>
    <w:p>
      <w:pPr>
        <w:pStyle w:val="ListBullet"/>
        <w:ind w:left="0" w:firstLine="0"/>
      </w:pPr>
      <w:r>
        <w:rPr>
          <w:b/>
          <w:i w:val="0"/>
          <w:u w:val="none"/>
        </w:rPr>
        <w:t>network_payment</w:t>
      </w:r>
      <w:r>
        <w:rPr>
          <w:b w:val="0"/>
          <w:i w:val="0"/>
          <w:u w:val="none"/>
        </w:rPr>
        <w:t xml:space="preserve"> (10 SPK): 0xc1eb24c0dc7e…</w:t>
      </w:r>
    </w:p>
    <w:p>
      <w:pPr>
        <w:pStyle w:val="ListBullet"/>
        <w:ind w:left="0" w:firstLine="0"/>
      </w:pPr>
      <w:r>
        <w:rPr>
          <w:b/>
          <w:i w:val="0"/>
          <w:u w:val="none"/>
        </w:rPr>
        <w:t>network_payment</w:t>
      </w:r>
      <w:r>
        <w:rPr>
          <w:b w:val="0"/>
          <w:i w:val="0"/>
          <w:u w:val="none"/>
        </w:rPr>
        <w:t xml:space="preserve"> (14 SPK): 0xd01d4ab88396…</w:t>
      </w:r>
    </w:p>
    <w:p>
      <w:pPr>
        <w:pStyle w:val="ListBullet"/>
        <w:ind w:left="0" w:firstLine="0"/>
      </w:pPr>
      <w:r>
        <w:rPr>
          <w:b/>
          <w:i w:val="0"/>
          <w:u w:val="none"/>
        </w:rPr>
        <w:t>network_payment</w:t>
      </w:r>
      <w:r>
        <w:rPr>
          <w:b w:val="0"/>
          <w:i w:val="0"/>
          <w:u w:val="none"/>
        </w:rPr>
        <w:t xml:space="preserve"> (8 SPK): 0x2b8e8efb9ff2…</w:t>
      </w:r>
    </w:p>
    <w:p>
      <w:pPr>
        <w:pStyle w:val="Heading4"/>
      </w:pPr>
      <w:r>
        <w:t>2026-06-08T16-57-04-958Z</w:t>
      </w:r>
    </w:p>
    <w:p>
      <w:pPr>
        <w:pStyle w:val="ListBullet"/>
        <w:ind w:left="0" w:firstLine="0"/>
      </w:pPr>
      <w:r>
        <w:rPr>
          <w:b/>
          <w:i w:val="0"/>
          <w:u w:val="none"/>
        </w:rPr>
        <w:t>oracle_refresh</w:t>
      </w:r>
      <w:r>
        <w:rPr>
          <w:b w:val="0"/>
          <w:i w:val="0"/>
          <w:u w:val="none"/>
        </w:rPr>
        <w:t>: 0x2b2fff3df582…</w:t>
      </w:r>
    </w:p>
    <w:p>
      <w:pPr>
        <w:pStyle w:val="ListBullet"/>
        <w:ind w:left="0" w:firstLine="0"/>
      </w:pPr>
      <w:r>
        <w:rPr>
          <w:b/>
          <w:i w:val="0"/>
          <w:u w:val="none"/>
        </w:rPr>
        <w:t>mint_from_attestation</w:t>
      </w:r>
      <w:r>
        <w:rPr>
          <w:b w:val="0"/>
          <w:i w:val="0"/>
          <w:u w:val="none"/>
        </w:rPr>
        <w:t xml:space="preserve"> (50 kWh): 0x3dd63c06a294…</w:t>
      </w:r>
    </w:p>
    <w:p>
      <w:pPr>
        <w:pStyle w:val="ListBullet"/>
        <w:ind w:left="0" w:firstLine="0"/>
      </w:pPr>
      <w:r>
        <w:rPr>
          <w:b/>
          <w:i w:val="0"/>
          <w:u w:val="none"/>
        </w:rPr>
        <w:t>network_payment</w:t>
      </w:r>
      <w:r>
        <w:rPr>
          <w:b w:val="0"/>
          <w:i w:val="0"/>
          <w:u w:val="none"/>
        </w:rPr>
        <w:t xml:space="preserve"> (6 SPK): 0xfc63cd227940…</w:t>
      </w:r>
    </w:p>
    <w:p>
      <w:pPr>
        <w:pStyle w:val="ListBullet"/>
        <w:ind w:left="0" w:firstLine="0"/>
      </w:pPr>
      <w:r>
        <w:rPr>
          <w:b/>
          <w:i w:val="0"/>
          <w:u w:val="none"/>
        </w:rPr>
        <w:t>network_payment</w:t>
      </w:r>
      <w:r>
        <w:rPr>
          <w:b w:val="0"/>
          <w:i w:val="0"/>
          <w:u w:val="none"/>
        </w:rPr>
        <w:t xml:space="preserve"> (10 SPK): 0xb620ea8cdcf7…</w:t>
      </w:r>
    </w:p>
    <w:p>
      <w:pPr>
        <w:pStyle w:val="ListBullet"/>
        <w:ind w:left="0" w:firstLine="0"/>
      </w:pPr>
      <w:r>
        <w:rPr>
          <w:b/>
          <w:i w:val="0"/>
          <w:u w:val="none"/>
        </w:rPr>
        <w:t>network_payment</w:t>
      </w:r>
      <w:r>
        <w:rPr>
          <w:b w:val="0"/>
          <w:i w:val="0"/>
          <w:u w:val="none"/>
        </w:rPr>
        <w:t xml:space="preserve"> (14 SPK): 0x6b1f3801f468…</w:t>
      </w:r>
    </w:p>
    <w:p>
      <w:pPr>
        <w:pStyle w:val="ListBullet"/>
        <w:ind w:left="0" w:firstLine="0"/>
      </w:pPr>
      <w:r>
        <w:rPr>
          <w:b/>
          <w:i w:val="0"/>
          <w:u w:val="none"/>
        </w:rPr>
        <w:t>network_payment</w:t>
      </w:r>
      <w:r>
        <w:rPr>
          <w:b w:val="0"/>
          <w:i w:val="0"/>
          <w:u w:val="none"/>
        </w:rPr>
        <w:t xml:space="preserve"> (8 SPK): 0x5a72cc73cbc6…</w:t>
      </w:r>
    </w:p>
    <w:p>
      <w:pPr>
        <w:pStyle w:val="ListBullet"/>
        <w:ind w:left="0" w:firstLine="0"/>
      </w:pPr>
      <w:r>
        <w:rPr>
          <w:b/>
          <w:i w:val="0"/>
          <w:u w:val="none"/>
        </w:rPr>
        <w:t>optional_redemption</w:t>
      </w:r>
      <w:r>
        <w:rPr>
          <w:b w:val="0"/>
          <w:i w:val="0"/>
          <w:u w:val="none"/>
        </w:rPr>
        <w:t xml:space="preserve"> (5 SPK): 0xf3111ce6742e…</w:t>
      </w:r>
    </w:p>
    <w:p>
      <w:pPr>
        <w:pStyle w:val="Heading2"/>
      </w:pPr>
      <w:r>
        <w:t>5.11 Chapter Conclusion</w:t>
      </w:r>
    </w:p>
    <w:p>
      <w:r>
        <w:rPr>
          <w:b w:val="0"/>
          <w:i w:val="0"/>
          <w:u w:val="none"/>
        </w:rPr>
        <w:t>This chapter turned the thesis from evidence and pricing into a rule-based architecture.</w:t>
      </w:r>
    </w:p>
    <w:p>
      <w:r>
        <w:rPr>
          <w:b w:val="0"/>
          <w:i w:val="0"/>
          <w:u w:val="none"/>
        </w:rPr>
        <w:t>The central finding is that energy-linked digital finance requires more than energy data. It requires reliable measurement, rule-bound issuance, explicit pricing, protected settlement, and limited governance. These constraints work together. Removing any one of them weakens the credibility of the system.</w:t>
      </w:r>
    </w:p>
    <w:p>
      <w:r>
        <w:rPr>
          <w:b w:val="0"/>
          <w:i w:val="0"/>
          <w:u w:val="none"/>
        </w:rPr>
        <w:t>The proof-of-concept implementation shows that the core path can be built: energy-style readings can be checked, accepted surplus can be attested, tokens can be minted with replay protection, payments can be recorded, and redemptions can become owed-energy claims with resolution states.</w:t>
      </w:r>
    </w:p>
    <w:p>
      <w:r>
        <w:rPr>
          <w:b w:val="0"/>
          <w:i w:val="0"/>
          <w:u w:val="none"/>
        </w:rPr>
        <w:t>The chapter also makes the boundary clear. The current implementation is public-lab and proof-of-concept evidence. It is not a production-ready energy-money system. Real deployment would require real meter data, governed deployment, audit, legal terms, reserve policy, and counterparties.</w:t>
      </w:r>
    </w:p>
    <w:p>
      <w:r>
        <w:rPr>
          <w:b w:val="0"/>
          <w:i w:val="0"/>
          <w:u w:val="none"/>
        </w:rPr>
        <w:t>This completes the main argument of the thesis. Chapter 6 summarises what has been shown, what remains unproven, and what future work would be required.</w:t>
      </w:r>
    </w:p>
    <w:p>
      <w:r>
        <w:br w:type="page"/>
      </w:r>
    </w:p>
    <w:p>
      <w:pPr>
        <w:pStyle w:val="Heading1"/>
      </w:pPr>
      <w:r>
        <w:t>References</w:t>
      </w:r>
    </w:p>
    <w:p>
      <w:pPr>
        <w:pStyle w:val="Bibliography"/>
        <w:ind w:left="720" w:hanging="720"/>
      </w:pPr>
      <w:r>
        <w:rPr>
          <w:b w:val="0"/>
          <w:i w:val="0"/>
          <w:u w:val="none"/>
        </w:rPr>
        <w:t xml:space="preserve">Barro, R. J., &amp; Gordon, D. B. (1983). Rules, discretion and reputation in a model of monetary policy. </w:t>
      </w:r>
      <w:r>
        <w:rPr>
          <w:b w:val="0"/>
          <w:i/>
          <w:u w:val="none"/>
        </w:rPr>
        <w:t>Journal of Monetary Economics, 12</w:t>
      </w:r>
      <w:r>
        <w:rPr>
          <w:b w:val="0"/>
          <w:i w:val="0"/>
          <w:u w:val="none"/>
        </w:rPr>
        <w:t>(1), 101-121.</w:t>
      </w:r>
    </w:p>
    <w:p>
      <w:pPr>
        <w:pStyle w:val="Bibliography"/>
        <w:ind w:left="720" w:hanging="720"/>
      </w:pPr>
      <w:r>
        <w:rPr>
          <w:b w:val="0"/>
          <w:i w:val="0"/>
          <w:u w:val="none"/>
        </w:rPr>
        <w:t xml:space="preserve">Cambridge Centre for Alternative Finance. (n.d.-a). </w:t>
      </w:r>
      <w:r>
        <w:rPr>
          <w:b w:val="0"/>
          <w:i/>
          <w:u w:val="none"/>
        </w:rPr>
        <w:t>Cambridge Bitcoin Electricity Consumption Index: Methodology</w:t>
      </w:r>
      <w:r>
        <w:rPr>
          <w:b w:val="0"/>
          <w:i w:val="0"/>
          <w:u w:val="none"/>
        </w:rPr>
        <w:t>. Cambridge Judge Business School. https://ccaf.io/cbnsi/cbeci/methodology</w:t>
      </w:r>
    </w:p>
    <w:p>
      <w:pPr>
        <w:pStyle w:val="Bibliography"/>
        <w:ind w:left="720" w:hanging="720"/>
      </w:pPr>
      <w:r>
        <w:rPr>
          <w:b w:val="0"/>
          <w:i w:val="0"/>
          <w:u w:val="none"/>
        </w:rPr>
        <w:t xml:space="preserve">Cambridge Centre for Alternative Finance. (n.d.-b). </w:t>
      </w:r>
      <w:r>
        <w:rPr>
          <w:b w:val="0"/>
          <w:i/>
          <w:u w:val="none"/>
        </w:rPr>
        <w:t>CBECI Mining Map: Methodology</w:t>
      </w:r>
      <w:r>
        <w:rPr>
          <w:b w:val="0"/>
          <w:i w:val="0"/>
          <w:u w:val="none"/>
        </w:rPr>
        <w:t>. Cambridge Judge Business School. https://ccaf.io/cbnsi/cbeci/mining_map/methodology</w:t>
      </w:r>
    </w:p>
    <w:p>
      <w:pPr>
        <w:pStyle w:val="Bibliography"/>
        <w:ind w:left="720" w:hanging="720"/>
      </w:pPr>
      <w:r>
        <w:rPr>
          <w:b w:val="0"/>
          <w:i w:val="0"/>
          <w:u w:val="none"/>
        </w:rPr>
        <w:t xml:space="preserve">Eichengreen, B. (1992). </w:t>
      </w:r>
      <w:r>
        <w:rPr>
          <w:b w:val="0"/>
          <w:i/>
          <w:u w:val="none"/>
        </w:rPr>
        <w:t>Golden Fetters: The Gold Standard and the Great Depression, 1919-1939</w:t>
      </w:r>
      <w:r>
        <w:rPr>
          <w:b w:val="0"/>
          <w:i w:val="0"/>
          <w:u w:val="none"/>
        </w:rPr>
        <w:t>. Oxford University Press.</w:t>
      </w:r>
    </w:p>
    <w:p>
      <w:pPr>
        <w:pStyle w:val="Bibliography"/>
        <w:ind w:left="720" w:hanging="720"/>
      </w:pPr>
      <w:r>
        <w:rPr>
          <w:b w:val="0"/>
          <w:i w:val="0"/>
          <w:u w:val="none"/>
        </w:rPr>
        <w:t xml:space="preserve">Ethereum.org. (n.d.). </w:t>
      </w:r>
      <w:r>
        <w:rPr>
          <w:b w:val="0"/>
          <w:i/>
          <w:u w:val="none"/>
        </w:rPr>
        <w:t>The Merge</w:t>
      </w:r>
      <w:r>
        <w:rPr>
          <w:b w:val="0"/>
          <w:i w:val="0"/>
          <w:u w:val="none"/>
        </w:rPr>
        <w:t>. https://ethereum.org/en/upgrades/merge/</w:t>
      </w:r>
    </w:p>
    <w:p>
      <w:pPr>
        <w:pStyle w:val="Bibliography"/>
        <w:ind w:left="720" w:hanging="720"/>
      </w:pPr>
      <w:r>
        <w:rPr>
          <w:b w:val="0"/>
          <w:i w:val="0"/>
          <w:u w:val="none"/>
        </w:rPr>
        <w:t xml:space="preserve">Federal Reserve History. (2013). </w:t>
      </w:r>
      <w:r>
        <w:rPr>
          <w:b w:val="0"/>
          <w:i/>
          <w:u w:val="none"/>
        </w:rPr>
        <w:t>Nixon Ends Convertibility of U.S. Dollars to Gold and Announces Wage/Price Controls</w:t>
      </w:r>
      <w:r>
        <w:rPr>
          <w:b w:val="0"/>
          <w:i w:val="0"/>
          <w:u w:val="none"/>
        </w:rPr>
        <w:t>. https://www.federalreservehistory.org/essays/gold_convertibility_ends</w:t>
      </w:r>
    </w:p>
    <w:p>
      <w:pPr>
        <w:pStyle w:val="Bibliography"/>
        <w:ind w:left="720" w:hanging="720"/>
      </w:pPr>
      <w:r>
        <w:rPr>
          <w:b w:val="0"/>
          <w:i w:val="0"/>
          <w:u w:val="none"/>
        </w:rPr>
        <w:t xml:space="preserve">Friedman, M. (1960). </w:t>
      </w:r>
      <w:r>
        <w:rPr>
          <w:b w:val="0"/>
          <w:i/>
          <w:u w:val="none"/>
        </w:rPr>
        <w:t>A Program for Monetary Stability</w:t>
      </w:r>
      <w:r>
        <w:rPr>
          <w:b w:val="0"/>
          <w:i w:val="0"/>
          <w:u w:val="none"/>
        </w:rPr>
        <w:t>. Fordham University Press.</w:t>
      </w:r>
    </w:p>
    <w:p>
      <w:pPr>
        <w:pStyle w:val="Bibliography"/>
        <w:ind w:left="720" w:hanging="720"/>
      </w:pPr>
      <w:r>
        <w:rPr>
          <w:b w:val="0"/>
          <w:i w:val="0"/>
          <w:u w:val="none"/>
        </w:rPr>
        <w:t xml:space="preserve">Hayes, A. S. (2019). Bitcoin price and its marginal cost of production: Support for a fundamental value. </w:t>
      </w:r>
      <w:r>
        <w:rPr>
          <w:b w:val="0"/>
          <w:i/>
          <w:u w:val="none"/>
        </w:rPr>
        <w:t>Applied Economics Letters, 26</w:t>
      </w:r>
      <w:r>
        <w:rPr>
          <w:b w:val="0"/>
          <w:i w:val="0"/>
          <w:u w:val="none"/>
        </w:rPr>
        <w:t>(7), 554-560.</w:t>
      </w:r>
    </w:p>
    <w:p>
      <w:pPr>
        <w:pStyle w:val="Bibliography"/>
        <w:ind w:left="720" w:hanging="720"/>
      </w:pPr>
      <w:r>
        <w:rPr>
          <w:b w:val="0"/>
          <w:i w:val="0"/>
          <w:u w:val="none"/>
        </w:rPr>
        <w:t xml:space="preserve">International Energy Agency. (2023). </w:t>
      </w:r>
      <w:r>
        <w:rPr>
          <w:b w:val="0"/>
          <w:i/>
          <w:u w:val="none"/>
        </w:rPr>
        <w:t>Scaling Up Private Finance for Clean Energy in Emerging and Developing Economies</w:t>
      </w:r>
      <w:r>
        <w:rPr>
          <w:b w:val="0"/>
          <w:i w:val="0"/>
          <w:u w:val="none"/>
        </w:rPr>
        <w:t>. https://www.iea.org/reports/scaling-up-private-finance-for-clean-energy-in-emerging-and-developing-economies</w:t>
      </w:r>
    </w:p>
    <w:p>
      <w:pPr>
        <w:pStyle w:val="Bibliography"/>
        <w:ind w:left="720" w:hanging="720"/>
      </w:pPr>
      <w:r>
        <w:rPr>
          <w:b w:val="0"/>
          <w:i w:val="0"/>
          <w:u w:val="none"/>
        </w:rPr>
        <w:t xml:space="preserve">International Energy Agency. (2024). </w:t>
      </w:r>
      <w:r>
        <w:rPr>
          <w:b w:val="0"/>
          <w:i/>
          <w:u w:val="none"/>
        </w:rPr>
        <w:t>World Energy Investment 2024</w:t>
      </w:r>
      <w:r>
        <w:rPr>
          <w:b w:val="0"/>
          <w:i w:val="0"/>
          <w:u w:val="none"/>
        </w:rPr>
        <w:t>. https://www.iea.org/reports/world-energy-investment-2024</w:t>
      </w:r>
    </w:p>
    <w:p>
      <w:pPr>
        <w:pStyle w:val="Bibliography"/>
        <w:ind w:left="720" w:hanging="720"/>
      </w:pPr>
      <w:r>
        <w:rPr>
          <w:b w:val="0"/>
          <w:i w:val="0"/>
          <w:u w:val="none"/>
        </w:rPr>
        <w:t xml:space="preserve">Lazard. (2025). </w:t>
      </w:r>
      <w:r>
        <w:rPr>
          <w:b w:val="0"/>
          <w:i/>
          <w:u w:val="none"/>
        </w:rPr>
        <w:t>Levelized Cost of Energy+</w:t>
      </w:r>
      <w:r>
        <w:rPr>
          <w:b w:val="0"/>
          <w:i w:val="0"/>
          <w:u w:val="none"/>
        </w:rPr>
        <w:t>. https://www.lazard.com/research-insights/levelized-cost-of-energyplus/</w:t>
      </w:r>
    </w:p>
    <w:p>
      <w:pPr>
        <w:pStyle w:val="Bibliography"/>
        <w:ind w:left="720" w:hanging="720"/>
      </w:pPr>
      <w:r>
        <w:rPr>
          <w:b w:val="0"/>
          <w:i w:val="0"/>
          <w:u w:val="none"/>
        </w:rPr>
        <w:t xml:space="preserve">Liu, Y., &amp; Tsyvinski, A. (2021). Risks and returns of cryptocurrency. </w:t>
      </w:r>
      <w:r>
        <w:rPr>
          <w:b w:val="0"/>
          <w:i/>
          <w:u w:val="none"/>
        </w:rPr>
        <w:t>The Review of Financial Studies, 34</w:t>
      </w:r>
      <w:r>
        <w:rPr>
          <w:b w:val="0"/>
          <w:i w:val="0"/>
          <w:u w:val="none"/>
        </w:rPr>
        <w:t>(6), 2689-2727.</w:t>
      </w:r>
    </w:p>
    <w:p>
      <w:pPr>
        <w:pStyle w:val="Bibliography"/>
        <w:ind w:left="720" w:hanging="720"/>
      </w:pPr>
      <w:r>
        <w:rPr>
          <w:b w:val="0"/>
          <w:i w:val="0"/>
          <w:u w:val="none"/>
        </w:rPr>
        <w:t xml:space="preserve">Nakamoto, S. (2008). </w:t>
      </w:r>
      <w:r>
        <w:rPr>
          <w:b w:val="0"/>
          <w:i/>
          <w:u w:val="none"/>
        </w:rPr>
        <w:t>Bitcoin: A Peer-to-Peer Electronic Cash System</w:t>
      </w:r>
      <w:r>
        <w:rPr>
          <w:b w:val="0"/>
          <w:i w:val="0"/>
          <w:u w:val="none"/>
        </w:rPr>
        <w:t>. https://bitcoin.org/bitcoin.pdf</w:t>
      </w:r>
    </w:p>
    <w:p>
      <w:pPr>
        <w:pStyle w:val="Bibliography"/>
        <w:ind w:left="720" w:hanging="720"/>
      </w:pPr>
      <w:r>
        <w:rPr>
          <w:b w:val="0"/>
          <w:i w:val="0"/>
          <w:u w:val="none"/>
        </w:rPr>
        <w:t xml:space="preserve">NASA POWER. (n.d.). </w:t>
      </w:r>
      <w:r>
        <w:rPr>
          <w:b w:val="0"/>
          <w:i/>
          <w:u w:val="none"/>
        </w:rPr>
        <w:t>Prediction of Worldwide Energy Resources</w:t>
      </w:r>
      <w:r>
        <w:rPr>
          <w:b w:val="0"/>
          <w:i w:val="0"/>
          <w:u w:val="none"/>
        </w:rPr>
        <w:t>. NASA Langley Research Center. https://power.larc.nasa.gov/</w:t>
      </w:r>
    </w:p>
    <w:p>
      <w:pPr>
        <w:pStyle w:val="Bibliography"/>
        <w:ind w:left="720" w:hanging="720"/>
      </w:pPr>
      <w:r>
        <w:rPr>
          <w:b w:val="0"/>
          <w:i w:val="0"/>
          <w:u w:val="none"/>
        </w:rPr>
        <w:t xml:space="preserve">National Renewable Energy Laboratory. (n.d.). </w:t>
      </w:r>
      <w:r>
        <w:rPr>
          <w:b w:val="0"/>
          <w:i/>
          <w:u w:val="none"/>
        </w:rPr>
        <w:t>PVWatts API</w:t>
      </w:r>
      <w:r>
        <w:rPr>
          <w:b w:val="0"/>
          <w:i w:val="0"/>
          <w:u w:val="none"/>
        </w:rPr>
        <w:t>. https://developer.nrel.gov/docs/solar/pvwatts/</w:t>
      </w:r>
    </w:p>
    <w:p>
      <w:pPr>
        <w:pStyle w:val="Bibliography"/>
        <w:ind w:left="720" w:hanging="720"/>
      </w:pPr>
      <w:r>
        <w:rPr>
          <w:b w:val="0"/>
          <w:i w:val="0"/>
          <w:u w:val="none"/>
        </w:rPr>
        <w:t xml:space="preserve">OECD. (2024). </w:t>
      </w:r>
      <w:r>
        <w:rPr>
          <w:b w:val="0"/>
          <w:i/>
          <w:u w:val="none"/>
        </w:rPr>
        <w:t>Bridging the Clean Energy Investment Gap: Cost of Capital in the Transition to Net-Zero Emissions</w:t>
      </w:r>
      <w:r>
        <w:rPr>
          <w:b w:val="0"/>
          <w:i w:val="0"/>
          <w:u w:val="none"/>
        </w:rPr>
        <w:t>. https://www.oecd.org/en/publications/bridging-the-clean-energy-investment-gap_1ae47659-en.html</w:t>
      </w:r>
    </w:p>
    <w:p>
      <w:pPr>
        <w:pStyle w:val="Bibliography"/>
        <w:ind w:left="720" w:hanging="720"/>
      </w:pPr>
      <w:r>
        <w:rPr>
          <w:b w:val="0"/>
          <w:i w:val="0"/>
          <w:u w:val="none"/>
        </w:rPr>
        <w:t xml:space="preserve">U.S. Department of State, Office of the Historian. (n.d.). </w:t>
      </w:r>
      <w:r>
        <w:rPr>
          <w:b w:val="0"/>
          <w:i/>
          <w:u w:val="none"/>
        </w:rPr>
        <w:t>Nixon and the End of the Bretton Woods System, 1971-1973</w:t>
      </w:r>
      <w:r>
        <w:rPr>
          <w:b w:val="0"/>
          <w:i w:val="0"/>
          <w:u w:val="none"/>
        </w:rPr>
        <w:t>. https://history.state.gov/milestones/1969-1976/nixon-shock</w:t>
      </w:r>
    </w:p>
    <w:p>
      <w:pPr>
        <w:pStyle w:val="Bibliography"/>
        <w:ind w:left="720" w:hanging="720"/>
      </w:pPr>
      <w:r>
        <w:rPr>
          <w:b w:val="0"/>
          <w:i w:val="0"/>
          <w:u w:val="none"/>
        </w:rPr>
        <w:t xml:space="preserve">Cambridge Centre for Alternative Finance. (n.d.). </w:t>
      </w:r>
      <w:r>
        <w:rPr>
          <w:b w:val="0"/>
          <w:i/>
          <w:u w:val="none"/>
        </w:rPr>
        <w:t>Cambridge Bitcoin Electricity Consumption Index</w:t>
      </w:r>
      <w:r>
        <w:rPr>
          <w:b w:val="0"/>
          <w:i w:val="0"/>
          <w:u w:val="none"/>
        </w:rPr>
        <w:t>. Cambridge Judge Business School. https://ccaf.io/cbnsi/cbeci</w:t>
      </w:r>
    </w:p>
    <w:p>
      <w:pPr>
        <w:pStyle w:val="Bibliography"/>
        <w:ind w:left="720" w:hanging="720"/>
      </w:pPr>
      <w:r>
        <w:rPr>
          <w:b w:val="0"/>
          <w:i w:val="0"/>
          <w:u w:val="none"/>
        </w:rPr>
        <w:t xml:space="preserve">Black, F., &amp; Scholes, M. (1973). The pricing of options and corporate liabilities. </w:t>
      </w:r>
      <w:r>
        <w:rPr>
          <w:b w:val="0"/>
          <w:i/>
          <w:u w:val="none"/>
        </w:rPr>
        <w:t>Journal of Political Economy, 81</w:t>
      </w:r>
      <w:r>
        <w:rPr>
          <w:b w:val="0"/>
          <w:i w:val="0"/>
          <w:u w:val="none"/>
        </w:rPr>
        <w:t>(3), 637-654.</w:t>
      </w:r>
    </w:p>
    <w:p>
      <w:pPr>
        <w:pStyle w:val="Bibliography"/>
        <w:ind w:left="720" w:hanging="720"/>
      </w:pPr>
      <w:r>
        <w:rPr>
          <w:b w:val="0"/>
          <w:i w:val="0"/>
          <w:u w:val="none"/>
        </w:rPr>
        <w:t xml:space="preserve">Cox, J. C., Ross, S. A., &amp; Rubinstein, M. (1979). Option pricing: A simplified approach. </w:t>
      </w:r>
      <w:r>
        <w:rPr>
          <w:b w:val="0"/>
          <w:i/>
          <w:u w:val="none"/>
        </w:rPr>
        <w:t>Journal of Financial Economics, 7</w:t>
      </w:r>
      <w:r>
        <w:rPr>
          <w:b w:val="0"/>
          <w:i w:val="0"/>
          <w:u w:val="none"/>
        </w:rPr>
        <w:t>(3), 229-263.</w:t>
      </w:r>
    </w:p>
    <w:p>
      <w:pPr>
        <w:pStyle w:val="Bibliography"/>
        <w:ind w:left="720" w:hanging="720"/>
      </w:pPr>
      <w:r>
        <w:rPr>
          <w:b w:val="0"/>
          <w:i w:val="0"/>
          <w:u w:val="none"/>
        </w:rPr>
        <w:t xml:space="preserve">Bank for International Settlements. (2023). Blueprint for the future monetary system: Improving the old, enabling the new. In </w:t>
      </w:r>
      <w:r>
        <w:rPr>
          <w:b w:val="0"/>
          <w:i/>
          <w:u w:val="none"/>
        </w:rPr>
        <w:t>Annual Economic Report 2023</w:t>
      </w:r>
      <w:r>
        <w:rPr>
          <w:b w:val="0"/>
          <w:i w:val="0"/>
          <w:u w:val="none"/>
        </w:rPr>
        <w:t>. https://www.bis.org/publ/arpdf/ar2023e3.htm</w:t>
      </w:r>
    </w:p>
    <w:p>
      <w:pPr>
        <w:pStyle w:val="Bibliography"/>
        <w:ind w:left="720" w:hanging="720"/>
      </w:pPr>
      <w:r>
        <w:rPr>
          <w:b w:val="0"/>
          <w:i w:val="0"/>
          <w:u w:val="none"/>
        </w:rPr>
        <w:t xml:space="preserve">Chainlink. (n.d.). </w:t>
      </w:r>
      <w:r>
        <w:rPr>
          <w:b w:val="0"/>
          <w:i/>
          <w:u w:val="none"/>
        </w:rPr>
        <w:t>Proof of Reserve</w:t>
      </w:r>
      <w:r>
        <w:rPr>
          <w:b w:val="0"/>
          <w:i w:val="0"/>
          <w:u w:val="none"/>
        </w:rPr>
        <w:t>. https://chain.link/proof-of-reserve</w:t>
      </w:r>
    </w:p>
    <w:p>
      <w:pPr>
        <w:pStyle w:val="Bibliography"/>
        <w:ind w:left="720" w:hanging="720"/>
      </w:pPr>
      <w:r>
        <w:rPr>
          <w:b w:val="0"/>
          <w:i w:val="0"/>
          <w:u w:val="none"/>
        </w:rPr>
        <w:t xml:space="preserve">National Institute of Standards and Technology. (n.d.). </w:t>
      </w:r>
      <w:r>
        <w:rPr>
          <w:b w:val="0"/>
          <w:i/>
          <w:u w:val="none"/>
        </w:rPr>
        <w:t>Smart Grid</w:t>
      </w:r>
      <w:r>
        <w:rPr>
          <w:b w:val="0"/>
          <w:i w:val="0"/>
          <w:u w:val="none"/>
        </w:rPr>
        <w:t>. https://www.nist.gov/engineering-laboratory/smart-grid</w:t>
      </w:r>
    </w:p>
    <w:p>
      <w:pPr>
        <w:pStyle w:val="Bibliography"/>
        <w:ind w:left="720" w:hanging="720"/>
      </w:pPr>
      <w:r>
        <w:rPr>
          <w:b w:val="0"/>
          <w:i w:val="0"/>
          <w:u w:val="none"/>
        </w:rPr>
        <w:t xml:space="preserve">OpenZeppelin. (n.d.). </w:t>
      </w:r>
      <w:r>
        <w:rPr>
          <w:b w:val="0"/>
          <w:i/>
          <w:u w:val="none"/>
        </w:rPr>
        <w:t>ERC20</w:t>
      </w:r>
      <w:r>
        <w:rPr>
          <w:b w:val="0"/>
          <w:i w:val="0"/>
          <w:u w:val="none"/>
        </w:rPr>
        <w:t>. https://docs.openzeppelin.com/contracts/5.x/api/token/ERC20</w:t>
      </w:r>
    </w:p>
    <w:p>
      <w:pPr>
        <w:pStyle w:val="Bibliography"/>
        <w:ind w:left="720" w:hanging="720"/>
      </w:pPr>
      <w:r>
        <w:rPr>
          <w:b w:val="0"/>
          <w:i w:val="0"/>
          <w:u w:val="none"/>
        </w:rPr>
        <w:t xml:space="preserve">SolarPunk project artifacts. (2026). </w:t>
      </w:r>
      <w:r>
        <w:rPr>
          <w:rFonts w:ascii="Courier New" w:hAnsi="Courier New"/>
          <w:b w:val="0"/>
          <w:i w:val="0"/>
          <w:sz w:val="21"/>
          <w:u w:val="none"/>
        </w:rPr>
        <w:t>SPK_ATTESTED_MINT_PROOF.md</w:t>
      </w:r>
      <w:r>
        <w:rPr>
          <w:b w:val="0"/>
          <w:i w:val="0"/>
          <w:u w:val="none"/>
        </w:rPr>
        <w:t xml:space="preserve">, </w:t>
      </w:r>
      <w:r>
        <w:rPr>
          <w:rFonts w:ascii="Courier New" w:hAnsi="Courier New"/>
          <w:b w:val="0"/>
          <w:i w:val="0"/>
          <w:sz w:val="21"/>
          <w:u w:val="none"/>
        </w:rPr>
        <w:t>CURRENCY_SYSTEM_LAB.md</w:t>
      </w:r>
      <w:r>
        <w:rPr>
          <w:b w:val="0"/>
          <w:i w:val="0"/>
          <w:u w:val="none"/>
        </w:rPr>
        <w:t xml:space="preserve">, </w:t>
      </w:r>
      <w:r>
        <w:rPr>
          <w:rFonts w:ascii="Courier New" w:hAnsi="Courier New"/>
          <w:b w:val="0"/>
          <w:i w:val="0"/>
          <w:sz w:val="21"/>
          <w:u w:val="none"/>
        </w:rPr>
        <w:t>CURRENCY_FRAMEWORK_READINESS.md</w:t>
      </w:r>
      <w:r>
        <w:rPr>
          <w:b w:val="0"/>
          <w:i w:val="0"/>
          <w:u w:val="none"/>
        </w:rPr>
        <w:t xml:space="preserve">, and </w:t>
      </w:r>
      <w:r>
        <w:rPr>
          <w:rFonts w:ascii="Courier New" w:hAnsi="Courier New"/>
          <w:b w:val="0"/>
          <w:i w:val="0"/>
          <w:sz w:val="21"/>
          <w:u w:val="none"/>
        </w:rPr>
        <w:t>PRODUCT_LAUNCH_GATE.md</w:t>
      </w:r>
      <w:r>
        <w:rPr>
          <w:b w:val="0"/>
          <w:i w:val="0"/>
          <w:u w:val="none"/>
        </w:rPr>
        <w: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480" w:lineRule="auto"/>
      <w:ind w:firstLine="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360" w:after="120" w:line="480" w:lineRule="auto"/>
      <w:ind w:firstLine="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ind w:firstLine="0"/>
      <w:outlineLvl w:val="2"/>
    </w:pPr>
    <w:rPr>
      <w:rFonts w:asciiTheme="majorHAnsi" w:eastAsiaTheme="majorEastAsia" w:hAnsiTheme="majorHAnsi" w:cstheme="majorBidi" w:ascii="Times New Roman" w:hAnsi="Times New Roman"/>
      <w:b/>
      <w:bCs/>
      <w:i w:val="0"/>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120" w:after="60" w:line="480" w:lineRule="auto"/>
      <w:ind w:firstLine="0"/>
      <w:outlineLvl w:val="3"/>
    </w:pPr>
    <w:rPr>
      <w:rFonts w:asciiTheme="majorHAnsi" w:eastAsiaTheme="majorEastAsia" w:hAnsiTheme="majorHAnsi" w:cstheme="majorBidi" w:ascii="Times New Roman" w:hAnsi="Times New Roman"/>
      <w:b/>
      <w:bCs/>
      <w:i w:val="0"/>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after="0"/>
      <w:ind w:left="720" w:firstLine="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after="0"/>
      <w:ind w:left="720" w:firstLine="0"/>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basedOn w:val="Normal"/>
    <w:pPr>
      <w:spacing w:line="240" w:lineRule="auto" w:before="120" w:after="120"/>
      <w:ind w:firstLine="0" w:left="720" w:right="360"/>
    </w:pPr>
    <w:rPr>
      <w:rFonts w:ascii="Courier New" w:hAnsi="Courier New"/>
      <w:sz w:val="21"/>
    </w:rPr>
  </w:style>
  <w:style w:type="paragraph" w:customStyle="1" w:styleId="QuoteBlock">
    <w:name w:val="Quote Block"/>
    <w:basedOn w:val="Normal"/>
    <w:pPr>
      <w:ind w:firstLine="0" w:left="720" w:right="360"/>
    </w:pPr>
    <w:rPr>
      <w:i/>
    </w:rPr>
  </w:style>
  <w:style w:type="paragraph" w:customStyle="1" w:styleId="Bibliography">
    <w:name w:val="Bibliography"/>
    <w:basedOn w:val="Normal"/>
    <w:pPr>
      <w:spacing w:line="480" w:lineRule="auto" w:after="0"/>
      <w:ind w:left="720" w:hanging="720"/>
    </w:pPr>
    <w:rPr>
      <w:rFonts w:ascii="Times New Roman" w:hAnsi="Times New Roman"/>
      <w:sz w:val="24"/>
    </w:rPr>
  </w:style>
  <w:style w:type="paragraph" w:customStyle="1" w:styleId="TableNote">
    <w:name w:val="Table Note"/>
    <w:basedOn w:val="Normal"/>
    <w:pPr>
      <w:spacing w:before="60" w:after="180" w:line="240" w:lineRule="auto"/>
      <w:ind w:firstLine="0"/>
    </w:pPr>
    <w:rPr>
      <w:rFonts w:ascii="Times New Roman" w:hAnsi="Times New Roman"/>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