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Times New Roman" w:hAnsi="Times New Roman"/>
          <w:b/>
          <w:sz w:val="34"/>
        </w:rPr>
        <w:t>The Invisible Ledger: Quantifying ASEAN's $170 Billion</w:t>
        <w:br/>
        <w:t>Unmeasured Platform Economy</w:t>
      </w:r>
    </w:p>
    <w:p>
      <w:pPr>
        <w:spacing w:after="60"/>
        <w:jc w:val="center"/>
      </w:pPr>
      <w:r>
        <w:rPr>
          <w:rFonts w:ascii="Times New Roman" w:hAnsi="Times New Roman"/>
          <w:b/>
          <w:sz w:val="25"/>
        </w:rPr>
        <w:t>Christopher Ongko (王新福)</w:t>
      </w:r>
    </w:p>
    <w:p>
      <w:pPr>
        <w:spacing w:after="60"/>
        <w:jc w:val="center"/>
      </w:pPr>
      <w:r>
        <w:rPr>
          <w:rFonts w:ascii="Times New Roman" w:hAnsi="Times New Roman"/>
          <w:b w:val="0"/>
          <w:sz w:val="21"/>
        </w:rPr>
        <w:t>Department of Finance, College of Management, Yuan Ze University, Taiwan</w:t>
      </w:r>
    </w:p>
    <w:p>
      <w:pPr>
        <w:spacing w:after="60"/>
        <w:jc w:val="center"/>
      </w:pPr>
      <w:r>
        <w:rPr>
          <w:rFonts w:ascii="Times New Roman" w:hAnsi="Times New Roman"/>
          <w:b w:val="0"/>
          <w:sz w:val="21"/>
        </w:rPr>
        <w:t>s1133958@mail.yzu.edu.tw · ORCID: 0009-0007-9339-9098</w:t>
      </w:r>
    </w:p>
    <w:p>
      <w:pPr>
        <w:spacing w:after="60"/>
        <w:jc w:val="center"/>
      </w:pPr>
      <w:r>
        <w:rPr>
          <w:rFonts w:ascii="Times New Roman" w:hAnsi="Times New Roman"/>
          <w:b w:val="0"/>
          <w:sz w:val="21"/>
        </w:rPr>
        <w:t>Corrected working draft · July 2026</w:t>
      </w:r>
    </w:p>
    <w:p>
      <w:pPr>
        <w:spacing w:after="120"/>
      </w:pPr>
    </w:p>
    <w:p>
      <w:pPr>
        <w:spacing w:after="160"/>
      </w:pPr>
      <w:r>
        <w:rPr>
          <w:rFonts w:ascii="Times New Roman" w:hAnsi="Times New Roman"/>
          <w:b w:val="0"/>
          <w:i/>
          <w:sz w:val="21"/>
        </w:rPr>
        <w:t>A companion paper, “Digital Services Taxation Without Tax Competition,” analyzes cross-country variation in digital tax policy design and implementation; the causal identification strategy is shared across both papers.</w:t>
      </w:r>
    </w:p>
    <w:p>
      <w:pPr>
        <w:spacing w:before="280" w:after="120"/>
      </w:pPr>
      <w:r>
        <w:rPr>
          <w:rFonts w:ascii="Times New Roman" w:hAnsi="Times New Roman"/>
          <w:b/>
          <w:color w:val="000000"/>
          <w:sz w:val="25"/>
        </w:rPr>
        <w:t>ABSTRACT</w:t>
      </w:r>
    </w:p>
    <w:p>
      <w:pPr>
        <w:spacing w:after="160"/>
      </w:pPr>
      <w:r>
        <w:rPr>
          <w:rFonts w:ascii="Times New Roman" w:hAnsi="Times New Roman"/>
          <w:b w:val="0"/>
          <w:i w:val="0"/>
          <w:sz w:val="23"/>
        </w:rPr>
        <w:t>This paper quantifies what I term the “invisible economy” across ASEAN's five major digital markets — income flowing to platform participants (drivers, merchants, sellers) that escapes tax administration despite being digitally intermediated. Drawing on audited financial filings from Indonesia's three dominant platforms (Grab, GoTo, Sea Limited/Shopee), I document a $66.8 billion invisible wedge and a 17.0× ecosystem ratio for Indonesia; the ASEAN-5 total is $170 billion, also at a 17.0× ratio. For every dollar of platform revenue that tax authorities can audit, approximately $17 flows to decentralized participants outside administrative reach.</w:t>
      </w:r>
    </w:p>
    <w:p>
      <w:pPr>
        <w:spacing w:after="160"/>
      </w:pPr>
      <w:r>
        <w:rPr>
          <w:rFonts w:ascii="Times New Roman" w:hAnsi="Times New Roman"/>
          <w:b w:val="0"/>
          <w:i w:val="0"/>
          <w:sz w:val="23"/>
        </w:rPr>
        <w:t>Two of the three Indonesia platform figures are directly disclosed in SEC filings (Grab's country-level revenue; GoTo's Indonesia-native reporting); the third (Shopee's Indonesia-specific GMV, which Sea Limited discloses only at the regional Southeast Asia level) is estimated from an independent third-party market-share source (Momentum Works, 2023) rather than implied to be a direct filing citation. This is a deliberate correction from an earlier draft of this paper, in which the Indonesia platform table did not fully reconcile with the cited SEC filings; Section 4 documents the correction in full.</w:t>
      </w:r>
    </w:p>
    <w:p>
      <w:pPr>
        <w:spacing w:after="160"/>
      </w:pPr>
      <w:r>
        <w:rPr>
          <w:rFonts w:ascii="Times New Roman" w:hAnsi="Times New Roman"/>
          <w:b w:val="0"/>
          <w:i w:val="0"/>
          <w:sz w:val="23"/>
        </w:rPr>
        <w:t>To validate these estimates, I exploit Malaysia's January 2024 tax base expansion as a natural experiment; difference-in-differences analysis, reconstructed transparently from official annual tax-collection data, suggests that base expansion captured approximately $124 million annually (p &lt; .001), consistent with the estimate reported in the companion paper and confirming the shared identification strategy is reproducible from archived primary data. Cross-validation against three countries' digital tax collections yields effective rates of 1.2–3.3%, consistent with the estimates.</w:t>
      </w:r>
    </w:p>
    <w:p>
      <w:pPr>
        <w:spacing w:after="160"/>
      </w:pPr>
      <w:r>
        <w:rPr>
          <w:rFonts w:ascii="Times New Roman" w:hAnsi="Times New Roman"/>
          <w:b w:val="0"/>
          <w:i w:val="0"/>
          <w:sz w:val="23"/>
        </w:rPr>
        <w:t>Time series analysis points to fiscal decoupling that appears structural rather than cyclical — the invisible share of GoTo's Indonesia business increased from 95.7% to 97.6% between 2020 and 2023, unaffected by the corrections described above.</w:t>
      </w:r>
    </w:p>
    <w:p>
      <w:pPr>
        <w:spacing w:after="160"/>
      </w:pPr>
      <w:r>
        <w:rPr>
          <w:rFonts w:ascii="Times New Roman" w:hAnsi="Times New Roman"/>
          <w:b w:val="0"/>
          <w:i w:val="0"/>
          <w:sz w:val="23"/>
        </w:rPr>
        <w:t>Based on these findings, I propose a bifurcated policy framework: zero-rated formalization for subsistence gig workers (enabling credit access without immediate taxation) and algorithmic withholding for high-income creators (capturing economic rents at source).</w:t>
      </w:r>
    </w:p>
    <w:p>
      <w:pPr>
        <w:spacing w:after="160"/>
      </w:pPr>
      <w:r>
        <w:rPr>
          <w:rFonts w:ascii="Times New Roman" w:hAnsi="Times New Roman"/>
          <w:b w:val="0"/>
          <w:i/>
          <w:sz w:val="20"/>
        </w:rPr>
        <w:t>Keywords: Digital Economy, Platform Economy, Fiscal Policy, Informal Sector, ASEAN, Tax Policy, Domestic Resource Mobilization</w:t>
      </w:r>
    </w:p>
    <w:p>
      <w:pPr>
        <w:spacing w:after="160"/>
      </w:pPr>
      <w:r>
        <w:rPr>
          <w:rFonts w:ascii="Times New Roman" w:hAnsi="Times New Roman"/>
          <w:b w:val="0"/>
          <w:i/>
          <w:sz w:val="20"/>
        </w:rPr>
        <w:t>JEL Codes: H25, O17, O33, F23</w:t>
      </w:r>
    </w:p>
    <w:p>
      <w:r>
        <w:br w:type="page"/>
      </w:r>
    </w:p>
    <w:p>
      <w:pPr>
        <w:spacing w:before="280" w:after="120"/>
      </w:pPr>
      <w:r>
        <w:rPr>
          <w:rFonts w:ascii="Times New Roman" w:hAnsi="Times New Roman"/>
          <w:b/>
          <w:color w:val="000000"/>
          <w:sz w:val="28"/>
        </w:rPr>
        <w:t>1. Introduction</w:t>
      </w:r>
    </w:p>
    <w:p>
      <w:pPr>
        <w:spacing w:after="160"/>
      </w:pPr>
      <w:r>
        <w:rPr>
          <w:rFonts w:ascii="Times New Roman" w:hAnsi="Times New Roman"/>
          <w:b w:val="0"/>
          <w:i w:val="0"/>
          <w:sz w:val="23"/>
        </w:rPr>
        <w:t>Southeast Asia's platform economy has grown from $98 billion in 2020 to $200 billion in 2024 (Google, Temasek, &amp; Bain, 2024). Yet the vast majority of this activity — income flowing to drivers, merchants, and content creators through platforms like Grab, GoTo, and Shopee — remains outside the reach of tax administrators. This paper documents a $170 billion “invisible wedge”: platform-mediated income that escapes taxation not because it is illegal or hidden, but because existing tax frameworks were designed for formal employment and registered businesses, not for millions of informal platform participants.</w:t>
      </w:r>
    </w:p>
    <w:p>
      <w:pPr>
        <w:spacing w:after="160"/>
      </w:pPr>
      <w:r>
        <w:rPr>
          <w:rFonts w:ascii="Times New Roman" w:hAnsi="Times New Roman"/>
          <w:b w:val="0"/>
          <w:i w:val="0"/>
          <w:sz w:val="23"/>
        </w:rPr>
        <w:t>The gap is structural: for every dollar of platform revenue that tax authorities can audit, approximately $17 flows to decentralized agents outside administrative systems. This ratio is consistent across platforms and countries, suggesting something systematic rather than accidental.</w:t>
      </w:r>
    </w:p>
    <w:p>
      <w:pPr>
        <w:spacing w:after="160"/>
      </w:pPr>
      <w:r>
        <w:rPr>
          <w:rFonts w:ascii="Times New Roman" w:hAnsi="Times New Roman"/>
          <w:b w:val="0"/>
          <w:i w:val="0"/>
          <w:sz w:val="23"/>
        </w:rPr>
        <w:t>Consider a driver working with Gojek in Jakarta who earns Rp 2 million daily ($130 USD). The driver retains approximately Rp 1.6 million (80%), while the platform collects Rp 400,000 (20%) as commission. Tax authorities can audit the platform commission — it appears in corporate accounts and flows through formal payment systems. However, the driver's income remains administratively invisible. Multiply this pattern across millions of drivers, hundreds of thousands of merchants, and tens of thousands of content creators, and a massive parallel economy emerges that tax administrators cannot effectively reach.</w:t>
      </w:r>
    </w:p>
    <w:p>
      <w:pPr>
        <w:spacing w:before="280" w:after="120"/>
      </w:pPr>
      <w:r>
        <w:rPr>
          <w:rFonts w:ascii="Times New Roman" w:hAnsi="Times New Roman"/>
          <w:b/>
          <w:color w:val="000000"/>
          <w:sz w:val="24"/>
        </w:rPr>
        <w:t>1.1 Contributions</w:t>
      </w:r>
    </w:p>
    <w:p>
      <w:pPr>
        <w:spacing w:after="160"/>
      </w:pPr>
      <w:r>
        <w:rPr>
          <w:rFonts w:ascii="Times New Roman" w:hAnsi="Times New Roman"/>
          <w:b w:val="0"/>
          <w:i w:val="0"/>
          <w:sz w:val="23"/>
        </w:rPr>
        <w:t>First, I provide a comprehensive regional estimate of administratively invisible platform income using a two-tier methodology: direct measurement via audited financials for Indonesia (90% market coverage across its three dominant platforms), and calibrated inference for Malaysia, Vietnam, Philippines, and Thailand. I find that ASEAN's invisible platform economy totals $170 billion, with a consistent 17.0× ecosystem ratio across the region.</w:t>
      </w:r>
    </w:p>
    <w:p>
      <w:pPr>
        <w:spacing w:after="160"/>
      </w:pPr>
      <w:r>
        <w:rPr>
          <w:rFonts w:ascii="Times New Roman" w:hAnsi="Times New Roman"/>
          <w:b w:val="0"/>
          <w:i w:val="0"/>
          <w:sz w:val="23"/>
        </w:rPr>
        <w:t>Second, I provide causal validation using Malaysia's January 2024 policy change as a natural experiment. Reconstructing the quarterly panel transparently from official annual tax-collection data, difference-in-differences analysis with Vietnam as a control group shows that base expansion captured an additional $124 million annually.</w:t>
      </w:r>
    </w:p>
    <w:p>
      <w:pPr>
        <w:spacing w:after="160"/>
      </w:pPr>
      <w:r>
        <w:rPr>
          <w:rFonts w:ascii="Times New Roman" w:hAnsi="Times New Roman"/>
          <w:b w:val="0"/>
          <w:i w:val="0"/>
          <w:sz w:val="23"/>
        </w:rPr>
        <w:t>Third, I document that fiscal decoupling is structural rather than temporary, using GoTo's Indonesia-native, directly-reported financials — a part of the analysis unaffected by the correction described below.</w:t>
      </w:r>
    </w:p>
    <w:p>
      <w:pPr>
        <w:spacing w:before="280" w:after="120"/>
      </w:pPr>
      <w:r>
        <w:rPr>
          <w:rFonts w:ascii="Times New Roman" w:hAnsi="Times New Roman"/>
          <w:b/>
          <w:color w:val="000000"/>
          <w:sz w:val="24"/>
        </w:rPr>
        <w:t>1.2 A Note on This Draft</w:t>
      </w:r>
    </w:p>
    <w:p>
      <w:pPr>
        <w:spacing w:after="160"/>
      </w:pPr>
      <w:r>
        <w:rPr>
          <w:rFonts w:ascii="Times New Roman" w:hAnsi="Times New Roman"/>
          <w:b w:val="0"/>
          <w:i w:val="0"/>
          <w:sz w:val="23"/>
        </w:rPr>
        <w:t>An earlier version of this paper's Indonesia platform table (Table 1) cited two of its three figures to SEC filings that, on direct re-verification, do not contain those figures at the country level. Grab's Indonesia revenue is $605 million as directly disclosed in its 20-F, not the $1.2 billion previously reported; Sea Limited's 20-F does not disclose an Indonesia-specific figure for Shopee at all, only a combined Southeast Asia total. This draft corrects both figures — Grab's using the real disclosed number, Shopee's using an independent third-party market-share estimate, clearly labeled as such — and propagates the correction through every dependent figure in the paper. The corrected estimate is lower in absolute dollar terms but yields a higher ecosystem ratio, because platform revenue fell proportionally more than platform GMV under correction. The qualitative finding is unchanged; the specific numbers are more defensible.</w:t>
      </w:r>
    </w:p>
    <w:p>
      <w:pPr>
        <w:spacing w:before="280" w:after="120"/>
      </w:pPr>
      <w:r>
        <w:rPr>
          <w:rFonts w:ascii="Times New Roman" w:hAnsi="Times New Roman"/>
          <w:b/>
          <w:color w:val="000000"/>
          <w:sz w:val="28"/>
        </w:rPr>
        <w:t>2. Literature Review and Theoretical Framework</w:t>
      </w:r>
    </w:p>
    <w:p>
      <w:pPr>
        <w:spacing w:before="280" w:after="120"/>
      </w:pPr>
      <w:r>
        <w:rPr>
          <w:rFonts w:ascii="Times New Roman" w:hAnsi="Times New Roman"/>
          <w:b/>
          <w:color w:val="000000"/>
          <w:sz w:val="24"/>
        </w:rPr>
        <w:t>2.1 Platform Economics and Two-Sided Markets</w:t>
      </w:r>
    </w:p>
    <w:p>
      <w:pPr>
        <w:spacing w:after="160"/>
      </w:pPr>
      <w:r>
        <w:rPr>
          <w:rFonts w:ascii="Times New Roman" w:hAnsi="Times New Roman"/>
          <w:b w:val="0"/>
          <w:i w:val="0"/>
          <w:sz w:val="23"/>
        </w:rPr>
        <w:t>The economics of digital platforms builds on Rochet and Tirole (2003), who formalized the theory of two-sided markets. A key insight is that platform commission rates reflect strategic choices rather than cost structures (Armstrong, 2006) — a dynamic directly visible in the corrected take rates documented in Section 4 (Grab 11.2%, Shopee 10.1%, blended Indonesia rate 5.9%). Evans and Schmalensee (2016) emphasize that platform economics differ fundamentally from traditional firm economics because value creation occurs in the ecosystem rather than within firm boundaries — central to the measurement problem here.</w:t>
      </w:r>
    </w:p>
    <w:p>
      <w:pPr>
        <w:spacing w:before="280" w:after="120"/>
      </w:pPr>
      <w:r>
        <w:rPr>
          <w:rFonts w:ascii="Times New Roman" w:hAnsi="Times New Roman"/>
          <w:b/>
          <w:color w:val="000000"/>
          <w:sz w:val="24"/>
        </w:rPr>
        <w:t>2.2 Informal Economy Measurement</w:t>
      </w:r>
    </w:p>
    <w:p>
      <w:pPr>
        <w:spacing w:after="160"/>
      </w:pPr>
      <w:r>
        <w:rPr>
          <w:rFonts w:ascii="Times New Roman" w:hAnsi="Times New Roman"/>
          <w:b w:val="0"/>
          <w:i w:val="0"/>
          <w:sz w:val="23"/>
        </w:rPr>
        <w:t>Medina and Schneider (2019) estimate informal production represents 27–29% of global GDP using indirect indicators. This paper differs by using direct measurement from audited corporate filings and official disclosures — and, per Section 4, by explicitly separating figures that are directly disclosed from figures requiring independent third-party estimation.</w:t>
      </w:r>
    </w:p>
    <w:p>
      <w:pPr>
        <w:spacing w:before="280" w:after="120"/>
      </w:pPr>
      <w:r>
        <w:rPr>
          <w:rFonts w:ascii="Times New Roman" w:hAnsi="Times New Roman"/>
          <w:b/>
          <w:color w:val="000000"/>
          <w:sz w:val="24"/>
        </w:rPr>
        <w:t>2.3 Digital Taxation and the OECD Framework</w:t>
      </w:r>
    </w:p>
    <w:p>
      <w:pPr>
        <w:spacing w:after="160"/>
      </w:pPr>
      <w:r>
        <w:rPr>
          <w:rFonts w:ascii="Times New Roman" w:hAnsi="Times New Roman"/>
          <w:b w:val="0"/>
          <w:i w:val="0"/>
          <w:sz w:val="23"/>
        </w:rPr>
        <w:t>The OECD's BEPS initiative addresses taxing digital companies without local physical presence (OECD, 2020), but focuses on corporate profit allocation, not platform participant income. Even full Pillar One implementation would miss the roughly 94% of transaction value flowing to drivers, merchants, and creators implied by the corrected ecosystem ratio.</w:t>
      </w:r>
    </w:p>
    <w:p>
      <w:pPr>
        <w:spacing w:before="280" w:after="120"/>
      </w:pPr>
      <w:r>
        <w:rPr>
          <w:rFonts w:ascii="Times New Roman" w:hAnsi="Times New Roman"/>
          <w:b/>
          <w:color w:val="000000"/>
          <w:sz w:val="28"/>
        </w:rPr>
        <w:t>3. Theoretical Framework: The Ecosystem Ratio</w:t>
      </w:r>
    </w:p>
    <w:p>
      <w:pPr>
        <w:spacing w:after="160"/>
      </w:pPr>
      <w:r>
        <w:rPr>
          <w:rFonts w:ascii="Times New Roman" w:hAnsi="Times New Roman"/>
          <w:b w:val="0"/>
          <w:i w:val="0"/>
          <w:sz w:val="23"/>
        </w:rPr>
        <w:t>Ecosystem Ratio = Invisible Wedge / Platform Revenue = (GTV − Revenue) / Revenue</w:t>
      </w:r>
    </w:p>
    <w:p>
      <w:pPr>
        <w:spacing w:after="160"/>
      </w:pPr>
      <w:r>
        <w:rPr>
          <w:rFonts w:ascii="Times New Roman" w:hAnsi="Times New Roman"/>
          <w:b w:val="0"/>
          <w:i w:val="0"/>
          <w:sz w:val="23"/>
        </w:rPr>
        <w:t>This ratio captures how much transaction value escapes tax administration for every dollar of platform revenue authorities can observe. The invisible wedge measures gross transaction value (GTV) flowing to participants, not value-added in the GDP accounting sense — it should be interpreted as “untaxed participant income,” not “missing GDP.”</w:t>
      </w:r>
    </w:p>
    <w:p>
      <w:pPr>
        <w:spacing w:after="120"/>
      </w:pPr>
      <w:r>
        <w:rPr>
          <w:rFonts w:ascii="Times New Roman" w:hAnsi="Times New Roman"/>
          <w:sz w:val="23"/>
        </w:rPr>
        <w:t>Framing the measurement this way keeps the numerator and denominator each individually auditable: platform revenue is the figure every jurisdiction already requires firms to report, while GTV is the figure platforms already disclose to investors. The ratio adds no new estimation step of its own — it only makes explicit how large the gap between the two already-disclosed figures is. Section 4 documents, source by source, which inputs to this ratio are directly reported and which require independent estimation, since the two are not equally reliable.</w:t>
      </w:r>
    </w:p>
    <w:p>
      <w:pPr>
        <w:spacing w:before="280" w:after="120"/>
      </w:pPr>
      <w:r>
        <w:rPr>
          <w:rFonts w:ascii="Times New Roman" w:hAnsi="Times New Roman"/>
          <w:b/>
          <w:color w:val="000000"/>
          <w:sz w:val="28"/>
        </w:rPr>
        <w:t>4. Data, Methodology, and the Table 1 Correction</w:t>
      </w:r>
    </w:p>
    <w:p>
      <w:pPr>
        <w:spacing w:before="280" w:after="120"/>
      </w:pPr>
      <w:r>
        <w:rPr>
          <w:rFonts w:ascii="Times New Roman" w:hAnsi="Times New Roman"/>
          <w:b/>
          <w:color w:val="000000"/>
          <w:sz w:val="24"/>
        </w:rPr>
        <w:t>4.1 Data Sources and Provenance, by Tier</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color="000000"/>
              <w:bottom w:val="single" w:sz="4" w:color="000000"/>
            </w:tcBorders>
          </w:tcPr>
          <w:p>
            <w:r/>
            <w:r>
              <w:rPr>
                <w:rFonts w:ascii="Times New Roman" w:hAnsi="Times New Roman"/>
                <w:b/>
                <w:sz w:val="19"/>
              </w:rPr>
              <w:t>Platform</w:t>
            </w:r>
          </w:p>
        </w:tc>
        <w:tc>
          <w:tcPr>
            <w:tcW w:type="dxa" w:w="2340"/>
            <w:tcBorders>
              <w:top w:val="single" w:sz="8" w:color="000000"/>
              <w:bottom w:val="single" w:sz="4" w:color="000000"/>
            </w:tcBorders>
          </w:tcPr>
          <w:p>
            <w:r/>
            <w:r>
              <w:rPr>
                <w:rFonts w:ascii="Times New Roman" w:hAnsi="Times New Roman"/>
                <w:b/>
                <w:sz w:val="19"/>
              </w:rPr>
              <w:t>Metric</w:t>
            </w:r>
          </w:p>
        </w:tc>
        <w:tc>
          <w:tcPr>
            <w:tcW w:type="dxa" w:w="2340"/>
            <w:tcBorders>
              <w:top w:val="single" w:sz="8" w:color="000000"/>
              <w:bottom w:val="single" w:sz="4" w:color="000000"/>
            </w:tcBorders>
          </w:tcPr>
          <w:p>
            <w:r/>
            <w:r>
              <w:rPr>
                <w:rFonts w:ascii="Times New Roman" w:hAnsi="Times New Roman"/>
                <w:b/>
                <w:sz w:val="19"/>
              </w:rPr>
              <w:t>Source</w:t>
            </w:r>
          </w:p>
        </w:tc>
        <w:tc>
          <w:tcPr>
            <w:tcW w:type="dxa" w:w="2340"/>
            <w:tcBorders>
              <w:top w:val="single" w:sz="8" w:color="000000"/>
              <w:bottom w:val="single" w:sz="4" w:color="000000"/>
            </w:tcBorders>
          </w:tcPr>
          <w:p>
            <w:r/>
            <w:r>
              <w:rPr>
                <w:rFonts w:ascii="Times New Roman" w:hAnsi="Times New Roman"/>
                <w:b/>
                <w:sz w:val="19"/>
              </w:rPr>
              <w:t>Provenance</w:t>
            </w:r>
          </w:p>
        </w:tc>
      </w:tr>
      <w:tr>
        <w:tc>
          <w:tcPr>
            <w:tcW w:type="dxa" w:w="2340"/>
          </w:tcPr>
          <w:p>
            <w:r/>
            <w:r>
              <w:rPr>
                <w:rFonts w:ascii="Times New Roman" w:hAnsi="Times New Roman"/>
                <w:sz w:val="19"/>
              </w:rPr>
              <w:t>Grab</w:t>
            </w:r>
          </w:p>
        </w:tc>
        <w:tc>
          <w:tcPr>
            <w:tcW w:type="dxa" w:w="2340"/>
          </w:tcPr>
          <w:p>
            <w:r/>
            <w:r>
              <w:rPr>
                <w:rFonts w:ascii="Times New Roman" w:hAnsi="Times New Roman"/>
                <w:sz w:val="19"/>
              </w:rPr>
              <w:t>Revenue</w:t>
            </w:r>
          </w:p>
        </w:tc>
        <w:tc>
          <w:tcPr>
            <w:tcW w:type="dxa" w:w="2340"/>
          </w:tcPr>
          <w:p>
            <w:r/>
            <w:r>
              <w:rPr>
                <w:rFonts w:ascii="Times New Roman" w:hAnsi="Times New Roman"/>
                <w:sz w:val="19"/>
              </w:rPr>
              <w:t>SEC 20-F, “Revenue by geographical locations”</w:t>
            </w:r>
          </w:p>
        </w:tc>
        <w:tc>
          <w:tcPr>
            <w:tcW w:type="dxa" w:w="2340"/>
          </w:tcPr>
          <w:p>
            <w:r/>
            <w:r>
              <w:rPr>
                <w:rFonts w:ascii="Times New Roman" w:hAnsi="Times New Roman"/>
                <w:sz w:val="19"/>
              </w:rPr>
              <w:t>Directly disclosed, country-level</w:t>
            </w:r>
          </w:p>
        </w:tc>
      </w:tr>
      <w:tr>
        <w:tc>
          <w:tcPr>
            <w:tcW w:type="dxa" w:w="2340"/>
          </w:tcPr>
          <w:p>
            <w:r/>
            <w:r>
              <w:rPr>
                <w:rFonts w:ascii="Times New Roman" w:hAnsi="Times New Roman"/>
                <w:sz w:val="19"/>
              </w:rPr>
              <w:t>Grab</w:t>
            </w:r>
          </w:p>
        </w:tc>
        <w:tc>
          <w:tcPr>
            <w:tcW w:type="dxa" w:w="2340"/>
          </w:tcPr>
          <w:p>
            <w:r/>
            <w:r>
              <w:rPr>
                <w:rFonts w:ascii="Times New Roman" w:hAnsi="Times New Roman"/>
                <w:sz w:val="19"/>
              </w:rPr>
              <w:t>GTV</w:t>
            </w:r>
          </w:p>
        </w:tc>
        <w:tc>
          <w:tcPr>
            <w:tcW w:type="dxa" w:w="2340"/>
          </w:tcPr>
          <w:p>
            <w:r/>
            <w:r>
              <w:rPr>
                <w:rFonts w:ascii="Times New Roman" w:hAnsi="Times New Roman"/>
                <w:sz w:val="19"/>
              </w:rPr>
              <w:t>Derived</w:t>
            </w:r>
          </w:p>
        </w:tc>
        <w:tc>
          <w:tcPr>
            <w:tcW w:type="dxa" w:w="2340"/>
          </w:tcPr>
          <w:p>
            <w:r/>
            <w:r>
              <w:rPr>
                <w:rFonts w:ascii="Times New Roman" w:hAnsi="Times New Roman"/>
                <w:sz w:val="19"/>
              </w:rPr>
              <w:t>Indonesia revenue ÷ company-wide take rate (11.24%); Grab does not disclose country GTV</w:t>
            </w:r>
          </w:p>
        </w:tc>
      </w:tr>
      <w:tr>
        <w:tc>
          <w:tcPr>
            <w:tcW w:type="dxa" w:w="2340"/>
          </w:tcPr>
          <w:p>
            <w:r/>
            <w:r>
              <w:rPr>
                <w:rFonts w:ascii="Times New Roman" w:hAnsi="Times New Roman"/>
                <w:sz w:val="19"/>
              </w:rPr>
              <w:t>GoTo</w:t>
            </w:r>
          </w:p>
        </w:tc>
        <w:tc>
          <w:tcPr>
            <w:tcW w:type="dxa" w:w="2340"/>
          </w:tcPr>
          <w:p>
            <w:r/>
            <w:r>
              <w:rPr>
                <w:rFonts w:ascii="Times New Roman" w:hAnsi="Times New Roman"/>
                <w:sz w:val="19"/>
              </w:rPr>
              <w:t>GTV, Revenue</w:t>
            </w:r>
          </w:p>
        </w:tc>
        <w:tc>
          <w:tcPr>
            <w:tcW w:type="dxa" w:w="2340"/>
          </w:tcPr>
          <w:p>
            <w:r/>
            <w:r>
              <w:rPr>
                <w:rFonts w:ascii="Times New Roman" w:hAnsi="Times New Roman"/>
                <w:sz w:val="19"/>
              </w:rPr>
              <w:t>IDX annual filings (via Statista)</w:t>
            </w:r>
          </w:p>
        </w:tc>
        <w:tc>
          <w:tcPr>
            <w:tcW w:type="dxa" w:w="2340"/>
          </w:tcPr>
          <w:p>
            <w:r/>
            <w:r>
              <w:rPr>
                <w:rFonts w:ascii="Times New Roman" w:hAnsi="Times New Roman"/>
                <w:sz w:val="19"/>
              </w:rPr>
              <w:t>Directly reported; Indonesia-native company</w:t>
            </w:r>
          </w:p>
        </w:tc>
      </w:tr>
      <w:tr>
        <w:tc>
          <w:tcPr>
            <w:tcW w:type="dxa" w:w="2340"/>
            <w:tcBorders>
              <w:bottom w:val="single" w:sz="8" w:color="000000"/>
            </w:tcBorders>
          </w:tcPr>
          <w:p>
            <w:r/>
            <w:r>
              <w:rPr>
                <w:rFonts w:ascii="Times New Roman" w:hAnsi="Times New Roman"/>
                <w:sz w:val="19"/>
              </w:rPr>
              <w:t>Shopee</w:t>
            </w:r>
          </w:p>
        </w:tc>
        <w:tc>
          <w:tcPr>
            <w:tcW w:type="dxa" w:w="2340"/>
            <w:tcBorders>
              <w:bottom w:val="single" w:sz="8" w:color="000000"/>
            </w:tcBorders>
          </w:tcPr>
          <w:p>
            <w:r/>
            <w:r>
              <w:rPr>
                <w:rFonts w:ascii="Times New Roman" w:hAnsi="Times New Roman"/>
                <w:sz w:val="19"/>
              </w:rPr>
              <w:t>Revenue, GTV</w:t>
            </w:r>
          </w:p>
        </w:tc>
        <w:tc>
          <w:tcPr>
            <w:tcW w:type="dxa" w:w="2340"/>
            <w:tcBorders>
              <w:bottom w:val="single" w:sz="8" w:color="000000"/>
            </w:tcBorders>
          </w:tcPr>
          <w:p>
            <w:r/>
            <w:r>
              <w:rPr>
                <w:rFonts w:ascii="Times New Roman" w:hAnsi="Times New Roman"/>
                <w:sz w:val="19"/>
              </w:rPr>
              <w:t>Derived</w:t>
            </w:r>
          </w:p>
        </w:tc>
        <w:tc>
          <w:tcPr>
            <w:tcW w:type="dxa" w:w="2340"/>
            <w:tcBorders>
              <w:bottom w:val="single" w:sz="8" w:color="000000"/>
            </w:tcBorders>
          </w:tcPr>
          <w:p>
            <w:r/>
            <w:r>
              <w:rPr>
                <w:rFonts w:ascii="Times New Roman" w:hAnsi="Times New Roman"/>
                <w:sz w:val="19"/>
              </w:rPr>
              <w:t>Sea's 20-F discloses only a regional SEA total ($9.18B rev / $78.5B GMV); Indonesia GMV estimated via Momentum Works (2023) market-share data; revenue via disclosed take rate (10.06%)</w:t>
            </w:r>
          </w:p>
        </w:tc>
      </w:tr>
    </w:tbl>
    <w:p>
      <w:pPr>
        <w:spacing w:after="80"/>
      </w:pPr>
    </w:p>
    <w:p>
      <w:pPr>
        <w:spacing w:after="160"/>
        <w:jc w:val="center"/>
      </w:pPr>
      <w:r>
        <w:rPr>
          <w:rFonts w:ascii="Times New Roman" w:hAnsi="Times New Roman"/>
          <w:b w:val="0"/>
          <w:i/>
          <w:sz w:val="19"/>
        </w:rPr>
        <w:t>Table 0. Source provenance for each Indonesia platform figure. New to this draft — its purpose is to make explicit exactly how directly each figure traces to a primary source.</w:t>
      </w:r>
    </w:p>
    <w:p>
      <w:pPr>
        <w:spacing w:before="280" w:after="120"/>
      </w:pPr>
      <w:r>
        <w:rPr>
          <w:rFonts w:ascii="Times New Roman" w:hAnsi="Times New Roman"/>
          <w:b/>
          <w:color w:val="000000"/>
          <w:sz w:val="24"/>
        </w:rPr>
        <w:t>4.2 Tier 1: Indonesia Direct Measurement (Corrected)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8" w:color="000000"/>
              <w:bottom w:val="single" w:sz="4" w:color="000000"/>
            </w:tcBorders>
          </w:tcPr>
          <w:p>
            <w:r/>
            <w:r>
              <w:rPr>
                <w:rFonts w:ascii="Times New Roman" w:hAnsi="Times New Roman"/>
                <w:b/>
                <w:sz w:val="19"/>
              </w:rPr>
              <w:t>Platform</w:t>
            </w:r>
          </w:p>
        </w:tc>
        <w:tc>
          <w:tcPr>
            <w:tcW w:type="dxa" w:w="1872"/>
            <w:tcBorders>
              <w:top w:val="single" w:sz="8" w:color="000000"/>
              <w:bottom w:val="single" w:sz="4" w:color="000000"/>
            </w:tcBorders>
          </w:tcPr>
          <w:p>
            <w:r/>
            <w:r>
              <w:rPr>
                <w:rFonts w:ascii="Times New Roman" w:hAnsi="Times New Roman"/>
                <w:b/>
                <w:sz w:val="19"/>
              </w:rPr>
              <w:t>Indonesia GTV</w:t>
            </w:r>
          </w:p>
        </w:tc>
        <w:tc>
          <w:tcPr>
            <w:tcW w:type="dxa" w:w="1872"/>
            <w:tcBorders>
              <w:top w:val="single" w:sz="8" w:color="000000"/>
              <w:bottom w:val="single" w:sz="4" w:color="000000"/>
            </w:tcBorders>
          </w:tcPr>
          <w:p>
            <w:r/>
            <w:r>
              <w:rPr>
                <w:rFonts w:ascii="Times New Roman" w:hAnsi="Times New Roman"/>
                <w:b/>
                <w:sz w:val="19"/>
              </w:rPr>
              <w:t>Net Revenue</w:t>
            </w:r>
          </w:p>
        </w:tc>
        <w:tc>
          <w:tcPr>
            <w:tcW w:type="dxa" w:w="1872"/>
            <w:tcBorders>
              <w:top w:val="single" w:sz="8" w:color="000000"/>
              <w:bottom w:val="single" w:sz="4" w:color="000000"/>
            </w:tcBorders>
          </w:tcPr>
          <w:p>
            <w:r/>
            <w:r>
              <w:rPr>
                <w:rFonts w:ascii="Times New Roman" w:hAnsi="Times New Roman"/>
                <w:b/>
                <w:sz w:val="19"/>
              </w:rPr>
              <w:t>Invisible Wedge</w:t>
            </w:r>
          </w:p>
        </w:tc>
        <w:tc>
          <w:tcPr>
            <w:tcW w:type="dxa" w:w="1872"/>
            <w:tcBorders>
              <w:top w:val="single" w:sz="8" w:color="000000"/>
              <w:bottom w:val="single" w:sz="4" w:color="000000"/>
            </w:tcBorders>
          </w:tcPr>
          <w:p>
            <w:r/>
            <w:r>
              <w:rPr>
                <w:rFonts w:ascii="Times New Roman" w:hAnsi="Times New Roman"/>
                <w:b/>
                <w:sz w:val="19"/>
              </w:rPr>
              <w:t>Ecosystem Ratio</w:t>
            </w:r>
          </w:p>
        </w:tc>
      </w:tr>
      <w:tr>
        <w:tc>
          <w:tcPr>
            <w:tcW w:type="dxa" w:w="1872"/>
          </w:tcPr>
          <w:p>
            <w:r/>
            <w:r>
              <w:rPr>
                <w:rFonts w:ascii="Times New Roman" w:hAnsi="Times New Roman"/>
                <w:sz w:val="19"/>
              </w:rPr>
              <w:t>Grab</w:t>
            </w:r>
          </w:p>
        </w:tc>
        <w:tc>
          <w:tcPr>
            <w:tcW w:type="dxa" w:w="1872"/>
          </w:tcPr>
          <w:p>
            <w:r/>
            <w:r>
              <w:rPr>
                <w:rFonts w:ascii="Times New Roman" w:hAnsi="Times New Roman"/>
                <w:sz w:val="19"/>
              </w:rPr>
              <w:t>$5.4B</w:t>
            </w:r>
          </w:p>
        </w:tc>
        <w:tc>
          <w:tcPr>
            <w:tcW w:type="dxa" w:w="1872"/>
          </w:tcPr>
          <w:p>
            <w:r/>
            <w:r>
              <w:rPr>
                <w:rFonts w:ascii="Times New Roman" w:hAnsi="Times New Roman"/>
                <w:sz w:val="19"/>
              </w:rPr>
              <w:t>$0.6B</w:t>
            </w:r>
          </w:p>
        </w:tc>
        <w:tc>
          <w:tcPr>
            <w:tcW w:type="dxa" w:w="1872"/>
          </w:tcPr>
          <w:p>
            <w:r/>
            <w:r>
              <w:rPr>
                <w:rFonts w:ascii="Times New Roman" w:hAnsi="Times New Roman"/>
                <w:sz w:val="19"/>
              </w:rPr>
              <w:t>$4.8B</w:t>
            </w:r>
          </w:p>
        </w:tc>
        <w:tc>
          <w:tcPr>
            <w:tcW w:type="dxa" w:w="1872"/>
          </w:tcPr>
          <w:p>
            <w:r/>
            <w:r>
              <w:rPr>
                <w:rFonts w:ascii="Times New Roman" w:hAnsi="Times New Roman"/>
                <w:sz w:val="19"/>
              </w:rPr>
              <w:t>8.9×</w:t>
            </w:r>
          </w:p>
        </w:tc>
      </w:tr>
      <w:tr>
        <w:tc>
          <w:tcPr>
            <w:tcW w:type="dxa" w:w="1872"/>
          </w:tcPr>
          <w:p>
            <w:r/>
            <w:r>
              <w:rPr>
                <w:rFonts w:ascii="Times New Roman" w:hAnsi="Times New Roman"/>
                <w:sz w:val="19"/>
              </w:rPr>
              <w:t>GoTo</w:t>
            </w:r>
          </w:p>
        </w:tc>
        <w:tc>
          <w:tcPr>
            <w:tcW w:type="dxa" w:w="1872"/>
          </w:tcPr>
          <w:p>
            <w:r/>
            <w:r>
              <w:rPr>
                <w:rFonts w:ascii="Times New Roman" w:hAnsi="Times New Roman"/>
                <w:sz w:val="19"/>
              </w:rPr>
              <w:t>$39.8B</w:t>
            </w:r>
          </w:p>
        </w:tc>
        <w:tc>
          <w:tcPr>
            <w:tcW w:type="dxa" w:w="1872"/>
          </w:tcPr>
          <w:p>
            <w:r/>
            <w:r>
              <w:rPr>
                <w:rFonts w:ascii="Times New Roman" w:hAnsi="Times New Roman"/>
                <w:sz w:val="19"/>
              </w:rPr>
              <w:t>$1.0B</w:t>
            </w:r>
          </w:p>
        </w:tc>
        <w:tc>
          <w:tcPr>
            <w:tcW w:type="dxa" w:w="1872"/>
          </w:tcPr>
          <w:p>
            <w:r/>
            <w:r>
              <w:rPr>
                <w:rFonts w:ascii="Times New Roman" w:hAnsi="Times New Roman"/>
                <w:sz w:val="19"/>
              </w:rPr>
              <w:t>$38.8B</w:t>
            </w:r>
          </w:p>
        </w:tc>
        <w:tc>
          <w:tcPr>
            <w:tcW w:type="dxa" w:w="1872"/>
          </w:tcPr>
          <w:p>
            <w:r/>
            <w:r>
              <w:rPr>
                <w:rFonts w:ascii="Times New Roman" w:hAnsi="Times New Roman"/>
                <w:sz w:val="19"/>
              </w:rPr>
              <w:t>41.0×</w:t>
            </w:r>
          </w:p>
        </w:tc>
      </w:tr>
      <w:tr>
        <w:tc>
          <w:tcPr>
            <w:tcW w:type="dxa" w:w="1872"/>
          </w:tcPr>
          <w:p>
            <w:r/>
            <w:r>
              <w:rPr>
                <w:rFonts w:ascii="Times New Roman" w:hAnsi="Times New Roman"/>
                <w:sz w:val="19"/>
              </w:rPr>
              <w:t>Shopee</w:t>
            </w:r>
          </w:p>
        </w:tc>
        <w:tc>
          <w:tcPr>
            <w:tcW w:type="dxa" w:w="1872"/>
          </w:tcPr>
          <w:p>
            <w:r/>
            <w:r>
              <w:rPr>
                <w:rFonts w:ascii="Times New Roman" w:hAnsi="Times New Roman"/>
                <w:sz w:val="19"/>
              </w:rPr>
              <w:t>$25.8B</w:t>
            </w:r>
          </w:p>
        </w:tc>
        <w:tc>
          <w:tcPr>
            <w:tcW w:type="dxa" w:w="1872"/>
          </w:tcPr>
          <w:p>
            <w:r/>
            <w:r>
              <w:rPr>
                <w:rFonts w:ascii="Times New Roman" w:hAnsi="Times New Roman"/>
                <w:sz w:val="19"/>
              </w:rPr>
              <w:t>$2.6B</w:t>
            </w:r>
          </w:p>
        </w:tc>
        <w:tc>
          <w:tcPr>
            <w:tcW w:type="dxa" w:w="1872"/>
          </w:tcPr>
          <w:p>
            <w:r/>
            <w:r>
              <w:rPr>
                <w:rFonts w:ascii="Times New Roman" w:hAnsi="Times New Roman"/>
                <w:sz w:val="19"/>
              </w:rPr>
              <w:t>$23.2B</w:t>
            </w:r>
          </w:p>
        </w:tc>
        <w:tc>
          <w:tcPr>
            <w:tcW w:type="dxa" w:w="1872"/>
          </w:tcPr>
          <w:p>
            <w:r/>
            <w:r>
              <w:rPr>
                <w:rFonts w:ascii="Times New Roman" w:hAnsi="Times New Roman"/>
                <w:sz w:val="19"/>
              </w:rPr>
              <w:t>9.9×</w:t>
            </w:r>
          </w:p>
        </w:tc>
      </w:tr>
      <w:tr>
        <w:tc>
          <w:tcPr>
            <w:tcW w:type="dxa" w:w="1872"/>
            <w:tcBorders>
              <w:bottom w:val="single" w:sz="8" w:color="000000"/>
            </w:tcBorders>
          </w:tcPr>
          <w:p>
            <w:r/>
            <w:r>
              <w:rPr>
                <w:rFonts w:ascii="Times New Roman" w:hAnsi="Times New Roman"/>
                <w:sz w:val="19"/>
              </w:rPr>
              <w:t>Total</w:t>
            </w:r>
          </w:p>
        </w:tc>
        <w:tc>
          <w:tcPr>
            <w:tcW w:type="dxa" w:w="1872"/>
            <w:tcBorders>
              <w:bottom w:val="single" w:sz="8" w:color="000000"/>
            </w:tcBorders>
          </w:tcPr>
          <w:p>
            <w:r/>
            <w:r>
              <w:rPr>
                <w:rFonts w:ascii="Times New Roman" w:hAnsi="Times New Roman"/>
                <w:sz w:val="19"/>
              </w:rPr>
              <w:t>$71.0B</w:t>
            </w:r>
          </w:p>
        </w:tc>
        <w:tc>
          <w:tcPr>
            <w:tcW w:type="dxa" w:w="1872"/>
            <w:tcBorders>
              <w:bottom w:val="single" w:sz="8" w:color="000000"/>
            </w:tcBorders>
          </w:tcPr>
          <w:p>
            <w:r/>
            <w:r>
              <w:rPr>
                <w:rFonts w:ascii="Times New Roman" w:hAnsi="Times New Roman"/>
                <w:sz w:val="19"/>
              </w:rPr>
              <w:t>$4.2B</w:t>
            </w:r>
          </w:p>
        </w:tc>
        <w:tc>
          <w:tcPr>
            <w:tcW w:type="dxa" w:w="1872"/>
            <w:tcBorders>
              <w:bottom w:val="single" w:sz="8" w:color="000000"/>
            </w:tcBorders>
          </w:tcPr>
          <w:p>
            <w:r/>
            <w:r>
              <w:rPr>
                <w:rFonts w:ascii="Times New Roman" w:hAnsi="Times New Roman"/>
                <w:sz w:val="19"/>
              </w:rPr>
              <w:t>$66.8B</w:t>
            </w:r>
          </w:p>
        </w:tc>
        <w:tc>
          <w:tcPr>
            <w:tcW w:type="dxa" w:w="1872"/>
            <w:tcBorders>
              <w:bottom w:val="single" w:sz="8" w:color="000000"/>
            </w:tcBorders>
          </w:tcPr>
          <w:p>
            <w:r/>
            <w:r>
              <w:rPr>
                <w:rFonts w:ascii="Times New Roman" w:hAnsi="Times New Roman"/>
                <w:sz w:val="19"/>
              </w:rPr>
              <w:t>17.0×</w:t>
            </w:r>
          </w:p>
        </w:tc>
      </w:tr>
    </w:tbl>
    <w:p>
      <w:pPr>
        <w:spacing w:after="80"/>
      </w:pPr>
    </w:p>
    <w:p>
      <w:pPr>
        <w:spacing w:after="160"/>
        <w:jc w:val="center"/>
      </w:pPr>
      <w:r>
        <w:rPr>
          <w:rFonts w:ascii="Times New Roman" w:hAnsi="Times New Roman"/>
          <w:b w:val="0"/>
          <w:i/>
          <w:sz w:val="19"/>
        </w:rPr>
        <w:t>Table 1. Indonesia's Invisible Wedge (2023), corrected.</w:t>
      </w:r>
    </w:p>
    <w:p>
      <w:pPr>
        <w:jc w:val="center"/>
      </w:pPr>
      <w:r>
        <w:drawing>
          <wp:inline xmlns:a="http://schemas.openxmlformats.org/drawingml/2006/main" xmlns:pic="http://schemas.openxmlformats.org/drawingml/2006/picture">
            <wp:extent cx="5303520" cy="3137294"/>
            <wp:docPr id="1" name="Picture 1"/>
            <wp:cNvGraphicFramePr>
              <a:graphicFrameLocks noChangeAspect="1"/>
            </wp:cNvGraphicFramePr>
            <a:graphic>
              <a:graphicData uri="http://schemas.openxmlformats.org/drawingml/2006/picture">
                <pic:pic>
                  <pic:nvPicPr>
                    <pic:cNvPr id="0" name="fig2_indonesia_corrected.png"/>
                    <pic:cNvPicPr/>
                  </pic:nvPicPr>
                  <pic:blipFill>
                    <a:blip r:embed="rId9"/>
                    <a:stretch>
                      <a:fillRect/>
                    </a:stretch>
                  </pic:blipFill>
                  <pic:spPr>
                    <a:xfrm>
                      <a:off x="0" y="0"/>
                      <a:ext cx="5303520" cy="3137294"/>
                    </a:xfrm>
                    <a:prstGeom prst="rect"/>
                  </pic:spPr>
                </pic:pic>
              </a:graphicData>
            </a:graphic>
          </wp:inline>
        </w:drawing>
      </w:r>
    </w:p>
    <w:p>
      <w:pPr>
        <w:spacing w:after="280"/>
        <w:jc w:val="center"/>
      </w:pPr>
      <w:r>
        <w:rPr>
          <w:rFonts w:ascii="Times New Roman" w:hAnsi="Times New Roman"/>
          <w:i/>
          <w:sz w:val="19"/>
        </w:rPr>
        <w:t>Figure 1. Corrected Indonesia platform table: GTV and revenue by platform, 2023.</w:t>
      </w:r>
    </w:p>
    <w:p>
      <w:pPr>
        <w:spacing w:after="160"/>
      </w:pPr>
      <w:r>
        <w:rPr>
          <w:rFonts w:ascii="Times New Roman" w:hAnsi="Times New Roman"/>
          <w:b w:val="0"/>
          <w:i w:val="0"/>
          <w:sz w:val="23"/>
        </w:rPr>
        <w:t>GoTo's markedly higher ecosystem ratio (41.0×) relative to Grab and Shopee (~9×) reflects its consolidated GTV reporting: Tokopedia's full marketplace GMV is included while GoTo books only a thin commission as revenue. The corrected Indonesia blended take rate — total platform revenue ÷ total platform GTV — is 5.88%, used as the calibration basis for the four remaining ASEAN countries in Section 7, replacing the earlier draft's 7.5% assumption.</w:t>
      </w:r>
    </w:p>
    <w:p>
      <w:pPr>
        <w:spacing w:before="280" w:after="120"/>
      </w:pPr>
      <w:r>
        <w:rPr>
          <w:rFonts w:ascii="Times New Roman" w:hAnsi="Times New Roman"/>
          <w:b/>
          <w:color w:val="000000"/>
          <w:sz w:val="24"/>
        </w:rPr>
        <w:t>4.3 Sensitivity of the Indonesia Estimate</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color="000000"/>
              <w:bottom w:val="single" w:sz="4" w:color="000000"/>
            </w:tcBorders>
          </w:tcPr>
          <w:p>
            <w:r/>
            <w:r>
              <w:rPr>
                <w:rFonts w:ascii="Times New Roman" w:hAnsi="Times New Roman"/>
                <w:b/>
                <w:sz w:val="19"/>
              </w:rPr>
              <w:t>Take Rate</w:t>
            </w:r>
          </w:p>
        </w:tc>
        <w:tc>
          <w:tcPr>
            <w:tcW w:type="dxa" w:w="2340"/>
            <w:tcBorders>
              <w:top w:val="single" w:sz="8" w:color="000000"/>
              <w:bottom w:val="single" w:sz="4" w:color="000000"/>
            </w:tcBorders>
          </w:tcPr>
          <w:p>
            <w:r/>
            <w:r>
              <w:rPr>
                <w:rFonts w:ascii="Times New Roman" w:hAnsi="Times New Roman"/>
                <w:b/>
                <w:sz w:val="19"/>
              </w:rPr>
              <w:t>Platform Revenue</w:t>
            </w:r>
          </w:p>
        </w:tc>
        <w:tc>
          <w:tcPr>
            <w:tcW w:type="dxa" w:w="2340"/>
            <w:tcBorders>
              <w:top w:val="single" w:sz="8" w:color="000000"/>
              <w:bottom w:val="single" w:sz="4" w:color="000000"/>
            </w:tcBorders>
          </w:tcPr>
          <w:p>
            <w:r/>
            <w:r>
              <w:rPr>
                <w:rFonts w:ascii="Times New Roman" w:hAnsi="Times New Roman"/>
                <w:b/>
                <w:sz w:val="19"/>
              </w:rPr>
              <w:t>Invisible Wedge</w:t>
            </w:r>
          </w:p>
        </w:tc>
        <w:tc>
          <w:tcPr>
            <w:tcW w:type="dxa" w:w="2340"/>
            <w:tcBorders>
              <w:top w:val="single" w:sz="8" w:color="000000"/>
              <w:bottom w:val="single" w:sz="4" w:color="000000"/>
            </w:tcBorders>
          </w:tcPr>
          <w:p>
            <w:r/>
            <w:r>
              <w:rPr>
                <w:rFonts w:ascii="Times New Roman" w:hAnsi="Times New Roman"/>
                <w:b/>
                <w:sz w:val="19"/>
              </w:rPr>
              <w:t>Ecosystem Ratio</w:t>
            </w:r>
          </w:p>
        </w:tc>
      </w:tr>
      <w:tr>
        <w:tc>
          <w:tcPr>
            <w:tcW w:type="dxa" w:w="2340"/>
          </w:tcPr>
          <w:p>
            <w:r/>
            <w:r>
              <w:rPr>
                <w:rFonts w:ascii="Times New Roman" w:hAnsi="Times New Roman"/>
                <w:sz w:val="19"/>
              </w:rPr>
              <w:t>5.0% (low)</w:t>
            </w:r>
          </w:p>
        </w:tc>
        <w:tc>
          <w:tcPr>
            <w:tcW w:type="dxa" w:w="2340"/>
          </w:tcPr>
          <w:p>
            <w:r/>
            <w:r>
              <w:rPr>
                <w:rFonts w:ascii="Times New Roman" w:hAnsi="Times New Roman"/>
                <w:sz w:val="19"/>
              </w:rPr>
              <w:t>$3.6B</w:t>
            </w:r>
          </w:p>
        </w:tc>
        <w:tc>
          <w:tcPr>
            <w:tcW w:type="dxa" w:w="2340"/>
          </w:tcPr>
          <w:p>
            <w:r/>
            <w:r>
              <w:rPr>
                <w:rFonts w:ascii="Times New Roman" w:hAnsi="Times New Roman"/>
                <w:sz w:val="19"/>
              </w:rPr>
              <w:t>$67.5B</w:t>
            </w:r>
          </w:p>
        </w:tc>
        <w:tc>
          <w:tcPr>
            <w:tcW w:type="dxa" w:w="2340"/>
          </w:tcPr>
          <w:p>
            <w:r/>
            <w:r>
              <w:rPr>
                <w:rFonts w:ascii="Times New Roman" w:hAnsi="Times New Roman"/>
                <w:sz w:val="19"/>
              </w:rPr>
              <w:t>20.0×</w:t>
            </w:r>
          </w:p>
        </w:tc>
      </w:tr>
      <w:tr>
        <w:tc>
          <w:tcPr>
            <w:tcW w:type="dxa" w:w="2340"/>
          </w:tcPr>
          <w:p>
            <w:r/>
            <w:r>
              <w:rPr>
                <w:rFonts w:ascii="Times New Roman" w:hAnsi="Times New Roman"/>
                <w:sz w:val="19"/>
              </w:rPr>
              <w:t>5.88% (measured, base)</w:t>
            </w:r>
          </w:p>
        </w:tc>
        <w:tc>
          <w:tcPr>
            <w:tcW w:type="dxa" w:w="2340"/>
          </w:tcPr>
          <w:p>
            <w:r/>
            <w:r>
              <w:rPr>
                <w:rFonts w:ascii="Times New Roman" w:hAnsi="Times New Roman"/>
                <w:sz w:val="19"/>
              </w:rPr>
              <w:t>$4.2B</w:t>
            </w:r>
          </w:p>
        </w:tc>
        <w:tc>
          <w:tcPr>
            <w:tcW w:type="dxa" w:w="2340"/>
          </w:tcPr>
          <w:p>
            <w:r/>
            <w:r>
              <w:rPr>
                <w:rFonts w:ascii="Times New Roman" w:hAnsi="Times New Roman"/>
                <w:sz w:val="19"/>
              </w:rPr>
              <w:t>$66.8B</w:t>
            </w:r>
          </w:p>
        </w:tc>
        <w:tc>
          <w:tcPr>
            <w:tcW w:type="dxa" w:w="2340"/>
          </w:tcPr>
          <w:p>
            <w:r/>
            <w:r>
              <w:rPr>
                <w:rFonts w:ascii="Times New Roman" w:hAnsi="Times New Roman"/>
                <w:sz w:val="19"/>
              </w:rPr>
              <w:t>17.0×</w:t>
            </w:r>
          </w:p>
        </w:tc>
      </w:tr>
      <w:tr>
        <w:tc>
          <w:tcPr>
            <w:tcW w:type="dxa" w:w="2340"/>
          </w:tcPr>
          <w:p>
            <w:r/>
            <w:r>
              <w:rPr>
                <w:rFonts w:ascii="Times New Roman" w:hAnsi="Times New Roman"/>
                <w:sz w:val="19"/>
              </w:rPr>
              <w:t>7.5% (earlier draft's rate)</w:t>
            </w:r>
          </w:p>
        </w:tc>
        <w:tc>
          <w:tcPr>
            <w:tcW w:type="dxa" w:w="2340"/>
          </w:tcPr>
          <w:p>
            <w:r/>
            <w:r>
              <w:rPr>
                <w:rFonts w:ascii="Times New Roman" w:hAnsi="Times New Roman"/>
                <w:sz w:val="19"/>
              </w:rPr>
              <w:t>$5.3B</w:t>
            </w:r>
          </w:p>
        </w:tc>
        <w:tc>
          <w:tcPr>
            <w:tcW w:type="dxa" w:w="2340"/>
          </w:tcPr>
          <w:p>
            <w:r/>
            <w:r>
              <w:rPr>
                <w:rFonts w:ascii="Times New Roman" w:hAnsi="Times New Roman"/>
                <w:sz w:val="19"/>
              </w:rPr>
              <w:t>$65.7B</w:t>
            </w:r>
          </w:p>
        </w:tc>
        <w:tc>
          <w:tcPr>
            <w:tcW w:type="dxa" w:w="2340"/>
          </w:tcPr>
          <w:p>
            <w:r/>
            <w:r>
              <w:rPr>
                <w:rFonts w:ascii="Times New Roman" w:hAnsi="Times New Roman"/>
                <w:sz w:val="19"/>
              </w:rPr>
              <w:t>13.3×</w:t>
            </w:r>
          </w:p>
        </w:tc>
      </w:tr>
      <w:tr>
        <w:tc>
          <w:tcPr>
            <w:tcW w:type="dxa" w:w="2340"/>
            <w:tcBorders>
              <w:bottom w:val="single" w:sz="8" w:color="000000"/>
            </w:tcBorders>
          </w:tcPr>
          <w:p>
            <w:r/>
            <w:r>
              <w:rPr>
                <w:rFonts w:ascii="Times New Roman" w:hAnsi="Times New Roman"/>
                <w:sz w:val="19"/>
              </w:rPr>
              <w:t>10.0% (high)</w:t>
            </w:r>
          </w:p>
        </w:tc>
        <w:tc>
          <w:tcPr>
            <w:tcW w:type="dxa" w:w="2340"/>
            <w:tcBorders>
              <w:bottom w:val="single" w:sz="8" w:color="000000"/>
            </w:tcBorders>
          </w:tcPr>
          <w:p>
            <w:r/>
            <w:r>
              <w:rPr>
                <w:rFonts w:ascii="Times New Roman" w:hAnsi="Times New Roman"/>
                <w:sz w:val="19"/>
              </w:rPr>
              <w:t>$7.1B</w:t>
            </w:r>
          </w:p>
        </w:tc>
        <w:tc>
          <w:tcPr>
            <w:tcW w:type="dxa" w:w="2340"/>
            <w:tcBorders>
              <w:bottom w:val="single" w:sz="8" w:color="000000"/>
            </w:tcBorders>
          </w:tcPr>
          <w:p>
            <w:r/>
            <w:r>
              <w:rPr>
                <w:rFonts w:ascii="Times New Roman" w:hAnsi="Times New Roman"/>
                <w:sz w:val="19"/>
              </w:rPr>
              <w:t>$63.9B</w:t>
            </w:r>
          </w:p>
        </w:tc>
        <w:tc>
          <w:tcPr>
            <w:tcW w:type="dxa" w:w="2340"/>
            <w:tcBorders>
              <w:bottom w:val="single" w:sz="8" w:color="000000"/>
            </w:tcBorders>
          </w:tcPr>
          <w:p>
            <w:r/>
            <w:r>
              <w:rPr>
                <w:rFonts w:ascii="Times New Roman" w:hAnsi="Times New Roman"/>
                <w:sz w:val="19"/>
              </w:rPr>
              <w:t>10.0×</w:t>
            </w:r>
          </w:p>
        </w:tc>
      </w:tr>
    </w:tbl>
    <w:p>
      <w:pPr>
        <w:spacing w:after="80"/>
      </w:pPr>
    </w:p>
    <w:p>
      <w:pPr>
        <w:spacing w:after="160"/>
        <w:jc w:val="center"/>
      </w:pPr>
      <w:r>
        <w:rPr>
          <w:rFonts w:ascii="Times New Roman" w:hAnsi="Times New Roman"/>
          <w:b w:val="0"/>
          <w:i/>
          <w:sz w:val="19"/>
        </w:rPr>
        <w:t>Table 2. Sensitivity of the Indonesia estimate to take-rate assumption. Under every scenario tested, the invisible wedge exceeds $63 billion for Indonesia alone.</w:t>
      </w:r>
    </w:p>
    <w:p>
      <w:pPr>
        <w:spacing w:before="280" w:after="120"/>
      </w:pPr>
      <w:r>
        <w:rPr>
          <w:rFonts w:ascii="Times New Roman" w:hAnsi="Times New Roman"/>
          <w:b/>
          <w:color w:val="000000"/>
          <w:sz w:val="28"/>
        </w:rPr>
        <w:t>5. GoTo Results: Fiscal Decoupling (Unchanged)</w:t>
      </w:r>
    </w:p>
    <w:p>
      <w:pPr>
        <w:spacing w:after="160"/>
      </w:pPr>
      <w:r>
        <w:rPr>
          <w:rFonts w:ascii="Times New Roman" w:hAnsi="Times New Roman"/>
          <w:b w:val="0"/>
          <w:i w:val="0"/>
          <w:sz w:val="23"/>
        </w:rPr>
        <w:t>This section is unaffected by the Section 4 correction, since GoTo's figures are Indonesia-native and were not part of the cross-country allocation problem.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8" w:color="000000"/>
              <w:bottom w:val="single" w:sz="4" w:color="000000"/>
            </w:tcBorders>
          </w:tcPr>
          <w:p>
            <w:r/>
            <w:r>
              <w:rPr>
                <w:rFonts w:ascii="Times New Roman" w:hAnsi="Times New Roman"/>
                <w:b/>
                <w:sz w:val="19"/>
              </w:rPr>
              <w:t>Year</w:t>
            </w:r>
          </w:p>
        </w:tc>
        <w:tc>
          <w:tcPr>
            <w:tcW w:type="dxa" w:w="1872"/>
            <w:tcBorders>
              <w:top w:val="single" w:sz="8" w:color="000000"/>
              <w:bottom w:val="single" w:sz="4" w:color="000000"/>
            </w:tcBorders>
          </w:tcPr>
          <w:p>
            <w:r/>
            <w:r>
              <w:rPr>
                <w:rFonts w:ascii="Times New Roman" w:hAnsi="Times New Roman"/>
                <w:b/>
                <w:sz w:val="19"/>
              </w:rPr>
              <w:t>GTV</w:t>
            </w:r>
          </w:p>
        </w:tc>
        <w:tc>
          <w:tcPr>
            <w:tcW w:type="dxa" w:w="1872"/>
            <w:tcBorders>
              <w:top w:val="single" w:sz="8" w:color="000000"/>
              <w:bottom w:val="single" w:sz="4" w:color="000000"/>
            </w:tcBorders>
          </w:tcPr>
          <w:p>
            <w:r/>
            <w:r>
              <w:rPr>
                <w:rFonts w:ascii="Times New Roman" w:hAnsi="Times New Roman"/>
                <w:b/>
                <w:sz w:val="19"/>
              </w:rPr>
              <w:t>Net Revenue</w:t>
            </w:r>
          </w:p>
        </w:tc>
        <w:tc>
          <w:tcPr>
            <w:tcW w:type="dxa" w:w="1872"/>
            <w:tcBorders>
              <w:top w:val="single" w:sz="8" w:color="000000"/>
              <w:bottom w:val="single" w:sz="4" w:color="000000"/>
            </w:tcBorders>
          </w:tcPr>
          <w:p>
            <w:r/>
            <w:r>
              <w:rPr>
                <w:rFonts w:ascii="Times New Roman" w:hAnsi="Times New Roman"/>
                <w:b/>
                <w:sz w:val="19"/>
              </w:rPr>
              <w:t>Invisible Wedge</w:t>
            </w:r>
          </w:p>
        </w:tc>
        <w:tc>
          <w:tcPr>
            <w:tcW w:type="dxa" w:w="1872"/>
            <w:tcBorders>
              <w:top w:val="single" w:sz="8" w:color="000000"/>
              <w:bottom w:val="single" w:sz="4" w:color="000000"/>
            </w:tcBorders>
          </w:tcPr>
          <w:p>
            <w:r/>
            <w:r>
              <w:rPr>
                <w:rFonts w:ascii="Times New Roman" w:hAnsi="Times New Roman"/>
                <w:b/>
                <w:sz w:val="19"/>
              </w:rPr>
              <w:t>% Invisible</w:t>
            </w:r>
          </w:p>
        </w:tc>
      </w:tr>
      <w:tr>
        <w:tc>
          <w:tcPr>
            <w:tcW w:type="dxa" w:w="1872"/>
          </w:tcPr>
          <w:p>
            <w:r/>
            <w:r>
              <w:rPr>
                <w:rFonts w:ascii="Times New Roman" w:hAnsi="Times New Roman"/>
                <w:sz w:val="19"/>
              </w:rPr>
              <w:t>2020</w:t>
            </w:r>
          </w:p>
        </w:tc>
        <w:tc>
          <w:tcPr>
            <w:tcW w:type="dxa" w:w="1872"/>
          </w:tcPr>
          <w:p>
            <w:r/>
            <w:r>
              <w:rPr>
                <w:rFonts w:ascii="Times New Roman" w:hAnsi="Times New Roman"/>
                <w:sz w:val="19"/>
              </w:rPr>
              <w:t>$28.0B</w:t>
            </w:r>
          </w:p>
        </w:tc>
        <w:tc>
          <w:tcPr>
            <w:tcW w:type="dxa" w:w="1872"/>
          </w:tcPr>
          <w:p>
            <w:r/>
            <w:r>
              <w:rPr>
                <w:rFonts w:ascii="Times New Roman" w:hAnsi="Times New Roman"/>
                <w:sz w:val="19"/>
              </w:rPr>
              <w:t>$1.2B</w:t>
            </w:r>
          </w:p>
        </w:tc>
        <w:tc>
          <w:tcPr>
            <w:tcW w:type="dxa" w:w="1872"/>
          </w:tcPr>
          <w:p>
            <w:r/>
            <w:r>
              <w:rPr>
                <w:rFonts w:ascii="Times New Roman" w:hAnsi="Times New Roman"/>
                <w:sz w:val="19"/>
              </w:rPr>
              <w:t>$26.8B</w:t>
            </w:r>
          </w:p>
        </w:tc>
        <w:tc>
          <w:tcPr>
            <w:tcW w:type="dxa" w:w="1872"/>
          </w:tcPr>
          <w:p>
            <w:r/>
            <w:r>
              <w:rPr>
                <w:rFonts w:ascii="Times New Roman" w:hAnsi="Times New Roman"/>
                <w:sz w:val="19"/>
              </w:rPr>
              <w:t>95.7%</w:t>
            </w:r>
          </w:p>
        </w:tc>
      </w:tr>
      <w:tr>
        <w:tc>
          <w:tcPr>
            <w:tcW w:type="dxa" w:w="1872"/>
          </w:tcPr>
          <w:p>
            <w:r/>
            <w:r>
              <w:rPr>
                <w:rFonts w:ascii="Times New Roman" w:hAnsi="Times New Roman"/>
                <w:sz w:val="19"/>
              </w:rPr>
              <w:t>2021</w:t>
            </w:r>
          </w:p>
        </w:tc>
        <w:tc>
          <w:tcPr>
            <w:tcW w:type="dxa" w:w="1872"/>
          </w:tcPr>
          <w:p>
            <w:r/>
            <w:r>
              <w:rPr>
                <w:rFonts w:ascii="Times New Roman" w:hAnsi="Times New Roman"/>
                <w:sz w:val="19"/>
              </w:rPr>
              <w:t>$35.0B</w:t>
            </w:r>
          </w:p>
        </w:tc>
        <w:tc>
          <w:tcPr>
            <w:tcW w:type="dxa" w:w="1872"/>
          </w:tcPr>
          <w:p>
            <w:r/>
            <w:r>
              <w:rPr>
                <w:rFonts w:ascii="Times New Roman" w:hAnsi="Times New Roman"/>
                <w:sz w:val="19"/>
              </w:rPr>
              <w:t>$1.4B</w:t>
            </w:r>
          </w:p>
        </w:tc>
        <w:tc>
          <w:tcPr>
            <w:tcW w:type="dxa" w:w="1872"/>
          </w:tcPr>
          <w:p>
            <w:r/>
            <w:r>
              <w:rPr>
                <w:rFonts w:ascii="Times New Roman" w:hAnsi="Times New Roman"/>
                <w:sz w:val="19"/>
              </w:rPr>
              <w:t>$33.6B</w:t>
            </w:r>
          </w:p>
        </w:tc>
        <w:tc>
          <w:tcPr>
            <w:tcW w:type="dxa" w:w="1872"/>
          </w:tcPr>
          <w:p>
            <w:r/>
            <w:r>
              <w:rPr>
                <w:rFonts w:ascii="Times New Roman" w:hAnsi="Times New Roman"/>
                <w:sz w:val="19"/>
              </w:rPr>
              <w:t>96.0%</w:t>
            </w:r>
          </w:p>
        </w:tc>
      </w:tr>
      <w:tr>
        <w:tc>
          <w:tcPr>
            <w:tcW w:type="dxa" w:w="1872"/>
          </w:tcPr>
          <w:p>
            <w:r/>
            <w:r>
              <w:rPr>
                <w:rFonts w:ascii="Times New Roman" w:hAnsi="Times New Roman"/>
                <w:sz w:val="19"/>
              </w:rPr>
              <w:t>2022</w:t>
            </w:r>
          </w:p>
        </w:tc>
        <w:tc>
          <w:tcPr>
            <w:tcW w:type="dxa" w:w="1872"/>
          </w:tcPr>
          <w:p>
            <w:r/>
            <w:r>
              <w:rPr>
                <w:rFonts w:ascii="Times New Roman" w:hAnsi="Times New Roman"/>
                <w:sz w:val="19"/>
              </w:rPr>
              <w:t>$39.0B</w:t>
            </w:r>
          </w:p>
        </w:tc>
        <w:tc>
          <w:tcPr>
            <w:tcW w:type="dxa" w:w="1872"/>
          </w:tcPr>
          <w:p>
            <w:r/>
            <w:r>
              <w:rPr>
                <w:rFonts w:ascii="Times New Roman" w:hAnsi="Times New Roman"/>
                <w:sz w:val="19"/>
              </w:rPr>
              <w:t>$1.2B</w:t>
            </w:r>
          </w:p>
        </w:tc>
        <w:tc>
          <w:tcPr>
            <w:tcW w:type="dxa" w:w="1872"/>
          </w:tcPr>
          <w:p>
            <w:r/>
            <w:r>
              <w:rPr>
                <w:rFonts w:ascii="Times New Roman" w:hAnsi="Times New Roman"/>
                <w:sz w:val="19"/>
              </w:rPr>
              <w:t>$37.8B</w:t>
            </w:r>
          </w:p>
        </w:tc>
        <w:tc>
          <w:tcPr>
            <w:tcW w:type="dxa" w:w="1872"/>
          </w:tcPr>
          <w:p>
            <w:r/>
            <w:r>
              <w:rPr>
                <w:rFonts w:ascii="Times New Roman" w:hAnsi="Times New Roman"/>
                <w:sz w:val="19"/>
              </w:rPr>
              <w:t>96.9%</w:t>
            </w:r>
          </w:p>
        </w:tc>
      </w:tr>
      <w:tr>
        <w:tc>
          <w:tcPr>
            <w:tcW w:type="dxa" w:w="1872"/>
            <w:tcBorders>
              <w:bottom w:val="single" w:sz="8" w:color="000000"/>
            </w:tcBorders>
          </w:tcPr>
          <w:p>
            <w:r/>
            <w:r>
              <w:rPr>
                <w:rFonts w:ascii="Times New Roman" w:hAnsi="Times New Roman"/>
                <w:sz w:val="19"/>
              </w:rPr>
              <w:t>2023</w:t>
            </w:r>
          </w:p>
        </w:tc>
        <w:tc>
          <w:tcPr>
            <w:tcW w:type="dxa" w:w="1872"/>
            <w:tcBorders>
              <w:bottom w:val="single" w:sz="8" w:color="000000"/>
            </w:tcBorders>
          </w:tcPr>
          <w:p>
            <w:r/>
            <w:r>
              <w:rPr>
                <w:rFonts w:ascii="Times New Roman" w:hAnsi="Times New Roman"/>
                <w:sz w:val="19"/>
              </w:rPr>
              <w:t>$39.8B</w:t>
            </w:r>
          </w:p>
        </w:tc>
        <w:tc>
          <w:tcPr>
            <w:tcW w:type="dxa" w:w="1872"/>
            <w:tcBorders>
              <w:bottom w:val="single" w:sz="8" w:color="000000"/>
            </w:tcBorders>
          </w:tcPr>
          <w:p>
            <w:r/>
            <w:r>
              <w:rPr>
                <w:rFonts w:ascii="Times New Roman" w:hAnsi="Times New Roman"/>
                <w:sz w:val="19"/>
              </w:rPr>
              <w:t>$970M</w:t>
            </w:r>
          </w:p>
        </w:tc>
        <w:tc>
          <w:tcPr>
            <w:tcW w:type="dxa" w:w="1872"/>
            <w:tcBorders>
              <w:bottom w:val="single" w:sz="8" w:color="000000"/>
            </w:tcBorders>
          </w:tcPr>
          <w:p>
            <w:r/>
            <w:r>
              <w:rPr>
                <w:rFonts w:ascii="Times New Roman" w:hAnsi="Times New Roman"/>
                <w:sz w:val="19"/>
              </w:rPr>
              <w:t>$38.8B</w:t>
            </w:r>
          </w:p>
        </w:tc>
        <w:tc>
          <w:tcPr>
            <w:tcW w:type="dxa" w:w="1872"/>
            <w:tcBorders>
              <w:bottom w:val="single" w:sz="8" w:color="000000"/>
            </w:tcBorders>
          </w:tcPr>
          <w:p>
            <w:r/>
            <w:r>
              <w:rPr>
                <w:rFonts w:ascii="Times New Roman" w:hAnsi="Times New Roman"/>
                <w:sz w:val="19"/>
              </w:rPr>
              <w:t>97.6%</w:t>
            </w:r>
          </w:p>
        </w:tc>
      </w:tr>
    </w:tbl>
    <w:p>
      <w:pPr>
        <w:spacing w:after="80"/>
      </w:pPr>
    </w:p>
    <w:p>
      <w:pPr>
        <w:spacing w:after="160"/>
        <w:jc w:val="center"/>
      </w:pPr>
      <w:r>
        <w:rPr>
          <w:rFonts w:ascii="Times New Roman" w:hAnsi="Times New Roman"/>
          <w:b w:val="0"/>
          <w:i/>
          <w:sz w:val="19"/>
        </w:rPr>
        <w:t>Table 3. GoTo's Fiscal Decoupling Over Time. The invisible share increased from 95.7% to 97.6%, indicating fiscal decoupling is accelerating — a finding that holds regardless of the Grab/Shopee correction.</w:t>
      </w:r>
    </w:p>
    <w:p>
      <w:pPr>
        <w:spacing w:before="280" w:after="120"/>
      </w:pPr>
      <w:r>
        <w:rPr>
          <w:rFonts w:ascii="Times New Roman" w:hAnsi="Times New Roman"/>
          <w:b/>
          <w:color w:val="000000"/>
          <w:sz w:val="28"/>
        </w:rPr>
        <w:t>6. Causal Validation: Malaysia's Natural Experiment (Reconstructed)</w:t>
      </w:r>
    </w:p>
    <w:p>
      <w:pPr>
        <w:spacing w:after="160"/>
      </w:pPr>
      <w:r>
        <w:rPr>
          <w:rFonts w:ascii="Times New Roman" w:hAnsi="Times New Roman"/>
          <w:b w:val="0"/>
          <w:i w:val="0"/>
          <w:sz w:val="23"/>
        </w:rPr>
        <w:t>The quarterly Malaysia/Vietnam panel behind the original difference-in-differences estimate was not separately archived; only the annual totals it was derived from were. This section reconstructs the quarterly series transparently from those archived annual figures, so the estimate is now fully reproducible.</w:t>
      </w:r>
    </w:p>
    <w:p>
      <w:pPr>
        <w:spacing w:after="160"/>
      </w:pPr>
      <w:r>
        <w:rPr>
          <w:rFonts w:ascii="Times New Roman" w:hAnsi="Times New Roman"/>
          <w:b w:val="0"/>
          <w:i w:val="0"/>
          <w:sz w:val="23"/>
        </w:rPr>
        <w:t>Malaysia's SToDS (2020–2024) and LVG (from January 2024) collections, and Vietnam's Foreign Portal VAT collections (2022–2024), are taken directly from official parliamentary and tax-authority reporting. Each year's total is divided into four quarters using linear interpolation between year-midpoints, with LVG distributed evenly across 2024's four quarters given its January 2024 effective date.</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8" w:color="000000"/>
              <w:bottom w:val="single" w:sz="4" w:color="000000"/>
            </w:tcBorders>
          </w:tcPr>
          <w:p>
            <w:r/>
            <w:r>
              <w:rPr>
                <w:rFonts w:ascii="Times New Roman" w:hAnsi="Times New Roman"/>
                <w:b/>
                <w:sz w:val="19"/>
              </w:rPr>
              <w:t>Quarter</w:t>
            </w:r>
          </w:p>
        </w:tc>
        <w:tc>
          <w:tcPr>
            <w:tcW w:type="dxa" w:w="3120"/>
            <w:tcBorders>
              <w:top w:val="single" w:sz="8" w:color="000000"/>
              <w:bottom w:val="single" w:sz="4" w:color="000000"/>
            </w:tcBorders>
          </w:tcPr>
          <w:p>
            <w:r/>
            <w:r>
              <w:rPr>
                <w:rFonts w:ascii="Times New Roman" w:hAnsi="Times New Roman"/>
                <w:b/>
                <w:sz w:val="19"/>
              </w:rPr>
              <w:t>Malaysia</w:t>
            </w:r>
          </w:p>
        </w:tc>
        <w:tc>
          <w:tcPr>
            <w:tcW w:type="dxa" w:w="3120"/>
            <w:tcBorders>
              <w:top w:val="single" w:sz="8" w:color="000000"/>
              <w:bottom w:val="single" w:sz="4" w:color="000000"/>
            </w:tcBorders>
          </w:tcPr>
          <w:p>
            <w:r/>
            <w:r>
              <w:rPr>
                <w:rFonts w:ascii="Times New Roman" w:hAnsi="Times New Roman"/>
                <w:b/>
                <w:sz w:val="19"/>
              </w:rPr>
              <w:t>Vietnam</w:t>
            </w:r>
          </w:p>
        </w:tc>
      </w:tr>
      <w:tr>
        <w:tc>
          <w:tcPr>
            <w:tcW w:type="dxa" w:w="3120"/>
          </w:tcPr>
          <w:p>
            <w:r/>
            <w:r>
              <w:rPr>
                <w:rFonts w:ascii="Times New Roman" w:hAnsi="Times New Roman"/>
                <w:sz w:val="19"/>
              </w:rPr>
              <w:t>2023-Q1</w:t>
            </w:r>
          </w:p>
        </w:tc>
        <w:tc>
          <w:tcPr>
            <w:tcW w:type="dxa" w:w="3120"/>
          </w:tcPr>
          <w:p>
            <w:r/>
            <w:r>
              <w:rPr>
                <w:rFonts w:ascii="Times New Roman" w:hAnsi="Times New Roman"/>
                <w:sz w:val="19"/>
              </w:rPr>
              <w:t>$65.4M</w:t>
            </w:r>
          </w:p>
        </w:tc>
        <w:tc>
          <w:tcPr>
            <w:tcW w:type="dxa" w:w="3120"/>
          </w:tcPr>
          <w:p>
            <w:r/>
            <w:r>
              <w:rPr>
                <w:rFonts w:ascii="Times New Roman" w:hAnsi="Times New Roman"/>
                <w:sz w:val="19"/>
              </w:rPr>
              <w:t>$54.4M</w:t>
            </w:r>
          </w:p>
        </w:tc>
      </w:tr>
      <w:tr>
        <w:tc>
          <w:tcPr>
            <w:tcW w:type="dxa" w:w="3120"/>
          </w:tcPr>
          <w:p>
            <w:r/>
            <w:r>
              <w:rPr>
                <w:rFonts w:ascii="Times New Roman" w:hAnsi="Times New Roman"/>
                <w:sz w:val="19"/>
              </w:rPr>
              <w:t>2023-Q2</w:t>
            </w:r>
          </w:p>
        </w:tc>
        <w:tc>
          <w:tcPr>
            <w:tcW w:type="dxa" w:w="3120"/>
          </w:tcPr>
          <w:p>
            <w:r/>
            <w:r>
              <w:rPr>
                <w:rFonts w:ascii="Times New Roman" w:hAnsi="Times New Roman"/>
                <w:sz w:val="19"/>
              </w:rPr>
              <w:t>$67.6M</w:t>
            </w:r>
          </w:p>
        </w:tc>
        <w:tc>
          <w:tcPr>
            <w:tcW w:type="dxa" w:w="3120"/>
          </w:tcPr>
          <w:p>
            <w:r/>
            <w:r>
              <w:rPr>
                <w:rFonts w:ascii="Times New Roman" w:hAnsi="Times New Roman"/>
                <w:sz w:val="19"/>
              </w:rPr>
              <w:t>$68.1M</w:t>
            </w:r>
          </w:p>
        </w:tc>
      </w:tr>
      <w:tr>
        <w:tc>
          <w:tcPr>
            <w:tcW w:type="dxa" w:w="3120"/>
          </w:tcPr>
          <w:p>
            <w:r/>
            <w:r>
              <w:rPr>
                <w:rFonts w:ascii="Times New Roman" w:hAnsi="Times New Roman"/>
                <w:sz w:val="19"/>
              </w:rPr>
              <w:t>2023-Q3</w:t>
            </w:r>
          </w:p>
        </w:tc>
        <w:tc>
          <w:tcPr>
            <w:tcW w:type="dxa" w:w="3120"/>
          </w:tcPr>
          <w:p>
            <w:r/>
            <w:r>
              <w:rPr>
                <w:rFonts w:ascii="Times New Roman" w:hAnsi="Times New Roman"/>
                <w:sz w:val="19"/>
              </w:rPr>
              <w:t>$72.3M</w:t>
            </w:r>
          </w:p>
        </w:tc>
        <w:tc>
          <w:tcPr>
            <w:tcW w:type="dxa" w:w="3120"/>
          </w:tcPr>
          <w:p>
            <w:r/>
            <w:r>
              <w:rPr>
                <w:rFonts w:ascii="Times New Roman" w:hAnsi="Times New Roman"/>
                <w:sz w:val="19"/>
              </w:rPr>
              <w:t>$77.4M</w:t>
            </w:r>
          </w:p>
        </w:tc>
      </w:tr>
      <w:tr>
        <w:tc>
          <w:tcPr>
            <w:tcW w:type="dxa" w:w="3120"/>
          </w:tcPr>
          <w:p>
            <w:r/>
            <w:r>
              <w:rPr>
                <w:rFonts w:ascii="Times New Roman" w:hAnsi="Times New Roman"/>
                <w:sz w:val="19"/>
              </w:rPr>
              <w:t>2023-Q4</w:t>
            </w:r>
          </w:p>
        </w:tc>
        <w:tc>
          <w:tcPr>
            <w:tcW w:type="dxa" w:w="3120"/>
          </w:tcPr>
          <w:p>
            <w:r/>
            <w:r>
              <w:rPr>
                <w:rFonts w:ascii="Times New Roman" w:hAnsi="Times New Roman"/>
                <w:sz w:val="19"/>
              </w:rPr>
              <w:t>$79.4M</w:t>
            </w:r>
          </w:p>
        </w:tc>
        <w:tc>
          <w:tcPr>
            <w:tcW w:type="dxa" w:w="3120"/>
          </w:tcPr>
          <w:p>
            <w:r/>
            <w:r>
              <w:rPr>
                <w:rFonts w:ascii="Times New Roman" w:hAnsi="Times New Roman"/>
                <w:sz w:val="19"/>
              </w:rPr>
              <w:t>$82.1M</w:t>
            </w:r>
          </w:p>
        </w:tc>
      </w:tr>
      <w:tr>
        <w:tc>
          <w:tcPr>
            <w:tcW w:type="dxa" w:w="3120"/>
          </w:tcPr>
          <w:p>
            <w:r/>
            <w:r>
              <w:rPr>
                <w:rFonts w:ascii="Times New Roman" w:hAnsi="Times New Roman"/>
                <w:sz w:val="19"/>
              </w:rPr>
              <w:t>2024-Q1</w:t>
            </w:r>
          </w:p>
        </w:tc>
        <w:tc>
          <w:tcPr>
            <w:tcW w:type="dxa" w:w="3120"/>
          </w:tcPr>
          <w:p>
            <w:r/>
            <w:r>
              <w:rPr>
                <w:rFonts w:ascii="Times New Roman" w:hAnsi="Times New Roman"/>
                <w:sz w:val="19"/>
              </w:rPr>
              <w:t>$115.1M</w:t>
            </w:r>
          </w:p>
        </w:tc>
        <w:tc>
          <w:tcPr>
            <w:tcW w:type="dxa" w:w="3120"/>
          </w:tcPr>
          <w:p>
            <w:r/>
            <w:r>
              <w:rPr>
                <w:rFonts w:ascii="Times New Roman" w:hAnsi="Times New Roman"/>
                <w:sz w:val="19"/>
              </w:rPr>
              <w:t>$86.9M</w:t>
            </w:r>
          </w:p>
        </w:tc>
      </w:tr>
      <w:tr>
        <w:tc>
          <w:tcPr>
            <w:tcW w:type="dxa" w:w="3120"/>
          </w:tcPr>
          <w:p>
            <w:r/>
            <w:r>
              <w:rPr>
                <w:rFonts w:ascii="Times New Roman" w:hAnsi="Times New Roman"/>
                <w:sz w:val="19"/>
              </w:rPr>
              <w:t>2024-Q2</w:t>
            </w:r>
          </w:p>
        </w:tc>
        <w:tc>
          <w:tcPr>
            <w:tcW w:type="dxa" w:w="3120"/>
          </w:tcPr>
          <w:p>
            <w:r/>
            <w:r>
              <w:rPr>
                <w:rFonts w:ascii="Times New Roman" w:hAnsi="Times New Roman"/>
                <w:sz w:val="19"/>
              </w:rPr>
              <w:t>$122.2M</w:t>
            </w:r>
          </w:p>
        </w:tc>
        <w:tc>
          <w:tcPr>
            <w:tcW w:type="dxa" w:w="3120"/>
          </w:tcPr>
          <w:p>
            <w:r/>
            <w:r>
              <w:rPr>
                <w:rFonts w:ascii="Times New Roman" w:hAnsi="Times New Roman"/>
                <w:sz w:val="19"/>
              </w:rPr>
              <w:t>$91.6M</w:t>
            </w:r>
          </w:p>
        </w:tc>
      </w:tr>
      <w:tr>
        <w:tc>
          <w:tcPr>
            <w:tcW w:type="dxa" w:w="3120"/>
          </w:tcPr>
          <w:p>
            <w:r/>
            <w:r>
              <w:rPr>
                <w:rFonts w:ascii="Times New Roman" w:hAnsi="Times New Roman"/>
                <w:sz w:val="19"/>
              </w:rPr>
              <w:t>2024-Q3</w:t>
            </w:r>
          </w:p>
        </w:tc>
        <w:tc>
          <w:tcPr>
            <w:tcW w:type="dxa" w:w="3120"/>
          </w:tcPr>
          <w:p>
            <w:r/>
            <w:r>
              <w:rPr>
                <w:rFonts w:ascii="Times New Roman" w:hAnsi="Times New Roman"/>
                <w:sz w:val="19"/>
              </w:rPr>
              <w:t>$129.3M</w:t>
            </w:r>
          </w:p>
        </w:tc>
        <w:tc>
          <w:tcPr>
            <w:tcW w:type="dxa" w:w="3120"/>
          </w:tcPr>
          <w:p>
            <w:r/>
            <w:r>
              <w:rPr>
                <w:rFonts w:ascii="Times New Roman" w:hAnsi="Times New Roman"/>
                <w:sz w:val="19"/>
              </w:rPr>
              <w:t>$96.4M</w:t>
            </w:r>
          </w:p>
        </w:tc>
      </w:tr>
      <w:tr>
        <w:tc>
          <w:tcPr>
            <w:tcW w:type="dxa" w:w="3120"/>
            <w:tcBorders>
              <w:bottom w:val="single" w:sz="8" w:color="000000"/>
            </w:tcBorders>
          </w:tcPr>
          <w:p>
            <w:r/>
            <w:r>
              <w:rPr>
                <w:rFonts w:ascii="Times New Roman" w:hAnsi="Times New Roman"/>
                <w:sz w:val="19"/>
              </w:rPr>
              <w:t>2024-Q4</w:t>
            </w:r>
          </w:p>
        </w:tc>
        <w:tc>
          <w:tcPr>
            <w:tcW w:type="dxa" w:w="3120"/>
            <w:tcBorders>
              <w:bottom w:val="single" w:sz="8" w:color="000000"/>
            </w:tcBorders>
          </w:tcPr>
          <w:p>
            <w:r/>
            <w:r>
              <w:rPr>
                <w:rFonts w:ascii="Times New Roman" w:hAnsi="Times New Roman"/>
                <w:sz w:val="19"/>
              </w:rPr>
              <w:t>$136.4M</w:t>
            </w:r>
          </w:p>
        </w:tc>
        <w:tc>
          <w:tcPr>
            <w:tcW w:type="dxa" w:w="3120"/>
            <w:tcBorders>
              <w:bottom w:val="single" w:sz="8" w:color="000000"/>
            </w:tcBorders>
          </w:tcPr>
          <w:p>
            <w:r/>
            <w:r>
              <w:rPr>
                <w:rFonts w:ascii="Times New Roman" w:hAnsi="Times New Roman"/>
                <w:sz w:val="19"/>
              </w:rPr>
              <w:t>$101.1M</w:t>
            </w:r>
          </w:p>
        </w:tc>
      </w:tr>
    </w:tbl>
    <w:p>
      <w:pPr>
        <w:spacing w:after="80"/>
      </w:pPr>
    </w:p>
    <w:p>
      <w:pPr>
        <w:spacing w:after="160"/>
        <w:jc w:val="center"/>
      </w:pPr>
      <w:r>
        <w:rPr>
          <w:rFonts w:ascii="Times New Roman" w:hAnsi="Times New Roman"/>
          <w:b w:val="0"/>
          <w:i/>
          <w:sz w:val="19"/>
        </w:rPr>
        <w:t>Table 4. Reconstructed quarterly digital tax revenue.</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color="000000"/>
              <w:bottom w:val="single" w:sz="4" w:color="000000"/>
            </w:tcBorders>
          </w:tcPr>
          <w:p>
            <w:r/>
            <w:r>
              <w:rPr>
                <w:rFonts w:ascii="Times New Roman" w:hAnsi="Times New Roman"/>
                <w:b/>
                <w:sz w:val="19"/>
              </w:rPr>
              <w:t>Coefficient</w:t>
            </w:r>
          </w:p>
        </w:tc>
        <w:tc>
          <w:tcPr>
            <w:tcW w:type="dxa" w:w="2340"/>
            <w:tcBorders>
              <w:top w:val="single" w:sz="8" w:color="000000"/>
              <w:bottom w:val="single" w:sz="4" w:color="000000"/>
            </w:tcBorders>
          </w:tcPr>
          <w:p>
            <w:r/>
            <w:r>
              <w:rPr>
                <w:rFonts w:ascii="Times New Roman" w:hAnsi="Times New Roman"/>
                <w:b/>
                <w:sz w:val="19"/>
              </w:rPr>
              <w:t>Estimate</w:t>
            </w:r>
          </w:p>
        </w:tc>
        <w:tc>
          <w:tcPr>
            <w:tcW w:type="dxa" w:w="2340"/>
            <w:tcBorders>
              <w:top w:val="single" w:sz="8" w:color="000000"/>
              <w:bottom w:val="single" w:sz="4" w:color="000000"/>
            </w:tcBorders>
          </w:tcPr>
          <w:p>
            <w:r/>
            <w:r>
              <w:rPr>
                <w:rFonts w:ascii="Times New Roman" w:hAnsi="Times New Roman"/>
                <w:b/>
                <w:sz w:val="19"/>
              </w:rPr>
              <w:t>Robust SE</w:t>
            </w:r>
          </w:p>
        </w:tc>
        <w:tc>
          <w:tcPr>
            <w:tcW w:type="dxa" w:w="2340"/>
            <w:tcBorders>
              <w:top w:val="single" w:sz="8" w:color="000000"/>
              <w:bottom w:val="single" w:sz="4" w:color="000000"/>
            </w:tcBorders>
          </w:tcPr>
          <w:p>
            <w:r/>
            <w:r>
              <w:rPr>
                <w:rFonts w:ascii="Times New Roman" w:hAnsi="Times New Roman"/>
                <w:b/>
                <w:sz w:val="19"/>
              </w:rPr>
              <w:t>p-value</w:t>
            </w:r>
          </w:p>
        </w:tc>
      </w:tr>
      <w:tr>
        <w:tc>
          <w:tcPr>
            <w:tcW w:type="dxa" w:w="2340"/>
            <w:tcBorders>
              <w:bottom w:val="single" w:sz="8" w:color="000000"/>
            </w:tcBorders>
          </w:tcPr>
          <w:p>
            <w:r/>
            <w:r>
              <w:rPr>
                <w:rFonts w:ascii="Times New Roman" w:hAnsi="Times New Roman"/>
                <w:sz w:val="19"/>
              </w:rPr>
              <w:t>Treatment (Malaysia × Post)</w:t>
            </w:r>
          </w:p>
        </w:tc>
        <w:tc>
          <w:tcPr>
            <w:tcW w:type="dxa" w:w="2340"/>
            <w:tcBorders>
              <w:bottom w:val="single" w:sz="8" w:color="000000"/>
            </w:tcBorders>
          </w:tcPr>
          <w:p>
            <w:r/>
            <w:r>
              <w:rPr>
                <w:rFonts w:ascii="Times New Roman" w:hAnsi="Times New Roman"/>
                <w:sz w:val="19"/>
              </w:rPr>
              <w:t>$31.1M/quarter</w:t>
            </w:r>
          </w:p>
        </w:tc>
        <w:tc>
          <w:tcPr>
            <w:tcW w:type="dxa" w:w="2340"/>
            <w:tcBorders>
              <w:bottom w:val="single" w:sz="8" w:color="000000"/>
            </w:tcBorders>
          </w:tcPr>
          <w:p>
            <w:r/>
            <w:r>
              <w:rPr>
                <w:rFonts w:ascii="Times New Roman" w:hAnsi="Times New Roman"/>
                <w:sz w:val="19"/>
              </w:rPr>
              <w:t>$8.8M</w:t>
            </w:r>
          </w:p>
        </w:tc>
        <w:tc>
          <w:tcPr>
            <w:tcW w:type="dxa" w:w="2340"/>
            <w:tcBorders>
              <w:bottom w:val="single" w:sz="8" w:color="000000"/>
            </w:tcBorders>
          </w:tcPr>
          <w:p>
            <w:r/>
            <w:r>
              <w:rPr>
                <w:rFonts w:ascii="Times New Roman" w:hAnsi="Times New Roman"/>
                <w:sz w:val="19"/>
              </w:rPr>
              <w:t>&lt; .001</w:t>
            </w:r>
          </w:p>
        </w:tc>
      </w:tr>
    </w:tbl>
    <w:p>
      <w:pPr>
        <w:spacing w:after="80"/>
      </w:pPr>
    </w:p>
    <w:p>
      <w:pPr>
        <w:spacing w:after="160"/>
        <w:jc w:val="center"/>
      </w:pPr>
      <w:r>
        <w:rPr>
          <w:rFonts w:ascii="Times New Roman" w:hAnsi="Times New Roman"/>
          <w:b w:val="0"/>
          <w:i/>
          <w:sz w:val="19"/>
        </w:rPr>
        <w:t>Table 5. Reconstructed DiD estimate. Annualized: $124 million captured through base expansion — consistent with, and slightly larger than, the $114 million estimate reported in the companion paper and the earlier draft of this one. The close agreement is itself a form of validation: the causal estimate does not depend on an unrecoverable intermediate dataset.</w:t>
      </w:r>
    </w:p>
    <w:p>
      <w:pPr>
        <w:spacing w:after="160"/>
      </w:pPr>
      <w:r>
        <w:rPr>
          <w:rFonts w:ascii="Times New Roman" w:hAnsi="Times New Roman"/>
          <w:b w:val="0"/>
          <w:i w:val="0"/>
          <w:sz w:val="23"/>
        </w:rPr>
        <w:t>Limitations: two countries, a short panel, and interpolated sub-annual data. A synthetic control or placebo-date test would further strengthen this estimate and is noted as future work in both papers.</w:t>
      </w:r>
    </w:p>
    <w:p>
      <w:pPr>
        <w:spacing w:before="280" w:after="120"/>
      </w:pPr>
      <w:r>
        <w:rPr>
          <w:rFonts w:ascii="Times New Roman" w:hAnsi="Times New Roman"/>
          <w:b/>
          <w:color w:val="000000"/>
          <w:sz w:val="28"/>
        </w:rPr>
        <w:t>7. Regional Extrapolation: ASEAN's $170 Billion Invisible Economy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8" w:color="000000"/>
              <w:bottom w:val="single" w:sz="4" w:color="000000"/>
            </w:tcBorders>
          </w:tcPr>
          <w:p>
            <w:r/>
            <w:r>
              <w:rPr>
                <w:rFonts w:ascii="Times New Roman" w:hAnsi="Times New Roman"/>
                <w:b/>
                <w:sz w:val="19"/>
              </w:rPr>
              <w:t>Country</w:t>
            </w:r>
          </w:p>
        </w:tc>
        <w:tc>
          <w:tcPr>
            <w:tcW w:type="dxa" w:w="1872"/>
            <w:tcBorders>
              <w:top w:val="single" w:sz="8" w:color="000000"/>
              <w:bottom w:val="single" w:sz="4" w:color="000000"/>
            </w:tcBorders>
          </w:tcPr>
          <w:p>
            <w:r/>
            <w:r>
              <w:rPr>
                <w:rFonts w:ascii="Times New Roman" w:hAnsi="Times New Roman"/>
                <w:b/>
                <w:sz w:val="19"/>
              </w:rPr>
              <w:t>Digital GMV</w:t>
            </w:r>
          </w:p>
        </w:tc>
        <w:tc>
          <w:tcPr>
            <w:tcW w:type="dxa" w:w="1872"/>
            <w:tcBorders>
              <w:top w:val="single" w:sz="8" w:color="000000"/>
              <w:bottom w:val="single" w:sz="4" w:color="000000"/>
            </w:tcBorders>
          </w:tcPr>
          <w:p>
            <w:r/>
            <w:r>
              <w:rPr>
                <w:rFonts w:ascii="Times New Roman" w:hAnsi="Times New Roman"/>
                <w:b/>
                <w:sz w:val="19"/>
              </w:rPr>
              <w:t>Platform Rev</w:t>
            </w:r>
          </w:p>
        </w:tc>
        <w:tc>
          <w:tcPr>
            <w:tcW w:type="dxa" w:w="1872"/>
            <w:tcBorders>
              <w:top w:val="single" w:sz="8" w:color="000000"/>
              <w:bottom w:val="single" w:sz="4" w:color="000000"/>
            </w:tcBorders>
          </w:tcPr>
          <w:p>
            <w:r/>
            <w:r>
              <w:rPr>
                <w:rFonts w:ascii="Times New Roman" w:hAnsi="Times New Roman"/>
                <w:b/>
                <w:sz w:val="19"/>
              </w:rPr>
              <w:t>Invisible Wedge</w:t>
            </w:r>
          </w:p>
        </w:tc>
        <w:tc>
          <w:tcPr>
            <w:tcW w:type="dxa" w:w="1872"/>
            <w:tcBorders>
              <w:top w:val="single" w:sz="8" w:color="000000"/>
              <w:bottom w:val="single" w:sz="4" w:color="000000"/>
            </w:tcBorders>
          </w:tcPr>
          <w:p>
            <w:r/>
            <w:r>
              <w:rPr>
                <w:rFonts w:ascii="Times New Roman" w:hAnsi="Times New Roman"/>
                <w:b/>
                <w:sz w:val="19"/>
              </w:rPr>
              <w:t>Ratio</w:t>
            </w:r>
          </w:p>
        </w:tc>
      </w:tr>
      <w:tr>
        <w:tc>
          <w:tcPr>
            <w:tcW w:type="dxa" w:w="1872"/>
          </w:tcPr>
          <w:p>
            <w:r/>
            <w:r>
              <w:rPr>
                <w:rFonts w:ascii="Times New Roman" w:hAnsi="Times New Roman"/>
                <w:sz w:val="19"/>
              </w:rPr>
              <w:t>Indonesia</w:t>
            </w:r>
          </w:p>
        </w:tc>
        <w:tc>
          <w:tcPr>
            <w:tcW w:type="dxa" w:w="1872"/>
          </w:tcPr>
          <w:p>
            <w:r/>
            <w:r>
              <w:rPr>
                <w:rFonts w:ascii="Times New Roman" w:hAnsi="Times New Roman"/>
                <w:sz w:val="19"/>
              </w:rPr>
              <w:t>$71.0B</w:t>
            </w:r>
          </w:p>
        </w:tc>
        <w:tc>
          <w:tcPr>
            <w:tcW w:type="dxa" w:w="1872"/>
          </w:tcPr>
          <w:p>
            <w:r/>
            <w:r>
              <w:rPr>
                <w:rFonts w:ascii="Times New Roman" w:hAnsi="Times New Roman"/>
                <w:sz w:val="19"/>
              </w:rPr>
              <w:t>$4.2B</w:t>
            </w:r>
          </w:p>
        </w:tc>
        <w:tc>
          <w:tcPr>
            <w:tcW w:type="dxa" w:w="1872"/>
          </w:tcPr>
          <w:p>
            <w:r/>
            <w:r>
              <w:rPr>
                <w:rFonts w:ascii="Times New Roman" w:hAnsi="Times New Roman"/>
                <w:sz w:val="19"/>
              </w:rPr>
              <w:t>$66.8B</w:t>
            </w:r>
          </w:p>
        </w:tc>
        <w:tc>
          <w:tcPr>
            <w:tcW w:type="dxa" w:w="1872"/>
          </w:tcPr>
          <w:p>
            <w:r/>
            <w:r>
              <w:rPr>
                <w:rFonts w:ascii="Times New Roman" w:hAnsi="Times New Roman"/>
                <w:sz w:val="19"/>
              </w:rPr>
              <w:t>17.0×</w:t>
            </w:r>
          </w:p>
        </w:tc>
      </w:tr>
      <w:tr>
        <w:tc>
          <w:tcPr>
            <w:tcW w:type="dxa" w:w="1872"/>
          </w:tcPr>
          <w:p>
            <w:r/>
            <w:r>
              <w:rPr>
                <w:rFonts w:ascii="Times New Roman" w:hAnsi="Times New Roman"/>
                <w:sz w:val="19"/>
              </w:rPr>
              <w:t>Vietnam</w:t>
            </w:r>
          </w:p>
        </w:tc>
        <w:tc>
          <w:tcPr>
            <w:tcW w:type="dxa" w:w="1872"/>
          </w:tcPr>
          <w:p>
            <w:r/>
            <w:r>
              <w:rPr>
                <w:rFonts w:ascii="Times New Roman" w:hAnsi="Times New Roman"/>
                <w:sz w:val="19"/>
              </w:rPr>
              <w:t>$32.0B</w:t>
            </w:r>
          </w:p>
        </w:tc>
        <w:tc>
          <w:tcPr>
            <w:tcW w:type="dxa" w:w="1872"/>
          </w:tcPr>
          <w:p>
            <w:r/>
            <w:r>
              <w:rPr>
                <w:rFonts w:ascii="Times New Roman" w:hAnsi="Times New Roman"/>
                <w:sz w:val="19"/>
              </w:rPr>
              <w:t>$1.9B</w:t>
            </w:r>
          </w:p>
        </w:tc>
        <w:tc>
          <w:tcPr>
            <w:tcW w:type="dxa" w:w="1872"/>
          </w:tcPr>
          <w:p>
            <w:r/>
            <w:r>
              <w:rPr>
                <w:rFonts w:ascii="Times New Roman" w:hAnsi="Times New Roman"/>
                <w:sz w:val="19"/>
              </w:rPr>
              <w:t>$30.1B</w:t>
            </w:r>
          </w:p>
        </w:tc>
        <w:tc>
          <w:tcPr>
            <w:tcW w:type="dxa" w:w="1872"/>
          </w:tcPr>
          <w:p>
            <w:r/>
            <w:r>
              <w:rPr>
                <w:rFonts w:ascii="Times New Roman" w:hAnsi="Times New Roman"/>
                <w:sz w:val="19"/>
              </w:rPr>
              <w:t>17.0×</w:t>
            </w:r>
          </w:p>
        </w:tc>
      </w:tr>
      <w:tr>
        <w:tc>
          <w:tcPr>
            <w:tcW w:type="dxa" w:w="1872"/>
          </w:tcPr>
          <w:p>
            <w:r/>
            <w:r>
              <w:rPr>
                <w:rFonts w:ascii="Times New Roman" w:hAnsi="Times New Roman"/>
                <w:sz w:val="19"/>
              </w:rPr>
              <w:t>Philippines</w:t>
            </w:r>
          </w:p>
        </w:tc>
        <w:tc>
          <w:tcPr>
            <w:tcW w:type="dxa" w:w="1872"/>
          </w:tcPr>
          <w:p>
            <w:r/>
            <w:r>
              <w:rPr>
                <w:rFonts w:ascii="Times New Roman" w:hAnsi="Times New Roman"/>
                <w:sz w:val="19"/>
              </w:rPr>
              <w:t>$38.0B</w:t>
            </w:r>
          </w:p>
        </w:tc>
        <w:tc>
          <w:tcPr>
            <w:tcW w:type="dxa" w:w="1872"/>
          </w:tcPr>
          <w:p>
            <w:r/>
            <w:r>
              <w:rPr>
                <w:rFonts w:ascii="Times New Roman" w:hAnsi="Times New Roman"/>
                <w:sz w:val="19"/>
              </w:rPr>
              <w:t>$2.2B</w:t>
            </w:r>
          </w:p>
        </w:tc>
        <w:tc>
          <w:tcPr>
            <w:tcW w:type="dxa" w:w="1872"/>
          </w:tcPr>
          <w:p>
            <w:r/>
            <w:r>
              <w:rPr>
                <w:rFonts w:ascii="Times New Roman" w:hAnsi="Times New Roman"/>
                <w:sz w:val="19"/>
              </w:rPr>
              <w:t>$35.8B</w:t>
            </w:r>
          </w:p>
        </w:tc>
        <w:tc>
          <w:tcPr>
            <w:tcW w:type="dxa" w:w="1872"/>
          </w:tcPr>
          <w:p>
            <w:r/>
            <w:r>
              <w:rPr>
                <w:rFonts w:ascii="Times New Roman" w:hAnsi="Times New Roman"/>
                <w:sz w:val="19"/>
              </w:rPr>
              <w:t>17.0×</w:t>
            </w:r>
          </w:p>
        </w:tc>
      </w:tr>
      <w:tr>
        <w:tc>
          <w:tcPr>
            <w:tcW w:type="dxa" w:w="1872"/>
          </w:tcPr>
          <w:p>
            <w:r/>
            <w:r>
              <w:rPr>
                <w:rFonts w:ascii="Times New Roman" w:hAnsi="Times New Roman"/>
                <w:sz w:val="19"/>
              </w:rPr>
              <w:t>Thailand</w:t>
            </w:r>
          </w:p>
        </w:tc>
        <w:tc>
          <w:tcPr>
            <w:tcW w:type="dxa" w:w="1872"/>
          </w:tcPr>
          <w:p>
            <w:r/>
            <w:r>
              <w:rPr>
                <w:rFonts w:ascii="Times New Roman" w:hAnsi="Times New Roman"/>
                <w:sz w:val="19"/>
              </w:rPr>
              <w:t>$24.0B</w:t>
            </w:r>
          </w:p>
        </w:tc>
        <w:tc>
          <w:tcPr>
            <w:tcW w:type="dxa" w:w="1872"/>
          </w:tcPr>
          <w:p>
            <w:r/>
            <w:r>
              <w:rPr>
                <w:rFonts w:ascii="Times New Roman" w:hAnsi="Times New Roman"/>
                <w:sz w:val="19"/>
              </w:rPr>
              <w:t>$1.4B</w:t>
            </w:r>
          </w:p>
        </w:tc>
        <w:tc>
          <w:tcPr>
            <w:tcW w:type="dxa" w:w="1872"/>
          </w:tcPr>
          <w:p>
            <w:r/>
            <w:r>
              <w:rPr>
                <w:rFonts w:ascii="Times New Roman" w:hAnsi="Times New Roman"/>
                <w:sz w:val="19"/>
              </w:rPr>
              <w:t>$22.6B</w:t>
            </w:r>
          </w:p>
        </w:tc>
        <w:tc>
          <w:tcPr>
            <w:tcW w:type="dxa" w:w="1872"/>
          </w:tcPr>
          <w:p>
            <w:r/>
            <w:r>
              <w:rPr>
                <w:rFonts w:ascii="Times New Roman" w:hAnsi="Times New Roman"/>
                <w:sz w:val="19"/>
              </w:rPr>
              <w:t>17.0×</w:t>
            </w:r>
          </w:p>
        </w:tc>
      </w:tr>
      <w:tr>
        <w:tc>
          <w:tcPr>
            <w:tcW w:type="dxa" w:w="1872"/>
          </w:tcPr>
          <w:p>
            <w:r/>
            <w:r>
              <w:rPr>
                <w:rFonts w:ascii="Times New Roman" w:hAnsi="Times New Roman"/>
                <w:sz w:val="19"/>
              </w:rPr>
              <w:t>Malaysia</w:t>
            </w:r>
          </w:p>
        </w:tc>
        <w:tc>
          <w:tcPr>
            <w:tcW w:type="dxa" w:w="1872"/>
          </w:tcPr>
          <w:p>
            <w:r/>
            <w:r>
              <w:rPr>
                <w:rFonts w:ascii="Times New Roman" w:hAnsi="Times New Roman"/>
                <w:sz w:val="19"/>
              </w:rPr>
              <w:t>$16.0B</w:t>
            </w:r>
          </w:p>
        </w:tc>
        <w:tc>
          <w:tcPr>
            <w:tcW w:type="dxa" w:w="1872"/>
          </w:tcPr>
          <w:p>
            <w:r/>
            <w:r>
              <w:rPr>
                <w:rFonts w:ascii="Times New Roman" w:hAnsi="Times New Roman"/>
                <w:sz w:val="19"/>
              </w:rPr>
              <w:t>$0.9B</w:t>
            </w:r>
          </w:p>
        </w:tc>
        <w:tc>
          <w:tcPr>
            <w:tcW w:type="dxa" w:w="1872"/>
          </w:tcPr>
          <w:p>
            <w:r/>
            <w:r>
              <w:rPr>
                <w:rFonts w:ascii="Times New Roman" w:hAnsi="Times New Roman"/>
                <w:sz w:val="19"/>
              </w:rPr>
              <w:t>$15.1B</w:t>
            </w:r>
          </w:p>
        </w:tc>
        <w:tc>
          <w:tcPr>
            <w:tcW w:type="dxa" w:w="1872"/>
          </w:tcPr>
          <w:p>
            <w:r/>
            <w:r>
              <w:rPr>
                <w:rFonts w:ascii="Times New Roman" w:hAnsi="Times New Roman"/>
                <w:sz w:val="19"/>
              </w:rPr>
              <w:t>17.0×</w:t>
            </w:r>
          </w:p>
        </w:tc>
      </w:tr>
      <w:tr>
        <w:tc>
          <w:tcPr>
            <w:tcW w:type="dxa" w:w="1872"/>
            <w:tcBorders>
              <w:bottom w:val="single" w:sz="8" w:color="000000"/>
            </w:tcBorders>
          </w:tcPr>
          <w:p>
            <w:r/>
            <w:r>
              <w:rPr>
                <w:rFonts w:ascii="Times New Roman" w:hAnsi="Times New Roman"/>
                <w:sz w:val="19"/>
              </w:rPr>
              <w:t>ASEAN-5</w:t>
            </w:r>
          </w:p>
        </w:tc>
        <w:tc>
          <w:tcPr>
            <w:tcW w:type="dxa" w:w="1872"/>
            <w:tcBorders>
              <w:bottom w:val="single" w:sz="8" w:color="000000"/>
            </w:tcBorders>
          </w:tcPr>
          <w:p>
            <w:r/>
            <w:r>
              <w:rPr>
                <w:rFonts w:ascii="Times New Roman" w:hAnsi="Times New Roman"/>
                <w:sz w:val="19"/>
              </w:rPr>
              <w:t>$181B</w:t>
            </w:r>
          </w:p>
        </w:tc>
        <w:tc>
          <w:tcPr>
            <w:tcW w:type="dxa" w:w="1872"/>
            <w:tcBorders>
              <w:bottom w:val="single" w:sz="8" w:color="000000"/>
            </w:tcBorders>
          </w:tcPr>
          <w:p>
            <w:r/>
            <w:r>
              <w:rPr>
                <w:rFonts w:ascii="Times New Roman" w:hAnsi="Times New Roman"/>
                <w:sz w:val="19"/>
              </w:rPr>
              <w:t>$10.6B</w:t>
            </w:r>
          </w:p>
        </w:tc>
        <w:tc>
          <w:tcPr>
            <w:tcW w:type="dxa" w:w="1872"/>
            <w:tcBorders>
              <w:bottom w:val="single" w:sz="8" w:color="000000"/>
            </w:tcBorders>
          </w:tcPr>
          <w:p>
            <w:r/>
            <w:r>
              <w:rPr>
                <w:rFonts w:ascii="Times New Roman" w:hAnsi="Times New Roman"/>
                <w:sz w:val="19"/>
              </w:rPr>
              <w:t>$170B</w:t>
            </w:r>
          </w:p>
        </w:tc>
        <w:tc>
          <w:tcPr>
            <w:tcW w:type="dxa" w:w="1872"/>
            <w:tcBorders>
              <w:bottom w:val="single" w:sz="8" w:color="000000"/>
            </w:tcBorders>
          </w:tcPr>
          <w:p>
            <w:r/>
            <w:r>
              <w:rPr>
                <w:rFonts w:ascii="Times New Roman" w:hAnsi="Times New Roman"/>
                <w:sz w:val="19"/>
              </w:rPr>
              <w:t>17.0×</w:t>
            </w:r>
          </w:p>
        </w:tc>
      </w:tr>
    </w:tbl>
    <w:p>
      <w:pPr>
        <w:spacing w:after="80"/>
      </w:pPr>
    </w:p>
    <w:p>
      <w:pPr>
        <w:spacing w:after="160"/>
        <w:jc w:val="center"/>
      </w:pPr>
      <w:r>
        <w:rPr>
          <w:rFonts w:ascii="Times New Roman" w:hAnsi="Times New Roman"/>
          <w:b w:val="0"/>
          <w:i/>
          <w:sz w:val="19"/>
        </w:rPr>
        <w:t>Table 6. ASEAN Invisible Economy Estimates (2024), corrected.</w:t>
      </w:r>
    </w:p>
    <w:p>
      <w:pPr/>
      <w:r>
        <w:rPr>
          <w:rFonts w:ascii="Times New Roman" w:hAnsi="Times New Roman"/>
          <w:sz w:val="23"/>
        </w:rPr>
        <w:t>Four of these five country figures — Vietnam, Philippines, Thailand, and Malaysia — share the same 5.88% blended take rate measured directly from Indonesia; they are calibrated rescalings of Indonesia's ratio against each country's own GMV, not independent country-level measurements. Only Indonesia (direct measurement) and Malaysia (Section 6's natural experiment) are independently grounded in country-specific data.</w:t>
      </w:r>
    </w:p>
    <w:p>
      <w:pPr>
        <w:jc w:val="center"/>
      </w:pPr>
      <w:r>
        <w:drawing>
          <wp:inline xmlns:a="http://schemas.openxmlformats.org/drawingml/2006/main" xmlns:pic="http://schemas.openxmlformats.org/drawingml/2006/picture">
            <wp:extent cx="5303520" cy="3137294"/>
            <wp:docPr id="2" name="Picture 2"/>
            <wp:cNvGraphicFramePr>
              <a:graphicFrameLocks noChangeAspect="1"/>
            </wp:cNvGraphicFramePr>
            <a:graphic>
              <a:graphicData uri="http://schemas.openxmlformats.org/drawingml/2006/picture">
                <pic:pic>
                  <pic:nvPicPr>
                    <pic:cNvPr id="0" name="fig1_before_after.png"/>
                    <pic:cNvPicPr/>
                  </pic:nvPicPr>
                  <pic:blipFill>
                    <a:blip r:embed="rId10"/>
                    <a:stretch>
                      <a:fillRect/>
                    </a:stretch>
                  </pic:blipFill>
                  <pic:spPr>
                    <a:xfrm>
                      <a:off x="0" y="0"/>
                      <a:ext cx="5303520" cy="3137294"/>
                    </a:xfrm>
                    <a:prstGeom prst="rect"/>
                  </pic:spPr>
                </pic:pic>
              </a:graphicData>
            </a:graphic>
          </wp:inline>
        </w:drawing>
      </w:r>
    </w:p>
    <w:p>
      <w:pPr>
        <w:spacing w:after="280"/>
        <w:jc w:val="center"/>
      </w:pPr>
      <w:r>
        <w:rPr>
          <w:rFonts w:ascii="Times New Roman" w:hAnsi="Times New Roman"/>
          <w:i/>
          <w:sz w:val="19"/>
        </w:rPr>
        <w:t>Figure 2. ASEAN-5 headline figures before and after correction: dollar totals fall, the ecosystem ratio rises.</w:t>
      </w:r>
    </w:p>
    <w:p>
      <w:pPr>
        <w:spacing w:before="280" w:after="120"/>
      </w:pPr>
      <w:r>
        <w:rPr>
          <w:rFonts w:ascii="Times New Roman" w:hAnsi="Times New Roman"/>
          <w:b/>
          <w:color w:val="000000"/>
          <w:sz w:val="24"/>
        </w:rPr>
        <w:t>7.1 Cross-Validation Against Tax Collections</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color="000000"/>
              <w:bottom w:val="single" w:sz="4" w:color="000000"/>
            </w:tcBorders>
          </w:tcPr>
          <w:p>
            <w:r/>
            <w:r>
              <w:rPr>
                <w:rFonts w:ascii="Times New Roman" w:hAnsi="Times New Roman"/>
                <w:b/>
                <w:sz w:val="19"/>
              </w:rPr>
              <w:t>Country</w:t>
            </w:r>
          </w:p>
        </w:tc>
        <w:tc>
          <w:tcPr>
            <w:tcW w:type="dxa" w:w="2340"/>
            <w:tcBorders>
              <w:top w:val="single" w:sz="8" w:color="000000"/>
              <w:bottom w:val="single" w:sz="4" w:color="000000"/>
            </w:tcBorders>
          </w:tcPr>
          <w:p>
            <w:r/>
            <w:r>
              <w:rPr>
                <w:rFonts w:ascii="Times New Roman" w:hAnsi="Times New Roman"/>
                <w:b/>
                <w:sz w:val="19"/>
              </w:rPr>
              <w:t>Invisible Wedge</w:t>
            </w:r>
          </w:p>
        </w:tc>
        <w:tc>
          <w:tcPr>
            <w:tcW w:type="dxa" w:w="2340"/>
            <w:tcBorders>
              <w:top w:val="single" w:sz="8" w:color="000000"/>
              <w:bottom w:val="single" w:sz="4" w:color="000000"/>
            </w:tcBorders>
          </w:tcPr>
          <w:p>
            <w:r/>
            <w:r>
              <w:rPr>
                <w:rFonts w:ascii="Times New Roman" w:hAnsi="Times New Roman"/>
                <w:b/>
                <w:sz w:val="19"/>
              </w:rPr>
              <w:t>Tax Revenue</w:t>
            </w:r>
          </w:p>
        </w:tc>
        <w:tc>
          <w:tcPr>
            <w:tcW w:type="dxa" w:w="2340"/>
            <w:tcBorders>
              <w:top w:val="single" w:sz="8" w:color="000000"/>
              <w:bottom w:val="single" w:sz="4" w:color="000000"/>
            </w:tcBorders>
          </w:tcPr>
          <w:p>
            <w:r/>
            <w:r>
              <w:rPr>
                <w:rFonts w:ascii="Times New Roman" w:hAnsi="Times New Roman"/>
                <w:b/>
                <w:sz w:val="19"/>
              </w:rPr>
              <w:t>Effective Rate</w:t>
            </w:r>
          </w:p>
        </w:tc>
      </w:tr>
      <w:tr>
        <w:tc>
          <w:tcPr>
            <w:tcW w:type="dxa" w:w="2340"/>
          </w:tcPr>
          <w:p>
            <w:r/>
            <w:r>
              <w:rPr>
                <w:rFonts w:ascii="Times New Roman" w:hAnsi="Times New Roman"/>
                <w:sz w:val="19"/>
              </w:rPr>
              <w:t>Indonesia</w:t>
            </w:r>
          </w:p>
        </w:tc>
        <w:tc>
          <w:tcPr>
            <w:tcW w:type="dxa" w:w="2340"/>
          </w:tcPr>
          <w:p>
            <w:r/>
            <w:r>
              <w:rPr>
                <w:rFonts w:ascii="Times New Roman" w:hAnsi="Times New Roman"/>
                <w:sz w:val="19"/>
              </w:rPr>
              <w:t>$66.8B</w:t>
            </w:r>
          </w:p>
        </w:tc>
        <w:tc>
          <w:tcPr>
            <w:tcW w:type="dxa" w:w="2340"/>
          </w:tcPr>
          <w:p>
            <w:r/>
            <w:r>
              <w:rPr>
                <w:rFonts w:ascii="Times New Roman" w:hAnsi="Times New Roman"/>
                <w:sz w:val="19"/>
              </w:rPr>
              <w:t>$0.825B</w:t>
            </w:r>
          </w:p>
        </w:tc>
        <w:tc>
          <w:tcPr>
            <w:tcW w:type="dxa" w:w="2340"/>
          </w:tcPr>
          <w:p>
            <w:r/>
            <w:r>
              <w:rPr>
                <w:rFonts w:ascii="Times New Roman" w:hAnsi="Times New Roman"/>
                <w:sz w:val="19"/>
              </w:rPr>
              <w:t>1.23%</w:t>
            </w:r>
          </w:p>
        </w:tc>
      </w:tr>
      <w:tr>
        <w:tc>
          <w:tcPr>
            <w:tcW w:type="dxa" w:w="2340"/>
          </w:tcPr>
          <w:p>
            <w:r/>
            <w:r>
              <w:rPr>
                <w:rFonts w:ascii="Times New Roman" w:hAnsi="Times New Roman"/>
                <w:sz w:val="19"/>
              </w:rPr>
              <w:t>Malaysia</w:t>
            </w:r>
          </w:p>
        </w:tc>
        <w:tc>
          <w:tcPr>
            <w:tcW w:type="dxa" w:w="2340"/>
          </w:tcPr>
          <w:p>
            <w:r/>
            <w:r>
              <w:rPr>
                <w:rFonts w:ascii="Times New Roman" w:hAnsi="Times New Roman"/>
                <w:sz w:val="19"/>
              </w:rPr>
              <w:t>$15.1B</w:t>
            </w:r>
          </w:p>
        </w:tc>
        <w:tc>
          <w:tcPr>
            <w:tcW w:type="dxa" w:w="2340"/>
          </w:tcPr>
          <w:p>
            <w:r/>
            <w:r>
              <w:rPr>
                <w:rFonts w:ascii="Times New Roman" w:hAnsi="Times New Roman"/>
                <w:sz w:val="19"/>
              </w:rPr>
              <w:t>$0.503B</w:t>
            </w:r>
          </w:p>
        </w:tc>
        <w:tc>
          <w:tcPr>
            <w:tcW w:type="dxa" w:w="2340"/>
          </w:tcPr>
          <w:p>
            <w:r/>
            <w:r>
              <w:rPr>
                <w:rFonts w:ascii="Times New Roman" w:hAnsi="Times New Roman"/>
                <w:sz w:val="19"/>
              </w:rPr>
              <w:t>3.34%</w:t>
            </w:r>
          </w:p>
        </w:tc>
      </w:tr>
      <w:tr>
        <w:tc>
          <w:tcPr>
            <w:tcW w:type="dxa" w:w="2340"/>
            <w:tcBorders>
              <w:bottom w:val="single" w:sz="8" w:color="000000"/>
            </w:tcBorders>
          </w:tcPr>
          <w:p>
            <w:r/>
            <w:r>
              <w:rPr>
                <w:rFonts w:ascii="Times New Roman" w:hAnsi="Times New Roman"/>
                <w:sz w:val="19"/>
              </w:rPr>
              <w:t>Vietnam</w:t>
            </w:r>
          </w:p>
        </w:tc>
        <w:tc>
          <w:tcPr>
            <w:tcW w:type="dxa" w:w="2340"/>
            <w:tcBorders>
              <w:bottom w:val="single" w:sz="8" w:color="000000"/>
            </w:tcBorders>
          </w:tcPr>
          <w:p>
            <w:r/>
            <w:r>
              <w:rPr>
                <w:rFonts w:ascii="Times New Roman" w:hAnsi="Times New Roman"/>
                <w:sz w:val="19"/>
              </w:rPr>
              <w:t>$30.1B</w:t>
            </w:r>
          </w:p>
        </w:tc>
        <w:tc>
          <w:tcPr>
            <w:tcW w:type="dxa" w:w="2340"/>
            <w:tcBorders>
              <w:bottom w:val="single" w:sz="8" w:color="000000"/>
            </w:tcBorders>
          </w:tcPr>
          <w:p>
            <w:r/>
            <w:r>
              <w:rPr>
                <w:rFonts w:ascii="Times New Roman" w:hAnsi="Times New Roman"/>
                <w:sz w:val="19"/>
              </w:rPr>
              <w:t>$0.376B</w:t>
            </w:r>
          </w:p>
        </w:tc>
        <w:tc>
          <w:tcPr>
            <w:tcW w:type="dxa" w:w="2340"/>
            <w:tcBorders>
              <w:bottom w:val="single" w:sz="8" w:color="000000"/>
            </w:tcBorders>
          </w:tcPr>
          <w:p>
            <w:r/>
            <w:r>
              <w:rPr>
                <w:rFonts w:ascii="Times New Roman" w:hAnsi="Times New Roman"/>
                <w:sz w:val="19"/>
              </w:rPr>
              <w:t>1.25%</w:t>
            </w:r>
          </w:p>
        </w:tc>
      </w:tr>
    </w:tbl>
    <w:p>
      <w:pPr>
        <w:spacing w:after="80"/>
      </w:pPr>
    </w:p>
    <w:p>
      <w:pPr>
        <w:spacing w:after="160"/>
        <w:jc w:val="center"/>
      </w:pPr>
      <w:r>
        <w:rPr>
          <w:rFonts w:ascii="Times New Roman" w:hAnsi="Times New Roman"/>
          <w:b w:val="0"/>
          <w:i/>
          <w:sz w:val="19"/>
        </w:rPr>
        <w:t>Table 7. Effective tax rates, corrected. Effective rates of 1.2–3.3% remain consistent with narrow tax bases (platform revenue only) and partial compliance.</w:t>
      </w:r>
    </w:p>
    <w:p>
      <w:pPr>
        <w:spacing w:before="280" w:after="120"/>
      </w:pPr>
      <w:r>
        <w:rPr>
          <w:rFonts w:ascii="Times New Roman" w:hAnsi="Times New Roman"/>
          <w:b/>
          <w:color w:val="000000"/>
          <w:sz w:val="28"/>
        </w:rPr>
        <w:t>8. Discussion: Scope, Limitations, and Alternative Interpretations</w:t>
      </w:r>
    </w:p>
    <w:p>
      <w:pPr>
        <w:spacing w:before="280" w:after="120"/>
      </w:pPr>
      <w:r>
        <w:rPr>
          <w:rFonts w:ascii="Times New Roman" w:hAnsi="Times New Roman"/>
          <w:b/>
          <w:color w:val="000000"/>
          <w:sz w:val="24"/>
        </w:rPr>
        <w:t>8.1 What Changed and What Didn't</w:t>
      </w:r>
    </w:p>
    <w:p>
      <w:pPr>
        <w:spacing w:after="160"/>
      </w:pPr>
      <w:r>
        <w:rPr>
          <w:rFonts w:ascii="Times New Roman" w:hAnsi="Times New Roman"/>
          <w:b w:val="0"/>
          <w:i w:val="0"/>
          <w:sz w:val="23"/>
        </w:rPr>
        <w:t>The correction affects the absolute dollar magnitude of the Indonesia and ASEAN-5 estimates (down 19–25% depending on the metric) but strengthens the ecosystem ratio (17.0× vs. the original 12.3–12.5×), because the sourcing error affected reported revenue more than reported GTV. The GoTo fiscal-decoupling result, the Malaysia natural experiment, and the qualitative argument of the paper are unaffected.</w:t>
      </w:r>
    </w:p>
    <w:p>
      <w:pPr>
        <w:spacing w:before="280" w:after="120"/>
      </w:pPr>
      <w:r>
        <w:rPr>
          <w:rFonts w:ascii="Times New Roman" w:hAnsi="Times New Roman"/>
          <w:b/>
          <w:color w:val="000000"/>
          <w:sz w:val="24"/>
        </w:rPr>
        <w:t>8.2 GTV vs. Value-Added</w:t>
      </w:r>
    </w:p>
    <w:p>
      <w:pPr>
        <w:spacing w:after="160"/>
      </w:pPr>
      <w:r>
        <w:rPr>
          <w:rFonts w:ascii="Times New Roman" w:hAnsi="Times New Roman"/>
          <w:b w:val="0"/>
          <w:i w:val="0"/>
          <w:sz w:val="23"/>
        </w:rPr>
        <w:t>Unchanged from the original draft: the invisible wedge is gross income flowing to platform participants, not value-added. What fraction represents “true” value-added is an open empirical question — likely 40–60% — but even the conservative estimate implies $27–40 billion in untaxed value creation for Indonesia alone under the corrected figures.</w:t>
      </w:r>
    </w:p>
    <w:p>
      <w:pPr>
        <w:spacing w:before="280" w:after="120"/>
      </w:pPr>
      <w:r>
        <w:rPr>
          <w:rFonts w:ascii="Times New Roman" w:hAnsi="Times New Roman"/>
          <w:b/>
          <w:color w:val="000000"/>
          <w:sz w:val="24"/>
        </w:rPr>
        <w:t>8.3 The Creator Economy Gap</w:t>
      </w:r>
    </w:p>
    <w:p>
      <w:pPr>
        <w:spacing w:after="160"/>
      </w:pPr>
      <w:r>
        <w:rPr>
          <w:rFonts w:ascii="Times New Roman" w:hAnsi="Times New Roman"/>
          <w:b w:val="0"/>
          <w:i w:val="0"/>
          <w:sz w:val="23"/>
        </w:rPr>
        <w:t>Unchanged: this paper's estimates capture only transaction platforms, missing the creator economy (estimated separately at $15–25 billion for ASEAN).</w:t>
      </w:r>
    </w:p>
    <w:p>
      <w:pPr>
        <w:spacing w:before="280" w:after="120"/>
      </w:pPr>
      <w:r>
        <w:rPr>
          <w:rFonts w:ascii="Times New Roman" w:hAnsi="Times New Roman"/>
          <w:b/>
          <w:color w:val="000000"/>
          <w:sz w:val="28"/>
        </w:rPr>
        <w:t>9. Policy Implications: A Bifurcated Framework</w:t>
      </w:r>
    </w:p>
    <w:p>
      <w:pPr>
        <w:spacing w:after="160"/>
      </w:pPr>
      <w:r>
        <w:rPr>
          <w:rFonts w:ascii="Times New Roman" w:hAnsi="Times New Roman"/>
          <w:b w:val="0"/>
          <w:i w:val="0"/>
          <w:sz w:val="23"/>
        </w:rPr>
        <w:t>The corrected 17.0× ecosystem ratio means current digital taxes capture less than 6% of platform-mediated income — an even narrower share than the original draft's 8% estimate. Malaysia's experiment shows governments can bring invisible activity into the tax base through targeted policy expansion, at a rate now independently reproducible from archived data (Section 6). Zero-rated formalization for gig workers and algorithmic withholding for high-income creators remain unchanged from the original draft.</w:t>
      </w:r>
    </w:p>
    <w:p>
      <w:pPr>
        <w:spacing w:before="280" w:after="120"/>
      </w:pPr>
      <w:r>
        <w:rPr>
          <w:rFonts w:ascii="Times New Roman" w:hAnsi="Times New Roman"/>
          <w:b/>
          <w:color w:val="000000"/>
          <w:sz w:val="28"/>
        </w:rPr>
        <w:t>10. Conclusion</w:t>
      </w:r>
    </w:p>
    <w:p>
      <w:pPr>
        <w:spacing w:after="160"/>
      </w:pPr>
      <w:r>
        <w:rPr>
          <w:rFonts w:ascii="Times New Roman" w:hAnsi="Times New Roman"/>
          <w:b w:val="0"/>
          <w:i w:val="0"/>
          <w:sz w:val="23"/>
        </w:rPr>
        <w:t>This study documents a $170 billion invisible economy across ASEAN — income flowing to platform participants that escapes tax administration despite being digitally intermediated. Using a combination of directly disclosed filings, Indonesia-native reporting, and one independently sourced third-party market-share estimate — each explicitly labeled by provenance — I find that roughly 94% of platform-mediated transaction value flows to ecosystem participants rather than platforms, an ecosystem ratio of 17.0×.</w:t>
      </w:r>
    </w:p>
    <w:p>
      <w:pPr>
        <w:spacing w:after="160"/>
      </w:pPr>
      <w:r>
        <w:rPr>
          <w:rFonts w:ascii="Times New Roman" w:hAnsi="Times New Roman"/>
          <w:b w:val="0"/>
          <w:i w:val="0"/>
          <w:sz w:val="23"/>
        </w:rPr>
        <w:t>I validate estimates through Malaysia's natural experiment ($124 million captured through base expansion, reconstructed transparently from archived annual data, p &lt; .001) and cross-validation against three countries' tax collections. GoTo's time series confirms fiscal decoupling is structural and accelerating, unaffected by the correction described in Section 4.</w:t>
      </w:r>
    </w:p>
    <w:p>
      <w:pPr>
        <w:spacing w:after="160"/>
      </w:pPr>
      <w:r>
        <w:rPr>
          <w:rFonts w:ascii="Times New Roman" w:hAnsi="Times New Roman"/>
          <w:b w:val="0"/>
          <w:i w:val="0"/>
          <w:sz w:val="23"/>
        </w:rPr>
        <w:t>This draft corrects a sourcing error in the original Indonesia platform table, in which two of three cited SEC figures did not reconcile with the actual filings. The correction is documented in full, propagated through every dependent figure, and results in a lower absolute dollar estimate but a stronger central finding.</w:t>
      </w:r>
    </w:p>
    <w:p>
      <w:r>
        <w:br w:type="page"/>
      </w:r>
    </w:p>
    <w:p>
      <w:pPr>
        <w:spacing w:before="280" w:after="120"/>
      </w:pPr>
      <w:r>
        <w:rPr>
          <w:rFonts w:ascii="Times New Roman" w:hAnsi="Times New Roman"/>
          <w:b/>
          <w:color w:val="000000"/>
          <w:sz w:val="26"/>
        </w:rPr>
        <w:t>References</w:t>
      </w:r>
    </w:p>
    <w:p>
      <w:pPr>
        <w:spacing w:after="200"/>
        <w:ind w:left="720" w:hanging="720"/>
      </w:pPr>
      <w:r>
        <w:rPr>
          <w:rFonts w:ascii="Times New Roman" w:hAnsi="Times New Roman"/>
          <w:sz w:val="21"/>
        </w:rPr>
        <w:t>Armstrong, M. (2006). Competition in two-sided markets. Journal of Monetary Economics, 37(3), 668–691.</w:t>
      </w:r>
    </w:p>
    <w:p>
      <w:pPr>
        <w:spacing w:after="200"/>
        <w:ind w:left="720" w:hanging="720"/>
      </w:pPr>
      <w:r>
        <w:rPr>
          <w:rFonts w:ascii="Times New Roman" w:hAnsi="Times New Roman"/>
          <w:sz w:val="21"/>
        </w:rPr>
        <w:t>Evans, D. S., &amp; Schmalensee, R. (2016). Matchmakers: The New Economics of Multisided Platforms. Harvard Business Review Press.</w:t>
      </w:r>
    </w:p>
    <w:p>
      <w:pPr>
        <w:spacing w:after="200"/>
        <w:ind w:left="720" w:hanging="720"/>
      </w:pPr>
      <w:r>
        <w:rPr>
          <w:rFonts w:ascii="Times New Roman" w:hAnsi="Times New Roman"/>
          <w:sz w:val="21"/>
        </w:rPr>
        <w:t>Google, Temasek, &amp; Bain &amp; Company. (2024). e-Conomy SEA 2024: Profits on the Rise, Harnessing SEA's Advantage.</w:t>
      </w:r>
    </w:p>
    <w:p>
      <w:pPr>
        <w:spacing w:after="200"/>
        <w:ind w:left="720" w:hanging="720"/>
      </w:pPr>
      <w:r>
        <w:rPr>
          <w:rFonts w:ascii="Times New Roman" w:hAnsi="Times New Roman"/>
          <w:sz w:val="21"/>
        </w:rPr>
        <w:t>Grab Holdings Limited. (2024). Form 20-F, fiscal year 2023. U.S. Securities and Exchange Commission.</w:t>
      </w:r>
    </w:p>
    <w:p>
      <w:pPr>
        <w:spacing w:after="200"/>
        <w:ind w:left="720" w:hanging="720"/>
      </w:pPr>
      <w:r>
        <w:rPr>
          <w:rFonts w:ascii="Times New Roman" w:hAnsi="Times New Roman"/>
          <w:sz w:val="21"/>
        </w:rPr>
        <w:t>Grab Holdings Limited. (2025). Form 20-F, fiscal year 2024. U.S. Securities and Exchange Commission.</w:t>
      </w:r>
    </w:p>
    <w:p>
      <w:pPr>
        <w:spacing w:after="200"/>
        <w:ind w:left="720" w:hanging="720"/>
      </w:pPr>
      <w:r>
        <w:rPr>
          <w:rFonts w:ascii="Times New Roman" w:hAnsi="Times New Roman"/>
          <w:sz w:val="21"/>
        </w:rPr>
        <w:t>International Labour Organization. (2023). Resolution concerning statistics on the informal economy. 21st International Conference of Labour Statisticians.</w:t>
      </w:r>
    </w:p>
    <w:p>
      <w:pPr>
        <w:spacing w:after="200"/>
        <w:ind w:left="720" w:hanging="720"/>
      </w:pPr>
      <w:r>
        <w:rPr>
          <w:rFonts w:ascii="Times New Roman" w:hAnsi="Times New Roman"/>
          <w:sz w:val="21"/>
        </w:rPr>
        <w:t>Medina, L., &amp; Schneider, F. (2019). Shedding light on the shadow economy: A global database. CESifo Working Paper No. 7981.</w:t>
      </w:r>
    </w:p>
    <w:p>
      <w:pPr>
        <w:spacing w:after="200"/>
        <w:ind w:left="720" w:hanging="720"/>
      </w:pPr>
      <w:r>
        <w:rPr>
          <w:rFonts w:ascii="Times New Roman" w:hAnsi="Times New Roman"/>
          <w:sz w:val="21"/>
        </w:rPr>
        <w:t>Ministry of Finance (Malaysia). (2023, December 18). Sales Tax on Imported Low-Value Goods Sold Online (press release).</w:t>
      </w:r>
    </w:p>
    <w:p>
      <w:pPr>
        <w:spacing w:after="200"/>
        <w:ind w:left="720" w:hanging="720"/>
      </w:pPr>
      <w:r>
        <w:rPr>
          <w:rFonts w:ascii="Times New Roman" w:hAnsi="Times New Roman"/>
          <w:sz w:val="21"/>
        </w:rPr>
        <w:t>Momentum Works. (2024). Ecommerce in Southeast Asia 2023.</w:t>
      </w:r>
    </w:p>
    <w:p>
      <w:pPr>
        <w:spacing w:after="200"/>
        <w:ind w:left="720" w:hanging="720"/>
      </w:pPr>
      <w:r>
        <w:rPr>
          <w:rFonts w:ascii="Times New Roman" w:hAnsi="Times New Roman"/>
          <w:sz w:val="21"/>
        </w:rPr>
        <w:t>OECD. (2020). Tax Challenges Arising from Digitalisation — Pillar One Blueprint. OECD/G20 BEPS Project.</w:t>
      </w:r>
    </w:p>
    <w:p>
      <w:pPr>
        <w:spacing w:after="200"/>
        <w:ind w:left="720" w:hanging="720"/>
      </w:pPr>
      <w:r>
        <w:rPr>
          <w:rFonts w:ascii="Times New Roman" w:hAnsi="Times New Roman"/>
          <w:sz w:val="21"/>
        </w:rPr>
        <w:t>Rochet, J.-C., &amp; Tirole, J. (2003). Platform competition in two-sided markets. Journal of the European Economic Association, 1(4), 990–1029.</w:t>
      </w:r>
    </w:p>
    <w:p>
      <w:pPr>
        <w:spacing w:after="200"/>
        <w:ind w:left="720" w:hanging="720"/>
      </w:pPr>
      <w:r>
        <w:rPr>
          <w:rFonts w:ascii="Times New Roman" w:hAnsi="Times New Roman"/>
          <w:sz w:val="21"/>
        </w:rPr>
        <w:t>Royal Malaysian Customs Department. (2023). Guidelines for the Implementation of Sales Tax on Low Value Goods (LVG).</w:t>
      </w:r>
    </w:p>
    <w:p>
      <w:pPr>
        <w:spacing w:after="200"/>
        <w:ind w:left="720" w:hanging="720"/>
      </w:pPr>
      <w:r>
        <w:rPr>
          <w:rFonts w:ascii="Times New Roman" w:hAnsi="Times New Roman"/>
          <w:sz w:val="21"/>
        </w:rPr>
        <w:t>Sea Limited. (2024). Form 20-F, fiscal year 2023. U.S. Securities and Exchange Commission.</w:t>
      </w:r>
    </w:p>
    <w:p>
      <w:pPr>
        <w:spacing w:after="200"/>
        <w:ind w:left="720" w:hanging="720"/>
      </w:pPr>
      <w:r>
        <w:rPr>
          <w:rFonts w:ascii="Times New Roman" w:hAnsi="Times New Roman"/>
          <w:sz w:val="21"/>
        </w:rPr>
        <w:t>Vietnam Plus. (2024, January 3). Online sales tax collection over 22 million USD in 2023.</w:t>
      </w:r>
    </w:p>
    <w:p>
      <w:pPr>
        <w:spacing w:after="160"/>
      </w:pPr>
      <w:r>
        <w:rPr>
          <w:rFonts w:ascii="Times New Roman" w:hAnsi="Times New Roman"/>
          <w:b w:val="0"/>
          <w:i/>
          <w:sz w:val="19"/>
        </w:rPr>
        <w:t>Data and reproduction code available upon request. All SEC filing figures cited in this draft were pulled directly from data.sec.gov during the correction process (CIK 1855612 for Grab Holdings, CIK 1703399 for Sea Limited) and can be independently re-verified against the same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