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rFonts w:ascii="Times New Roman" w:hAnsi="Times New Roman"/>
          <w:b/>
          <w:sz w:val="32"/>
        </w:rPr>
        <w:t>The Invisible Ledger: Quantifying ASEAN's $170 Billion</w:t>
        <w:br/>
        <w:t>Unmeasured Platform Economy</w:t>
      </w:r>
    </w:p>
    <w:p>
      <w:pPr>
        <w:spacing w:after="60"/>
        <w:jc w:val="center"/>
      </w:pPr>
      <w:r>
        <w:rPr>
          <w:rFonts w:ascii="Times New Roman" w:hAnsi="Times New Roman"/>
          <w:b/>
          <w:sz w:val="25"/>
        </w:rPr>
        <w:t>Christopher Ongko (王新福)</w:t>
      </w:r>
    </w:p>
    <w:p>
      <w:pPr>
        <w:spacing w:after="60"/>
        <w:jc w:val="center"/>
      </w:pPr>
      <w:r>
        <w:rPr>
          <w:rFonts w:ascii="Times New Roman" w:hAnsi="Times New Roman"/>
          <w:b w:val="0"/>
          <w:sz w:val="21"/>
        </w:rPr>
        <w:t>Department of Finance, College of Management, Yuan Ze University, Taiwan</w:t>
      </w:r>
    </w:p>
    <w:p>
      <w:pPr>
        <w:spacing w:after="60"/>
        <w:jc w:val="center"/>
      </w:pPr>
      <w:r>
        <w:rPr>
          <w:rFonts w:ascii="Times New Roman" w:hAnsi="Times New Roman"/>
          <w:b w:val="0"/>
          <w:sz w:val="21"/>
        </w:rPr>
        <w:t>s1133958@mail.yzu.edu.tw · ORCID: 0009-0007-9339-9098</w:t>
      </w:r>
    </w:p>
    <w:p>
      <w:pPr>
        <w:spacing w:after="60"/>
        <w:jc w:val="center"/>
      </w:pPr>
      <w:r>
        <w:rPr>
          <w:rFonts w:ascii="Times New Roman" w:hAnsi="Times New Roman"/>
          <w:b w:val="0"/>
          <w:sz w:val="21"/>
        </w:rPr>
        <w:t>Third corrected draft · July 2026</w:t>
      </w:r>
    </w:p>
    <w:p>
      <w:pPr>
        <w:spacing w:after="120"/>
      </w:pPr>
    </w:p>
    <w:p>
      <w:pPr>
        <w:spacing w:after="140"/>
      </w:pPr>
      <w:r>
        <w:rPr>
          <w:rFonts w:ascii="Times New Roman" w:hAnsi="Times New Roman"/>
          <w:b w:val="0"/>
          <w:i/>
          <w:sz w:val="20"/>
        </w:rPr>
        <w:t>A companion paper, “Digital Services Taxation Without Tax Competition,” analyzes cross-country variation in digital tax policy design and implementation; the causal identification strategy is shared across both papers.</w:t>
      </w:r>
    </w:p>
    <w:p>
      <w:pPr>
        <w:spacing w:before="280" w:after="120"/>
      </w:pPr>
      <w:r>
        <w:rPr>
          <w:rFonts w:ascii="Times New Roman" w:hAnsi="Times New Roman"/>
          <w:b/>
          <w:sz w:val="25"/>
        </w:rPr>
        <w:t>Abstract</w:t>
      </w:r>
    </w:p>
    <w:p>
      <w:pPr>
        <w:spacing w:after="140"/>
      </w:pPr>
      <w:r>
        <w:rPr>
          <w:rFonts w:ascii="Times New Roman" w:hAnsi="Times New Roman"/>
          <w:b w:val="0"/>
          <w:i w:val="0"/>
          <w:sz w:val="22"/>
        </w:rPr>
        <w:t>This paper quantifies what I term the “invisible economy” across ASEAN's five major digital markets — income flowing to platform participants (drivers, merchants, sellers) that escapes tax administration despite being digitally intermediated. Drawing on audited financial filings from Indonesia's three dominant platforms (Grab, GoTo, Sea Limited/Shopee), I document a $66.8 billion invisible wedge for Indonesia; the ASEAN-5 total is $170 billion. For every dollar of platform revenue that tax authorities can audit, approximately $16 flows to decentralized participants outside administrative reach — an ecosystem ratio of 15.9× for Indonesia and 16.1× for the ASEAN-5.</w:t>
      </w:r>
    </w:p>
    <w:p>
      <w:pPr>
        <w:spacing w:after="140"/>
      </w:pPr>
      <w:r>
        <w:rPr>
          <w:rFonts w:ascii="Times New Roman" w:hAnsi="Times New Roman"/>
          <w:b w:val="0"/>
          <w:i w:val="0"/>
          <w:sz w:val="22"/>
        </w:rPr>
        <w:t>Two of the three Indonesia platform figures are directly disclosed in SEC filings (Grab's country-level revenue; GoTo's Indonesia-native reporting); the third (Shopee's Indonesia-specific GMV, which Sea Limited discloses only at the regional Southeast Asia level) is estimated from an independent third-party market-share source (Momentum Works, 2024) rather than implied to be a direct filing citation. This correction is documented in Section 4.</w:t>
      </w:r>
    </w:p>
    <w:p>
      <w:pPr>
        <w:spacing w:after="140"/>
      </w:pPr>
      <w:r>
        <w:rPr>
          <w:rFonts w:ascii="Times New Roman" w:hAnsi="Times New Roman"/>
          <w:b w:val="0"/>
          <w:i w:val="0"/>
          <w:sz w:val="22"/>
        </w:rPr>
        <w:t>To assess these estimates, I exploit Malaysia's January 2024 tax base expansion. The expansion's own reported collections total $114 million in its first year. A difference-in-differences comparison against Vietnam, computed directly from official annual totals, gives $152 million; recomputed at true period-average exchange rates rather than the near-current rates implicit in the source totals, the same comparison gives $149 million, indicating the estimate is not sensitive to currency conversion convention. Both readings of the direct comparison are reported, with the gap between them treated as the honest range rather than resolved to a single figure; no significance test is claimed, because the annual panel contains four observations. Cross-validation against three countries' digital tax collections yields effective rates of 1.2–3.3%, consistent with the estimates. Time series analysis points to fiscal decoupling that appears structural rather than cyclical — the invisible share of GoTo's Indonesia business increased from 95.7% to 97.6% between 2020 and 2023.</w:t>
      </w:r>
    </w:p>
    <w:p>
      <w:pPr>
        <w:spacing w:after="140"/>
      </w:pPr>
      <w:r>
        <w:rPr>
          <w:rFonts w:ascii="Times New Roman" w:hAnsi="Times New Roman"/>
          <w:b w:val="0"/>
          <w:i w:val="0"/>
          <w:sz w:val="22"/>
        </w:rPr>
        <w:t>Based on these findings, I propose a bifurcated policy framework: zero-rated formalization for subsistence gig workers (enabling credit access without immediate taxation) and algorithmic withholding for high-income creators (capturing economic rents at source).</w:t>
      </w:r>
    </w:p>
    <w:p>
      <w:pPr>
        <w:spacing w:after="140"/>
      </w:pPr>
      <w:r>
        <w:rPr>
          <w:rFonts w:ascii="Times New Roman" w:hAnsi="Times New Roman"/>
          <w:b w:val="0"/>
          <w:i/>
          <w:sz w:val="19"/>
        </w:rPr>
        <w:t>Keywords: Digital Economy, Platform Economy, Fiscal Policy, Informal Sector, ASEAN, Tax Policy, Domestic Resource Mobilization</w:t>
      </w:r>
    </w:p>
    <w:p>
      <w:pPr>
        <w:spacing w:after="140"/>
      </w:pPr>
      <w:r>
        <w:rPr>
          <w:rFonts w:ascii="Times New Roman" w:hAnsi="Times New Roman"/>
          <w:b w:val="0"/>
          <w:i/>
          <w:sz w:val="19"/>
        </w:rPr>
        <w:t>JEL Codes: H25, O17, O33, F23</w:t>
      </w:r>
    </w:p>
    <w:p>
      <w:pPr>
        <w:spacing w:before="280" w:after="120"/>
      </w:pPr>
      <w:r>
        <w:rPr>
          <w:rFonts w:ascii="Times New Roman" w:hAnsi="Times New Roman"/>
          <w:b/>
          <w:sz w:val="27"/>
        </w:rPr>
        <w:t>1. Introduction</w:t>
      </w:r>
    </w:p>
    <w:p>
      <w:pPr>
        <w:spacing w:after="140"/>
      </w:pPr>
      <w:r>
        <w:rPr>
          <w:rFonts w:ascii="Times New Roman" w:hAnsi="Times New Roman"/>
          <w:b w:val="0"/>
          <w:i w:val="0"/>
          <w:sz w:val="22"/>
        </w:rPr>
        <w:t>Southeast Asia's platform economy has grown from $98 billion in 2020 to $263 billion in 2024 (Google, Temasek, &amp; Bain, 2024). Yet the vast majority of this activity — income flowing to drivers, merchants, and content creators through platforms like Grab, GoTo, and Shopee — remains outside the reach of tax administrators. This paper documents a $170 billion “invisible wedge”: platform-mediated income that escapes taxation not because it is illegal or hidden, but because existing tax frameworks were designed for formal employment and registered businesses, not for millions of informal platform participants.</w:t>
      </w:r>
    </w:p>
    <w:p>
      <w:pPr>
        <w:spacing w:after="140"/>
      </w:pPr>
      <w:r>
        <w:rPr>
          <w:rFonts w:ascii="Times New Roman" w:hAnsi="Times New Roman"/>
          <w:b w:val="0"/>
          <w:i w:val="0"/>
          <w:sz w:val="22"/>
        </w:rPr>
        <w:t>The gap is large and it is structural: for every dollar of platform revenue that tax authorities can audit, roughly $16 flows to decentralized agents outside administrative systems. That figure is not uniform across platforms — it ranges from 7.9× at Grab to 40.0× at GoTo, for reasons traced to reporting convention in Section 4.2 — and the regional figure is a calibrated extrapolation rather than five independent measurements. What is consistent is the order of magnitude, and that is what carries the argument.</w:t>
      </w:r>
    </w:p>
    <w:p>
      <w:pPr>
        <w:spacing w:after="140"/>
      </w:pPr>
      <w:r>
        <w:rPr>
          <w:rFonts w:ascii="Times New Roman" w:hAnsi="Times New Roman"/>
          <w:b w:val="0"/>
          <w:i w:val="0"/>
          <w:sz w:val="22"/>
        </w:rPr>
        <w:t>Consider a driver working with Gojek in Jakarta who earns Rp 2 million daily ($130 USD). The driver retains approximately Rp 1.6 million (80%), while the platform collects Rp 400,000 (20%) as commission. Tax authorities can audit the platform commission — it appears in corporate accounts and flows through formal payment systems. However, the driver's income remains administratively invisible. Multiply this pattern across millions of drivers, hundreds of thousands of merchants, and tens of thousands of content creators, and a massive parallel economy emerges that tax administrators cannot effectively reach.</w:t>
      </w:r>
    </w:p>
    <w:p>
      <w:pPr>
        <w:spacing w:before="200" w:after="80"/>
      </w:pPr>
      <w:r>
        <w:rPr>
          <w:rFonts w:ascii="Times New Roman" w:hAnsi="Times New Roman"/>
          <w:b/>
          <w:sz w:val="23"/>
        </w:rPr>
        <w:t>1.1 Contributions</w:t>
      </w:r>
    </w:p>
    <w:p>
      <w:pPr>
        <w:spacing w:after="140"/>
      </w:pPr>
      <w:r>
        <w:rPr>
          <w:rFonts w:ascii="Times New Roman" w:hAnsi="Times New Roman"/>
          <w:b w:val="0"/>
          <w:i w:val="0"/>
          <w:sz w:val="22"/>
        </w:rPr>
        <w:t>First, I provide a regional estimate of administratively invisible platform income using a two-tier methodology: direct measurement via audited financials for Indonesia's three dominant platforms, and calibrated inference for Malaysia, Vietnam, Philippines, and Thailand. I find that ASEAN's invisible platform economy totals $170 billion.</w:t>
      </w:r>
    </w:p>
    <w:p>
      <w:pPr>
        <w:spacing w:after="140"/>
      </w:pPr>
      <w:r>
        <w:rPr>
          <w:rFonts w:ascii="Times New Roman" w:hAnsi="Times New Roman"/>
          <w:b w:val="0"/>
          <w:i w:val="0"/>
          <w:sz w:val="22"/>
        </w:rPr>
        <w:t>Second, I assess that estimate against Malaysia's January 2024 policy change, reporting both the expansion's own collections and a difference-in-differences comparison with Vietnam, and stating the range between them rather than a single point estimate.</w:t>
      </w:r>
    </w:p>
    <w:p>
      <w:pPr>
        <w:spacing w:after="140"/>
      </w:pPr>
      <w:r>
        <w:rPr>
          <w:rFonts w:ascii="Times New Roman" w:hAnsi="Times New Roman"/>
          <w:b w:val="0"/>
          <w:i w:val="0"/>
          <w:sz w:val="22"/>
        </w:rPr>
        <w:t>Third, I document that fiscal decoupling is structural rather than temporary, using GoTo's Indonesia-native, directly reported financials — the part of the analysis least dependent on estimation.</w:t>
      </w:r>
    </w:p>
    <w:p>
      <w:pPr>
        <w:spacing w:before="200" w:after="80"/>
      </w:pPr>
      <w:r>
        <w:rPr>
          <w:rFonts w:ascii="Times New Roman" w:hAnsi="Times New Roman"/>
          <w:b/>
          <w:sz w:val="23"/>
        </w:rPr>
        <w:t>1.2 A Note on This Draft</w:t>
      </w:r>
    </w:p>
    <w:p>
      <w:pPr>
        <w:spacing w:after="140"/>
      </w:pPr>
      <w:r>
        <w:rPr>
          <w:rFonts w:ascii="Times New Roman" w:hAnsi="Times New Roman"/>
          <w:b w:val="0"/>
          <w:i w:val="0"/>
          <w:sz w:val="22"/>
        </w:rPr>
        <w:t>This is the third corrected draft. The first correction, documented in Section 4, addressed a sourcing error: an earlier version cited two of three Indonesia platform figures to SEC filings that do not contain those figures at the country level. Grab's Indonesia revenue is $605 million as directly disclosed in its 20-F, not the $1.2 billion previously reported; Sea Limited's 20-F does not disclose an Indonesia-specific figure for Shopee at all, only a combined Southeast Asia total.</w:t>
      </w:r>
    </w:p>
    <w:p>
      <w:pPr>
        <w:spacing w:after="140"/>
      </w:pPr>
      <w:r>
        <w:rPr>
          <w:rFonts w:ascii="Times New Roman" w:hAnsi="Times New Roman"/>
          <w:b w:val="0"/>
          <w:i w:val="0"/>
          <w:sz w:val="22"/>
        </w:rPr>
        <w:t>A second round corrected two further items. First, the ecosystem ratio was reported throughout as GTV ÷ Revenue while being defined as (GTV − Revenue) ÷ Revenue. The underlying data files compute it correctly under the stated definition; the error was introduced in the paper's tables. Every ratio is accordingly reduced by exactly one. The Indonesia figure moves from 16.9× to 15.9×, and the ASEAN-5 figure from 17.1× to 16.1×; both were previously rounded to 17.0× in the earlier draft, which obscured that they were never identical. Dollar magnitudes are unaffected, since the wedge itself was always computed as GTV − Revenue. Second, the Malaysia difference-in-differences estimate was previously derived from a quarterly panel reconstructed by linear interpolation between annual totals, and reported with a standard error and a p-value below .001. Interpolation of this kind manufactures precision: the underlying data contains four annual observations across two countries, which supports a point estimate but not an inference claim. Section 6 reported the annual difference directly, alongside the policy's own reported collections, and made no significance claim.</w:t>
      </w:r>
    </w:p>
    <w:p>
      <w:pPr>
        <w:spacing w:after="140"/>
      </w:pPr>
      <w:r>
        <w:rPr>
          <w:rFonts w:ascii="Times New Roman" w:hAnsi="Times New Roman"/>
          <w:b w:val="0"/>
          <w:i w:val="0"/>
          <w:sz w:val="22"/>
        </w:rPr>
        <w:t>This draft corrects two further items, both concerning provenance rather than arithmetic. First, the introduction's opening figure for Southeast Asia's 2024 platform-economy size was previously reported as $200 billion; the actual figure in the cited report (Google, Temasek, &amp; Bain, 2024) is $263 billion. The correct figure is used throughout this draft; no other computation in the paper depends on it, since the $170 billion wedge and the ASEAN-5 totals in Section 7 are built independently from platform-level and country-level data, not derived from the regional headline. Second, Figure 2's “original draft” bars previously showed $225 billion and 12.4×, values that do not match the actual original draft posted to SSRN ($192 billion and 12.3×) and that appeared nowhere else in the paper's text. Figure 2 is corrected below to show the true original-draft figures.</w:t>
      </w:r>
    </w:p>
    <w:p>
      <w:pPr>
        <w:spacing w:before="200" w:after="80"/>
      </w:pPr>
      <w:r>
        <w:rPr>
          <w:rFonts w:ascii="Times New Roman" w:hAnsi="Times New Roman"/>
          <w:b/>
          <w:sz w:val="23"/>
        </w:rPr>
        <w:t>1.3 What This Paper Does and Does Not Claim</w:t>
      </w:r>
    </w:p>
    <w:tbl>
      <w:tblPr>
        <w:tblW w:type="auto" w:w="0"/>
        <w:jc w:val="center"/>
        <w:tblLook w:firstColumn="1" w:firstRow="1" w:lastColumn="0" w:lastRow="0" w:noHBand="0" w:noVBand="1" w:val="04A0"/>
      </w:tblPr>
      <w:tblGrid>
        <w:gridCol w:w="4680"/>
        <w:gridCol w:w="4680"/>
      </w:tblGrid>
      <w:tr>
        <w:tc>
          <w:tcPr>
            <w:tcW w:type="dxa" w:w="4680"/>
            <w:tcBorders>
              <w:top w:val="single" w:sz="8" w:color="000000"/>
              <w:bottom w:val="single" w:sz="4" w:color="000000"/>
            </w:tcBorders>
          </w:tcPr>
          <w:p>
            <w:r/>
            <w:r>
              <w:rPr>
                <w:rFonts w:ascii="Times New Roman" w:hAnsi="Times New Roman"/>
                <w:b/>
                <w:sz w:val="18"/>
              </w:rPr>
              <w:t>Established here</w:t>
            </w:r>
          </w:p>
        </w:tc>
        <w:tc>
          <w:tcPr>
            <w:tcW w:type="dxa" w:w="4680"/>
            <w:tcBorders>
              <w:top w:val="single" w:sz="8" w:color="000000"/>
              <w:bottom w:val="single" w:sz="4" w:color="000000"/>
            </w:tcBorders>
          </w:tcPr>
          <w:p>
            <w:r/>
            <w:r>
              <w:rPr>
                <w:rFonts w:ascii="Times New Roman" w:hAnsi="Times New Roman"/>
                <w:b/>
                <w:sz w:val="18"/>
              </w:rPr>
              <w:t>Not established here</w:t>
            </w:r>
          </w:p>
        </w:tc>
      </w:tr>
      <w:tr>
        <w:tc>
          <w:tcPr>
            <w:tcW w:type="dxa" w:w="4680"/>
          </w:tcPr>
          <w:p>
            <w:r/>
            <w:r>
              <w:rPr>
                <w:rFonts w:ascii="Times New Roman" w:hAnsi="Times New Roman"/>
                <w:sz w:val="18"/>
              </w:rPr>
              <w:t>A regional estimate of administratively invisible platform income, built from a two-tier methodology of direct measurement and calibrated inference</w:t>
            </w:r>
          </w:p>
        </w:tc>
        <w:tc>
          <w:tcPr>
            <w:tcW w:type="dxa" w:w="4680"/>
          </w:tcPr>
          <w:p>
            <w:r/>
            <w:r>
              <w:rPr>
                <w:rFonts w:ascii="Times New Roman" w:hAnsi="Times New Roman"/>
                <w:sz w:val="18"/>
              </w:rPr>
              <w:t>That the calibrated four-country estimates are independent measurements rather than rescalings of one Indonesian take rate</w:t>
            </w:r>
          </w:p>
        </w:tc>
      </w:tr>
      <w:tr>
        <w:tc>
          <w:tcPr>
            <w:tcW w:type="dxa" w:w="4680"/>
          </w:tcPr>
          <w:p>
            <w:r/>
            <w:r>
              <w:rPr>
                <w:rFonts w:ascii="Times New Roman" w:hAnsi="Times New Roman"/>
                <w:sz w:val="18"/>
              </w:rPr>
              <w:t>A difference-in-differences range for Malaysia's 2024 base expansion, reported without a significance claim and shown to be stable across exchange-rate conventions</w:t>
            </w:r>
          </w:p>
        </w:tc>
        <w:tc>
          <w:tcPr>
            <w:tcW w:type="dxa" w:w="4680"/>
          </w:tcPr>
          <w:p>
            <w:r/>
            <w:r>
              <w:rPr>
                <w:rFonts w:ascii="Times New Roman" w:hAnsi="Times New Roman"/>
                <w:sz w:val="18"/>
              </w:rPr>
              <w:t>That the Malaysia–Vietnam comparison rests on a matched tax base; Vietnam's foreign-supplier portal collects VAT and corporate income tax on digital services, a different base from Malaysia's goods-import LVG regime (Section 6)</w:t>
            </w:r>
          </w:p>
        </w:tc>
      </w:tr>
      <w:tr>
        <w:tc>
          <w:tcPr>
            <w:tcW w:type="dxa" w:w="4680"/>
            <w:tcBorders>
              <w:bottom w:val="single" w:sz="8" w:color="000000"/>
            </w:tcBorders>
          </w:tcPr>
          <w:p>
            <w:r/>
            <w:r>
              <w:rPr>
                <w:rFonts w:ascii="Times New Roman" w:hAnsi="Times New Roman"/>
                <w:sz w:val="18"/>
              </w:rPr>
              <w:t>Fiscal decoupling as a structural, accelerating pattern in GoTo's own Indonesia-native filings</w:t>
            </w:r>
          </w:p>
        </w:tc>
        <w:tc>
          <w:tcPr>
            <w:tcW w:type="dxa" w:w="4680"/>
            <w:tcBorders>
              <w:bottom w:val="single" w:sz="8" w:color="000000"/>
            </w:tcBorders>
          </w:tcPr>
          <w:p>
            <w:r/>
            <w:r>
              <w:rPr>
                <w:rFonts w:ascii="Times New Roman" w:hAnsi="Times New Roman"/>
                <w:sz w:val="18"/>
              </w:rPr>
              <w:t>A general claim about the informal economy beyond platform-mediated transactions</w:t>
            </w:r>
          </w:p>
        </w:tc>
      </w:tr>
    </w:tbl>
    <w:p>
      <w:pPr>
        <w:spacing w:after="80"/>
      </w:pPr>
    </w:p>
    <w:p>
      <w:pPr>
        <w:spacing w:before="280" w:after="120"/>
      </w:pPr>
      <w:r>
        <w:rPr>
          <w:rFonts w:ascii="Times New Roman" w:hAnsi="Times New Roman"/>
          <w:b/>
          <w:sz w:val="27"/>
        </w:rPr>
        <w:t>2. Literature Review and Theoretical Framework</w:t>
      </w:r>
    </w:p>
    <w:p>
      <w:pPr>
        <w:spacing w:before="200" w:after="80"/>
      </w:pPr>
      <w:r>
        <w:rPr>
          <w:rFonts w:ascii="Times New Roman" w:hAnsi="Times New Roman"/>
          <w:b/>
          <w:sz w:val="23"/>
        </w:rPr>
        <w:t>2.1 Platform Economics and Two-Sided Markets</w:t>
      </w:r>
    </w:p>
    <w:p>
      <w:pPr>
        <w:spacing w:after="140"/>
      </w:pPr>
      <w:r>
        <w:rPr>
          <w:rFonts w:ascii="Times New Roman" w:hAnsi="Times New Roman"/>
          <w:b w:val="0"/>
          <w:i w:val="0"/>
          <w:sz w:val="22"/>
        </w:rPr>
        <w:t>The economics of digital platforms builds on Rochet and Tirole (2003), who formalized the theory of two-sided markets. A key insight is that platform commission rates reflect strategic choices rather than cost structures (Armstrong, 2006) — a dynamic directly visible in the corrected take rates documented in Section 4 (Grab 11.2%, Shopee 10.1%, blended Indonesia rate 5.9%). Evans and Schmalensee (2016) emphasize that platform economics differ fundamentally from traditional firm economics because value creation occurs in the ecosystem rather than within firm boundaries — central to the measurement problem here.</w:t>
      </w:r>
    </w:p>
    <w:p>
      <w:pPr>
        <w:spacing w:before="200" w:after="80"/>
      </w:pPr>
      <w:r>
        <w:rPr>
          <w:rFonts w:ascii="Times New Roman" w:hAnsi="Times New Roman"/>
          <w:b/>
          <w:sz w:val="23"/>
        </w:rPr>
        <w:t>2.2 Informal Economy Measurement</w:t>
      </w:r>
    </w:p>
    <w:p>
      <w:pPr>
        <w:spacing w:after="140"/>
      </w:pPr>
      <w:r>
        <w:rPr>
          <w:rFonts w:ascii="Times New Roman" w:hAnsi="Times New Roman"/>
          <w:b w:val="0"/>
          <w:i w:val="0"/>
          <w:sz w:val="22"/>
        </w:rPr>
        <w:t>Medina and Schneider (2019) estimate informal production represents 27–29% of global GDP using indirect indicators. This paper differs by using direct measurement from audited corporate filings and official disclosures — and, per Section 4, by explicitly separating figures that are directly disclosed from figures requiring independent third-party estimation.</w:t>
      </w:r>
    </w:p>
    <w:p>
      <w:pPr>
        <w:spacing w:before="200" w:after="80"/>
      </w:pPr>
      <w:r>
        <w:rPr>
          <w:rFonts w:ascii="Times New Roman" w:hAnsi="Times New Roman"/>
          <w:b/>
          <w:sz w:val="23"/>
        </w:rPr>
        <w:t>2.3 Digital Taxation and the OECD Framework</w:t>
      </w:r>
    </w:p>
    <w:p>
      <w:pPr>
        <w:spacing w:after="140"/>
      </w:pPr>
      <w:r>
        <w:rPr>
          <w:rFonts w:ascii="Times New Roman" w:hAnsi="Times New Roman"/>
          <w:b w:val="0"/>
          <w:i w:val="0"/>
          <w:sz w:val="22"/>
        </w:rPr>
        <w:t>The OECD's BEPS initiative addresses taxing digital companies without local physical presence (OECD, 2020), but focuses on corporate profit allocation, not platform participant income. Even full Pillar One implementation would miss the roughly 94% of transaction value flowing to drivers, merchants, and creators implied by the corrected ecosystem ratio.</w:t>
      </w:r>
    </w:p>
    <w:p>
      <w:pPr>
        <w:spacing w:before="280" w:after="120"/>
      </w:pPr>
      <w:r>
        <w:rPr>
          <w:rFonts w:ascii="Times New Roman" w:hAnsi="Times New Roman"/>
          <w:b/>
          <w:sz w:val="27"/>
        </w:rPr>
        <w:t>3. Theoretical Framework: The Ecosystem Ratio</w:t>
      </w:r>
    </w:p>
    <w:p>
      <w:pPr>
        <w:spacing w:before="80" w:after="120"/>
        <w:ind w:left="576"/>
        <w:jc w:val="center"/>
      </w:pPr>
      <w:r>
        <w:rPr>
          <w:rFonts w:ascii="Times New Roman" w:hAnsi="Times New Roman"/>
          <w:i/>
          <w:sz w:val="23"/>
        </w:rPr>
        <w:t>Ecosystem Ratio = Invisible Wedge ÷ Platform Revenue = (GTV − Revenue) ÷ Revenue</w:t>
      </w:r>
    </w:p>
    <w:p>
      <w:pPr>
        <w:spacing w:after="140"/>
      </w:pPr>
      <w:r>
        <w:rPr>
          <w:rFonts w:ascii="Times New Roman" w:hAnsi="Times New Roman"/>
          <w:b w:val="0"/>
          <w:i w:val="0"/>
          <w:sz w:val="22"/>
        </w:rPr>
        <w:t>This ratio captures how much transaction value escapes tax administration for every dollar of platform revenue authorities can observe. The invisible wedge measures gross transaction value (GTV) flowing to participants, not value-added in the GDP accounting sense — it should be interpreted as “untaxed participant income,” not “missing GDP.”</w:t>
      </w:r>
    </w:p>
    <w:p>
      <w:pPr>
        <w:spacing w:after="140"/>
      </w:pPr>
      <w:r>
        <w:rPr>
          <w:rFonts w:ascii="Times New Roman" w:hAnsi="Times New Roman"/>
          <w:b w:val="0"/>
          <w:i w:val="0"/>
          <w:sz w:val="22"/>
        </w:rPr>
        <w:t>Framing the measurement this way keeps the numerator and denominator each individually auditable: platform revenue is the figure every jurisdiction already requires firms to report, while GTV is the figure platforms already disclose to investors. The ratio adds no new estimation step of its own — it only makes explicit how large the gap between the two already-disclosed figures is. Note that the ratio is one less than GTV ÷ Revenue, and the two are easily conflated; Section 1.2 documents that conflation occurring in an earlier draft of this paper.</w:t>
      </w:r>
    </w:p>
    <w:p>
      <w:pPr>
        <w:spacing w:before="280" w:after="120"/>
      </w:pPr>
      <w:r>
        <w:rPr>
          <w:rFonts w:ascii="Times New Roman" w:hAnsi="Times New Roman"/>
          <w:b/>
          <w:sz w:val="27"/>
        </w:rPr>
        <w:t>4. Data, Methodology, and the Table 1 Correction</w:t>
      </w:r>
    </w:p>
    <w:p>
      <w:pPr>
        <w:spacing w:before="200" w:after="80"/>
      </w:pPr>
      <w:r>
        <w:rPr>
          <w:rFonts w:ascii="Times New Roman" w:hAnsi="Times New Roman"/>
          <w:b/>
          <w:sz w:val="23"/>
        </w:rPr>
        <w:t>4.1 Data Sources and Provenance, by Tier</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8" w:color="000000"/>
              <w:bottom w:val="single" w:sz="4" w:color="000000"/>
            </w:tcBorders>
          </w:tcPr>
          <w:p>
            <w:r/>
            <w:r>
              <w:rPr>
                <w:rFonts w:ascii="Times New Roman" w:hAnsi="Times New Roman"/>
                <w:b/>
                <w:sz w:val="18"/>
              </w:rPr>
              <w:t>Platform</w:t>
            </w:r>
          </w:p>
        </w:tc>
        <w:tc>
          <w:tcPr>
            <w:tcW w:type="dxa" w:w="2340"/>
            <w:tcBorders>
              <w:top w:val="single" w:sz="8" w:color="000000"/>
              <w:bottom w:val="single" w:sz="4" w:color="000000"/>
            </w:tcBorders>
          </w:tcPr>
          <w:p>
            <w:r/>
            <w:r>
              <w:rPr>
                <w:rFonts w:ascii="Times New Roman" w:hAnsi="Times New Roman"/>
                <w:b/>
                <w:sz w:val="18"/>
              </w:rPr>
              <w:t>Metric</w:t>
            </w:r>
          </w:p>
        </w:tc>
        <w:tc>
          <w:tcPr>
            <w:tcW w:type="dxa" w:w="2340"/>
            <w:tcBorders>
              <w:top w:val="single" w:sz="8" w:color="000000"/>
              <w:bottom w:val="single" w:sz="4" w:color="000000"/>
            </w:tcBorders>
          </w:tcPr>
          <w:p>
            <w:r/>
            <w:r>
              <w:rPr>
                <w:rFonts w:ascii="Times New Roman" w:hAnsi="Times New Roman"/>
                <w:b/>
                <w:sz w:val="18"/>
              </w:rPr>
              <w:t>Source</w:t>
            </w:r>
          </w:p>
        </w:tc>
        <w:tc>
          <w:tcPr>
            <w:tcW w:type="dxa" w:w="2340"/>
            <w:tcBorders>
              <w:top w:val="single" w:sz="8" w:color="000000"/>
              <w:bottom w:val="single" w:sz="4" w:color="000000"/>
            </w:tcBorders>
          </w:tcPr>
          <w:p>
            <w:r/>
            <w:r>
              <w:rPr>
                <w:rFonts w:ascii="Times New Roman" w:hAnsi="Times New Roman"/>
                <w:b/>
                <w:sz w:val="18"/>
              </w:rPr>
              <w:t>Provenance</w:t>
            </w:r>
          </w:p>
        </w:tc>
      </w:tr>
      <w:tr>
        <w:tc>
          <w:tcPr>
            <w:tcW w:type="dxa" w:w="2340"/>
          </w:tcPr>
          <w:p>
            <w:r/>
            <w:r>
              <w:rPr>
                <w:rFonts w:ascii="Times New Roman" w:hAnsi="Times New Roman"/>
                <w:sz w:val="18"/>
              </w:rPr>
              <w:t>Grab</w:t>
            </w:r>
          </w:p>
        </w:tc>
        <w:tc>
          <w:tcPr>
            <w:tcW w:type="dxa" w:w="2340"/>
          </w:tcPr>
          <w:p>
            <w:r/>
            <w:r>
              <w:rPr>
                <w:rFonts w:ascii="Times New Roman" w:hAnsi="Times New Roman"/>
                <w:sz w:val="18"/>
              </w:rPr>
              <w:t>Revenue</w:t>
            </w:r>
          </w:p>
        </w:tc>
        <w:tc>
          <w:tcPr>
            <w:tcW w:type="dxa" w:w="2340"/>
          </w:tcPr>
          <w:p>
            <w:r/>
            <w:r>
              <w:rPr>
                <w:rFonts w:ascii="Times New Roman" w:hAnsi="Times New Roman"/>
                <w:sz w:val="18"/>
              </w:rPr>
              <w:t>SEC 20-F</w:t>
            </w:r>
          </w:p>
        </w:tc>
        <w:tc>
          <w:tcPr>
            <w:tcW w:type="dxa" w:w="2340"/>
          </w:tcPr>
          <w:p>
            <w:r/>
            <w:r>
              <w:rPr>
                <w:rFonts w:ascii="Times New Roman" w:hAnsi="Times New Roman"/>
                <w:sz w:val="18"/>
              </w:rPr>
              <w:t>Directly disclosed, country-level</w:t>
            </w:r>
          </w:p>
        </w:tc>
      </w:tr>
      <w:tr>
        <w:tc>
          <w:tcPr>
            <w:tcW w:type="dxa" w:w="2340"/>
          </w:tcPr>
          <w:p>
            <w:r/>
            <w:r>
              <w:rPr>
                <w:rFonts w:ascii="Times New Roman" w:hAnsi="Times New Roman"/>
                <w:sz w:val="18"/>
              </w:rPr>
              <w:t>Grab</w:t>
            </w:r>
          </w:p>
        </w:tc>
        <w:tc>
          <w:tcPr>
            <w:tcW w:type="dxa" w:w="2340"/>
          </w:tcPr>
          <w:p>
            <w:r/>
            <w:r>
              <w:rPr>
                <w:rFonts w:ascii="Times New Roman" w:hAnsi="Times New Roman"/>
                <w:sz w:val="18"/>
              </w:rPr>
              <w:t>GTV</w:t>
            </w:r>
          </w:p>
        </w:tc>
        <w:tc>
          <w:tcPr>
            <w:tcW w:type="dxa" w:w="2340"/>
          </w:tcPr>
          <w:p>
            <w:r/>
            <w:r>
              <w:rPr>
                <w:rFonts w:ascii="Times New Roman" w:hAnsi="Times New Roman"/>
                <w:sz w:val="18"/>
              </w:rPr>
              <w:t>Derived</w:t>
            </w:r>
          </w:p>
        </w:tc>
        <w:tc>
          <w:tcPr>
            <w:tcW w:type="dxa" w:w="2340"/>
          </w:tcPr>
          <w:p>
            <w:r/>
            <w:r>
              <w:rPr>
                <w:rFonts w:ascii="Times New Roman" w:hAnsi="Times New Roman"/>
                <w:sz w:val="18"/>
              </w:rPr>
              <w:t>Indonesia revenue ÷ company-wide take rate (11.24%); Grab does not disclose country GTV</w:t>
            </w:r>
          </w:p>
        </w:tc>
      </w:tr>
      <w:tr>
        <w:tc>
          <w:tcPr>
            <w:tcW w:type="dxa" w:w="2340"/>
          </w:tcPr>
          <w:p>
            <w:r/>
            <w:r>
              <w:rPr>
                <w:rFonts w:ascii="Times New Roman" w:hAnsi="Times New Roman"/>
                <w:sz w:val="18"/>
              </w:rPr>
              <w:t>GoTo</w:t>
            </w:r>
          </w:p>
        </w:tc>
        <w:tc>
          <w:tcPr>
            <w:tcW w:type="dxa" w:w="2340"/>
          </w:tcPr>
          <w:p>
            <w:r/>
            <w:r>
              <w:rPr>
                <w:rFonts w:ascii="Times New Roman" w:hAnsi="Times New Roman"/>
                <w:sz w:val="18"/>
              </w:rPr>
              <w:t>GTV, Revenue</w:t>
            </w:r>
          </w:p>
        </w:tc>
        <w:tc>
          <w:tcPr>
            <w:tcW w:type="dxa" w:w="2340"/>
          </w:tcPr>
          <w:p>
            <w:r/>
            <w:r>
              <w:rPr>
                <w:rFonts w:ascii="Times New Roman" w:hAnsi="Times New Roman"/>
                <w:sz w:val="18"/>
              </w:rPr>
              <w:t>IDX annual filings</w:t>
            </w:r>
          </w:p>
        </w:tc>
        <w:tc>
          <w:tcPr>
            <w:tcW w:type="dxa" w:w="2340"/>
          </w:tcPr>
          <w:p>
            <w:r/>
            <w:r>
              <w:rPr>
                <w:rFonts w:ascii="Times New Roman" w:hAnsi="Times New Roman"/>
                <w:sz w:val="18"/>
              </w:rPr>
              <w:t>Directly reported; Indonesia-native company</w:t>
            </w:r>
          </w:p>
        </w:tc>
      </w:tr>
      <w:tr>
        <w:tc>
          <w:tcPr>
            <w:tcW w:type="dxa" w:w="2340"/>
            <w:tcBorders>
              <w:bottom w:val="single" w:sz="8" w:color="000000"/>
            </w:tcBorders>
          </w:tcPr>
          <w:p>
            <w:r/>
            <w:r>
              <w:rPr>
                <w:rFonts w:ascii="Times New Roman" w:hAnsi="Times New Roman"/>
                <w:sz w:val="18"/>
              </w:rPr>
              <w:t>Shopee</w:t>
            </w:r>
          </w:p>
        </w:tc>
        <w:tc>
          <w:tcPr>
            <w:tcW w:type="dxa" w:w="2340"/>
            <w:tcBorders>
              <w:bottom w:val="single" w:sz="8" w:color="000000"/>
            </w:tcBorders>
          </w:tcPr>
          <w:p>
            <w:r/>
            <w:r>
              <w:rPr>
                <w:rFonts w:ascii="Times New Roman" w:hAnsi="Times New Roman"/>
                <w:sz w:val="18"/>
              </w:rPr>
              <w:t>Revenue, GTV</w:t>
            </w:r>
          </w:p>
        </w:tc>
        <w:tc>
          <w:tcPr>
            <w:tcW w:type="dxa" w:w="2340"/>
            <w:tcBorders>
              <w:bottom w:val="single" w:sz="8" w:color="000000"/>
            </w:tcBorders>
          </w:tcPr>
          <w:p>
            <w:r/>
            <w:r>
              <w:rPr>
                <w:rFonts w:ascii="Times New Roman" w:hAnsi="Times New Roman"/>
                <w:sz w:val="18"/>
              </w:rPr>
              <w:t>Derived</w:t>
            </w:r>
          </w:p>
        </w:tc>
        <w:tc>
          <w:tcPr>
            <w:tcW w:type="dxa" w:w="2340"/>
            <w:tcBorders>
              <w:bottom w:val="single" w:sz="8" w:color="000000"/>
            </w:tcBorders>
          </w:tcPr>
          <w:p>
            <w:r/>
            <w:r>
              <w:rPr>
                <w:rFonts w:ascii="Times New Roman" w:hAnsi="Times New Roman"/>
                <w:sz w:val="18"/>
              </w:rPr>
              <w:t>Sea's 20-F discloses only a regional SEA total ($9.18B rev / $78.5B GMV); Indonesia GMV estimated via Momentum Works (2024) market-share data; revenue via disclosed take rate (10.06%)</w:t>
            </w:r>
          </w:p>
        </w:tc>
      </w:tr>
    </w:tbl>
    <w:p>
      <w:pPr>
        <w:spacing w:after="80"/>
      </w:pPr>
    </w:p>
    <w:p>
      <w:pPr>
        <w:spacing w:after="140"/>
        <w:jc w:val="center"/>
      </w:pPr>
      <w:r>
        <w:rPr>
          <w:rFonts w:ascii="Times New Roman" w:hAnsi="Times New Roman"/>
          <w:b w:val="0"/>
          <w:i/>
          <w:sz w:val="18"/>
        </w:rPr>
        <w:t>Table 0. Source provenance for each Indonesia platform figure. Only GoTo has both GTV and revenue independently reported; for Grab and Shopee, GTV is derived from revenue and an assumed take rate, which means their ecosystem ratios are determined by that take rate rather than independently measured.</w:t>
      </w:r>
    </w:p>
    <w:p>
      <w:pPr>
        <w:spacing w:before="200" w:after="80"/>
      </w:pPr>
      <w:r>
        <w:rPr>
          <w:rFonts w:ascii="Times New Roman" w:hAnsi="Times New Roman"/>
          <w:b/>
          <w:sz w:val="23"/>
        </w:rPr>
        <w:t>4.2 Tier 1: Indonesia Direct Measurement (Corrected)</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8" w:color="000000"/>
              <w:bottom w:val="single" w:sz="4" w:color="000000"/>
            </w:tcBorders>
          </w:tcPr>
          <w:p>
            <w:r/>
            <w:r>
              <w:rPr>
                <w:rFonts w:ascii="Times New Roman" w:hAnsi="Times New Roman"/>
                <w:b/>
                <w:sz w:val="18"/>
              </w:rPr>
              <w:t>Platform</w:t>
            </w:r>
          </w:p>
        </w:tc>
        <w:tc>
          <w:tcPr>
            <w:tcW w:type="dxa" w:w="1872"/>
            <w:tcBorders>
              <w:top w:val="single" w:sz="8" w:color="000000"/>
              <w:bottom w:val="single" w:sz="4" w:color="000000"/>
            </w:tcBorders>
          </w:tcPr>
          <w:p>
            <w:r/>
            <w:r>
              <w:rPr>
                <w:rFonts w:ascii="Times New Roman" w:hAnsi="Times New Roman"/>
                <w:b/>
                <w:sz w:val="18"/>
              </w:rPr>
              <w:t>Indonesia GTV</w:t>
            </w:r>
          </w:p>
        </w:tc>
        <w:tc>
          <w:tcPr>
            <w:tcW w:type="dxa" w:w="1872"/>
            <w:tcBorders>
              <w:top w:val="single" w:sz="8" w:color="000000"/>
              <w:bottom w:val="single" w:sz="4" w:color="000000"/>
            </w:tcBorders>
          </w:tcPr>
          <w:p>
            <w:r/>
            <w:r>
              <w:rPr>
                <w:rFonts w:ascii="Times New Roman" w:hAnsi="Times New Roman"/>
                <w:b/>
                <w:sz w:val="18"/>
              </w:rPr>
              <w:t>Net Revenue</w:t>
            </w:r>
          </w:p>
        </w:tc>
        <w:tc>
          <w:tcPr>
            <w:tcW w:type="dxa" w:w="1872"/>
            <w:tcBorders>
              <w:top w:val="single" w:sz="8" w:color="000000"/>
              <w:bottom w:val="single" w:sz="4" w:color="000000"/>
            </w:tcBorders>
          </w:tcPr>
          <w:p>
            <w:r/>
            <w:r>
              <w:rPr>
                <w:rFonts w:ascii="Times New Roman" w:hAnsi="Times New Roman"/>
                <w:b/>
                <w:sz w:val="18"/>
              </w:rPr>
              <w:t>Invisible Wedge</w:t>
            </w:r>
          </w:p>
        </w:tc>
        <w:tc>
          <w:tcPr>
            <w:tcW w:type="dxa" w:w="1872"/>
            <w:tcBorders>
              <w:top w:val="single" w:sz="8" w:color="000000"/>
              <w:bottom w:val="single" w:sz="4" w:color="000000"/>
            </w:tcBorders>
          </w:tcPr>
          <w:p>
            <w:r/>
            <w:r>
              <w:rPr>
                <w:rFonts w:ascii="Times New Roman" w:hAnsi="Times New Roman"/>
                <w:b/>
                <w:sz w:val="18"/>
              </w:rPr>
              <w:t>Ecosystem Ratio</w:t>
            </w:r>
          </w:p>
        </w:tc>
      </w:tr>
      <w:tr>
        <w:tc>
          <w:tcPr>
            <w:tcW w:type="dxa" w:w="1872"/>
          </w:tcPr>
          <w:p>
            <w:r/>
            <w:r>
              <w:rPr>
                <w:rFonts w:ascii="Times New Roman" w:hAnsi="Times New Roman"/>
                <w:sz w:val="18"/>
              </w:rPr>
              <w:t>Grab</w:t>
            </w:r>
          </w:p>
        </w:tc>
        <w:tc>
          <w:tcPr>
            <w:tcW w:type="dxa" w:w="1872"/>
          </w:tcPr>
          <w:p>
            <w:r/>
            <w:r>
              <w:rPr>
                <w:rFonts w:ascii="Times New Roman" w:hAnsi="Times New Roman"/>
                <w:sz w:val="18"/>
              </w:rPr>
              <w:t>$5.4B</w:t>
            </w:r>
          </w:p>
        </w:tc>
        <w:tc>
          <w:tcPr>
            <w:tcW w:type="dxa" w:w="1872"/>
          </w:tcPr>
          <w:p>
            <w:r/>
            <w:r>
              <w:rPr>
                <w:rFonts w:ascii="Times New Roman" w:hAnsi="Times New Roman"/>
                <w:sz w:val="18"/>
              </w:rPr>
              <w:t>$0.6B</w:t>
            </w:r>
          </w:p>
        </w:tc>
        <w:tc>
          <w:tcPr>
            <w:tcW w:type="dxa" w:w="1872"/>
          </w:tcPr>
          <w:p>
            <w:r/>
            <w:r>
              <w:rPr>
                <w:rFonts w:ascii="Times New Roman" w:hAnsi="Times New Roman"/>
                <w:sz w:val="18"/>
              </w:rPr>
              <w:t>$4.8B</w:t>
            </w:r>
          </w:p>
        </w:tc>
        <w:tc>
          <w:tcPr>
            <w:tcW w:type="dxa" w:w="1872"/>
          </w:tcPr>
          <w:p>
            <w:r/>
            <w:r>
              <w:rPr>
                <w:rFonts w:ascii="Times New Roman" w:hAnsi="Times New Roman"/>
                <w:sz w:val="18"/>
              </w:rPr>
              <w:t>7.9×</w:t>
            </w:r>
          </w:p>
        </w:tc>
      </w:tr>
      <w:tr>
        <w:tc>
          <w:tcPr>
            <w:tcW w:type="dxa" w:w="1872"/>
          </w:tcPr>
          <w:p>
            <w:r/>
            <w:r>
              <w:rPr>
                <w:rFonts w:ascii="Times New Roman" w:hAnsi="Times New Roman"/>
                <w:sz w:val="18"/>
              </w:rPr>
              <w:t>GoTo</w:t>
            </w:r>
          </w:p>
        </w:tc>
        <w:tc>
          <w:tcPr>
            <w:tcW w:type="dxa" w:w="1872"/>
          </w:tcPr>
          <w:p>
            <w:r/>
            <w:r>
              <w:rPr>
                <w:rFonts w:ascii="Times New Roman" w:hAnsi="Times New Roman"/>
                <w:sz w:val="18"/>
              </w:rPr>
              <w:t>$39.8B</w:t>
            </w:r>
          </w:p>
        </w:tc>
        <w:tc>
          <w:tcPr>
            <w:tcW w:type="dxa" w:w="1872"/>
          </w:tcPr>
          <w:p>
            <w:r/>
            <w:r>
              <w:rPr>
                <w:rFonts w:ascii="Times New Roman" w:hAnsi="Times New Roman"/>
                <w:sz w:val="18"/>
              </w:rPr>
              <w:t>$1.0B</w:t>
            </w:r>
          </w:p>
        </w:tc>
        <w:tc>
          <w:tcPr>
            <w:tcW w:type="dxa" w:w="1872"/>
          </w:tcPr>
          <w:p>
            <w:r/>
            <w:r>
              <w:rPr>
                <w:rFonts w:ascii="Times New Roman" w:hAnsi="Times New Roman"/>
                <w:sz w:val="18"/>
              </w:rPr>
              <w:t>$38.8B</w:t>
            </w:r>
          </w:p>
        </w:tc>
        <w:tc>
          <w:tcPr>
            <w:tcW w:type="dxa" w:w="1872"/>
          </w:tcPr>
          <w:p>
            <w:r/>
            <w:r>
              <w:rPr>
                <w:rFonts w:ascii="Times New Roman" w:hAnsi="Times New Roman"/>
                <w:sz w:val="18"/>
              </w:rPr>
              <w:t>40.0×</w:t>
            </w:r>
          </w:p>
        </w:tc>
      </w:tr>
      <w:tr>
        <w:tc>
          <w:tcPr>
            <w:tcW w:type="dxa" w:w="1872"/>
          </w:tcPr>
          <w:p>
            <w:r/>
            <w:r>
              <w:rPr>
                <w:rFonts w:ascii="Times New Roman" w:hAnsi="Times New Roman"/>
                <w:sz w:val="18"/>
              </w:rPr>
              <w:t>Shopee</w:t>
            </w:r>
          </w:p>
        </w:tc>
        <w:tc>
          <w:tcPr>
            <w:tcW w:type="dxa" w:w="1872"/>
          </w:tcPr>
          <w:p>
            <w:r/>
            <w:r>
              <w:rPr>
                <w:rFonts w:ascii="Times New Roman" w:hAnsi="Times New Roman"/>
                <w:sz w:val="18"/>
              </w:rPr>
              <w:t>$25.8B</w:t>
            </w:r>
          </w:p>
        </w:tc>
        <w:tc>
          <w:tcPr>
            <w:tcW w:type="dxa" w:w="1872"/>
          </w:tcPr>
          <w:p>
            <w:r/>
            <w:r>
              <w:rPr>
                <w:rFonts w:ascii="Times New Roman" w:hAnsi="Times New Roman"/>
                <w:sz w:val="18"/>
              </w:rPr>
              <w:t>$2.6B</w:t>
            </w:r>
          </w:p>
        </w:tc>
        <w:tc>
          <w:tcPr>
            <w:tcW w:type="dxa" w:w="1872"/>
          </w:tcPr>
          <w:p>
            <w:r/>
            <w:r>
              <w:rPr>
                <w:rFonts w:ascii="Times New Roman" w:hAnsi="Times New Roman"/>
                <w:sz w:val="18"/>
              </w:rPr>
              <w:t>$23.2B</w:t>
            </w:r>
          </w:p>
        </w:tc>
        <w:tc>
          <w:tcPr>
            <w:tcW w:type="dxa" w:w="1872"/>
          </w:tcPr>
          <w:p>
            <w:r/>
            <w:r>
              <w:rPr>
                <w:rFonts w:ascii="Times New Roman" w:hAnsi="Times New Roman"/>
                <w:sz w:val="18"/>
              </w:rPr>
              <w:t>8.9×</w:t>
            </w:r>
          </w:p>
        </w:tc>
      </w:tr>
      <w:tr>
        <w:tc>
          <w:tcPr>
            <w:tcW w:type="dxa" w:w="1872"/>
            <w:tcBorders>
              <w:bottom w:val="single" w:sz="8" w:color="000000"/>
            </w:tcBorders>
          </w:tcPr>
          <w:p>
            <w:r/>
            <w:r>
              <w:rPr>
                <w:rFonts w:ascii="Times New Roman" w:hAnsi="Times New Roman"/>
                <w:sz w:val="18"/>
              </w:rPr>
              <w:t>Total</w:t>
            </w:r>
          </w:p>
        </w:tc>
        <w:tc>
          <w:tcPr>
            <w:tcW w:type="dxa" w:w="1872"/>
            <w:tcBorders>
              <w:bottom w:val="single" w:sz="8" w:color="000000"/>
            </w:tcBorders>
          </w:tcPr>
          <w:p>
            <w:r/>
            <w:r>
              <w:rPr>
                <w:rFonts w:ascii="Times New Roman" w:hAnsi="Times New Roman"/>
                <w:sz w:val="18"/>
              </w:rPr>
              <w:t>$71.0B</w:t>
            </w:r>
          </w:p>
        </w:tc>
        <w:tc>
          <w:tcPr>
            <w:tcW w:type="dxa" w:w="1872"/>
            <w:tcBorders>
              <w:bottom w:val="single" w:sz="8" w:color="000000"/>
            </w:tcBorders>
          </w:tcPr>
          <w:p>
            <w:r/>
            <w:r>
              <w:rPr>
                <w:rFonts w:ascii="Times New Roman" w:hAnsi="Times New Roman"/>
                <w:sz w:val="18"/>
              </w:rPr>
              <w:t>$4.2B</w:t>
            </w:r>
          </w:p>
        </w:tc>
        <w:tc>
          <w:tcPr>
            <w:tcW w:type="dxa" w:w="1872"/>
            <w:tcBorders>
              <w:bottom w:val="single" w:sz="8" w:color="000000"/>
            </w:tcBorders>
          </w:tcPr>
          <w:p>
            <w:r/>
            <w:r>
              <w:rPr>
                <w:rFonts w:ascii="Times New Roman" w:hAnsi="Times New Roman"/>
                <w:sz w:val="18"/>
              </w:rPr>
              <w:t>$66.8B</w:t>
            </w:r>
          </w:p>
        </w:tc>
        <w:tc>
          <w:tcPr>
            <w:tcW w:type="dxa" w:w="1872"/>
            <w:tcBorders>
              <w:bottom w:val="single" w:sz="8" w:color="000000"/>
            </w:tcBorders>
          </w:tcPr>
          <w:p>
            <w:r/>
            <w:r>
              <w:rPr>
                <w:rFonts w:ascii="Times New Roman" w:hAnsi="Times New Roman"/>
                <w:sz w:val="18"/>
              </w:rPr>
              <w:t>15.9×</w:t>
            </w:r>
          </w:p>
        </w:tc>
      </w:tr>
    </w:tbl>
    <w:p>
      <w:pPr>
        <w:spacing w:after="80"/>
      </w:pPr>
    </w:p>
    <w:p>
      <w:pPr>
        <w:spacing w:after="140"/>
        <w:jc w:val="center"/>
      </w:pPr>
      <w:r>
        <w:rPr>
          <w:rFonts w:ascii="Times New Roman" w:hAnsi="Times New Roman"/>
          <w:b w:val="0"/>
          <w:i/>
          <w:sz w:val="18"/>
        </w:rPr>
        <w:t>Table 1. Indonesia's Invisible Wedge (2023), corrected. Ratios are computed as (GTV − Revenue) ÷ Revenue per Section 3; an earlier draft reported GTV ÷ Revenue, one higher in each case.</w:t>
      </w:r>
    </w:p>
    <w:p>
      <w:pPr>
        <w:jc w:val="center"/>
      </w:pPr>
      <w:r>
        <w:drawing>
          <wp:inline xmlns:a="http://schemas.openxmlformats.org/drawingml/2006/main" xmlns:pic="http://schemas.openxmlformats.org/drawingml/2006/picture">
            <wp:extent cx="5394960" cy="2411965"/>
            <wp:docPr id="1" name="Picture 1"/>
            <wp:cNvGraphicFramePr>
              <a:graphicFrameLocks noChangeAspect="1"/>
            </wp:cNvGraphicFramePr>
            <a:graphic>
              <a:graphicData uri="http://schemas.openxmlformats.org/drawingml/2006/picture">
                <pic:pic>
                  <pic:nvPicPr>
                    <pic:cNvPr id="0" name="il_img-000.png"/>
                    <pic:cNvPicPr/>
                  </pic:nvPicPr>
                  <pic:blipFill>
                    <a:blip r:embed="rId9"/>
                    <a:stretch>
                      <a:fillRect/>
                    </a:stretch>
                  </pic:blipFill>
                  <pic:spPr>
                    <a:xfrm>
                      <a:off x="0" y="0"/>
                      <a:ext cx="5394960" cy="2411965"/>
                    </a:xfrm>
                    <a:prstGeom prst="rect"/>
                  </pic:spPr>
                </pic:pic>
              </a:graphicData>
            </a:graphic>
          </wp:inline>
        </w:drawing>
      </w:r>
    </w:p>
    <w:p>
      <w:pPr>
        <w:spacing w:after="240"/>
        <w:jc w:val="center"/>
      </w:pPr>
      <w:r>
        <w:rPr>
          <w:rFonts w:ascii="Times New Roman" w:hAnsi="Times New Roman"/>
          <w:i/>
          <w:sz w:val="18"/>
        </w:rPr>
        <w:t>Figure 1. Indonesia platform GTV against auditable net revenue, 2023, with the corrected ecosystem ratio above each pair. The spread between GoTo and the other two reflects consolidated GTV reporting rather than a difference in administrative reach.</w:t>
      </w:r>
    </w:p>
    <w:p>
      <w:pPr>
        <w:spacing w:after="140"/>
      </w:pPr>
      <w:r>
        <w:rPr>
          <w:rFonts w:ascii="Times New Roman" w:hAnsi="Times New Roman"/>
          <w:b w:val="0"/>
          <w:i w:val="0"/>
          <w:sz w:val="22"/>
        </w:rPr>
        <w:t>GoTo's markedly higher ecosystem ratio (40.0×) relative to Grab and Shopee (roughly 8–9×) reflects its consolidated GTV reporting: Tokopedia's full marketplace GMV is included while GoTo books only a thin commission as revenue. The spread across platforms is therefore an artifact of reporting convention, not a measured difference in how much income escapes administration, and it should not be read as evidence that the ratio is a stable structural parameter. The corrected Indonesia blended take rate — total platform revenue ÷ total platform GTV — is 5.88%, used as the calibration basis for the four remaining ASEAN countries in Section 7.</w:t>
      </w:r>
    </w:p>
    <w:p>
      <w:pPr>
        <w:spacing w:before="200" w:after="80"/>
      </w:pPr>
      <w:r>
        <w:rPr>
          <w:rFonts w:ascii="Times New Roman" w:hAnsi="Times New Roman"/>
          <w:b/>
          <w:sz w:val="23"/>
        </w:rPr>
        <w:t>4.3 Sensitivity of the Indonesia Estimate</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8" w:color="000000"/>
              <w:bottom w:val="single" w:sz="4" w:color="000000"/>
            </w:tcBorders>
          </w:tcPr>
          <w:p>
            <w:r/>
            <w:r>
              <w:rPr>
                <w:rFonts w:ascii="Times New Roman" w:hAnsi="Times New Roman"/>
                <w:b/>
                <w:sz w:val="18"/>
              </w:rPr>
              <w:t>Take Rate</w:t>
            </w:r>
          </w:p>
        </w:tc>
        <w:tc>
          <w:tcPr>
            <w:tcW w:type="dxa" w:w="2340"/>
            <w:tcBorders>
              <w:top w:val="single" w:sz="8" w:color="000000"/>
              <w:bottom w:val="single" w:sz="4" w:color="000000"/>
            </w:tcBorders>
          </w:tcPr>
          <w:p>
            <w:r/>
            <w:r>
              <w:rPr>
                <w:rFonts w:ascii="Times New Roman" w:hAnsi="Times New Roman"/>
                <w:b/>
                <w:sz w:val="18"/>
              </w:rPr>
              <w:t>Platform Revenue</w:t>
            </w:r>
          </w:p>
        </w:tc>
        <w:tc>
          <w:tcPr>
            <w:tcW w:type="dxa" w:w="2340"/>
            <w:tcBorders>
              <w:top w:val="single" w:sz="8" w:color="000000"/>
              <w:bottom w:val="single" w:sz="4" w:color="000000"/>
            </w:tcBorders>
          </w:tcPr>
          <w:p>
            <w:r/>
            <w:r>
              <w:rPr>
                <w:rFonts w:ascii="Times New Roman" w:hAnsi="Times New Roman"/>
                <w:b/>
                <w:sz w:val="18"/>
              </w:rPr>
              <w:t>Invisible Wedge</w:t>
            </w:r>
          </w:p>
        </w:tc>
        <w:tc>
          <w:tcPr>
            <w:tcW w:type="dxa" w:w="2340"/>
            <w:tcBorders>
              <w:top w:val="single" w:sz="8" w:color="000000"/>
              <w:bottom w:val="single" w:sz="4" w:color="000000"/>
            </w:tcBorders>
          </w:tcPr>
          <w:p>
            <w:r/>
            <w:r>
              <w:rPr>
                <w:rFonts w:ascii="Times New Roman" w:hAnsi="Times New Roman"/>
                <w:b/>
                <w:sz w:val="18"/>
              </w:rPr>
              <w:t>Ecosystem Ratio</w:t>
            </w:r>
          </w:p>
        </w:tc>
      </w:tr>
      <w:tr>
        <w:tc>
          <w:tcPr>
            <w:tcW w:type="dxa" w:w="2340"/>
          </w:tcPr>
          <w:p>
            <w:r/>
            <w:r>
              <w:rPr>
                <w:rFonts w:ascii="Times New Roman" w:hAnsi="Times New Roman"/>
                <w:sz w:val="18"/>
              </w:rPr>
              <w:t>5.0% (low)</w:t>
            </w:r>
          </w:p>
        </w:tc>
        <w:tc>
          <w:tcPr>
            <w:tcW w:type="dxa" w:w="2340"/>
          </w:tcPr>
          <w:p>
            <w:r/>
            <w:r>
              <w:rPr>
                <w:rFonts w:ascii="Times New Roman" w:hAnsi="Times New Roman"/>
                <w:sz w:val="18"/>
              </w:rPr>
              <w:t>$3.6B</w:t>
            </w:r>
          </w:p>
        </w:tc>
        <w:tc>
          <w:tcPr>
            <w:tcW w:type="dxa" w:w="2340"/>
          </w:tcPr>
          <w:p>
            <w:r/>
            <w:r>
              <w:rPr>
                <w:rFonts w:ascii="Times New Roman" w:hAnsi="Times New Roman"/>
                <w:sz w:val="18"/>
              </w:rPr>
              <w:t>$67.5B</w:t>
            </w:r>
          </w:p>
        </w:tc>
        <w:tc>
          <w:tcPr>
            <w:tcW w:type="dxa" w:w="2340"/>
          </w:tcPr>
          <w:p>
            <w:r/>
            <w:r>
              <w:rPr>
                <w:rFonts w:ascii="Times New Roman" w:hAnsi="Times New Roman"/>
                <w:sz w:val="18"/>
              </w:rPr>
              <w:t>19.0×</w:t>
            </w:r>
          </w:p>
        </w:tc>
      </w:tr>
      <w:tr>
        <w:tc>
          <w:tcPr>
            <w:tcW w:type="dxa" w:w="2340"/>
          </w:tcPr>
          <w:p>
            <w:r/>
            <w:r>
              <w:rPr>
                <w:rFonts w:ascii="Times New Roman" w:hAnsi="Times New Roman"/>
                <w:sz w:val="18"/>
              </w:rPr>
              <w:t>5.88% (measured, base)</w:t>
            </w:r>
          </w:p>
        </w:tc>
        <w:tc>
          <w:tcPr>
            <w:tcW w:type="dxa" w:w="2340"/>
          </w:tcPr>
          <w:p>
            <w:r/>
            <w:r>
              <w:rPr>
                <w:rFonts w:ascii="Times New Roman" w:hAnsi="Times New Roman"/>
                <w:sz w:val="18"/>
              </w:rPr>
              <w:t>$4.2B</w:t>
            </w:r>
          </w:p>
        </w:tc>
        <w:tc>
          <w:tcPr>
            <w:tcW w:type="dxa" w:w="2340"/>
          </w:tcPr>
          <w:p>
            <w:r/>
            <w:r>
              <w:rPr>
                <w:rFonts w:ascii="Times New Roman" w:hAnsi="Times New Roman"/>
                <w:sz w:val="18"/>
              </w:rPr>
              <w:t>$66.8B</w:t>
            </w:r>
          </w:p>
        </w:tc>
        <w:tc>
          <w:tcPr>
            <w:tcW w:type="dxa" w:w="2340"/>
          </w:tcPr>
          <w:p>
            <w:r/>
            <w:r>
              <w:rPr>
                <w:rFonts w:ascii="Times New Roman" w:hAnsi="Times New Roman"/>
                <w:sz w:val="18"/>
              </w:rPr>
              <w:t>15.9×</w:t>
            </w:r>
          </w:p>
        </w:tc>
      </w:tr>
      <w:tr>
        <w:tc>
          <w:tcPr>
            <w:tcW w:type="dxa" w:w="2340"/>
          </w:tcPr>
          <w:p>
            <w:r/>
            <w:r>
              <w:rPr>
                <w:rFonts w:ascii="Times New Roman" w:hAnsi="Times New Roman"/>
                <w:sz w:val="18"/>
              </w:rPr>
              <w:t>7.5% (earlier draft's rate)</w:t>
            </w:r>
          </w:p>
        </w:tc>
        <w:tc>
          <w:tcPr>
            <w:tcW w:type="dxa" w:w="2340"/>
          </w:tcPr>
          <w:p>
            <w:r/>
            <w:r>
              <w:rPr>
                <w:rFonts w:ascii="Times New Roman" w:hAnsi="Times New Roman"/>
                <w:sz w:val="18"/>
              </w:rPr>
              <w:t>$5.3B</w:t>
            </w:r>
          </w:p>
        </w:tc>
        <w:tc>
          <w:tcPr>
            <w:tcW w:type="dxa" w:w="2340"/>
          </w:tcPr>
          <w:p>
            <w:r/>
            <w:r>
              <w:rPr>
                <w:rFonts w:ascii="Times New Roman" w:hAnsi="Times New Roman"/>
                <w:sz w:val="18"/>
              </w:rPr>
              <w:t>$65.7B</w:t>
            </w:r>
          </w:p>
        </w:tc>
        <w:tc>
          <w:tcPr>
            <w:tcW w:type="dxa" w:w="2340"/>
          </w:tcPr>
          <w:p>
            <w:r/>
            <w:r>
              <w:rPr>
                <w:rFonts w:ascii="Times New Roman" w:hAnsi="Times New Roman"/>
                <w:sz w:val="18"/>
              </w:rPr>
              <w:t>12.3×</w:t>
            </w:r>
          </w:p>
        </w:tc>
      </w:tr>
      <w:tr>
        <w:tc>
          <w:tcPr>
            <w:tcW w:type="dxa" w:w="2340"/>
            <w:tcBorders>
              <w:bottom w:val="single" w:sz="8" w:color="000000"/>
            </w:tcBorders>
          </w:tcPr>
          <w:p>
            <w:r/>
            <w:r>
              <w:rPr>
                <w:rFonts w:ascii="Times New Roman" w:hAnsi="Times New Roman"/>
                <w:sz w:val="18"/>
              </w:rPr>
              <w:t>10.0% (high)</w:t>
            </w:r>
          </w:p>
        </w:tc>
        <w:tc>
          <w:tcPr>
            <w:tcW w:type="dxa" w:w="2340"/>
            <w:tcBorders>
              <w:bottom w:val="single" w:sz="8" w:color="000000"/>
            </w:tcBorders>
          </w:tcPr>
          <w:p>
            <w:r/>
            <w:r>
              <w:rPr>
                <w:rFonts w:ascii="Times New Roman" w:hAnsi="Times New Roman"/>
                <w:sz w:val="18"/>
              </w:rPr>
              <w:t>$7.1B</w:t>
            </w:r>
          </w:p>
        </w:tc>
        <w:tc>
          <w:tcPr>
            <w:tcW w:type="dxa" w:w="2340"/>
            <w:tcBorders>
              <w:bottom w:val="single" w:sz="8" w:color="000000"/>
            </w:tcBorders>
          </w:tcPr>
          <w:p>
            <w:r/>
            <w:r>
              <w:rPr>
                <w:rFonts w:ascii="Times New Roman" w:hAnsi="Times New Roman"/>
                <w:sz w:val="18"/>
              </w:rPr>
              <w:t>$63.9B</w:t>
            </w:r>
          </w:p>
        </w:tc>
        <w:tc>
          <w:tcPr>
            <w:tcW w:type="dxa" w:w="2340"/>
            <w:tcBorders>
              <w:bottom w:val="single" w:sz="8" w:color="000000"/>
            </w:tcBorders>
          </w:tcPr>
          <w:p>
            <w:r/>
            <w:r>
              <w:rPr>
                <w:rFonts w:ascii="Times New Roman" w:hAnsi="Times New Roman"/>
                <w:sz w:val="18"/>
              </w:rPr>
              <w:t>9.0×</w:t>
            </w:r>
          </w:p>
        </w:tc>
      </w:tr>
    </w:tbl>
    <w:p>
      <w:pPr>
        <w:spacing w:after="80"/>
      </w:pPr>
    </w:p>
    <w:p>
      <w:pPr>
        <w:spacing w:after="140"/>
        <w:jc w:val="center"/>
      </w:pPr>
      <w:r>
        <w:rPr>
          <w:rFonts w:ascii="Times New Roman" w:hAnsi="Times New Roman"/>
          <w:b w:val="0"/>
          <w:i/>
          <w:sz w:val="18"/>
        </w:rPr>
        <w:t>Table 2. Sensitivity of the Indonesia estimate to take-rate assumption. Under every scenario tested, the invisible wedge exceeds $63 billion for Indonesia alone. The dollar magnitude is robust; the ratio is not, and is largely a restatement of the assumed take rate.</w:t>
      </w:r>
    </w:p>
    <w:p>
      <w:pPr>
        <w:spacing w:before="280" w:after="120"/>
      </w:pPr>
      <w:r>
        <w:rPr>
          <w:rFonts w:ascii="Times New Roman" w:hAnsi="Times New Roman"/>
          <w:b/>
          <w:sz w:val="27"/>
        </w:rPr>
        <w:t>5. GoTo Results: Fiscal Decoupling</w:t>
      </w:r>
    </w:p>
    <w:p>
      <w:pPr>
        <w:spacing w:after="140"/>
      </w:pPr>
      <w:r>
        <w:rPr>
          <w:rFonts w:ascii="Times New Roman" w:hAnsi="Times New Roman"/>
          <w:b w:val="0"/>
          <w:i w:val="0"/>
          <w:sz w:val="22"/>
        </w:rPr>
        <w:t>This section is unaffected by the corrections above, since GoTo's figures are Indonesia-native, directly reported, and expressed as shares rather than ratios.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8" w:color="000000"/>
              <w:bottom w:val="single" w:sz="4" w:color="000000"/>
            </w:tcBorders>
          </w:tcPr>
          <w:p>
            <w:r/>
            <w:r>
              <w:rPr>
                <w:rFonts w:ascii="Times New Roman" w:hAnsi="Times New Roman"/>
                <w:b/>
                <w:sz w:val="18"/>
              </w:rPr>
              <w:t>Year</w:t>
            </w:r>
          </w:p>
        </w:tc>
        <w:tc>
          <w:tcPr>
            <w:tcW w:type="dxa" w:w="1872"/>
            <w:tcBorders>
              <w:top w:val="single" w:sz="8" w:color="000000"/>
              <w:bottom w:val="single" w:sz="4" w:color="000000"/>
            </w:tcBorders>
          </w:tcPr>
          <w:p>
            <w:r/>
            <w:r>
              <w:rPr>
                <w:rFonts w:ascii="Times New Roman" w:hAnsi="Times New Roman"/>
                <w:b/>
                <w:sz w:val="18"/>
              </w:rPr>
              <w:t>GTV</w:t>
            </w:r>
          </w:p>
        </w:tc>
        <w:tc>
          <w:tcPr>
            <w:tcW w:type="dxa" w:w="1872"/>
            <w:tcBorders>
              <w:top w:val="single" w:sz="8" w:color="000000"/>
              <w:bottom w:val="single" w:sz="4" w:color="000000"/>
            </w:tcBorders>
          </w:tcPr>
          <w:p>
            <w:r/>
            <w:r>
              <w:rPr>
                <w:rFonts w:ascii="Times New Roman" w:hAnsi="Times New Roman"/>
                <w:b/>
                <w:sz w:val="18"/>
              </w:rPr>
              <w:t>Net Revenue</w:t>
            </w:r>
          </w:p>
        </w:tc>
        <w:tc>
          <w:tcPr>
            <w:tcW w:type="dxa" w:w="1872"/>
            <w:tcBorders>
              <w:top w:val="single" w:sz="8" w:color="000000"/>
              <w:bottom w:val="single" w:sz="4" w:color="000000"/>
            </w:tcBorders>
          </w:tcPr>
          <w:p>
            <w:r/>
            <w:r>
              <w:rPr>
                <w:rFonts w:ascii="Times New Roman" w:hAnsi="Times New Roman"/>
                <w:b/>
                <w:sz w:val="18"/>
              </w:rPr>
              <w:t>Invisible Wedge</w:t>
            </w:r>
          </w:p>
        </w:tc>
        <w:tc>
          <w:tcPr>
            <w:tcW w:type="dxa" w:w="1872"/>
            <w:tcBorders>
              <w:top w:val="single" w:sz="8" w:color="000000"/>
              <w:bottom w:val="single" w:sz="4" w:color="000000"/>
            </w:tcBorders>
          </w:tcPr>
          <w:p>
            <w:r/>
            <w:r>
              <w:rPr>
                <w:rFonts w:ascii="Times New Roman" w:hAnsi="Times New Roman"/>
                <w:b/>
                <w:sz w:val="18"/>
              </w:rPr>
              <w:t>% Invisible</w:t>
            </w:r>
          </w:p>
        </w:tc>
      </w:tr>
      <w:tr>
        <w:tc>
          <w:tcPr>
            <w:tcW w:type="dxa" w:w="1872"/>
          </w:tcPr>
          <w:p>
            <w:r/>
            <w:r>
              <w:rPr>
                <w:rFonts w:ascii="Times New Roman" w:hAnsi="Times New Roman"/>
                <w:sz w:val="18"/>
              </w:rPr>
              <w:t>2020</w:t>
            </w:r>
          </w:p>
        </w:tc>
        <w:tc>
          <w:tcPr>
            <w:tcW w:type="dxa" w:w="1872"/>
          </w:tcPr>
          <w:p>
            <w:r/>
            <w:r>
              <w:rPr>
                <w:rFonts w:ascii="Times New Roman" w:hAnsi="Times New Roman"/>
                <w:sz w:val="18"/>
              </w:rPr>
              <w:t>$28.0B</w:t>
            </w:r>
          </w:p>
        </w:tc>
        <w:tc>
          <w:tcPr>
            <w:tcW w:type="dxa" w:w="1872"/>
          </w:tcPr>
          <w:p>
            <w:r/>
            <w:r>
              <w:rPr>
                <w:rFonts w:ascii="Times New Roman" w:hAnsi="Times New Roman"/>
                <w:sz w:val="18"/>
              </w:rPr>
              <w:t>$1.2B</w:t>
            </w:r>
          </w:p>
        </w:tc>
        <w:tc>
          <w:tcPr>
            <w:tcW w:type="dxa" w:w="1872"/>
          </w:tcPr>
          <w:p>
            <w:r/>
            <w:r>
              <w:rPr>
                <w:rFonts w:ascii="Times New Roman" w:hAnsi="Times New Roman"/>
                <w:sz w:val="18"/>
              </w:rPr>
              <w:t>$26.8B</w:t>
            </w:r>
          </w:p>
        </w:tc>
        <w:tc>
          <w:tcPr>
            <w:tcW w:type="dxa" w:w="1872"/>
          </w:tcPr>
          <w:p>
            <w:r/>
            <w:r>
              <w:rPr>
                <w:rFonts w:ascii="Times New Roman" w:hAnsi="Times New Roman"/>
                <w:sz w:val="18"/>
              </w:rPr>
              <w:t>95.7%</w:t>
            </w:r>
          </w:p>
        </w:tc>
      </w:tr>
      <w:tr>
        <w:tc>
          <w:tcPr>
            <w:tcW w:type="dxa" w:w="1872"/>
          </w:tcPr>
          <w:p>
            <w:r/>
            <w:r>
              <w:rPr>
                <w:rFonts w:ascii="Times New Roman" w:hAnsi="Times New Roman"/>
                <w:sz w:val="18"/>
              </w:rPr>
              <w:t>2021</w:t>
            </w:r>
          </w:p>
        </w:tc>
        <w:tc>
          <w:tcPr>
            <w:tcW w:type="dxa" w:w="1872"/>
          </w:tcPr>
          <w:p>
            <w:r/>
            <w:r>
              <w:rPr>
                <w:rFonts w:ascii="Times New Roman" w:hAnsi="Times New Roman"/>
                <w:sz w:val="18"/>
              </w:rPr>
              <w:t>$35.0B</w:t>
            </w:r>
          </w:p>
        </w:tc>
        <w:tc>
          <w:tcPr>
            <w:tcW w:type="dxa" w:w="1872"/>
          </w:tcPr>
          <w:p>
            <w:r/>
            <w:r>
              <w:rPr>
                <w:rFonts w:ascii="Times New Roman" w:hAnsi="Times New Roman"/>
                <w:sz w:val="18"/>
              </w:rPr>
              <w:t>$1.4B</w:t>
            </w:r>
          </w:p>
        </w:tc>
        <w:tc>
          <w:tcPr>
            <w:tcW w:type="dxa" w:w="1872"/>
          </w:tcPr>
          <w:p>
            <w:r/>
            <w:r>
              <w:rPr>
                <w:rFonts w:ascii="Times New Roman" w:hAnsi="Times New Roman"/>
                <w:sz w:val="18"/>
              </w:rPr>
              <w:t>$33.6B</w:t>
            </w:r>
          </w:p>
        </w:tc>
        <w:tc>
          <w:tcPr>
            <w:tcW w:type="dxa" w:w="1872"/>
          </w:tcPr>
          <w:p>
            <w:r/>
            <w:r>
              <w:rPr>
                <w:rFonts w:ascii="Times New Roman" w:hAnsi="Times New Roman"/>
                <w:sz w:val="18"/>
              </w:rPr>
              <w:t>96.0%</w:t>
            </w:r>
          </w:p>
        </w:tc>
      </w:tr>
      <w:tr>
        <w:tc>
          <w:tcPr>
            <w:tcW w:type="dxa" w:w="1872"/>
          </w:tcPr>
          <w:p>
            <w:r/>
            <w:r>
              <w:rPr>
                <w:rFonts w:ascii="Times New Roman" w:hAnsi="Times New Roman"/>
                <w:sz w:val="18"/>
              </w:rPr>
              <w:t>2022</w:t>
            </w:r>
          </w:p>
        </w:tc>
        <w:tc>
          <w:tcPr>
            <w:tcW w:type="dxa" w:w="1872"/>
          </w:tcPr>
          <w:p>
            <w:r/>
            <w:r>
              <w:rPr>
                <w:rFonts w:ascii="Times New Roman" w:hAnsi="Times New Roman"/>
                <w:sz w:val="18"/>
              </w:rPr>
              <w:t>$39.0B</w:t>
            </w:r>
          </w:p>
        </w:tc>
        <w:tc>
          <w:tcPr>
            <w:tcW w:type="dxa" w:w="1872"/>
          </w:tcPr>
          <w:p>
            <w:r/>
            <w:r>
              <w:rPr>
                <w:rFonts w:ascii="Times New Roman" w:hAnsi="Times New Roman"/>
                <w:sz w:val="18"/>
              </w:rPr>
              <w:t>$1.2B</w:t>
            </w:r>
          </w:p>
        </w:tc>
        <w:tc>
          <w:tcPr>
            <w:tcW w:type="dxa" w:w="1872"/>
          </w:tcPr>
          <w:p>
            <w:r/>
            <w:r>
              <w:rPr>
                <w:rFonts w:ascii="Times New Roman" w:hAnsi="Times New Roman"/>
                <w:sz w:val="18"/>
              </w:rPr>
              <w:t>$37.8B</w:t>
            </w:r>
          </w:p>
        </w:tc>
        <w:tc>
          <w:tcPr>
            <w:tcW w:type="dxa" w:w="1872"/>
          </w:tcPr>
          <w:p>
            <w:r/>
            <w:r>
              <w:rPr>
                <w:rFonts w:ascii="Times New Roman" w:hAnsi="Times New Roman"/>
                <w:sz w:val="18"/>
              </w:rPr>
              <w:t>96.9%</w:t>
            </w:r>
          </w:p>
        </w:tc>
      </w:tr>
      <w:tr>
        <w:tc>
          <w:tcPr>
            <w:tcW w:type="dxa" w:w="1872"/>
            <w:tcBorders>
              <w:bottom w:val="single" w:sz="8" w:color="000000"/>
            </w:tcBorders>
          </w:tcPr>
          <w:p>
            <w:r/>
            <w:r>
              <w:rPr>
                <w:rFonts w:ascii="Times New Roman" w:hAnsi="Times New Roman"/>
                <w:sz w:val="18"/>
              </w:rPr>
              <w:t>2023</w:t>
            </w:r>
          </w:p>
        </w:tc>
        <w:tc>
          <w:tcPr>
            <w:tcW w:type="dxa" w:w="1872"/>
            <w:tcBorders>
              <w:bottom w:val="single" w:sz="8" w:color="000000"/>
            </w:tcBorders>
          </w:tcPr>
          <w:p>
            <w:r/>
            <w:r>
              <w:rPr>
                <w:rFonts w:ascii="Times New Roman" w:hAnsi="Times New Roman"/>
                <w:sz w:val="18"/>
              </w:rPr>
              <w:t>$39.8B</w:t>
            </w:r>
          </w:p>
        </w:tc>
        <w:tc>
          <w:tcPr>
            <w:tcW w:type="dxa" w:w="1872"/>
            <w:tcBorders>
              <w:bottom w:val="single" w:sz="8" w:color="000000"/>
            </w:tcBorders>
          </w:tcPr>
          <w:p>
            <w:r/>
            <w:r>
              <w:rPr>
                <w:rFonts w:ascii="Times New Roman" w:hAnsi="Times New Roman"/>
                <w:sz w:val="18"/>
              </w:rPr>
              <w:t>$970M</w:t>
            </w:r>
          </w:p>
        </w:tc>
        <w:tc>
          <w:tcPr>
            <w:tcW w:type="dxa" w:w="1872"/>
            <w:tcBorders>
              <w:bottom w:val="single" w:sz="8" w:color="000000"/>
            </w:tcBorders>
          </w:tcPr>
          <w:p>
            <w:r/>
            <w:r>
              <w:rPr>
                <w:rFonts w:ascii="Times New Roman" w:hAnsi="Times New Roman"/>
                <w:sz w:val="18"/>
              </w:rPr>
              <w:t>$38.8B</w:t>
            </w:r>
          </w:p>
        </w:tc>
        <w:tc>
          <w:tcPr>
            <w:tcW w:type="dxa" w:w="1872"/>
            <w:tcBorders>
              <w:bottom w:val="single" w:sz="8" w:color="000000"/>
            </w:tcBorders>
          </w:tcPr>
          <w:p>
            <w:r/>
            <w:r>
              <w:rPr>
                <w:rFonts w:ascii="Times New Roman" w:hAnsi="Times New Roman"/>
                <w:sz w:val="18"/>
              </w:rPr>
              <w:t>97.6%</w:t>
            </w:r>
          </w:p>
        </w:tc>
      </w:tr>
    </w:tbl>
    <w:p>
      <w:pPr>
        <w:spacing w:after="80"/>
      </w:pPr>
    </w:p>
    <w:p>
      <w:pPr>
        <w:spacing w:after="140"/>
        <w:jc w:val="center"/>
      </w:pPr>
      <w:r>
        <w:rPr>
          <w:rFonts w:ascii="Times New Roman" w:hAnsi="Times New Roman"/>
          <w:b w:val="0"/>
          <w:i/>
          <w:sz w:val="18"/>
        </w:rPr>
        <w:t>Table 3. GoTo's Fiscal Decoupling Over Time. The invisible share increased from 95.7% to 97.6%. This is the most directly grounded result in the paper: both inputs are reported by an Indonesia-domiciled company in its own filings, and the measure is a share of a single company's disclosed figures rather than a cross-platform extrapolation.</w:t>
      </w:r>
    </w:p>
    <w:p>
      <w:pPr>
        <w:spacing w:before="280" w:after="120"/>
      </w:pPr>
      <w:r>
        <w:rPr>
          <w:rFonts w:ascii="Times New Roman" w:hAnsi="Times New Roman"/>
          <w:b/>
          <w:sz w:val="27"/>
        </w:rPr>
        <w:t>6. Malaysia's 2024 Base Expansion</w:t>
      </w:r>
    </w:p>
    <w:p>
      <w:pPr>
        <w:spacing w:after="140"/>
      </w:pPr>
      <w:r>
        <w:rPr>
          <w:rFonts w:ascii="Times New Roman" w:hAnsi="Times New Roman"/>
          <w:b w:val="0"/>
          <w:i w:val="0"/>
          <w:sz w:val="22"/>
        </w:rPr>
        <w:t>Malaysia extended its digital tax base in January 2024 through the Low Value Goods (LVG) regime. Two independent readings of what that expansion captured are available, and this draft reports both rather than resolving them into one number.</w:t>
      </w:r>
    </w:p>
    <w:p>
      <w:pPr>
        <w:spacing w:after="140"/>
      </w:pPr>
      <w:r>
        <w:rPr>
          <w:rFonts w:ascii="Times New Roman" w:hAnsi="Times New Roman"/>
          <w:b w:val="0"/>
          <w:i w:val="0"/>
          <w:sz w:val="22"/>
        </w:rPr>
        <w:t>The direct reading is the policy's own reported collections. Malaysia's LVG regime collected $114 million in its first year, reported separately from the pre-existing SToDS stream in parliamentary reporting. This is an observed figure, not an estimate.</w:t>
      </w:r>
    </w:p>
    <w:p>
      <w:pPr>
        <w:spacing w:after="140"/>
      </w:pPr>
      <w:r>
        <w:rPr>
          <w:rFonts w:ascii="Times New Roman" w:hAnsi="Times New Roman"/>
          <w:b w:val="0"/>
          <w:i w:val="0"/>
          <w:sz w:val="22"/>
        </w:rPr>
        <w:t>The comparative reading is a difference-in-differences against Vietnam's Foreign Portal VAT and corporate income tax — collections by non-resident digital suppliers registered through the tax authority's foreign-supplier portal, a series distinct from domestic e-commerce VAT and one that faced no comparable base change over the same period. Computed directly from official annual totals: Malaysia moved from $275 million in 2023 to $503 million in 2024 (SToDS $389M plus LVG $114M), a change of $228 million. Vietnam moved from $300 million to $376 million, a change of $76 million. The difference in differences is $152 million.</w:t>
      </w:r>
    </w:p>
    <w:p>
      <w:pPr>
        <w:spacing w:after="140"/>
      </w:pPr>
      <w:r>
        <w:rPr>
          <w:rFonts w:ascii="Times New Roman" w:hAnsi="Times New Roman"/>
          <w:b w:val="0"/>
          <w:i w:val="0"/>
          <w:sz w:val="22"/>
        </w:rPr>
        <w:t>These annual totals are converted at exchange rates close to current levels rather than at 2023–2024 period averages; the underlying figures are not sensitive to this choice. Recomputed at verified period-average rates (USD/MYR 4.561 in 2023 and 4.576 in 2024; USD/VND 23,836 in 2023 and 25,056 in 2024), Malaysia's change is $205.9 million and Vietnam's is $56.9 million, giving a difference-in-differences of $149.0 million — within 2% of the $152 million figure above.</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8" w:color="000000"/>
              <w:bottom w:val="single" w:sz="4" w:color="000000"/>
            </w:tcBorders>
          </w:tcPr>
          <w:p>
            <w:r/>
            <w:r>
              <w:rPr>
                <w:rFonts w:ascii="Times New Roman" w:hAnsi="Times New Roman"/>
                <w:b/>
                <w:sz w:val="18"/>
              </w:rPr>
              <w:t>Series</w:t>
            </w:r>
          </w:p>
        </w:tc>
        <w:tc>
          <w:tcPr>
            <w:tcW w:type="dxa" w:w="2340"/>
            <w:tcBorders>
              <w:top w:val="single" w:sz="8" w:color="000000"/>
              <w:bottom w:val="single" w:sz="4" w:color="000000"/>
            </w:tcBorders>
          </w:tcPr>
          <w:p>
            <w:r/>
            <w:r>
              <w:rPr>
                <w:rFonts w:ascii="Times New Roman" w:hAnsi="Times New Roman"/>
                <w:b/>
                <w:sz w:val="18"/>
              </w:rPr>
              <w:t>2023</w:t>
            </w:r>
          </w:p>
        </w:tc>
        <w:tc>
          <w:tcPr>
            <w:tcW w:type="dxa" w:w="2340"/>
            <w:tcBorders>
              <w:top w:val="single" w:sz="8" w:color="000000"/>
              <w:bottom w:val="single" w:sz="4" w:color="000000"/>
            </w:tcBorders>
          </w:tcPr>
          <w:p>
            <w:r/>
            <w:r>
              <w:rPr>
                <w:rFonts w:ascii="Times New Roman" w:hAnsi="Times New Roman"/>
                <w:b/>
                <w:sz w:val="18"/>
              </w:rPr>
              <w:t>2024</w:t>
            </w:r>
          </w:p>
        </w:tc>
        <w:tc>
          <w:tcPr>
            <w:tcW w:type="dxa" w:w="2340"/>
            <w:tcBorders>
              <w:top w:val="single" w:sz="8" w:color="000000"/>
              <w:bottom w:val="single" w:sz="4" w:color="000000"/>
            </w:tcBorders>
          </w:tcPr>
          <w:p>
            <w:r/>
            <w:r>
              <w:rPr>
                <w:rFonts w:ascii="Times New Roman" w:hAnsi="Times New Roman"/>
                <w:b/>
                <w:sz w:val="18"/>
              </w:rPr>
              <w:t>Change</w:t>
            </w:r>
          </w:p>
        </w:tc>
      </w:tr>
      <w:tr>
        <w:tc>
          <w:tcPr>
            <w:tcW w:type="dxa" w:w="2340"/>
          </w:tcPr>
          <w:p>
            <w:r/>
            <w:r>
              <w:rPr>
                <w:rFonts w:ascii="Times New Roman" w:hAnsi="Times New Roman"/>
                <w:sz w:val="18"/>
              </w:rPr>
              <w:t>Malaysia (SToDS + LVG)</w:t>
            </w:r>
          </w:p>
        </w:tc>
        <w:tc>
          <w:tcPr>
            <w:tcW w:type="dxa" w:w="2340"/>
          </w:tcPr>
          <w:p>
            <w:r/>
            <w:r>
              <w:rPr>
                <w:rFonts w:ascii="Times New Roman" w:hAnsi="Times New Roman"/>
                <w:sz w:val="18"/>
              </w:rPr>
              <w:t>$275M</w:t>
            </w:r>
          </w:p>
        </w:tc>
        <w:tc>
          <w:tcPr>
            <w:tcW w:type="dxa" w:w="2340"/>
          </w:tcPr>
          <w:p>
            <w:r/>
            <w:r>
              <w:rPr>
                <w:rFonts w:ascii="Times New Roman" w:hAnsi="Times New Roman"/>
                <w:sz w:val="18"/>
              </w:rPr>
              <w:t>$503M</w:t>
            </w:r>
          </w:p>
        </w:tc>
        <w:tc>
          <w:tcPr>
            <w:tcW w:type="dxa" w:w="2340"/>
          </w:tcPr>
          <w:p>
            <w:r/>
            <w:r>
              <w:rPr>
                <w:rFonts w:ascii="Times New Roman" w:hAnsi="Times New Roman"/>
                <w:sz w:val="18"/>
              </w:rPr>
              <w:t>+$228M</w:t>
            </w:r>
          </w:p>
        </w:tc>
      </w:tr>
      <w:tr>
        <w:tc>
          <w:tcPr>
            <w:tcW w:type="dxa" w:w="2340"/>
          </w:tcPr>
          <w:p>
            <w:r/>
            <w:r>
              <w:rPr>
                <w:rFonts w:ascii="Times New Roman" w:hAnsi="Times New Roman"/>
                <w:sz w:val="18"/>
              </w:rPr>
              <w:t>Vietnam (Foreign Portal VAT + CIT)</w:t>
            </w:r>
          </w:p>
        </w:tc>
        <w:tc>
          <w:tcPr>
            <w:tcW w:type="dxa" w:w="2340"/>
          </w:tcPr>
          <w:p>
            <w:r/>
            <w:r>
              <w:rPr>
                <w:rFonts w:ascii="Times New Roman" w:hAnsi="Times New Roman"/>
                <w:sz w:val="18"/>
              </w:rPr>
              <w:t>$300M</w:t>
            </w:r>
          </w:p>
        </w:tc>
        <w:tc>
          <w:tcPr>
            <w:tcW w:type="dxa" w:w="2340"/>
          </w:tcPr>
          <w:p>
            <w:r/>
            <w:r>
              <w:rPr>
                <w:rFonts w:ascii="Times New Roman" w:hAnsi="Times New Roman"/>
                <w:sz w:val="18"/>
              </w:rPr>
              <w:t>$376M</w:t>
            </w:r>
          </w:p>
        </w:tc>
        <w:tc>
          <w:tcPr>
            <w:tcW w:type="dxa" w:w="2340"/>
          </w:tcPr>
          <w:p>
            <w:r/>
            <w:r>
              <w:rPr>
                <w:rFonts w:ascii="Times New Roman" w:hAnsi="Times New Roman"/>
                <w:sz w:val="18"/>
              </w:rPr>
              <w:t>+$76M</w:t>
            </w:r>
          </w:p>
        </w:tc>
      </w:tr>
      <w:tr>
        <w:tc>
          <w:tcPr>
            <w:tcW w:type="dxa" w:w="2340"/>
          </w:tcPr>
          <w:p>
            <w:r/>
            <w:r>
              <w:rPr>
                <w:rFonts w:ascii="Times New Roman" w:hAnsi="Times New Roman"/>
                <w:sz w:val="18"/>
              </w:rPr>
              <w:t>Difference in differences</w:t>
            </w:r>
          </w:p>
        </w:tc>
        <w:tc>
          <w:tcPr>
            <w:tcW w:type="dxa" w:w="2340"/>
          </w:tcPr>
          <w:p>
            <w:r/>
            <w:r>
              <w:rPr>
                <w:rFonts w:ascii="Times New Roman" w:hAnsi="Times New Roman"/>
                <w:sz w:val="18"/>
              </w:rPr>
              <w:t>—</w:t>
            </w:r>
          </w:p>
        </w:tc>
        <w:tc>
          <w:tcPr>
            <w:tcW w:type="dxa" w:w="2340"/>
          </w:tcPr>
          <w:p>
            <w:r/>
            <w:r>
              <w:rPr>
                <w:rFonts w:ascii="Times New Roman" w:hAnsi="Times New Roman"/>
                <w:sz w:val="18"/>
              </w:rPr>
              <w:t>—</w:t>
            </w:r>
          </w:p>
        </w:tc>
        <w:tc>
          <w:tcPr>
            <w:tcW w:type="dxa" w:w="2340"/>
          </w:tcPr>
          <w:p>
            <w:r/>
            <w:r>
              <w:rPr>
                <w:rFonts w:ascii="Times New Roman" w:hAnsi="Times New Roman"/>
                <w:sz w:val="18"/>
              </w:rPr>
              <w:t>$152M</w:t>
            </w:r>
          </w:p>
        </w:tc>
      </w:tr>
      <w:tr>
        <w:tc>
          <w:tcPr>
            <w:tcW w:type="dxa" w:w="2340"/>
            <w:tcBorders>
              <w:bottom w:val="single" w:sz="8" w:color="000000"/>
            </w:tcBorders>
          </w:tcPr>
          <w:p>
            <w:r/>
            <w:r>
              <w:rPr>
                <w:rFonts w:ascii="Times New Roman" w:hAnsi="Times New Roman"/>
                <w:sz w:val="18"/>
              </w:rPr>
              <w:t>Malaysia LVG, reported directly</w:t>
            </w:r>
          </w:p>
        </w:tc>
        <w:tc>
          <w:tcPr>
            <w:tcW w:type="dxa" w:w="2340"/>
            <w:tcBorders>
              <w:bottom w:val="single" w:sz="8" w:color="000000"/>
            </w:tcBorders>
          </w:tcPr>
          <w:p>
            <w:r/>
            <w:r>
              <w:rPr>
                <w:rFonts w:ascii="Times New Roman" w:hAnsi="Times New Roman"/>
                <w:sz w:val="18"/>
              </w:rPr>
              <w:t>—</w:t>
            </w:r>
          </w:p>
        </w:tc>
        <w:tc>
          <w:tcPr>
            <w:tcW w:type="dxa" w:w="2340"/>
            <w:tcBorders>
              <w:bottom w:val="single" w:sz="8" w:color="000000"/>
            </w:tcBorders>
          </w:tcPr>
          <w:p>
            <w:r/>
            <w:r>
              <w:rPr>
                <w:rFonts w:ascii="Times New Roman" w:hAnsi="Times New Roman"/>
                <w:sz w:val="18"/>
              </w:rPr>
              <w:t>$114M</w:t>
            </w:r>
          </w:p>
        </w:tc>
        <w:tc>
          <w:tcPr>
            <w:tcW w:type="dxa" w:w="2340"/>
            <w:tcBorders>
              <w:bottom w:val="single" w:sz="8" w:color="000000"/>
            </w:tcBorders>
          </w:tcPr>
          <w:p>
            <w:r/>
            <w:r>
              <w:rPr>
                <w:rFonts w:ascii="Times New Roman" w:hAnsi="Times New Roman"/>
                <w:sz w:val="18"/>
              </w:rPr>
              <w:t>—</w:t>
            </w:r>
          </w:p>
        </w:tc>
      </w:tr>
    </w:tbl>
    <w:p>
      <w:pPr>
        <w:spacing w:after="80"/>
      </w:pPr>
    </w:p>
    <w:p>
      <w:pPr>
        <w:spacing w:after="140"/>
        <w:jc w:val="center"/>
      </w:pPr>
      <w:r>
        <w:rPr>
          <w:rFonts w:ascii="Times New Roman" w:hAnsi="Times New Roman"/>
          <w:b w:val="0"/>
          <w:i/>
          <w:sz w:val="18"/>
        </w:rPr>
        <w:t>Table 4. Base-expansion capture, two readings. Annual totals from Malaysian parliamentary reporting and Vietnamese tax-authority reporting.</w:t>
      </w:r>
    </w:p>
    <w:p>
      <w:pPr>
        <w:spacing w:after="140"/>
      </w:pPr>
      <w:r>
        <w:rPr>
          <w:rFonts w:ascii="Times New Roman" w:hAnsi="Times New Roman"/>
          <w:b w:val="0"/>
          <w:i w:val="0"/>
          <w:sz w:val="22"/>
        </w:rPr>
        <w:t>The two readings bracket a range of $114–152 million. The difference-in-differences figure is higher because it attributes to the expansion some of the growth in the pre-existing SToDS stream, which grew faster in 2024 ($275M to $389M) than Vietnam's comparison series; whether that acceleration is attributable to the base expansion or to independent growth in the existing base cannot be resolved with these data.</w:t>
      </w:r>
    </w:p>
    <w:p>
      <w:pPr>
        <w:spacing w:after="140"/>
      </w:pPr>
      <w:r>
        <w:rPr>
          <w:rFonts w:ascii="Times New Roman" w:hAnsi="Times New Roman"/>
          <w:b w:val="0"/>
          <w:i w:val="0"/>
          <w:sz w:val="22"/>
        </w:rPr>
        <w:t>On inference. An earlier draft reported this estimate as $124 million with a standard error of $8.8 million and p &lt; .001, derived from a quarterly panel reconstructed by linear interpolation between annual totals. That procedure is not sound for inference. Linear interpolation produces a series whose residuals are small by construction, so the resulting standard error reflects the smoothness of the interpolation rather than sampling variability in the underlying data. The genuine panel has four observations across two countries and two years, which leaves no degrees of freedom for a meaningful test. No significance claim is made in this draft. The earlier draft also described the close agreement between the reconstructed estimate and the companion paper's $114 million as “itself a form of validation”; since both derive from the same annual totals, and since $114 million is the directly reported LVG figure rather than an independent estimate, that agreement was not evidence of anything and the claim is withdrawn.</w:t>
      </w:r>
    </w:p>
    <w:p>
      <w:pPr>
        <w:spacing w:after="140"/>
      </w:pPr>
      <w:r>
        <w:rPr>
          <w:rFonts w:ascii="Times New Roman" w:hAnsi="Times New Roman"/>
          <w:b w:val="0"/>
          <w:i w:val="0"/>
          <w:sz w:val="22"/>
        </w:rPr>
        <w:t>Limitations: two countries, two years, no pre-trend test, and a control of uncertain comparability. Vietnam's suitability as a control rests on the absence of a comparable base change, not on demonstrated parallel trends — and the two series do not obviously measure the same activity. Malaysia's LVG is a sales tax on imported physical goods under RM500; Vietnam's foreign-supplier portal charges VAT and corporate income tax, calculated as a deemed percentage of gross revenue, on non-resident digital service providers. A goods-import tariff and a combined VAT/CIT charge on digital service revenue are not the same tax base, which weakens Vietnam's suitability as a control beyond the missing pre-trend test alone. A synthetic control across more ASEAN comparators, a placebo-date test, or a control series drawn from a jurisdiction with a comparable goods-import regime would materially strengthen this and is noted as future work in both papers.</w:t>
      </w:r>
    </w:p>
    <w:p>
      <w:pPr>
        <w:spacing w:before="280" w:after="120"/>
      </w:pPr>
      <w:r>
        <w:rPr>
          <w:rFonts w:ascii="Times New Roman" w:hAnsi="Times New Roman"/>
          <w:b/>
          <w:sz w:val="27"/>
        </w:rPr>
        <w:t>7. Regional Extrapolation: ASEAN's $170 Billion Invisible Economy</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8" w:color="000000"/>
              <w:bottom w:val="single" w:sz="4" w:color="000000"/>
            </w:tcBorders>
          </w:tcPr>
          <w:p>
            <w:r/>
            <w:r>
              <w:rPr>
                <w:rFonts w:ascii="Times New Roman" w:hAnsi="Times New Roman"/>
                <w:b/>
                <w:sz w:val="18"/>
              </w:rPr>
              <w:t>Country</w:t>
            </w:r>
          </w:p>
        </w:tc>
        <w:tc>
          <w:tcPr>
            <w:tcW w:type="dxa" w:w="1872"/>
            <w:tcBorders>
              <w:top w:val="single" w:sz="8" w:color="000000"/>
              <w:bottom w:val="single" w:sz="4" w:color="000000"/>
            </w:tcBorders>
          </w:tcPr>
          <w:p>
            <w:r/>
            <w:r>
              <w:rPr>
                <w:rFonts w:ascii="Times New Roman" w:hAnsi="Times New Roman"/>
                <w:b/>
                <w:sz w:val="18"/>
              </w:rPr>
              <w:t>Digital GMV</w:t>
            </w:r>
          </w:p>
        </w:tc>
        <w:tc>
          <w:tcPr>
            <w:tcW w:type="dxa" w:w="1872"/>
            <w:tcBorders>
              <w:top w:val="single" w:sz="8" w:color="000000"/>
              <w:bottom w:val="single" w:sz="4" w:color="000000"/>
            </w:tcBorders>
          </w:tcPr>
          <w:p>
            <w:r/>
            <w:r>
              <w:rPr>
                <w:rFonts w:ascii="Times New Roman" w:hAnsi="Times New Roman"/>
                <w:b/>
                <w:sz w:val="18"/>
              </w:rPr>
              <w:t>Platform Rev</w:t>
            </w:r>
          </w:p>
        </w:tc>
        <w:tc>
          <w:tcPr>
            <w:tcW w:type="dxa" w:w="1872"/>
            <w:tcBorders>
              <w:top w:val="single" w:sz="8" w:color="000000"/>
              <w:bottom w:val="single" w:sz="4" w:color="000000"/>
            </w:tcBorders>
          </w:tcPr>
          <w:p>
            <w:r/>
            <w:r>
              <w:rPr>
                <w:rFonts w:ascii="Times New Roman" w:hAnsi="Times New Roman"/>
                <w:b/>
                <w:sz w:val="18"/>
              </w:rPr>
              <w:t>Invisible Wedge</w:t>
            </w:r>
          </w:p>
        </w:tc>
        <w:tc>
          <w:tcPr>
            <w:tcW w:type="dxa" w:w="1872"/>
            <w:tcBorders>
              <w:top w:val="single" w:sz="8" w:color="000000"/>
              <w:bottom w:val="single" w:sz="4" w:color="000000"/>
            </w:tcBorders>
          </w:tcPr>
          <w:p>
            <w:r/>
            <w:r>
              <w:rPr>
                <w:rFonts w:ascii="Times New Roman" w:hAnsi="Times New Roman"/>
                <w:b/>
                <w:sz w:val="18"/>
              </w:rPr>
              <w:t>Ratio</w:t>
            </w:r>
          </w:p>
        </w:tc>
      </w:tr>
      <w:tr>
        <w:tc>
          <w:tcPr>
            <w:tcW w:type="dxa" w:w="1872"/>
          </w:tcPr>
          <w:p>
            <w:r/>
            <w:r>
              <w:rPr>
                <w:rFonts w:ascii="Times New Roman" w:hAnsi="Times New Roman"/>
                <w:sz w:val="18"/>
              </w:rPr>
              <w:t>Indonesia</w:t>
            </w:r>
          </w:p>
        </w:tc>
        <w:tc>
          <w:tcPr>
            <w:tcW w:type="dxa" w:w="1872"/>
          </w:tcPr>
          <w:p>
            <w:r/>
            <w:r>
              <w:rPr>
                <w:rFonts w:ascii="Times New Roman" w:hAnsi="Times New Roman"/>
                <w:sz w:val="18"/>
              </w:rPr>
              <w:t>$71.0B</w:t>
            </w:r>
          </w:p>
        </w:tc>
        <w:tc>
          <w:tcPr>
            <w:tcW w:type="dxa" w:w="1872"/>
          </w:tcPr>
          <w:p>
            <w:r/>
            <w:r>
              <w:rPr>
                <w:rFonts w:ascii="Times New Roman" w:hAnsi="Times New Roman"/>
                <w:sz w:val="18"/>
              </w:rPr>
              <w:t>$4.2B</w:t>
            </w:r>
          </w:p>
        </w:tc>
        <w:tc>
          <w:tcPr>
            <w:tcW w:type="dxa" w:w="1872"/>
          </w:tcPr>
          <w:p>
            <w:r/>
            <w:r>
              <w:rPr>
                <w:rFonts w:ascii="Times New Roman" w:hAnsi="Times New Roman"/>
                <w:sz w:val="18"/>
              </w:rPr>
              <w:t>$66.8B</w:t>
            </w:r>
          </w:p>
        </w:tc>
        <w:tc>
          <w:tcPr>
            <w:tcW w:type="dxa" w:w="1872"/>
          </w:tcPr>
          <w:p>
            <w:r/>
            <w:r>
              <w:rPr>
                <w:rFonts w:ascii="Times New Roman" w:hAnsi="Times New Roman"/>
                <w:sz w:val="18"/>
              </w:rPr>
              <w:t>15.9×</w:t>
            </w:r>
          </w:p>
        </w:tc>
      </w:tr>
      <w:tr>
        <w:tc>
          <w:tcPr>
            <w:tcW w:type="dxa" w:w="1872"/>
          </w:tcPr>
          <w:p>
            <w:r/>
            <w:r>
              <w:rPr>
                <w:rFonts w:ascii="Times New Roman" w:hAnsi="Times New Roman"/>
                <w:sz w:val="18"/>
              </w:rPr>
              <w:t>Vietnam</w:t>
            </w:r>
          </w:p>
        </w:tc>
        <w:tc>
          <w:tcPr>
            <w:tcW w:type="dxa" w:w="1872"/>
          </w:tcPr>
          <w:p>
            <w:r/>
            <w:r>
              <w:rPr>
                <w:rFonts w:ascii="Times New Roman" w:hAnsi="Times New Roman"/>
                <w:sz w:val="18"/>
              </w:rPr>
              <w:t>$32.0B</w:t>
            </w:r>
          </w:p>
        </w:tc>
        <w:tc>
          <w:tcPr>
            <w:tcW w:type="dxa" w:w="1872"/>
          </w:tcPr>
          <w:p>
            <w:r/>
            <w:r>
              <w:rPr>
                <w:rFonts w:ascii="Times New Roman" w:hAnsi="Times New Roman"/>
                <w:sz w:val="18"/>
              </w:rPr>
              <w:t>$1.88B</w:t>
            </w:r>
          </w:p>
        </w:tc>
        <w:tc>
          <w:tcPr>
            <w:tcW w:type="dxa" w:w="1872"/>
          </w:tcPr>
          <w:p>
            <w:r/>
            <w:r>
              <w:rPr>
                <w:rFonts w:ascii="Times New Roman" w:hAnsi="Times New Roman"/>
                <w:sz w:val="18"/>
              </w:rPr>
              <w:t>$30.1B</w:t>
            </w:r>
          </w:p>
        </w:tc>
        <w:tc>
          <w:tcPr>
            <w:tcW w:type="dxa" w:w="1872"/>
          </w:tcPr>
          <w:p>
            <w:r/>
            <w:r>
              <w:rPr>
                <w:rFonts w:ascii="Times New Roman" w:hAnsi="Times New Roman"/>
                <w:sz w:val="18"/>
              </w:rPr>
              <w:t>16.0×</w:t>
            </w:r>
          </w:p>
        </w:tc>
      </w:tr>
      <w:tr>
        <w:tc>
          <w:tcPr>
            <w:tcW w:type="dxa" w:w="1872"/>
          </w:tcPr>
          <w:p>
            <w:r/>
            <w:r>
              <w:rPr>
                <w:rFonts w:ascii="Times New Roman" w:hAnsi="Times New Roman"/>
                <w:sz w:val="18"/>
              </w:rPr>
              <w:t>Philippines</w:t>
            </w:r>
          </w:p>
        </w:tc>
        <w:tc>
          <w:tcPr>
            <w:tcW w:type="dxa" w:w="1872"/>
          </w:tcPr>
          <w:p>
            <w:r/>
            <w:r>
              <w:rPr>
                <w:rFonts w:ascii="Times New Roman" w:hAnsi="Times New Roman"/>
                <w:sz w:val="18"/>
              </w:rPr>
              <w:t>$38.0B</w:t>
            </w:r>
          </w:p>
        </w:tc>
        <w:tc>
          <w:tcPr>
            <w:tcW w:type="dxa" w:w="1872"/>
          </w:tcPr>
          <w:p>
            <w:r/>
            <w:r>
              <w:rPr>
                <w:rFonts w:ascii="Times New Roman" w:hAnsi="Times New Roman"/>
                <w:sz w:val="18"/>
              </w:rPr>
              <w:t>$2.23B</w:t>
            </w:r>
          </w:p>
        </w:tc>
        <w:tc>
          <w:tcPr>
            <w:tcW w:type="dxa" w:w="1872"/>
          </w:tcPr>
          <w:p>
            <w:r/>
            <w:r>
              <w:rPr>
                <w:rFonts w:ascii="Times New Roman" w:hAnsi="Times New Roman"/>
                <w:sz w:val="18"/>
              </w:rPr>
              <w:t>$35.8B</w:t>
            </w:r>
          </w:p>
        </w:tc>
        <w:tc>
          <w:tcPr>
            <w:tcW w:type="dxa" w:w="1872"/>
          </w:tcPr>
          <w:p>
            <w:r/>
            <w:r>
              <w:rPr>
                <w:rFonts w:ascii="Times New Roman" w:hAnsi="Times New Roman"/>
                <w:sz w:val="18"/>
              </w:rPr>
              <w:t>16.0×</w:t>
            </w:r>
          </w:p>
        </w:tc>
      </w:tr>
      <w:tr>
        <w:tc>
          <w:tcPr>
            <w:tcW w:type="dxa" w:w="1872"/>
          </w:tcPr>
          <w:p>
            <w:r/>
            <w:r>
              <w:rPr>
                <w:rFonts w:ascii="Times New Roman" w:hAnsi="Times New Roman"/>
                <w:sz w:val="18"/>
              </w:rPr>
              <w:t>Thailand</w:t>
            </w:r>
          </w:p>
        </w:tc>
        <w:tc>
          <w:tcPr>
            <w:tcW w:type="dxa" w:w="1872"/>
          </w:tcPr>
          <w:p>
            <w:r/>
            <w:r>
              <w:rPr>
                <w:rFonts w:ascii="Times New Roman" w:hAnsi="Times New Roman"/>
                <w:sz w:val="18"/>
              </w:rPr>
              <w:t>$24.0B</w:t>
            </w:r>
          </w:p>
        </w:tc>
        <w:tc>
          <w:tcPr>
            <w:tcW w:type="dxa" w:w="1872"/>
          </w:tcPr>
          <w:p>
            <w:r/>
            <w:r>
              <w:rPr>
                <w:rFonts w:ascii="Times New Roman" w:hAnsi="Times New Roman"/>
                <w:sz w:val="18"/>
              </w:rPr>
              <w:t>$1.41B</w:t>
            </w:r>
          </w:p>
        </w:tc>
        <w:tc>
          <w:tcPr>
            <w:tcW w:type="dxa" w:w="1872"/>
          </w:tcPr>
          <w:p>
            <w:r/>
            <w:r>
              <w:rPr>
                <w:rFonts w:ascii="Times New Roman" w:hAnsi="Times New Roman"/>
                <w:sz w:val="18"/>
              </w:rPr>
              <w:t>$22.6B</w:t>
            </w:r>
          </w:p>
        </w:tc>
        <w:tc>
          <w:tcPr>
            <w:tcW w:type="dxa" w:w="1872"/>
          </w:tcPr>
          <w:p>
            <w:r/>
            <w:r>
              <w:rPr>
                <w:rFonts w:ascii="Times New Roman" w:hAnsi="Times New Roman"/>
                <w:sz w:val="18"/>
              </w:rPr>
              <w:t>16.0×</w:t>
            </w:r>
          </w:p>
        </w:tc>
      </w:tr>
      <w:tr>
        <w:tc>
          <w:tcPr>
            <w:tcW w:type="dxa" w:w="1872"/>
          </w:tcPr>
          <w:p>
            <w:r/>
            <w:r>
              <w:rPr>
                <w:rFonts w:ascii="Times New Roman" w:hAnsi="Times New Roman"/>
                <w:sz w:val="18"/>
              </w:rPr>
              <w:t>Malaysia</w:t>
            </w:r>
          </w:p>
        </w:tc>
        <w:tc>
          <w:tcPr>
            <w:tcW w:type="dxa" w:w="1872"/>
          </w:tcPr>
          <w:p>
            <w:r/>
            <w:r>
              <w:rPr>
                <w:rFonts w:ascii="Times New Roman" w:hAnsi="Times New Roman"/>
                <w:sz w:val="18"/>
              </w:rPr>
              <w:t>$16.0B</w:t>
            </w:r>
          </w:p>
        </w:tc>
        <w:tc>
          <w:tcPr>
            <w:tcW w:type="dxa" w:w="1872"/>
          </w:tcPr>
          <w:p>
            <w:r/>
            <w:r>
              <w:rPr>
                <w:rFonts w:ascii="Times New Roman" w:hAnsi="Times New Roman"/>
                <w:sz w:val="18"/>
              </w:rPr>
              <w:t>$0.94B</w:t>
            </w:r>
          </w:p>
        </w:tc>
        <w:tc>
          <w:tcPr>
            <w:tcW w:type="dxa" w:w="1872"/>
          </w:tcPr>
          <w:p>
            <w:r/>
            <w:r>
              <w:rPr>
                <w:rFonts w:ascii="Times New Roman" w:hAnsi="Times New Roman"/>
                <w:sz w:val="18"/>
              </w:rPr>
              <w:t>$15.1B</w:t>
            </w:r>
          </w:p>
        </w:tc>
        <w:tc>
          <w:tcPr>
            <w:tcW w:type="dxa" w:w="1872"/>
          </w:tcPr>
          <w:p>
            <w:r/>
            <w:r>
              <w:rPr>
                <w:rFonts w:ascii="Times New Roman" w:hAnsi="Times New Roman"/>
                <w:sz w:val="18"/>
              </w:rPr>
              <w:t>16.0×</w:t>
            </w:r>
          </w:p>
        </w:tc>
      </w:tr>
      <w:tr>
        <w:tc>
          <w:tcPr>
            <w:tcW w:type="dxa" w:w="1872"/>
            <w:tcBorders>
              <w:bottom w:val="single" w:sz="8" w:color="000000"/>
            </w:tcBorders>
          </w:tcPr>
          <w:p>
            <w:r/>
            <w:r>
              <w:rPr>
                <w:rFonts w:ascii="Times New Roman" w:hAnsi="Times New Roman"/>
                <w:sz w:val="18"/>
              </w:rPr>
              <w:t>ASEAN-5</w:t>
            </w:r>
          </w:p>
        </w:tc>
        <w:tc>
          <w:tcPr>
            <w:tcW w:type="dxa" w:w="1872"/>
            <w:tcBorders>
              <w:bottom w:val="single" w:sz="8" w:color="000000"/>
            </w:tcBorders>
          </w:tcPr>
          <w:p>
            <w:r/>
            <w:r>
              <w:rPr>
                <w:rFonts w:ascii="Times New Roman" w:hAnsi="Times New Roman"/>
                <w:sz w:val="18"/>
              </w:rPr>
              <w:t>$181B</w:t>
            </w:r>
          </w:p>
        </w:tc>
        <w:tc>
          <w:tcPr>
            <w:tcW w:type="dxa" w:w="1872"/>
            <w:tcBorders>
              <w:bottom w:val="single" w:sz="8" w:color="000000"/>
            </w:tcBorders>
          </w:tcPr>
          <w:p>
            <w:r/>
            <w:r>
              <w:rPr>
                <w:rFonts w:ascii="Times New Roman" w:hAnsi="Times New Roman"/>
                <w:sz w:val="18"/>
              </w:rPr>
              <w:t>$10.6B</w:t>
            </w:r>
          </w:p>
        </w:tc>
        <w:tc>
          <w:tcPr>
            <w:tcW w:type="dxa" w:w="1872"/>
            <w:tcBorders>
              <w:bottom w:val="single" w:sz="8" w:color="000000"/>
            </w:tcBorders>
          </w:tcPr>
          <w:p>
            <w:r/>
            <w:r>
              <w:rPr>
                <w:rFonts w:ascii="Times New Roman" w:hAnsi="Times New Roman"/>
                <w:sz w:val="18"/>
              </w:rPr>
              <w:t>$170B</w:t>
            </w:r>
          </w:p>
        </w:tc>
        <w:tc>
          <w:tcPr>
            <w:tcW w:type="dxa" w:w="1872"/>
            <w:tcBorders>
              <w:bottom w:val="single" w:sz="8" w:color="000000"/>
            </w:tcBorders>
          </w:tcPr>
          <w:p>
            <w:r/>
            <w:r>
              <w:rPr>
                <w:rFonts w:ascii="Times New Roman" w:hAnsi="Times New Roman"/>
                <w:sz w:val="18"/>
              </w:rPr>
              <w:t>16.1×</w:t>
            </w:r>
          </w:p>
        </w:tc>
      </w:tr>
    </w:tbl>
    <w:p>
      <w:pPr>
        <w:spacing w:after="80"/>
      </w:pPr>
    </w:p>
    <w:p>
      <w:pPr>
        <w:spacing w:after="140"/>
        <w:jc w:val="center"/>
      </w:pPr>
      <w:r>
        <w:rPr>
          <w:rFonts w:ascii="Times New Roman" w:hAnsi="Times New Roman"/>
          <w:b w:val="0"/>
          <w:i/>
          <w:sz w:val="18"/>
        </w:rPr>
        <w:t>Table 5. ASEAN Invisible Economy Estimates (2024), corrected.</w:t>
      </w:r>
    </w:p>
    <w:p>
      <w:pPr>
        <w:spacing w:after="140"/>
      </w:pPr>
      <w:r>
        <w:rPr>
          <w:rFonts w:ascii="Times New Roman" w:hAnsi="Times New Roman"/>
          <w:b w:val="0"/>
          <w:i w:val="0"/>
          <w:sz w:val="22"/>
        </w:rPr>
        <w:t>Four of these five country figures — Vietnam, Philippines, Thailand, and Malaysia — apply the same 5.88% blended take rate measured from Indonesia to each country's own GMV. They are calibrated rescalings, not independent country-level measurements. All four are therefore exactly 16.0× by construction — the agreement is arithmetic, not an empirical finding. Only Indonesia is grounded in platform-level financial data, and only Malaysia has an independent policy check (Section 6). The regional dollar total should be read as an order-of-magnitude estimate anchored on one directly measured country.</w:t>
      </w:r>
    </w:p>
    <w:p>
      <w:pPr>
        <w:spacing w:before="200" w:after="80"/>
      </w:pPr>
      <w:r>
        <w:rPr>
          <w:rFonts w:ascii="Times New Roman" w:hAnsi="Times New Roman"/>
          <w:b/>
          <w:sz w:val="23"/>
        </w:rPr>
        <w:t>7.1 Cross-Validation Against Tax Collections</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8" w:color="000000"/>
              <w:bottom w:val="single" w:sz="4" w:color="000000"/>
            </w:tcBorders>
          </w:tcPr>
          <w:p>
            <w:r/>
            <w:r>
              <w:rPr>
                <w:rFonts w:ascii="Times New Roman" w:hAnsi="Times New Roman"/>
                <w:b/>
                <w:sz w:val="18"/>
              </w:rPr>
              <w:t>Country</w:t>
            </w:r>
          </w:p>
        </w:tc>
        <w:tc>
          <w:tcPr>
            <w:tcW w:type="dxa" w:w="2340"/>
            <w:tcBorders>
              <w:top w:val="single" w:sz="8" w:color="000000"/>
              <w:bottom w:val="single" w:sz="4" w:color="000000"/>
            </w:tcBorders>
          </w:tcPr>
          <w:p>
            <w:r/>
            <w:r>
              <w:rPr>
                <w:rFonts w:ascii="Times New Roman" w:hAnsi="Times New Roman"/>
                <w:b/>
                <w:sz w:val="18"/>
              </w:rPr>
              <w:t>Invisible Wedge</w:t>
            </w:r>
          </w:p>
        </w:tc>
        <w:tc>
          <w:tcPr>
            <w:tcW w:type="dxa" w:w="2340"/>
            <w:tcBorders>
              <w:top w:val="single" w:sz="8" w:color="000000"/>
              <w:bottom w:val="single" w:sz="4" w:color="000000"/>
            </w:tcBorders>
          </w:tcPr>
          <w:p>
            <w:r/>
            <w:r>
              <w:rPr>
                <w:rFonts w:ascii="Times New Roman" w:hAnsi="Times New Roman"/>
                <w:b/>
                <w:sz w:val="18"/>
              </w:rPr>
              <w:t>Tax Revenue</w:t>
            </w:r>
          </w:p>
        </w:tc>
        <w:tc>
          <w:tcPr>
            <w:tcW w:type="dxa" w:w="2340"/>
            <w:tcBorders>
              <w:top w:val="single" w:sz="8" w:color="000000"/>
              <w:bottom w:val="single" w:sz="4" w:color="000000"/>
            </w:tcBorders>
          </w:tcPr>
          <w:p>
            <w:r/>
            <w:r>
              <w:rPr>
                <w:rFonts w:ascii="Times New Roman" w:hAnsi="Times New Roman"/>
                <w:b/>
                <w:sz w:val="18"/>
              </w:rPr>
              <w:t>Effective Rate</w:t>
            </w:r>
          </w:p>
        </w:tc>
      </w:tr>
      <w:tr>
        <w:tc>
          <w:tcPr>
            <w:tcW w:type="dxa" w:w="2340"/>
          </w:tcPr>
          <w:p>
            <w:r/>
            <w:r>
              <w:rPr>
                <w:rFonts w:ascii="Times New Roman" w:hAnsi="Times New Roman"/>
                <w:sz w:val="18"/>
              </w:rPr>
              <w:t>Indonesia</w:t>
            </w:r>
          </w:p>
        </w:tc>
        <w:tc>
          <w:tcPr>
            <w:tcW w:type="dxa" w:w="2340"/>
          </w:tcPr>
          <w:p>
            <w:r/>
            <w:r>
              <w:rPr>
                <w:rFonts w:ascii="Times New Roman" w:hAnsi="Times New Roman"/>
                <w:sz w:val="18"/>
              </w:rPr>
              <w:t>$66.8B</w:t>
            </w:r>
          </w:p>
        </w:tc>
        <w:tc>
          <w:tcPr>
            <w:tcW w:type="dxa" w:w="2340"/>
          </w:tcPr>
          <w:p>
            <w:r/>
            <w:r>
              <w:rPr>
                <w:rFonts w:ascii="Times New Roman" w:hAnsi="Times New Roman"/>
                <w:sz w:val="18"/>
              </w:rPr>
              <w:t>$0.825B</w:t>
            </w:r>
          </w:p>
        </w:tc>
        <w:tc>
          <w:tcPr>
            <w:tcW w:type="dxa" w:w="2340"/>
          </w:tcPr>
          <w:p>
            <w:r/>
            <w:r>
              <w:rPr>
                <w:rFonts w:ascii="Times New Roman" w:hAnsi="Times New Roman"/>
                <w:sz w:val="18"/>
              </w:rPr>
              <w:t>1.23%</w:t>
            </w:r>
          </w:p>
        </w:tc>
      </w:tr>
      <w:tr>
        <w:tc>
          <w:tcPr>
            <w:tcW w:type="dxa" w:w="2340"/>
          </w:tcPr>
          <w:p>
            <w:r/>
            <w:r>
              <w:rPr>
                <w:rFonts w:ascii="Times New Roman" w:hAnsi="Times New Roman"/>
                <w:sz w:val="18"/>
              </w:rPr>
              <w:t>Malaysia</w:t>
            </w:r>
          </w:p>
        </w:tc>
        <w:tc>
          <w:tcPr>
            <w:tcW w:type="dxa" w:w="2340"/>
          </w:tcPr>
          <w:p>
            <w:r/>
            <w:r>
              <w:rPr>
                <w:rFonts w:ascii="Times New Roman" w:hAnsi="Times New Roman"/>
                <w:sz w:val="18"/>
              </w:rPr>
              <w:t>$15.1B</w:t>
            </w:r>
          </w:p>
        </w:tc>
        <w:tc>
          <w:tcPr>
            <w:tcW w:type="dxa" w:w="2340"/>
          </w:tcPr>
          <w:p>
            <w:r/>
            <w:r>
              <w:rPr>
                <w:rFonts w:ascii="Times New Roman" w:hAnsi="Times New Roman"/>
                <w:sz w:val="18"/>
              </w:rPr>
              <w:t>$0.503B</w:t>
            </w:r>
          </w:p>
        </w:tc>
        <w:tc>
          <w:tcPr>
            <w:tcW w:type="dxa" w:w="2340"/>
          </w:tcPr>
          <w:p>
            <w:r/>
            <w:r>
              <w:rPr>
                <w:rFonts w:ascii="Times New Roman" w:hAnsi="Times New Roman"/>
                <w:sz w:val="18"/>
              </w:rPr>
              <w:t>3.34%</w:t>
            </w:r>
          </w:p>
        </w:tc>
      </w:tr>
      <w:tr>
        <w:tc>
          <w:tcPr>
            <w:tcW w:type="dxa" w:w="2340"/>
            <w:tcBorders>
              <w:bottom w:val="single" w:sz="8" w:color="000000"/>
            </w:tcBorders>
          </w:tcPr>
          <w:p>
            <w:r/>
            <w:r>
              <w:rPr>
                <w:rFonts w:ascii="Times New Roman" w:hAnsi="Times New Roman"/>
                <w:sz w:val="18"/>
              </w:rPr>
              <w:t>Vietnam</w:t>
            </w:r>
          </w:p>
        </w:tc>
        <w:tc>
          <w:tcPr>
            <w:tcW w:type="dxa" w:w="2340"/>
            <w:tcBorders>
              <w:bottom w:val="single" w:sz="8" w:color="000000"/>
            </w:tcBorders>
          </w:tcPr>
          <w:p>
            <w:r/>
            <w:r>
              <w:rPr>
                <w:rFonts w:ascii="Times New Roman" w:hAnsi="Times New Roman"/>
                <w:sz w:val="18"/>
              </w:rPr>
              <w:t>$30.1B</w:t>
            </w:r>
          </w:p>
        </w:tc>
        <w:tc>
          <w:tcPr>
            <w:tcW w:type="dxa" w:w="2340"/>
            <w:tcBorders>
              <w:bottom w:val="single" w:sz="8" w:color="000000"/>
            </w:tcBorders>
          </w:tcPr>
          <w:p>
            <w:r/>
            <w:r>
              <w:rPr>
                <w:rFonts w:ascii="Times New Roman" w:hAnsi="Times New Roman"/>
                <w:sz w:val="18"/>
              </w:rPr>
              <w:t>$0.376B</w:t>
            </w:r>
          </w:p>
        </w:tc>
        <w:tc>
          <w:tcPr>
            <w:tcW w:type="dxa" w:w="2340"/>
            <w:tcBorders>
              <w:bottom w:val="single" w:sz="8" w:color="000000"/>
            </w:tcBorders>
          </w:tcPr>
          <w:p>
            <w:r/>
            <w:r>
              <w:rPr>
                <w:rFonts w:ascii="Times New Roman" w:hAnsi="Times New Roman"/>
                <w:sz w:val="18"/>
              </w:rPr>
              <w:t>1.25%</w:t>
            </w:r>
          </w:p>
        </w:tc>
      </w:tr>
    </w:tbl>
    <w:p>
      <w:pPr>
        <w:spacing w:after="80"/>
      </w:pPr>
    </w:p>
    <w:p>
      <w:pPr>
        <w:spacing w:after="140"/>
        <w:jc w:val="center"/>
      </w:pPr>
      <w:r>
        <w:rPr>
          <w:rFonts w:ascii="Times New Roman" w:hAnsi="Times New Roman"/>
          <w:b w:val="0"/>
          <w:i/>
          <w:sz w:val="18"/>
        </w:rPr>
        <w:t>Table 6. Effective tax rates, corrected. Effective rates of 1.2–3.3% remain consistent with narrow tax bases (platform revenue only) and partial compliance.</w:t>
      </w:r>
    </w:p>
    <w:p>
      <w:pPr>
        <w:spacing w:before="280" w:after="120"/>
      </w:pPr>
      <w:r>
        <w:rPr>
          <w:rFonts w:ascii="Times New Roman" w:hAnsi="Times New Roman"/>
          <w:b/>
          <w:sz w:val="27"/>
        </w:rPr>
        <w:t>8. Discussion: Scope, Limitations, and Alternative Interpretations</w:t>
      </w:r>
    </w:p>
    <w:p>
      <w:pPr>
        <w:spacing w:before="200" w:after="80"/>
      </w:pPr>
      <w:r>
        <w:rPr>
          <w:rFonts w:ascii="Times New Roman" w:hAnsi="Times New Roman"/>
          <w:b/>
          <w:sz w:val="23"/>
        </w:rPr>
        <w:t>8.1 What the Corrections Changed</w:t>
      </w:r>
    </w:p>
    <w:p>
      <w:pPr>
        <w:spacing w:after="140"/>
      </w:pPr>
      <w:r>
        <w:rPr>
          <w:rFonts w:ascii="Times New Roman" w:hAnsi="Times New Roman"/>
          <w:b w:val="0"/>
          <w:i w:val="0"/>
          <w:sz w:val="22"/>
        </w:rPr>
        <w:t>The sourcing correction affects the absolute dollar magnitude of the Indonesia and ASEAN-5 estimates (down 19–25% depending on the metric) but raises the ecosystem ratio, because the error affected reported revenue more than reported GTV. The ratio correction in this draft reduces every reported ratio by exactly one, without touching any dollar figure. The inference correction removes a significance claim without changing the direction or approximate size of the estimated effect. This draft's provenance corrections — the regional headline in Section 1 and Figure 2's original-draft values — correct citation and figure errors without affecting any computed result. The GoTo fiscal-decoupling result and the qualitative argument of the paper are unaffected throughout.</w:t>
      </w:r>
    </w:p>
    <w:p>
      <w:pPr>
        <w:jc w:val="center"/>
      </w:pPr>
      <w:r>
        <w:drawing>
          <wp:inline xmlns:a="http://schemas.openxmlformats.org/drawingml/2006/main" xmlns:pic="http://schemas.openxmlformats.org/drawingml/2006/picture">
            <wp:extent cx="5394960" cy="2072318"/>
            <wp:docPr id="2" name="Picture 2"/>
            <wp:cNvGraphicFramePr>
              <a:graphicFrameLocks noChangeAspect="1"/>
            </wp:cNvGraphicFramePr>
            <a:graphic>
              <a:graphicData uri="http://schemas.openxmlformats.org/drawingml/2006/picture">
                <pic:pic>
                  <pic:nvPicPr>
                    <pic:cNvPr id="0" name="figure2_corrected.png"/>
                    <pic:cNvPicPr/>
                  </pic:nvPicPr>
                  <pic:blipFill>
                    <a:blip r:embed="rId10"/>
                    <a:stretch>
                      <a:fillRect/>
                    </a:stretch>
                  </pic:blipFill>
                  <pic:spPr>
                    <a:xfrm>
                      <a:off x="0" y="0"/>
                      <a:ext cx="5394960" cy="2072318"/>
                    </a:xfrm>
                    <a:prstGeom prst="rect"/>
                  </pic:spPr>
                </pic:pic>
              </a:graphicData>
            </a:graphic>
          </wp:inline>
        </w:drawing>
      </w:r>
    </w:p>
    <w:p>
      <w:pPr>
        <w:spacing w:after="240"/>
        <w:jc w:val="center"/>
      </w:pPr>
      <w:r>
        <w:rPr>
          <w:rFonts w:ascii="Times New Roman" w:hAnsi="Times New Roman"/>
          <w:i/>
          <w:sz w:val="18"/>
        </w:rPr>
        <w:t>Figure 2. The effect of both corrections on the paper's two headline numbers, against the actual original-draft figures posted to SSRN. The sourcing correction lowered the dollar total and raised the ratio; the ratio correction lowers the ratio without touching any dollar figure.</w:t>
      </w:r>
    </w:p>
    <w:p>
      <w:pPr>
        <w:spacing w:before="200" w:after="80"/>
      </w:pPr>
      <w:r>
        <w:rPr>
          <w:rFonts w:ascii="Times New Roman" w:hAnsi="Times New Roman"/>
          <w:b/>
          <w:sz w:val="23"/>
        </w:rPr>
        <w:t>8.2 GTV vs. Value-Added</w:t>
      </w:r>
    </w:p>
    <w:p>
      <w:pPr>
        <w:spacing w:after="140"/>
      </w:pPr>
      <w:r>
        <w:rPr>
          <w:rFonts w:ascii="Times New Roman" w:hAnsi="Times New Roman"/>
          <w:b w:val="0"/>
          <w:i w:val="0"/>
          <w:sz w:val="22"/>
        </w:rPr>
        <w:t>The invisible wedge is gross income flowing to platform participants, not value-added. What fraction represents “true” value-added is an open empirical question — likely 40–60% — but even the conservative estimate implies $27–40 billion in untaxed value creation for Indonesia alone under the corrected figures.</w:t>
      </w:r>
    </w:p>
    <w:p>
      <w:pPr>
        <w:spacing w:before="200" w:after="80"/>
      </w:pPr>
      <w:r>
        <w:rPr>
          <w:rFonts w:ascii="Times New Roman" w:hAnsi="Times New Roman"/>
          <w:b/>
          <w:sz w:val="23"/>
        </w:rPr>
        <w:t>8.3 The Creator Economy Gap</w:t>
      </w:r>
    </w:p>
    <w:p>
      <w:pPr>
        <w:spacing w:after="140"/>
      </w:pPr>
      <w:r>
        <w:rPr>
          <w:rFonts w:ascii="Times New Roman" w:hAnsi="Times New Roman"/>
          <w:b w:val="0"/>
          <w:i w:val="0"/>
          <w:sz w:val="22"/>
        </w:rPr>
        <w:t>This paper's estimates capture only transaction platforms, missing the creator economy (estimated separately at $15–25 billion for ASEAN).</w:t>
      </w:r>
    </w:p>
    <w:p>
      <w:pPr>
        <w:spacing w:before="280" w:after="120"/>
      </w:pPr>
      <w:r>
        <w:rPr>
          <w:rFonts w:ascii="Times New Roman" w:hAnsi="Times New Roman"/>
          <w:b/>
          <w:sz w:val="27"/>
        </w:rPr>
        <w:t>9. Policy Implications: A Bifurcated Framework</w:t>
      </w:r>
    </w:p>
    <w:p>
      <w:pPr>
        <w:spacing w:after="140"/>
      </w:pPr>
      <w:r>
        <w:rPr>
          <w:rFonts w:ascii="Times New Roman" w:hAnsi="Times New Roman"/>
          <w:b w:val="0"/>
          <w:i w:val="0"/>
          <w:sz w:val="22"/>
        </w:rPr>
        <w:t>The corrected ecosystem ratio means platform revenue — the entire base current digital taxes can reach — is under 6% of platform-mediated transaction value. Actual collection is smaller again: the effective rates in Table 6 run 1.2–3.3% of the invisible wedge. Malaysia's experience shows governments can bring invisible activity into the tax base through targeted policy expansion, capturing somewhere between $114 and $152 million in the first year of one such measure. Zero-rated formalization for gig workers and algorithmic withholding for high-income creators remain the two proposals, unchanged from the original draft.</w:t>
      </w:r>
    </w:p>
    <w:p>
      <w:pPr>
        <w:spacing w:before="280" w:after="120"/>
      </w:pPr>
      <w:r>
        <w:rPr>
          <w:rFonts w:ascii="Times New Roman" w:hAnsi="Times New Roman"/>
          <w:b/>
          <w:sz w:val="27"/>
        </w:rPr>
        <w:t>10. Conclusion</w:t>
      </w:r>
    </w:p>
    <w:p>
      <w:pPr>
        <w:spacing w:after="140"/>
      </w:pPr>
      <w:r>
        <w:rPr>
          <w:rFonts w:ascii="Times New Roman" w:hAnsi="Times New Roman"/>
          <w:b w:val="0"/>
          <w:i w:val="0"/>
          <w:sz w:val="22"/>
        </w:rPr>
        <w:t>This study documents a $170 billion invisible economy across ASEAN — income flowing to platform participants that escapes tax administration despite being digitally intermediated. Using a combination of directly disclosed filings, Indonesia-native reporting, and one independently sourced third-party market-share estimate — each explicitly labeled by provenance — I find that roughly 94% of platform-mediated transaction value flows to ecosystem participants rather than platforms, an ecosystem ratio of 15.9× for Indonesia.</w:t>
      </w:r>
    </w:p>
    <w:p>
      <w:pPr>
        <w:spacing w:after="140"/>
      </w:pPr>
      <w:r>
        <w:rPr>
          <w:rFonts w:ascii="Times New Roman" w:hAnsi="Times New Roman"/>
          <w:b w:val="0"/>
          <w:i w:val="0"/>
          <w:sz w:val="22"/>
        </w:rPr>
        <w:t>Malaysia's 2024 base expansion captured between $114 million (the policy's own reported collections) and $152 million (a difference-in-differences comparison against Vietnam) in its first year, a range shown in this draft to be stable across exchange-rate conventions but resting on a comparison series that taxes a different base than the policy under study. GoTo's time series, the most directly grounded result here, confirms fiscal decoupling is structural and accelerating.</w:t>
      </w:r>
    </w:p>
    <w:p>
      <w:pPr>
        <w:spacing w:after="140"/>
      </w:pPr>
      <w:r>
        <w:rPr>
          <w:rFonts w:ascii="Times New Roman" w:hAnsi="Times New Roman"/>
          <w:b w:val="0"/>
          <w:i w:val="0"/>
          <w:sz w:val="22"/>
        </w:rPr>
        <w:t>This draft corrects five items across three revisions: a sourcing error in the Indonesia platform table, an ecosystem ratio reported one higher than the paper's own definition, a significance claim resting on interpolated data, an incorrect regional headline figure in the introduction, and fabricated original-draft values in Figure 2. Each correction is documented, propagated through every dependent figure, and leaves the central finding intact.</w:t>
      </w:r>
    </w:p>
    <w:p>
      <w:pPr>
        <w:spacing w:before="280" w:after="120"/>
      </w:pPr>
      <w:r>
        <w:rPr>
          <w:rFonts w:ascii="Times New Roman" w:hAnsi="Times New Roman"/>
          <w:b/>
          <w:sz w:val="26"/>
        </w:rPr>
        <w:t>References</w:t>
      </w:r>
    </w:p>
    <w:p>
      <w:pPr>
        <w:spacing w:after="180"/>
        <w:ind w:left="720" w:hanging="720"/>
      </w:pPr>
      <w:r>
        <w:rPr>
          <w:rFonts w:ascii="Times New Roman" w:hAnsi="Times New Roman"/>
          <w:sz w:val="20"/>
        </w:rPr>
        <w:t>Armstrong, M. (2006). Competition in two-sided markets. The RAND Journal of Economics, 37(3), 668–691.</w:t>
      </w:r>
    </w:p>
    <w:p>
      <w:pPr>
        <w:spacing w:after="180"/>
        <w:ind w:left="720" w:hanging="720"/>
      </w:pPr>
      <w:r>
        <w:rPr>
          <w:rFonts w:ascii="Times New Roman" w:hAnsi="Times New Roman"/>
          <w:sz w:val="20"/>
        </w:rPr>
        <w:t>Evans, D. S., &amp; Schmalensee, R. (2016). Matchmakers: The New Economics of Multisided Platforms. Harvard Business Review Press.</w:t>
      </w:r>
    </w:p>
    <w:p>
      <w:pPr>
        <w:spacing w:after="180"/>
        <w:ind w:left="720" w:hanging="720"/>
      </w:pPr>
      <w:r>
        <w:rPr>
          <w:rFonts w:ascii="Times New Roman" w:hAnsi="Times New Roman"/>
          <w:sz w:val="20"/>
        </w:rPr>
        <w:t>GoTo Gojek Tokopedia Tbk. (2024). Annual report, financial year 2023. Indonesia Stock Exchange (IDX).</w:t>
      </w:r>
    </w:p>
    <w:p>
      <w:pPr>
        <w:spacing w:after="180"/>
        <w:ind w:left="720" w:hanging="720"/>
      </w:pPr>
      <w:r>
        <w:rPr>
          <w:rFonts w:ascii="Times New Roman" w:hAnsi="Times New Roman"/>
          <w:sz w:val="20"/>
        </w:rPr>
        <w:t>Google, Temasek, &amp; Bain &amp; Company. (2024). e-Conomy SEA 2024: Profits on the Rise, Harnessing SEA's Advantage.</w:t>
      </w:r>
    </w:p>
    <w:p>
      <w:pPr>
        <w:spacing w:after="180"/>
        <w:ind w:left="720" w:hanging="720"/>
      </w:pPr>
      <w:r>
        <w:rPr>
          <w:rFonts w:ascii="Times New Roman" w:hAnsi="Times New Roman"/>
          <w:sz w:val="20"/>
        </w:rPr>
        <w:t>Grab Holdings Limited. (2024). Form 20-F, fiscal year 2023. U.S. Securities and Exchange Commission.</w:t>
      </w:r>
    </w:p>
    <w:p>
      <w:pPr>
        <w:spacing w:after="180"/>
        <w:ind w:left="720" w:hanging="720"/>
      </w:pPr>
      <w:r>
        <w:rPr>
          <w:rFonts w:ascii="Times New Roman" w:hAnsi="Times New Roman"/>
          <w:sz w:val="20"/>
        </w:rPr>
        <w:t>International Labour Organization. (2023). Resolution concerning statistics on the informal economy. 21st International Conference of Labour Statisticians.</w:t>
      </w:r>
    </w:p>
    <w:p>
      <w:pPr>
        <w:spacing w:after="180"/>
        <w:ind w:left="720" w:hanging="720"/>
      </w:pPr>
      <w:r>
        <w:rPr>
          <w:rFonts w:ascii="Times New Roman" w:hAnsi="Times New Roman"/>
          <w:sz w:val="20"/>
        </w:rPr>
        <w:t>Medina, L., &amp; Schneider, F. (2019). Shedding light on the shadow economy: A global database. CESifo Working Paper No. 7981.</w:t>
      </w:r>
    </w:p>
    <w:p>
      <w:pPr>
        <w:spacing w:after="180"/>
        <w:ind w:left="720" w:hanging="720"/>
      </w:pPr>
      <w:r>
        <w:rPr>
          <w:rFonts w:ascii="Times New Roman" w:hAnsi="Times New Roman"/>
          <w:sz w:val="20"/>
        </w:rPr>
        <w:t>Ministry of Finance (Malaysia). (2023, December 18). Sales Tax on Imported Low-Value Goods Sold Online (press release).</w:t>
      </w:r>
    </w:p>
    <w:p>
      <w:pPr>
        <w:spacing w:after="180"/>
        <w:ind w:left="720" w:hanging="720"/>
      </w:pPr>
      <w:r>
        <w:rPr>
          <w:rFonts w:ascii="Times New Roman" w:hAnsi="Times New Roman"/>
          <w:sz w:val="20"/>
        </w:rPr>
        <w:t>Momentum Works. (2024). Ecommerce in Southeast Asia 2023.</w:t>
      </w:r>
    </w:p>
    <w:p>
      <w:pPr>
        <w:spacing w:after="180"/>
        <w:ind w:left="720" w:hanging="720"/>
      </w:pPr>
      <w:r>
        <w:rPr>
          <w:rFonts w:ascii="Times New Roman" w:hAnsi="Times New Roman"/>
          <w:sz w:val="20"/>
        </w:rPr>
        <w:t>OECD. (2020). Tax Challenges Arising from Digitalisation — Pillar One Blueprint. OECD/G20 BEPS Project.</w:t>
      </w:r>
    </w:p>
    <w:p>
      <w:pPr>
        <w:spacing w:after="180"/>
        <w:ind w:left="720" w:hanging="720"/>
      </w:pPr>
      <w:r>
        <w:rPr>
          <w:rFonts w:ascii="Times New Roman" w:hAnsi="Times New Roman"/>
          <w:sz w:val="20"/>
        </w:rPr>
        <w:t>Rochet, J.-C., &amp; Tirole, J. (2003). Platform competition in two-sided markets. Journal of the European Economic Association, 1(4), 990–1029.</w:t>
      </w:r>
    </w:p>
    <w:p>
      <w:pPr>
        <w:spacing w:after="180"/>
        <w:ind w:left="720" w:hanging="720"/>
      </w:pPr>
      <w:r>
        <w:rPr>
          <w:rFonts w:ascii="Times New Roman" w:hAnsi="Times New Roman"/>
          <w:sz w:val="20"/>
        </w:rPr>
        <w:t>Royal Malaysian Customs Department. (2023). Guidelines for the Implementation of Sales Tax on Low Value Goods (LVG).</w:t>
      </w:r>
    </w:p>
    <w:p>
      <w:pPr>
        <w:spacing w:after="180"/>
        <w:ind w:left="720" w:hanging="720"/>
      </w:pPr>
      <w:r>
        <w:rPr>
          <w:rFonts w:ascii="Times New Roman" w:hAnsi="Times New Roman"/>
          <w:sz w:val="20"/>
        </w:rPr>
        <w:t>Sea Limited. (2024). Form 20-F, fiscal year 2023. U.S. Securities and Exchange Commission.</w:t>
      </w:r>
    </w:p>
    <w:p>
      <w:pPr>
        <w:spacing w:after="180"/>
        <w:ind w:left="720" w:hanging="720"/>
      </w:pPr>
      <w:r>
        <w:rPr>
          <w:rFonts w:ascii="Times New Roman" w:hAnsi="Times New Roman"/>
          <w:sz w:val="20"/>
        </w:rPr>
        <w:t>VietnamPlus. (2025, January 2). Foreign suppliers pay nearly 8.7 trillion VND in taxes this year. Vietnam News Agency.</w:t>
      </w:r>
    </w:p>
    <w:p>
      <w:pPr>
        <w:spacing w:after="140"/>
      </w:pPr>
      <w:r>
        <w:rPr>
          <w:rFonts w:ascii="Times New Roman" w:hAnsi="Times New Roman"/>
          <w:b w:val="0"/>
          <w:i/>
          <w:sz w:val="18"/>
        </w:rPr>
        <w:t>Data and reproduction code available upon request. All SEC filing figures cited in this draft were pulled directly from data.sec.gov (CIK 1855612 for Grab Holdings, CIK 1703399 for Sea Limited). Malaysian and Vietnamese collection figures are annual totals from parliamentary and tax-authority reporting; exchange-rate conventions for the recomputation in Section 6 are period-average USD/MYR and USD/VND rates as reported by exchange-rates.org.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17"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