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808080"/>
          <w:sz w:val="18"/>
          <w:szCs w:val="18"/>
        </w:rPr>
        <w:t xml:space="preserve">ARMETA</w:t>
      </w:r>
    </w:p>
    <w:p>
      <w:pPr>
        <w:spacing w:after="60"/>
      </w:pPr>
      <w:r>
        <w:rPr>
          <w:b/>
          <w:bCs/>
          <w:color w:val="1F3864"/>
          <w:sz w:val="34"/>
          <w:szCs w:val="34"/>
        </w:rPr>
        <w:t xml:space="preserve">Frontend scope — elements proposed for removal</w:t>
      </w:r>
    </w:p>
    <w:p>
      <w:pPr>
        <w:spacing w:after="300"/>
      </w:pPr>
      <w:r>
        <w:rPr>
          <w:i/>
          <w:iCs/>
          <w:color w:val="666666"/>
          <w:sz w:val="20"/>
          <w:szCs w:val="20"/>
        </w:rPr>
        <w:t xml:space="preserve">Тикетинг-платформа Support Department на базе Chatwoot · v4.18.0</w:t>
      </w:r>
    </w:p>
    <w:p>
      <w:pPr>
        <w:spacing w:after="140" w:line="276"/>
      </w:pPr>
      <w:r>
        <w:rPr>
          <w:sz w:val="21"/>
          <w:szCs w:val="21"/>
        </w:rPr>
        <w:t xml:space="preserve">Proposal for review by the analyst and the Support Department lead. Nothing here has been applied. Mapped against the ТЗ, sections 3.1–3.11.</w:t>
      </w:r>
    </w:p>
    <w:p>
      <w:pPr>
        <w:spacing w:after="140" w:line="276"/>
      </w:pPr>
      <w:r>
        <w:rPr>
          <w:b/>
          <w:bCs/>
          <w:sz w:val="21"/>
          <w:szCs w:val="21"/>
        </w:rPr>
        <w:t xml:space="preserve">Key point: most of this is feature flags, not code. </w:t>
      </w:r>
      <w:r>
        <w:rPr>
          <w:sz w:val="21"/>
          <w:szCs w:val="21"/>
        </w:rPr>
        <w:t xml:space="preserve">Super Admin → Accounts → Features toggles them off with no code change and full reversibility. Only a few items need route pruning.</w:t>
      </w:r>
    </w:p>
    <w:p>
      <w:pPr>
        <w:pStyle w:val="Heading1"/>
        <w:spacing w:after="180" w:before="320"/>
      </w:pPr>
      <w:r>
        <w:rPr>
          <w:b/>
          <w:bCs/>
          <w:color w:val="1F3864"/>
          <w:sz w:val="30"/>
          <w:szCs w:val="30"/>
        </w:rPr>
        <w:t xml:space="preserve">Tier 1 — Remove now (out of scope or irrelevant)</w:t>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3900"/>
        <w:gridCol w:w="2100"/>
      </w:tblGrid>
      <w:tr>
        <w:trPr>
          <w:tblHeader/>
        </w:trPr>
        <w:tc>
          <w:tcPr>
            <w:tcW w:type="dxa" w:w="3000"/>
            <w:shd w:fill="F2F2F2" w:color="auto" w:val="clear"/>
            <w:tcMar>
              <w:top w:type="dxa" w:w="90"/>
              <w:left w:type="dxa" w:w="120"/>
              <w:bottom w:type="dxa" w:w="90"/>
              <w:right w:type="dxa" w:w="120"/>
            </w:tcMar>
          </w:tcPr>
          <w:p>
            <w:r>
              <w:rPr>
                <w:b/>
                <w:bCs/>
                <w:sz w:val="20"/>
                <w:szCs w:val="20"/>
              </w:rPr>
              <w:t xml:space="preserve">Element</w:t>
            </w:r>
          </w:p>
        </w:tc>
        <w:tc>
          <w:tcPr>
            <w:tcW w:type="dxa" w:w="3900"/>
            <w:shd w:fill="F2F2F2" w:color="auto" w:val="clear"/>
            <w:tcMar>
              <w:top w:type="dxa" w:w="90"/>
              <w:left w:type="dxa" w:w="120"/>
              <w:bottom w:type="dxa" w:w="90"/>
              <w:right w:type="dxa" w:w="120"/>
            </w:tcMar>
          </w:tcPr>
          <w:p>
            <w:r>
              <w:rPr>
                <w:b/>
                <w:bCs/>
                <w:sz w:val="20"/>
                <w:szCs w:val="20"/>
              </w:rPr>
              <w:t xml:space="preserve">Why it is not needed</w:t>
            </w:r>
          </w:p>
        </w:tc>
        <w:tc>
          <w:tcPr>
            <w:tcW w:type="dxa" w:w="2100"/>
            <w:shd w:fill="F2F2F2" w:color="auto" w:val="clear"/>
            <w:tcMar>
              <w:top w:type="dxa" w:w="90"/>
              <w:left w:type="dxa" w:w="120"/>
              <w:bottom w:type="dxa" w:w="90"/>
              <w:right w:type="dxa" w:w="120"/>
            </w:tcMar>
          </w:tcPr>
          <w:p>
            <w:r>
              <w:rPr>
                <w:b/>
                <w:bCs/>
                <w:sz w:val="20"/>
                <w:szCs w:val="20"/>
              </w:rPr>
              <w:t xml:space="preserve">How to remove</w:t>
            </w:r>
          </w:p>
        </w:tc>
      </w:tr>
      <w:tr>
        <w:trPr>
          <w:tblHeader w:val="false"/>
        </w:trPr>
        <w:tc>
          <w:tcPr>
            <w:tcW w:type="dxa" w:w="3000"/>
            <w:tcMar>
              <w:top w:type="dxa" w:w="90"/>
              <w:left w:type="dxa" w:w="120"/>
              <w:bottom w:type="dxa" w:w="90"/>
              <w:right w:type="dxa" w:w="120"/>
            </w:tcMar>
          </w:tcPr>
          <w:p>
            <w:r>
              <w:rPr>
                <w:b w:val="false"/>
                <w:bCs w:val="false"/>
                <w:sz w:val="20"/>
                <w:szCs w:val="20"/>
              </w:rPr>
              <w:t xml:space="preserve">Captain — 8 sidebar items (Overview, Responses, Documents, Scenarios, Playground, Inboxes, Tools, Settings)</w:t>
            </w:r>
          </w:p>
        </w:tc>
        <w:tc>
          <w:tcPr>
            <w:tcW w:type="dxa" w:w="3900"/>
            <w:tcMar>
              <w:top w:type="dxa" w:w="90"/>
              <w:left w:type="dxa" w:w="120"/>
              <w:bottom w:type="dxa" w:w="90"/>
              <w:right w:type="dxa" w:w="120"/>
            </w:tcMar>
          </w:tcPr>
          <w:p>
            <w:r>
              <w:rPr>
                <w:b w:val="false"/>
                <w:bCs w:val="false"/>
                <w:sz w:val="20"/>
                <w:szCs w:val="20"/>
              </w:rPr>
              <w:t xml:space="preserve">AI is out of scope. The ТЗ mentions AI once, only to say it must not replace agent judgment.</w:t>
            </w:r>
          </w:p>
        </w:tc>
        <w:tc>
          <w:tcPr>
            <w:tcW w:type="dxa" w:w="2100"/>
            <w:tcMar>
              <w:top w:type="dxa" w:w="90"/>
              <w:left w:type="dxa" w:w="120"/>
              <w:bottom w:type="dxa" w:w="90"/>
              <w:right w:type="dxa" w:w="120"/>
            </w:tcMar>
          </w:tcPr>
          <w:p>
            <w:r>
              <w:rPr>
                <w:b w:val="false"/>
                <w:bCs w:val="false"/>
                <w:sz w:val="20"/>
                <w:szCs w:val="20"/>
              </w:rPr>
              <w:t xml:space="preserve">Flag captain_tasks off</w:t>
            </w:r>
          </w:p>
        </w:tc>
      </w:tr>
      <w:tr>
        <w:trPr>
          <w:tblHeader w:val="false"/>
        </w:trPr>
        <w:tc>
          <w:tcPr>
            <w:tcW w:type="dxa" w:w="3000"/>
            <w:tcMar>
              <w:top w:type="dxa" w:w="90"/>
              <w:left w:type="dxa" w:w="120"/>
              <w:bottom w:type="dxa" w:w="90"/>
              <w:right w:type="dxa" w:w="120"/>
            </w:tcMar>
          </w:tcPr>
          <w:p>
            <w:r>
              <w:rPr>
                <w:b w:val="false"/>
                <w:bCs w:val="false"/>
                <w:sz w:val="20"/>
                <w:szCs w:val="20"/>
              </w:rPr>
              <w:t xml:space="preserve">Calls</w:t>
            </w:r>
          </w:p>
        </w:tc>
        <w:tc>
          <w:tcPr>
            <w:tcW w:type="dxa" w:w="3900"/>
            <w:tcMar>
              <w:top w:type="dxa" w:w="90"/>
              <w:left w:type="dxa" w:w="120"/>
              <w:bottom w:type="dxa" w:w="90"/>
              <w:right w:type="dxa" w:w="120"/>
            </w:tcMar>
          </w:tcPr>
          <w:p>
            <w:r>
              <w:rPr>
                <w:b w:val="false"/>
                <w:bCs w:val="false"/>
                <w:sz w:val="20"/>
                <w:szCs w:val="20"/>
              </w:rPr>
              <w:t xml:space="preserve">Voice channel; absent from the ТЗ entirely.</w:t>
            </w:r>
          </w:p>
        </w:tc>
        <w:tc>
          <w:tcPr>
            <w:tcW w:type="dxa" w:w="2100"/>
            <w:tcMar>
              <w:top w:type="dxa" w:w="90"/>
              <w:left w:type="dxa" w:w="120"/>
              <w:bottom w:type="dxa" w:w="90"/>
              <w:right w:type="dxa" w:w="120"/>
            </w:tcMar>
          </w:tcPr>
          <w:p>
            <w:r>
              <w:rPr>
                <w:b w:val="false"/>
                <w:bCs w:val="false"/>
                <w:sz w:val="20"/>
                <w:szCs w:val="20"/>
              </w:rPr>
              <w:t xml:space="preserve">Flag voice_recorder off</w:t>
            </w:r>
          </w:p>
        </w:tc>
      </w:tr>
      <w:tr>
        <w:trPr>
          <w:tblHeader w:val="false"/>
        </w:trPr>
        <w:tc>
          <w:tcPr>
            <w:tcW w:type="dxa" w:w="3000"/>
            <w:tcMar>
              <w:top w:type="dxa" w:w="90"/>
              <w:left w:type="dxa" w:w="120"/>
              <w:bottom w:type="dxa" w:w="90"/>
              <w:right w:type="dxa" w:w="120"/>
            </w:tcMar>
          </w:tcPr>
          <w:p>
            <w:r>
              <w:rPr>
                <w:b w:val="false"/>
                <w:bCs w:val="false"/>
                <w:sz w:val="20"/>
                <w:szCs w:val="20"/>
              </w:rPr>
              <w:t xml:space="preserve">Campaigns</w:t>
            </w:r>
          </w:p>
        </w:tc>
        <w:tc>
          <w:tcPr>
            <w:tcW w:type="dxa" w:w="3900"/>
            <w:tcMar>
              <w:top w:type="dxa" w:w="90"/>
              <w:left w:type="dxa" w:w="120"/>
              <w:bottom w:type="dxa" w:w="90"/>
              <w:right w:type="dxa" w:w="120"/>
            </w:tcMar>
          </w:tcPr>
          <w:p>
            <w:r>
              <w:rPr>
                <w:b w:val="false"/>
                <w:bCs w:val="false"/>
                <w:sz w:val="20"/>
                <w:szCs w:val="20"/>
              </w:rPr>
              <w:t xml:space="preserve">Proactive outbound messaging — a sales and marketing tool, not ticketing.</w:t>
            </w:r>
          </w:p>
        </w:tc>
        <w:tc>
          <w:tcPr>
            <w:tcW w:type="dxa" w:w="2100"/>
            <w:tcMar>
              <w:top w:type="dxa" w:w="90"/>
              <w:left w:type="dxa" w:w="120"/>
              <w:bottom w:type="dxa" w:w="90"/>
              <w:right w:type="dxa" w:w="120"/>
            </w:tcMar>
          </w:tcPr>
          <w:p>
            <w:r>
              <w:rPr>
                <w:b w:val="false"/>
                <w:bCs w:val="false"/>
                <w:sz w:val="20"/>
                <w:szCs w:val="20"/>
              </w:rPr>
              <w:t xml:space="preserve">Flag campaigns off</w:t>
            </w:r>
          </w:p>
        </w:tc>
      </w:tr>
      <w:tr>
        <w:trPr>
          <w:tblHeader w:val="false"/>
        </w:trPr>
        <w:tc>
          <w:tcPr>
            <w:tcW w:type="dxa" w:w="3000"/>
            <w:tcMar>
              <w:top w:type="dxa" w:w="90"/>
              <w:left w:type="dxa" w:w="120"/>
              <w:bottom w:type="dxa" w:w="90"/>
              <w:right w:type="dxa" w:w="120"/>
            </w:tcMar>
          </w:tcPr>
          <w:p>
            <w:r>
              <w:rPr>
                <w:b w:val="false"/>
                <w:bCs w:val="false"/>
                <w:sz w:val="20"/>
                <w:szCs w:val="20"/>
              </w:rPr>
              <w:t xml:space="preserve">Companies</w:t>
            </w:r>
          </w:p>
        </w:tc>
        <w:tc>
          <w:tcPr>
            <w:tcW w:type="dxa" w:w="3900"/>
            <w:tcMar>
              <w:top w:type="dxa" w:w="90"/>
              <w:left w:type="dxa" w:w="120"/>
              <w:bottom w:type="dxa" w:w="90"/>
              <w:right w:type="dxa" w:w="120"/>
            </w:tcMar>
          </w:tcPr>
          <w:p>
            <w:r>
              <w:rPr>
                <w:b w:val="false"/>
                <w:bCs w:val="false"/>
                <w:sz w:val="20"/>
                <w:szCs w:val="20"/>
              </w:rPr>
              <w:t xml:space="preserve">CRM company records. ТЗ 3.6 covers tagging of contacts and conversations only.</w:t>
            </w:r>
          </w:p>
        </w:tc>
        <w:tc>
          <w:tcPr>
            <w:tcW w:type="dxa" w:w="2100"/>
            <w:tcMar>
              <w:top w:type="dxa" w:w="90"/>
              <w:left w:type="dxa" w:w="120"/>
              <w:bottom w:type="dxa" w:w="90"/>
              <w:right w:type="dxa" w:w="120"/>
            </w:tcMar>
          </w:tcPr>
          <w:p>
            <w:r>
              <w:rPr>
                <w:b w:val="false"/>
                <w:bCs w:val="false"/>
                <w:sz w:val="20"/>
                <w:szCs w:val="20"/>
              </w:rPr>
              <w:t xml:space="preserve">Flag crm off</w:t>
            </w:r>
          </w:p>
        </w:tc>
      </w:tr>
      <w:tr>
        <w:trPr>
          <w:tblHeader w:val="false"/>
        </w:trPr>
        <w:tc>
          <w:tcPr>
            <w:tcW w:type="dxa" w:w="3000"/>
            <w:tcMar>
              <w:top w:type="dxa" w:w="90"/>
              <w:left w:type="dxa" w:w="120"/>
              <w:bottom w:type="dxa" w:w="90"/>
              <w:right w:type="dxa" w:w="120"/>
            </w:tcMar>
          </w:tcPr>
          <w:p>
            <w:r>
              <w:rPr>
                <w:b w:val="false"/>
                <w:bCs w:val="false"/>
                <w:sz w:val="20"/>
                <w:szCs w:val="20"/>
              </w:rPr>
              <w:t xml:space="preserve">Settings → Billing</w:t>
            </w:r>
          </w:p>
        </w:tc>
        <w:tc>
          <w:tcPr>
            <w:tcW w:type="dxa" w:w="3900"/>
            <w:tcMar>
              <w:top w:type="dxa" w:w="90"/>
              <w:left w:type="dxa" w:w="120"/>
              <w:bottom w:type="dxa" w:w="90"/>
              <w:right w:type="dxa" w:w="120"/>
            </w:tcMar>
          </w:tcPr>
          <w:p>
            <w:r>
              <w:rPr>
                <w:b w:val="false"/>
                <w:bCs w:val="false"/>
                <w:sz w:val="20"/>
                <w:szCs w:val="20"/>
              </w:rPr>
              <w:t xml:space="preserve">Chatwoot Cloud subscription management; meaningless on a self-hosted fork.</w:t>
            </w:r>
          </w:p>
        </w:tc>
        <w:tc>
          <w:tcPr>
            <w:tcW w:type="dxa" w:w="2100"/>
            <w:tcMar>
              <w:top w:type="dxa" w:w="90"/>
              <w:left w:type="dxa" w:w="120"/>
              <w:bottom w:type="dxa" w:w="90"/>
              <w:right w:type="dxa" w:w="120"/>
            </w:tcMar>
          </w:tcPr>
          <w:p>
            <w:r>
              <w:rPr>
                <w:b w:val="false"/>
                <w:bCs w:val="false"/>
                <w:sz w:val="20"/>
                <w:szCs w:val="20"/>
              </w:rPr>
              <w:t xml:space="preserve">Route prune (no flag)</w:t>
            </w:r>
          </w:p>
        </w:tc>
      </w:tr>
    </w:tbl>
    <w:p>
      <w:pPr>
        <w:spacing w:after="140" w:line="276"/>
      </w:pPr>
      <w:r>
        <w:rPr>
          <w:sz w:val="21"/>
          <w:szCs w:val="21"/>
        </w:rPr>
        <w:t xml:space="preserve">Effect: 5 nav entries, roughly 12 sidebar rows, from flags alone.</w:t>
      </w:r>
    </w:p>
    <w:p>
      <w:pPr>
        <w:pStyle w:val="Heading1"/>
        <w:spacing w:after="180" w:before="320"/>
      </w:pPr>
      <w:r>
        <w:rPr>
          <w:b/>
          <w:bCs/>
          <w:color w:val="1F3864"/>
          <w:sz w:val="30"/>
          <w:szCs w:val="30"/>
        </w:rPr>
        <w:t xml:space="preserve">Tier 2 — Enterprise-backed, non-functional without a licence</w:t>
      </w:r>
    </w:p>
    <w:p>
      <w:pPr>
        <w:spacing w:after="140" w:line="276"/>
      </w:pPr>
      <w:r>
        <w:rPr>
          <w:sz w:val="21"/>
          <w:szCs w:val="21"/>
        </w:rPr>
        <w:t xml:space="preserve">These render in the UI but their backends live in the enterprise directory. </w:t>
      </w:r>
      <w:r>
        <w:rPr>
          <w:b/>
          <w:bCs/>
          <w:sz w:val="21"/>
          <w:szCs w:val="21"/>
        </w:rPr>
        <w:t xml:space="preserve">If enterprise/ is deleted, they point at routes that return 500 at request time</w:t>
      </w:r>
      <w:r>
        <w:rPr>
          <w:sz w:val="21"/>
          <w:szCs w:val="21"/>
        </w:rPr>
        <w:t xml:space="preserve">, so pruning them is mandatory as part of that decision rather than optional.</w:t>
      </w:r>
    </w:p>
    <w:p>
      <w:pPr>
        <w:pStyle w:val="ListParagraph"/>
        <w:numPr>
          <w:ilvl w:val="0"/>
          <w:numId w:val="2"/>
        </w:numPr>
        <w:spacing w:after="90"/>
      </w:pPr>
      <w:r>
        <w:rPr>
          <w:sz w:val="21"/>
          <w:szCs w:val="21"/>
        </w:rPr>
        <w:t xml:space="preserve">Settings → Audit logs</w:t>
      </w:r>
    </w:p>
    <w:p>
      <w:pPr>
        <w:pStyle w:val="ListParagraph"/>
        <w:numPr>
          <w:ilvl w:val="0"/>
          <w:numId w:val="2"/>
        </w:numPr>
        <w:spacing w:after="90"/>
      </w:pPr>
      <w:r>
        <w:rPr>
          <w:sz w:val="21"/>
          <w:szCs w:val="21"/>
        </w:rPr>
        <w:t xml:space="preserve">Settings → Custom roles</w:t>
      </w:r>
    </w:p>
    <w:p>
      <w:pPr>
        <w:pStyle w:val="ListParagraph"/>
        <w:numPr>
          <w:ilvl w:val="0"/>
          <w:numId w:val="2"/>
        </w:numPr>
        <w:spacing w:after="90"/>
      </w:pPr>
      <w:r>
        <w:rPr>
          <w:sz w:val="21"/>
          <w:szCs w:val="21"/>
        </w:rPr>
        <w:t xml:space="preserve">Settings → Conversation workflow (conversation_required_attributes)</w:t>
      </w:r>
    </w:p>
    <w:p>
      <w:pPr>
        <w:pStyle w:val="ListParagraph"/>
        <w:numPr>
          <w:ilvl w:val="0"/>
          <w:numId w:val="2"/>
        </w:numPr>
        <w:spacing w:after="90"/>
      </w:pPr>
      <w:r>
        <w:rPr>
          <w:sz w:val="21"/>
          <w:szCs w:val="21"/>
        </w:rPr>
        <w:t xml:space="preserve">SAML (under Security)</w:t>
      </w:r>
    </w:p>
    <w:p>
      <w:pPr>
        <w:pStyle w:val="ListParagraph"/>
        <w:numPr>
          <w:ilvl w:val="0"/>
          <w:numId w:val="2"/>
        </w:numPr>
        <w:spacing w:after="90"/>
      </w:pPr>
      <w:r>
        <w:rPr>
          <w:sz w:val="21"/>
          <w:szCs w:val="21"/>
        </w:rPr>
        <w:t xml:space="preserve">Settings → SLA — special case, see below</w:t>
      </w:r>
    </w:p>
    <w:p>
      <w:pPr>
        <w:spacing w:after="140" w:line="276"/>
      </w:pPr>
      <w:r>
        <w:rPr>
          <w:b/>
          <w:bCs/>
          <w:sz w:val="21"/>
          <w:szCs w:val="21"/>
        </w:rPr>
        <w:t xml:space="preserve">SLA is the exception. </w:t>
      </w:r>
      <w:r>
        <w:rPr>
          <w:sz w:val="21"/>
          <w:szCs w:val="21"/>
        </w:rPr>
        <w:t xml:space="preserve">The SLA frontend is MIT-licensed and fully reusable: forms, timer components, reports and the useSlaStatus composable. Keep the code and hide only the navigation entry until the ТЗ 3.5 backend is built. Deleting it means rewriting it later for no benefit.</w:t>
      </w:r>
    </w:p>
    <w:p>
      <w:pPr>
        <w:pStyle w:val="Heading1"/>
        <w:spacing w:after="180" w:before="320"/>
      </w:pPr>
      <w:r>
        <w:rPr>
          <w:b/>
          <w:bCs/>
          <w:color w:val="1F3864"/>
          <w:sz w:val="30"/>
          <w:szCs w:val="30"/>
        </w:rPr>
        <w:t xml:space="preserve">Tier 3 — Channels, needs a decision</w:t>
      </w:r>
    </w:p>
    <w:p>
      <w:pPr>
        <w:spacing w:after="140" w:line="276"/>
      </w:pPr>
      <w:r>
        <w:rPr>
          <w:sz w:val="21"/>
          <w:szCs w:val="21"/>
        </w:rPr>
        <w:t xml:space="preserve">Currently enabled: Facebook, Instagram, TikTok, website and email. Also available in the codebase: WhatsApp, Telegram, Line, SMS, Twilio and Twitter.</w:t>
      </w:r>
    </w:p>
    <w:p>
      <w:pPr>
        <w:spacing w:after="140" w:line="276"/>
      </w:pPr>
      <w:r>
        <w:rPr>
          <w:b/>
          <w:bCs/>
          <w:sz w:val="21"/>
          <w:szCs w:val="21"/>
        </w:rPr>
        <w:t xml:space="preserve">The ТЗ does not specify which channels Armeta supports. </w:t>
      </w:r>
      <w:r>
        <w:rPr>
          <w:sz w:val="21"/>
          <w:szCs w:val="21"/>
        </w:rPr>
        <w:t xml:space="preserve">Website widget and email are the obvious keeps. Every other enabled channel adds clutter to the "Add Inbox" flow and a configuration surface nobody maintains. Decision needed from the Support Department.</w:t>
      </w:r>
    </w:p>
    <w:p>
      <w:pPr>
        <w:pStyle w:val="Heading1"/>
        <w:spacing w:after="180" w:before="320"/>
      </w:pPr>
      <w:r>
        <w:rPr>
          <w:b/>
          <w:bCs/>
          <w:color w:val="1F3864"/>
          <w:sz w:val="30"/>
          <w:szCs w:val="30"/>
        </w:rPr>
        <w:t xml:space="preserve">Tier 4 — Integrations catalogue</w:t>
      </w:r>
    </w:p>
    <w:p>
      <w:pPr>
        <w:spacing w:after="140" w:line="276"/>
      </w:pPr>
      <w:r>
        <w:rPr>
          <w:sz w:val="21"/>
          <w:szCs w:val="21"/>
        </w:rPr>
        <w:t xml:space="preserve">The catalogue ships: webhooks, dashboard_apps, openai, linear, notion, slack, dialogflow, google_translate, dyte, shopify and leadsquared.</w:t>
      </w:r>
    </w:p>
    <w:p>
      <w:pPr>
        <w:pStyle w:val="ListParagraph"/>
        <w:numPr>
          <w:ilvl w:val="0"/>
          <w:numId w:val="2"/>
        </w:numPr>
        <w:spacing w:after="90"/>
      </w:pPr>
      <w:r>
        <w:rPr>
          <w:sz w:val="21"/>
          <w:szCs w:val="21"/>
        </w:rPr>
        <w:t xml:space="preserve">Keep webhooks — this is the n8n mechanism for ТЗ 3.11</w:t>
      </w:r>
    </w:p>
    <w:p>
      <w:pPr>
        <w:pStyle w:val="ListParagraph"/>
        <w:numPr>
          <w:ilvl w:val="0"/>
          <w:numId w:val="2"/>
        </w:numPr>
        <w:spacing w:after="90"/>
      </w:pPr>
      <w:r>
        <w:rPr>
          <w:sz w:val="21"/>
          <w:szCs w:val="21"/>
        </w:rPr>
        <w:t xml:space="preserve">Keep dashboard_apps — can embed an n8n-served panel inside the conversation sidebar</w:t>
      </w:r>
    </w:p>
    <w:p>
      <w:pPr>
        <w:pStyle w:val="ListParagraph"/>
        <w:numPr>
          <w:ilvl w:val="0"/>
          <w:numId w:val="2"/>
        </w:numPr>
        <w:spacing w:after="90"/>
      </w:pPr>
      <w:r>
        <w:rPr>
          <w:sz w:val="21"/>
          <w:szCs w:val="21"/>
        </w:rPr>
        <w:t xml:space="preserve">Drop openai and dialogflow — AI, out of scope</w:t>
      </w:r>
    </w:p>
    <w:p>
      <w:pPr>
        <w:pStyle w:val="ListParagraph"/>
        <w:numPr>
          <w:ilvl w:val="0"/>
          <w:numId w:val="2"/>
        </w:numPr>
        <w:spacing w:after="90"/>
      </w:pPr>
      <w:r>
        <w:rPr>
          <w:sz w:val="21"/>
          <w:szCs w:val="21"/>
        </w:rPr>
        <w:t xml:space="preserve">The rest depend on whether Armeta actually uses those tools</w:t>
      </w:r>
    </w:p>
    <w:p>
      <w:pPr>
        <w:pStyle w:val="Heading1"/>
        <w:spacing w:after="180" w:before="320"/>
      </w:pPr>
      <w:r>
        <w:rPr>
          <w:b/>
          <w:bCs/>
          <w:color w:val="1F3864"/>
          <w:sz w:val="30"/>
          <w:szCs w:val="30"/>
        </w:rPr>
        <w:t xml:space="preserve">Keep — maps directly to the ТЗ</w:t>
      </w:r>
    </w:p>
    <w:tbl>
      <w:tblPr>
        <w:tblW w:type="dxa" w:w="9000"/>
        <w:tblBorders>
          <w:top w:val="single" w:color="BFBFBF" w:sz="2"/>
          <w:left w:val="single" w:color="BFBFBF" w:sz="2"/>
          <w:bottom w:val="single" w:color="BFBFBF" w:sz="2"/>
          <w:right w:val="single" w:color="BFBFBF" w:sz="2"/>
          <w:insideH w:val="single" w:color="D9D9D9" w:sz="2"/>
          <w:insideV w:val="single" w:color="D9D9D9" w:sz="2"/>
        </w:tblBorders>
      </w:tblPr>
      <w:tblGrid>
        <w:gridCol w:w="5400"/>
        <w:gridCol w:w="3600"/>
      </w:tblGrid>
      <w:tr>
        <w:trPr>
          <w:tblHeader/>
        </w:trPr>
        <w:tc>
          <w:tcPr>
            <w:tcW w:type="dxa" w:w="5400"/>
            <w:shd w:fill="F2F2F2" w:color="auto" w:val="clear"/>
            <w:tcMar>
              <w:top w:type="dxa" w:w="90"/>
              <w:left w:type="dxa" w:w="120"/>
              <w:bottom w:type="dxa" w:w="90"/>
              <w:right w:type="dxa" w:w="120"/>
            </w:tcMar>
          </w:tcPr>
          <w:p>
            <w:r>
              <w:rPr>
                <w:b/>
                <w:bCs/>
                <w:sz w:val="20"/>
                <w:szCs w:val="20"/>
              </w:rPr>
              <w:t xml:space="preserve">Element</w:t>
            </w:r>
          </w:p>
        </w:tc>
        <w:tc>
          <w:tcPr>
            <w:tcW w:type="dxa" w:w="3600"/>
            <w:shd w:fill="F2F2F2" w:color="auto" w:val="clear"/>
            <w:tcMar>
              <w:top w:type="dxa" w:w="90"/>
              <w:left w:type="dxa" w:w="120"/>
              <w:bottom w:type="dxa" w:w="90"/>
              <w:right w:type="dxa" w:w="120"/>
            </w:tcMar>
          </w:tcPr>
          <w:p>
            <w:r>
              <w:rPr>
                <w:b/>
                <w:bCs/>
                <w:sz w:val="20"/>
                <w:szCs w:val="20"/>
              </w:rPr>
              <w:t xml:space="preserve">ТЗ section</w:t>
            </w:r>
          </w:p>
        </w:tc>
      </w:tr>
      <w:tr>
        <w:trPr>
          <w:tblHeader w:val="false"/>
        </w:trPr>
        <w:tc>
          <w:tcPr>
            <w:tcW w:type="dxa" w:w="5400"/>
            <w:tcMar>
              <w:top w:type="dxa" w:w="90"/>
              <w:left w:type="dxa" w:w="120"/>
              <w:bottom w:type="dxa" w:w="90"/>
              <w:right w:type="dxa" w:w="120"/>
            </w:tcMar>
          </w:tcPr>
          <w:p>
            <w:r>
              <w:rPr>
                <w:b w:val="false"/>
                <w:bCs w:val="false"/>
                <w:sz w:val="20"/>
                <w:szCs w:val="20"/>
              </w:rPr>
              <w:t xml:space="preserve">Conversations, Folders / saved views</w:t>
            </w:r>
          </w:p>
        </w:tc>
        <w:tc>
          <w:tcPr>
            <w:tcW w:type="dxa" w:w="3600"/>
            <w:tcMar>
              <w:top w:type="dxa" w:w="90"/>
              <w:left w:type="dxa" w:w="120"/>
              <w:bottom w:type="dxa" w:w="90"/>
              <w:right w:type="dxa" w:w="120"/>
            </w:tcMar>
          </w:tcPr>
          <w:p>
            <w:r>
              <w:rPr>
                <w:b w:val="false"/>
                <w:bCs w:val="false"/>
                <w:sz w:val="20"/>
                <w:szCs w:val="20"/>
              </w:rPr>
              <w:t xml:space="preserve">3.2</w:t>
            </w:r>
          </w:p>
        </w:tc>
      </w:tr>
      <w:tr>
        <w:trPr>
          <w:tblHeader w:val="false"/>
        </w:trPr>
        <w:tc>
          <w:tcPr>
            <w:tcW w:type="dxa" w:w="5400"/>
            <w:tcMar>
              <w:top w:type="dxa" w:w="90"/>
              <w:left w:type="dxa" w:w="120"/>
              <w:bottom w:type="dxa" w:w="90"/>
              <w:right w:type="dxa" w:w="120"/>
            </w:tcMar>
          </w:tcPr>
          <w:p>
            <w:r>
              <w:rPr>
                <w:b w:val="false"/>
                <w:bCs w:val="false"/>
                <w:sz w:val="20"/>
                <w:szCs w:val="20"/>
              </w:rPr>
              <w:t xml:space="preserve">Reports</w:t>
            </w:r>
          </w:p>
        </w:tc>
        <w:tc>
          <w:tcPr>
            <w:tcW w:type="dxa" w:w="3600"/>
            <w:tcMar>
              <w:top w:type="dxa" w:w="90"/>
              <w:left w:type="dxa" w:w="120"/>
              <w:bottom w:type="dxa" w:w="90"/>
              <w:right w:type="dxa" w:w="120"/>
            </w:tcMar>
          </w:tcPr>
          <w:p>
            <w:r>
              <w:rPr>
                <w:b w:val="false"/>
                <w:bCs w:val="false"/>
                <w:sz w:val="20"/>
                <w:szCs w:val="20"/>
              </w:rPr>
              <w:t xml:space="preserve">3.3</w:t>
            </w:r>
          </w:p>
        </w:tc>
      </w:tr>
      <w:tr>
        <w:trPr>
          <w:tblHeader w:val="false"/>
        </w:trPr>
        <w:tc>
          <w:tcPr>
            <w:tcW w:type="dxa" w:w="5400"/>
            <w:tcMar>
              <w:top w:type="dxa" w:w="90"/>
              <w:left w:type="dxa" w:w="120"/>
              <w:bottom w:type="dxa" w:w="90"/>
              <w:right w:type="dxa" w:w="120"/>
            </w:tcMar>
          </w:tcPr>
          <w:p>
            <w:r>
              <w:rPr>
                <w:b w:val="false"/>
                <w:bCs w:val="false"/>
                <w:sz w:val="20"/>
                <w:szCs w:val="20"/>
              </w:rPr>
              <w:t xml:space="preserve">Agent panel, conversation view</w:t>
            </w:r>
          </w:p>
        </w:tc>
        <w:tc>
          <w:tcPr>
            <w:tcW w:type="dxa" w:w="3600"/>
            <w:tcMar>
              <w:top w:type="dxa" w:w="90"/>
              <w:left w:type="dxa" w:w="120"/>
              <w:bottom w:type="dxa" w:w="90"/>
              <w:right w:type="dxa" w:w="120"/>
            </w:tcMar>
          </w:tcPr>
          <w:p>
            <w:r>
              <w:rPr>
                <w:b w:val="false"/>
                <w:bCs w:val="false"/>
                <w:sz w:val="20"/>
                <w:szCs w:val="20"/>
              </w:rPr>
              <w:t xml:space="preserve">3.4</w:t>
            </w:r>
          </w:p>
        </w:tc>
      </w:tr>
      <w:tr>
        <w:trPr>
          <w:tblHeader w:val="false"/>
        </w:trPr>
        <w:tc>
          <w:tcPr>
            <w:tcW w:type="dxa" w:w="5400"/>
            <w:tcMar>
              <w:top w:type="dxa" w:w="90"/>
              <w:left w:type="dxa" w:w="120"/>
              <w:bottom w:type="dxa" w:w="90"/>
              <w:right w:type="dxa" w:w="120"/>
            </w:tcMar>
          </w:tcPr>
          <w:p>
            <w:r>
              <w:rPr>
                <w:b w:val="false"/>
                <w:bCs w:val="false"/>
                <w:sz w:val="20"/>
                <w:szCs w:val="20"/>
              </w:rPr>
              <w:t xml:space="preserve">Priority, snooze</w:t>
            </w:r>
          </w:p>
        </w:tc>
        <w:tc>
          <w:tcPr>
            <w:tcW w:type="dxa" w:w="3600"/>
            <w:tcMar>
              <w:top w:type="dxa" w:w="90"/>
              <w:left w:type="dxa" w:w="120"/>
              <w:bottom w:type="dxa" w:w="90"/>
              <w:right w:type="dxa" w:w="120"/>
            </w:tcMar>
          </w:tcPr>
          <w:p>
            <w:r>
              <w:rPr>
                <w:b w:val="false"/>
                <w:bCs w:val="false"/>
                <w:sz w:val="20"/>
                <w:szCs w:val="20"/>
              </w:rPr>
              <w:t xml:space="preserve">3.5</w:t>
            </w:r>
          </w:p>
        </w:tc>
      </w:tr>
      <w:tr>
        <w:trPr>
          <w:tblHeader w:val="false"/>
        </w:trPr>
        <w:tc>
          <w:tcPr>
            <w:tcW w:type="dxa" w:w="5400"/>
            <w:tcMar>
              <w:top w:type="dxa" w:w="90"/>
              <w:left w:type="dxa" w:w="120"/>
              <w:bottom w:type="dxa" w:w="90"/>
              <w:right w:type="dxa" w:w="120"/>
            </w:tcMar>
          </w:tcPr>
          <w:p>
            <w:r>
              <w:rPr>
                <w:b w:val="false"/>
                <w:bCs w:val="false"/>
                <w:sz w:val="20"/>
                <w:szCs w:val="20"/>
              </w:rPr>
              <w:t xml:space="preserve">Labels</w:t>
            </w:r>
          </w:p>
        </w:tc>
        <w:tc>
          <w:tcPr>
            <w:tcW w:type="dxa" w:w="3600"/>
            <w:tcMar>
              <w:top w:type="dxa" w:w="90"/>
              <w:left w:type="dxa" w:w="120"/>
              <w:bottom w:type="dxa" w:w="90"/>
              <w:right w:type="dxa" w:w="120"/>
            </w:tcMar>
          </w:tcPr>
          <w:p>
            <w:r>
              <w:rPr>
                <w:b w:val="false"/>
                <w:bCs w:val="false"/>
                <w:sz w:val="20"/>
                <w:szCs w:val="20"/>
              </w:rPr>
              <w:t xml:space="preserve">3.6</w:t>
            </w:r>
          </w:p>
        </w:tc>
      </w:tr>
      <w:tr>
        <w:trPr>
          <w:tblHeader w:val="false"/>
        </w:trPr>
        <w:tc>
          <w:tcPr>
            <w:tcW w:type="dxa" w:w="5400"/>
            <w:tcMar>
              <w:top w:type="dxa" w:w="90"/>
              <w:left w:type="dxa" w:w="120"/>
              <w:bottom w:type="dxa" w:w="90"/>
              <w:right w:type="dxa" w:w="120"/>
            </w:tcMar>
          </w:tcPr>
          <w:p>
            <w:r>
              <w:rPr>
                <w:b w:val="false"/>
                <w:bCs w:val="false"/>
                <w:sz w:val="20"/>
                <w:szCs w:val="20"/>
              </w:rPr>
              <w:t xml:space="preserve">Inboxes, Teams, Agents, Assignment policy</w:t>
            </w:r>
          </w:p>
        </w:tc>
        <w:tc>
          <w:tcPr>
            <w:tcW w:type="dxa" w:w="3600"/>
            <w:tcMar>
              <w:top w:type="dxa" w:w="90"/>
              <w:left w:type="dxa" w:w="120"/>
              <w:bottom w:type="dxa" w:w="90"/>
              <w:right w:type="dxa" w:w="120"/>
            </w:tcMar>
          </w:tcPr>
          <w:p>
            <w:r>
              <w:rPr>
                <w:b w:val="false"/>
                <w:bCs w:val="false"/>
                <w:sz w:val="20"/>
                <w:szCs w:val="20"/>
              </w:rPr>
              <w:t xml:space="preserve">3.7</w:t>
            </w:r>
          </w:p>
        </w:tc>
      </w:tr>
      <w:tr>
        <w:trPr>
          <w:tblHeader w:val="false"/>
        </w:trPr>
        <w:tc>
          <w:tcPr>
            <w:tcW w:type="dxa" w:w="5400"/>
            <w:tcMar>
              <w:top w:type="dxa" w:w="90"/>
              <w:left w:type="dxa" w:w="120"/>
              <w:bottom w:type="dxa" w:w="90"/>
              <w:right w:type="dxa" w:w="120"/>
            </w:tcMar>
          </w:tcPr>
          <w:p>
            <w:r>
              <w:rPr>
                <w:b w:val="false"/>
                <w:bCs w:val="false"/>
                <w:sz w:val="20"/>
                <w:szCs w:val="20"/>
              </w:rPr>
              <w:t xml:space="preserve">Help Center</w:t>
            </w:r>
          </w:p>
        </w:tc>
        <w:tc>
          <w:tcPr>
            <w:tcW w:type="dxa" w:w="3600"/>
            <w:tcMar>
              <w:top w:type="dxa" w:w="90"/>
              <w:left w:type="dxa" w:w="120"/>
              <w:bottom w:type="dxa" w:w="90"/>
              <w:right w:type="dxa" w:w="120"/>
            </w:tcMar>
          </w:tcPr>
          <w:p>
            <w:r>
              <w:rPr>
                <w:b w:val="false"/>
                <w:bCs w:val="false"/>
                <w:sz w:val="20"/>
                <w:szCs w:val="20"/>
              </w:rPr>
              <w:t xml:space="preserve">3.8</w:t>
            </w:r>
          </w:p>
        </w:tc>
      </w:tr>
      <w:tr>
        <w:trPr>
          <w:tblHeader w:val="false"/>
        </w:trPr>
        <w:tc>
          <w:tcPr>
            <w:tcW w:type="dxa" w:w="5400"/>
            <w:tcMar>
              <w:top w:type="dxa" w:w="90"/>
              <w:left w:type="dxa" w:w="120"/>
              <w:bottom w:type="dxa" w:w="90"/>
              <w:right w:type="dxa" w:w="120"/>
            </w:tcMar>
          </w:tcPr>
          <w:p>
            <w:r>
              <w:rPr>
                <w:b w:val="false"/>
                <w:bCs w:val="false"/>
                <w:sz w:val="20"/>
                <w:szCs w:val="20"/>
              </w:rPr>
              <w:t xml:space="preserve">Macros, Canned responses, Automation</w:t>
            </w:r>
          </w:p>
        </w:tc>
        <w:tc>
          <w:tcPr>
            <w:tcW w:type="dxa" w:w="3600"/>
            <w:tcMar>
              <w:top w:type="dxa" w:w="90"/>
              <w:left w:type="dxa" w:w="120"/>
              <w:bottom w:type="dxa" w:w="90"/>
              <w:right w:type="dxa" w:w="120"/>
            </w:tcMar>
          </w:tcPr>
          <w:p>
            <w:r>
              <w:rPr>
                <w:b w:val="false"/>
                <w:bCs w:val="false"/>
                <w:sz w:val="20"/>
                <w:szCs w:val="20"/>
              </w:rPr>
              <w:t xml:space="preserve">3.9</w:t>
            </w:r>
          </w:p>
        </w:tc>
      </w:tr>
      <w:tr>
        <w:trPr>
          <w:tblHeader w:val="false"/>
        </w:trPr>
        <w:tc>
          <w:tcPr>
            <w:tcW w:type="dxa" w:w="5400"/>
            <w:tcMar>
              <w:top w:type="dxa" w:w="90"/>
              <w:left w:type="dxa" w:w="120"/>
              <w:bottom w:type="dxa" w:w="90"/>
              <w:right w:type="dxa" w:w="120"/>
            </w:tcMar>
          </w:tcPr>
          <w:p>
            <w:r>
              <w:rPr>
                <w:b w:val="false"/>
                <w:bCs w:val="false"/>
                <w:sz w:val="20"/>
                <w:szCs w:val="20"/>
              </w:rPr>
              <w:t xml:space="preserve">Account switcher</w:t>
            </w:r>
          </w:p>
        </w:tc>
        <w:tc>
          <w:tcPr>
            <w:tcW w:type="dxa" w:w="3600"/>
            <w:tcMar>
              <w:top w:type="dxa" w:w="90"/>
              <w:left w:type="dxa" w:w="120"/>
              <w:bottom w:type="dxa" w:w="90"/>
              <w:right w:type="dxa" w:w="120"/>
            </w:tcMar>
          </w:tcPr>
          <w:p>
            <w:r>
              <w:rPr>
                <w:b w:val="false"/>
                <w:bCs w:val="false"/>
                <w:sz w:val="20"/>
                <w:szCs w:val="20"/>
              </w:rPr>
              <w:t xml:space="preserve">3.10</w:t>
            </w:r>
          </w:p>
        </w:tc>
      </w:tr>
      <w:tr>
        <w:trPr>
          <w:tblHeader w:val="false"/>
        </w:trPr>
        <w:tc>
          <w:tcPr>
            <w:tcW w:type="dxa" w:w="5400"/>
            <w:tcMar>
              <w:top w:type="dxa" w:w="90"/>
              <w:left w:type="dxa" w:w="120"/>
              <w:bottom w:type="dxa" w:w="90"/>
              <w:right w:type="dxa" w:w="120"/>
            </w:tcMar>
          </w:tcPr>
          <w:p>
            <w:r>
              <w:rPr>
                <w:b w:val="false"/>
                <w:bCs w:val="false"/>
                <w:sz w:val="20"/>
                <w:szCs w:val="20"/>
              </w:rPr>
              <w:t xml:space="preserve">Agent bots — the n8n integration mechanism</w:t>
            </w:r>
          </w:p>
        </w:tc>
        <w:tc>
          <w:tcPr>
            <w:tcW w:type="dxa" w:w="3600"/>
            <w:tcMar>
              <w:top w:type="dxa" w:w="90"/>
              <w:left w:type="dxa" w:w="120"/>
              <w:bottom w:type="dxa" w:w="90"/>
              <w:right w:type="dxa" w:w="120"/>
            </w:tcMar>
          </w:tcPr>
          <w:p>
            <w:r>
              <w:rPr>
                <w:b w:val="false"/>
                <w:bCs w:val="false"/>
                <w:sz w:val="20"/>
                <w:szCs w:val="20"/>
              </w:rPr>
              <w:t xml:space="preserve">3.11</w:t>
            </w:r>
          </w:p>
        </w:tc>
      </w:tr>
      <w:tr>
        <w:trPr>
          <w:tblHeader w:val="false"/>
        </w:trPr>
        <w:tc>
          <w:tcPr>
            <w:tcW w:type="dxa" w:w="5400"/>
            <w:tcMar>
              <w:top w:type="dxa" w:w="90"/>
              <w:left w:type="dxa" w:w="120"/>
              <w:bottom w:type="dxa" w:w="90"/>
              <w:right w:type="dxa" w:w="120"/>
            </w:tcMar>
          </w:tcPr>
          <w:p>
            <w:r>
              <w:rPr>
                <w:b w:val="false"/>
                <w:bCs w:val="false"/>
                <w:sz w:val="20"/>
                <w:szCs w:val="20"/>
              </w:rPr>
              <w:t xml:space="preserve">Contacts, Custom attributes, Profile, Security</w:t>
            </w:r>
          </w:p>
        </w:tc>
        <w:tc>
          <w:tcPr>
            <w:tcW w:type="dxa" w:w="3600"/>
            <w:tcMar>
              <w:top w:type="dxa" w:w="90"/>
              <w:left w:type="dxa" w:w="120"/>
              <w:bottom w:type="dxa" w:w="90"/>
              <w:right w:type="dxa" w:w="120"/>
            </w:tcMar>
          </w:tcPr>
          <w:p>
            <w:r>
              <w:rPr>
                <w:b w:val="false"/>
                <w:bCs w:val="false"/>
                <w:sz w:val="20"/>
                <w:szCs w:val="20"/>
              </w:rPr>
              <w:t xml:space="preserve">supporting</w:t>
            </w:r>
          </w:p>
        </w:tc>
      </w:tr>
    </w:tbl>
    <w:p>
      <w:pPr>
        <w:spacing w:after="140" w:line="276"/>
      </w:pPr>
      <w:r>
        <w:rPr>
          <w:sz w:val="21"/>
          <w:szCs w:val="21"/>
        </w:rPr>
        <w:t xml:space="preserve">Custom attributes are worth keeping deliberately: a custom attribute definition becomes an automation condition and a filter key with </w:t>
      </w:r>
      <w:r>
        <w:rPr>
          <w:b/>
          <w:bCs/>
          <w:sz w:val="21"/>
          <w:szCs w:val="21"/>
        </w:rPr>
        <w:t xml:space="preserve">zero code</w:t>
      </w:r>
      <w:r>
        <w:rPr>
          <w:sz w:val="21"/>
          <w:szCs w:val="21"/>
        </w:rPr>
        <w:t xml:space="preserve">.</w:t>
      </w:r>
    </w:p>
    <w:p>
      <w:pPr>
        <w:pStyle w:val="Heading1"/>
        <w:spacing w:after="180" w:before="320"/>
      </w:pPr>
      <w:r>
        <w:rPr>
          <w:b/>
          <w:bCs/>
          <w:color w:val="1F3864"/>
          <w:sz w:val="30"/>
          <w:szCs w:val="30"/>
        </w:rPr>
        <w:t xml:space="preserve">A bug to fix during the prune</w:t>
      </w:r>
    </w:p>
    <w:p>
      <w:pPr>
        <w:spacing w:after="140" w:line="276"/>
      </w:pPr>
      <w:r>
        <w:rPr>
          <w:sz w:val="21"/>
          <w:szCs w:val="21"/>
        </w:rPr>
        <w:t xml:space="preserve">help_center appears in the frontend PREMIUM_FEATURES array but is </w:t>
      </w:r>
      <w:r>
        <w:rPr>
          <w:b/>
          <w:bCs/>
          <w:sz w:val="21"/>
          <w:szCs w:val="21"/>
        </w:rPr>
        <w:t xml:space="preserve">not</w:t>
      </w:r>
      <w:r>
        <w:rPr>
          <w:sz w:val="21"/>
          <w:szCs w:val="21"/>
        </w:rPr>
        <w:t xml:space="preserve"> premium in config/features.yml, where it is enabled by default. On some configurations this shows a paywall over a feature that is actually free. Since ТЗ 3.8 requires the Help Center, remove it from that array.</w:t>
      </w:r>
    </w:p>
    <w:p>
      <w:pPr>
        <w:pStyle w:val="Heading1"/>
        <w:spacing w:after="180" w:before="320"/>
      </w:pPr>
      <w:r>
        <w:rPr>
          <w:b/>
          <w:bCs/>
          <w:color w:val="1F3864"/>
          <w:sz w:val="30"/>
          <w:szCs w:val="30"/>
        </w:rPr>
        <w:t xml:space="preserve">Suggested order</w:t>
      </w:r>
    </w:p>
    <w:p>
      <w:pPr>
        <w:pStyle w:val="ListParagraph"/>
        <w:numPr>
          <w:ilvl w:val="0"/>
          <w:numId w:val="3"/>
        </w:numPr>
        <w:spacing w:after="90"/>
      </w:pPr>
      <w:r>
        <w:rPr>
          <w:sz w:val="21"/>
          <w:szCs w:val="21"/>
        </w:rPr>
        <w:t xml:space="preserve">Flags first. Tier 1 is five toggles — no code, instantly reversible. Apply, screenshot the trimmed sidebar, show the lead.</w:t>
      </w:r>
    </w:p>
    <w:p>
      <w:pPr>
        <w:pStyle w:val="ListParagraph"/>
        <w:numPr>
          <w:ilvl w:val="0"/>
          <w:numId w:val="3"/>
        </w:numPr>
        <w:spacing w:after="90"/>
      </w:pPr>
      <w:r>
        <w:rPr>
          <w:sz w:val="21"/>
          <w:szCs w:val="21"/>
        </w:rPr>
        <w:t xml:space="preserve">Confirm Tiers 3 and 4 with the analyst against real channel and tool usage.</w:t>
      </w:r>
    </w:p>
    <w:p>
      <w:pPr>
        <w:pStyle w:val="ListParagraph"/>
        <w:numPr>
          <w:ilvl w:val="0"/>
          <w:numId w:val="3"/>
        </w:numPr>
        <w:spacing w:after="90"/>
      </w:pPr>
      <w:r>
        <w:rPr>
          <w:sz w:val="21"/>
          <w:szCs w:val="21"/>
        </w:rPr>
        <w:t xml:space="preserve">Code pruning last, bundled with the enterprise/ decision, since that decision forces the Tier 2 route removal regardless.</w:t>
      </w:r>
    </w:p>
    <w:p>
      <w:pPr>
        <w:spacing w:after="140" w:line="276"/>
      </w:pPr>
      <w:r>
        <w:rPr>
          <w:b/>
          <w:bCs/>
          <w:sz w:val="21"/>
          <w:szCs w:val="21"/>
        </w:rPr>
        <w:t xml:space="preserve">Removing UI is not the same as removing capability. </w:t>
      </w:r>
      <w:r>
        <w:rPr>
          <w:sz w:val="21"/>
          <w:szCs w:val="21"/>
        </w:rPr>
        <w:t xml:space="preserve">Everything in Tier 1 can be switched back on in seconds if the Support Department disagrees, so treat this list as a starting proposal.</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scope — elements proposed for removal</dc:title>
  <dc:creator>Armeta</dc:creator>
  <dc:description>Chatwoot fork frontend pruning proposal, mapped against the ТЗ</dc:description>
  <cp:lastModifiedBy>Un-named</cp:lastModifiedBy>
  <cp:revision>1</cp:revision>
  <dcterms:created xsi:type="dcterms:W3CDTF">2026-09-23T11:22:06.389Z</dcterms:created>
  <dcterms:modified xsi:type="dcterms:W3CDTF">2026-09-23T11:22:06.389Z</dcterms:modified>
</cp:coreProperties>
</file>

<file path=docProps/custom.xml><?xml version="1.0" encoding="utf-8"?>
<Properties xmlns="http://schemas.openxmlformats.org/officeDocument/2006/custom-properties" xmlns:vt="http://schemas.openxmlformats.org/officeDocument/2006/docPropsVTypes"/>
</file>