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0"/>
        <w:jc w:val="both"/>
        <w:rPr/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A">
      <w:pPr>
        <w:pStyle w:val="Title"/>
        <w:rPr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tl w:val="0"/>
        </w:rPr>
        <w:t xml:space="preserve">по курсу “Схемотехника ЭВМ”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b w:val="1"/>
          <w:sz w:val="28"/>
          <w:szCs w:val="28"/>
        </w:rPr>
      </w:pPr>
      <w:bookmarkStart w:colFirst="0" w:colLast="0" w:name="_uc5xrdlb2v1r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“Синтез дешифратора адреса”</w:t>
      </w:r>
    </w:p>
    <w:p w:rsidR="00000000" w:rsidDel="00000000" w:rsidP="00000000" w:rsidRDefault="00000000" w:rsidRPr="00000000" w14:paraId="0000000C">
      <w:pPr>
        <w:pStyle w:val="Title"/>
        <w:rPr>
          <w:b w:val="1"/>
        </w:rPr>
      </w:pPr>
      <w:bookmarkStart w:colFirst="0" w:colLast="0" w:name="_llewgmne1um0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Вариант №21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2fvkxmo31n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jc w:val="left"/>
        <w:rPr>
          <w:rFonts w:ascii="Roboto" w:cs="Roboto" w:eastAsia="Roboto" w:hAnsi="Roboto"/>
          <w:sz w:val="28"/>
          <w:szCs w:val="28"/>
        </w:rPr>
      </w:pPr>
      <w:bookmarkStart w:colFirst="0" w:colLast="0" w:name="_7elgjijslmj8" w:id="12"/>
      <w:bookmarkEnd w:id="12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385.826771653543" w:hanging="2.244094488188466"/>
        <w:jc w:val="left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385.826771653543" w:hanging="2.244094488188466"/>
        <w:jc w:val="left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Д.В. Осипенко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385.826771653543" w:hanging="2.244094488188466"/>
        <w:jc w:val="left"/>
        <w:rPr>
          <w:rFonts w:ascii="Roboto" w:cs="Roboto" w:eastAsia="Roboto" w:hAnsi="Roboto"/>
          <w:sz w:val="28"/>
          <w:szCs w:val="28"/>
        </w:rPr>
      </w:pPr>
      <w:bookmarkStart w:colFirst="0" w:colLast="0" w:name="_eagtxmiga9kb" w:id="13"/>
      <w:bookmarkEnd w:id="1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Проверил: ст. преп. кафедры ВТиЭ.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5385.826771653543" w:hanging="2.244094488188466"/>
        <w:jc w:val="left"/>
        <w:rPr>
          <w:rFonts w:ascii="Roboto" w:cs="Roboto" w:eastAsia="Roboto" w:hAnsi="Roboto"/>
          <w:sz w:val="28"/>
          <w:szCs w:val="28"/>
        </w:rPr>
      </w:pPr>
      <w:bookmarkStart w:colFirst="0" w:colLast="0" w:name="_y0ilzweck96e" w:id="14"/>
      <w:bookmarkEnd w:id="1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В.В. </w:t>
      </w:r>
      <w:r w:rsidDel="00000000" w:rsidR="00000000" w:rsidRPr="00000000">
        <w:rPr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елозерских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5952.755905511812" w:firstLine="0"/>
        <w:rPr>
          <w:rFonts w:ascii="Roboto" w:cs="Roboto" w:eastAsia="Roboto" w:hAnsi="Roboto"/>
          <w:sz w:val="28"/>
          <w:szCs w:val="28"/>
        </w:rPr>
      </w:pPr>
      <w:bookmarkStart w:colFirst="0" w:colLast="0" w:name="_rp59tjnq8ae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both"/>
        <w:rPr/>
      </w:pPr>
      <w:bookmarkStart w:colFirst="0" w:colLast="0" w:name="_uh65pnwfac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both"/>
        <w:rPr/>
      </w:pPr>
      <w:bookmarkStart w:colFirst="0" w:colLast="0" w:name="_fam2dt5xmbw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both"/>
        <w:rPr/>
      </w:pPr>
      <w:bookmarkStart w:colFirst="0" w:colLast="0" w:name="_lbxrt0pchfb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both"/>
        <w:rPr/>
      </w:pPr>
      <w:bookmarkStart w:colFirst="0" w:colLast="0" w:name="_fiklsuy331a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both"/>
        <w:rPr/>
      </w:pPr>
      <w:bookmarkStart w:colFirst="0" w:colLast="0" w:name="_jxjagzim3r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eh50cfw5pa6y" w:id="21"/>
      <w:bookmarkEnd w:id="21"/>
      <w:r w:rsidDel="00000000" w:rsidR="00000000" w:rsidRPr="00000000">
        <w:rPr>
          <w:rtl w:val="0"/>
        </w:rPr>
        <w:t xml:space="preserve">Барнаул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9t54dbsl1tb2" w:id="22"/>
      <w:bookmarkEnd w:id="22"/>
      <w:r w:rsidDel="00000000" w:rsidR="00000000" w:rsidRPr="00000000">
        <w:rPr>
          <w:rtl w:val="0"/>
        </w:rPr>
        <w:t xml:space="preserve">Цель работы: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Получение навыков синтеза и моделирования заданных комбинационных схем в САПР Altera Max+Plus II</w:t>
      </w:r>
    </w:p>
    <w:p w:rsidR="00000000" w:rsidDel="00000000" w:rsidP="00000000" w:rsidRDefault="00000000" w:rsidRPr="00000000" w14:paraId="0000001D">
      <w:pPr>
        <w:pStyle w:val="Heading1"/>
        <w:ind w:firstLine="708.6614173228347"/>
        <w:jc w:val="left"/>
        <w:rPr/>
      </w:pPr>
      <w:bookmarkStart w:colFirst="0" w:colLast="0" w:name="_681urb3gn0y8" w:id="23"/>
      <w:bookmarkEnd w:id="23"/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Синтезировать комбинационную схему дешифратора адреса с заданными параметрами в САПР Altera MAX+PLUS II в режиме графического редактора (Graphic Editor). Произвести исследование временных параметров полученной схемы (Simulator).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fy2owoyg9ld" w:id="24"/>
      <w:bookmarkEnd w:id="24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Вариант №21. Необходимо синтезировать дешифратор 12-разрядного адреса, с диапазоном адресов 0xB00 – 0xB05, исключая адреса 0xB02 и 0xB03.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51x5wbfwltmh" w:id="25"/>
      <w:bookmarkEnd w:id="25"/>
      <w:r w:rsidDel="00000000" w:rsidR="00000000" w:rsidRPr="00000000">
        <w:rPr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Синтезируем булеву функцию, описывая работы дешифратора адреса (F). С целью снижения числа переменных для метода карт Карно определяем фиксированную и переменную часть – это 0xB0 (Старшие 9 бит). Переменная часть: 0x0 – 0x5 (Младшие 3 бита).</w:t>
      </w:r>
    </w:p>
    <w:p w:rsidR="00000000" w:rsidDel="00000000" w:rsidP="00000000" w:rsidRDefault="00000000" w:rsidRPr="00000000" w14:paraId="00000023">
      <w:pPr>
        <w:jc w:val="center"/>
        <w:rPr/>
      </w:pP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 ..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11</m:t>
            </m:r>
          </m:sub>
        </m:sSub>
        <m:r>
          <w:rPr/>
          <m:t xml:space="preserve">) = Z(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4</m:t>
            </m:r>
          </m:sub>
        </m:sSub>
        <m:r>
          <w:rPr/>
          <m:t xml:space="preserve">, ..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11</m:t>
            </m:r>
          </m:sub>
        </m:sSub>
        <m:r>
          <w:rPr/>
          <m:t xml:space="preserve">) &amp; Y(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где функция Z – дешифрует из диапазона старшую часть адреса, а Y – дешифрует младшую часть адреса.  </w:t>
      </w:r>
    </w:p>
    <w:p w:rsidR="00000000" w:rsidDel="00000000" w:rsidP="00000000" w:rsidRDefault="00000000" w:rsidRPr="00000000" w14:paraId="00000025">
      <w:pPr>
        <w:pStyle w:val="Heading1"/>
        <w:jc w:val="left"/>
        <w:rPr/>
      </w:pPr>
      <w:bookmarkStart w:colFirst="0" w:colLast="0" w:name="_auz7as7tuh5f" w:id="26"/>
      <w:bookmarkEnd w:id="26"/>
      <w:r w:rsidDel="00000000" w:rsidR="00000000" w:rsidRPr="00000000">
        <w:rPr>
          <w:rtl w:val="0"/>
        </w:rPr>
        <w:t xml:space="preserve">Строим булеву функцию (Z) для фиксированной части адреса: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Если записать таблицу истинности для функции Z, то мы получим таблицу размера </w:t>
      </w:r>
      <m:oMath>
        <m:r>
          <w:rPr/>
          <m:t xml:space="preserve">256</m:t>
        </m:r>
        <m:r>
          <w:rPr/>
          <m:t>×</m:t>
        </m:r>
        <m:r>
          <w:rPr/>
          <m:t xml:space="preserve"> 9</m:t>
        </m:r>
      </m:oMath>
      <w:r w:rsidDel="00000000" w:rsidR="00000000" w:rsidRPr="00000000">
        <w:rPr>
          <w:rtl w:val="0"/>
        </w:rPr>
        <w:t xml:space="preserve">. Функция будет выдавать истинное значение только при равенстве входных аргументов величине 0xB0 (или в двоичном виде 101100000).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Данному адресу соответствует булева функция 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11</m:t>
            </m:r>
          </m:sub>
        </m:sSub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10</m:t>
                </m:r>
              </m:sub>
            </m:sSub>
          </m:e>
        </m:bar>
        <m:r>
          <w:rPr>
            <w:rFonts w:ascii="Roboto Mono" w:cs="Roboto Mono" w:eastAsia="Roboto Mono" w:hAnsi="Roboto Mono"/>
          </w:rPr>
          <m:t xml:space="preserve"> 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9</m:t>
            </m:r>
          </m:sub>
        </m:sSub>
        <m:r>
          <w:rPr>
            <w:rFonts w:ascii="Roboto Mono" w:cs="Roboto Mono" w:eastAsia="Roboto Mono" w:hAnsi="Roboto Mono"/>
          </w:rPr>
          <m:t xml:space="preserve"> 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8</m:t>
            </m:r>
          </m:sub>
        </m:sSub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7</m:t>
                </m:r>
              </m:sub>
            </m:sSub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6</m:t>
                </m:r>
              </m:sub>
            </m:sSub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5</m:t>
                </m:r>
              </m:sub>
            </m:sSub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4</m:t>
                </m:r>
              </m:sub>
            </m:sSub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3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При подстановке адреса в функцию получаем:   </w:t>
      </w:r>
      <m:oMath>
        <m:r>
          <w:rPr>
            <w:rFonts w:ascii="Roboto Mono" w:cs="Roboto Mono" w:eastAsia="Roboto Mono" w:hAnsi="Roboto Mono"/>
          </w:rPr>
          <m:t xml:space="preserve">1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r>
              <w:rPr>
                <w:rFonts w:ascii="Roboto Mono" w:cs="Roboto Mono" w:eastAsia="Roboto Mono" w:hAnsi="Roboto Mono"/>
              </w:rPr>
              <m:t xml:space="preserve">0</m:t>
            </m:r>
          </m:e>
        </m:bar>
        <m:r>
          <w:rPr>
            <w:rFonts w:ascii="Roboto Mono" w:cs="Roboto Mono" w:eastAsia="Roboto Mono" w:hAnsi="Roboto Mono"/>
          </w:rPr>
          <m:t xml:space="preserve"> 1 1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r>
              <w:rPr>
                <w:rFonts w:ascii="Roboto Mono" w:cs="Roboto Mono" w:eastAsia="Roboto Mono" w:hAnsi="Roboto Mono"/>
              </w:rPr>
              <m:t xml:space="preserve">0</m:t>
            </m:r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r>
              <w:rPr>
                <w:rFonts w:ascii="Roboto Mono" w:cs="Roboto Mono" w:eastAsia="Roboto Mono" w:hAnsi="Roboto Mono"/>
              </w:rPr>
              <m:t xml:space="preserve">0</m:t>
            </m:r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r>
              <w:rPr>
                <w:rFonts w:ascii="Roboto Mono" w:cs="Roboto Mono" w:eastAsia="Roboto Mono" w:hAnsi="Roboto Mono"/>
              </w:rPr>
              <m:t xml:space="preserve">0</m:t>
            </m:r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r>
              <w:rPr>
                <w:rFonts w:ascii="Roboto Mono" w:cs="Roboto Mono" w:eastAsia="Roboto Mono" w:hAnsi="Roboto Mono"/>
              </w:rPr>
              <m:t xml:space="preserve">0</m:t>
            </m:r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r>
              <w:rPr>
                <w:rFonts w:ascii="Roboto Mono" w:cs="Roboto Mono" w:eastAsia="Roboto Mono" w:hAnsi="Roboto Mono"/>
              </w:rPr>
              <m:t xml:space="preserve">0</m:t>
            </m:r>
          </m:e>
        </m:bar>
        <m:r>
          <w:rPr>
            <w:rFonts w:ascii="Roboto Mono" w:cs="Roboto Mono" w:eastAsia="Roboto Mono" w:hAnsi="Roboto Mono"/>
          </w:rPr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ykz0zpsu7a67" w:id="27"/>
      <w:bookmarkEnd w:id="27"/>
      <w:r w:rsidDel="00000000" w:rsidR="00000000" w:rsidRPr="00000000">
        <w:rPr>
          <w:rtl w:val="0"/>
        </w:rPr>
        <w:t xml:space="preserve">Строим булеву функцию (Y) для переменной части адреса: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Запишем для нее таблицу истинности:</w:t>
      </w:r>
    </w:p>
    <w:tbl>
      <w:tblPr>
        <w:tblStyle w:val="Table1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.75"/>
        <w:gridCol w:w="2551.75"/>
        <w:gridCol w:w="2551.75"/>
        <w:gridCol w:w="2551.75"/>
        <w:tblGridChange w:id="0">
          <w:tblGrid>
            <w:gridCol w:w="2551.75"/>
            <w:gridCol w:w="2551.75"/>
            <w:gridCol w:w="2551.75"/>
            <w:gridCol w:w="2551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Строим для нее карту Карно для 3-х переменных  </w:t>
      </w:r>
      <m:oMath>
        <m:sSub>
          <m:sSubPr>
            <m:ctrlPr>
              <w:rPr/>
            </m:ctrlPr>
          </m:sSubPr>
          <m:e>
            <m:r>
              <w:rPr/>
              <m:t xml:space="preserve">(a</m:t>
            </m:r>
          </m:e>
          <m:sub>
            <m:r>
              <w:rPr/>
              <m:t xml:space="preserve">0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По вертикали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по горизонтали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 Отмечаем клетки, попавшие в заданный диапазон символом (1), клетки в него не попавшие символом (0)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1128504</wp:posOffset>
                </wp:positionV>
                <wp:extent cx="6480000" cy="1026158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025" y="146025"/>
                          <a:ext cx="6480000" cy="1026158"/>
                          <a:chOff x="146025" y="146025"/>
                          <a:chExt cx="6492750" cy="1024700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{6A2DDA7E-9CAB-46CD-89BA-56511DA7E123}</a:tableStyleId>
                              </a:tblPr>
                              <a:tblGrid>
                                <a:gridCol w="1296000"/>
                                <a:gridCol w="1296000"/>
                                <a:gridCol w="1296000"/>
                                <a:gridCol w="1296000"/>
                                <a:gridCol w="1296000"/>
                              </a:tblGrid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a2\a1a0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00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01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11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10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0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1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1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0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0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1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1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1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d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>
                                          <a:latin typeface="Roboto"/>
                                          <a:ea typeface="Roboto"/>
                                          <a:cs typeface="Roboto"/>
                                          <a:sym typeface="Roboto"/>
                                        </a:rPr>
                                        <a:t>d</a:t>
                                      </a:r>
                                      <a:endParaRPr>
                                        <a:latin typeface="Roboto"/>
                                        <a:ea typeface="Roboto"/>
                                        <a:cs typeface="Roboto"/>
                                        <a:sym typeface="Roboto"/>
                                      </a:endParaRPr>
                                    </a:p>
                                  </a:txBody>
                                  <a:tcPr marT="63500" marB="63500" marR="63500" marL="63500"/>
                                </a:tc>
                              </a:tr>
                            </a:tbl>
                          </a:graphicData>
                        </a:graphic>
                      </wpg:graphicFrame>
                      <wps:wsp>
                        <wps:cNvSpPr/>
                        <wps:cNvPr id="3" name="Shape 3"/>
                        <wps:spPr>
                          <a:xfrm>
                            <a:off x="1490025" y="492750"/>
                            <a:ext cx="2550300" cy="673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1128504</wp:posOffset>
                </wp:positionV>
                <wp:extent cx="6480000" cy="1026158"/>
                <wp:effectExtent b="0" l="0" r="0" t="0"/>
                <wp:wrapTopAndBottom distB="114300" distT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000" cy="10261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 методу Карно, осуществляем склейку строк и столбцов: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Полученный результат: </w:t>
      </w:r>
      <m:oMath>
        <m:r>
          <w:rPr/>
          <m:t xml:space="preserve">Y = </m:t>
        </m:r>
        <m:bar>
          <m:barPr>
            <m:pos/>
            <m:ctrlPr>
              <w:rPr/>
            </m:ctrlPr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Объединяем функции в одну: 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F = 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11</m:t>
            </m:r>
          </m:sub>
        </m:sSub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10</m:t>
                </m:r>
              </m:sub>
            </m:sSub>
          </m:e>
        </m:bar>
        <m:r>
          <w:rPr>
            <w:rFonts w:ascii="Roboto Mono" w:cs="Roboto Mono" w:eastAsia="Roboto Mono" w:hAnsi="Roboto Mono"/>
          </w:rPr>
          <m:t xml:space="preserve"> 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9</m:t>
            </m:r>
          </m:sub>
        </m:sSub>
        <m:r>
          <w:rPr>
            <w:rFonts w:ascii="Roboto Mono" w:cs="Roboto Mono" w:eastAsia="Roboto Mono" w:hAnsi="Roboto Mono"/>
          </w:rPr>
          <m:t xml:space="preserve"> 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8</m:t>
            </m:r>
          </m:sub>
        </m:sSub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7</m:t>
                </m:r>
              </m:sub>
            </m:sSub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6</m:t>
                </m:r>
              </m:sub>
            </m:sSub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5</m:t>
                </m:r>
              </m:sub>
            </m:sSub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4</m:t>
                </m:r>
              </m:sub>
            </m:sSub>
          </m:e>
        </m:bar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3</m:t>
                </m:r>
              </m:sub>
            </m:sSub>
          </m:e>
        </m:bar>
      </m:oMath>
      <m:oMath>
        <m:r>
          <w:rPr/>
          <m:t xml:space="preserve"> </m:t>
        </m:r>
        <m:bar>
          <m:barPr>
            <m:pos/>
            <m:ctrlPr>
              <w:rPr/>
            </m:ctrlPr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По полученной функции строим схему, заменяя логические функции, соответствующими элементами. Изображение схемы, построенной в Altera Max+Plus II приведено на рис. 1.1. Исходный файл decoder.gdf: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979326</wp:posOffset>
            </wp:positionV>
            <wp:extent cx="5721587" cy="2229736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587" cy="2229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1.1 Схема дешифратора в редакторе Graphic Editor (Altera Max+Plus II)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На рис. 1.2 отображены результаты работы схемы и отклик дешифратора на входное воздействие. На вход по шине адреса A[11..0] подаются адреса в диапазоне 0xAFF – 0xB06. На выходе CS можно видеть отклик дешифратора на него. Исходные файл decoder.scf: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914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1.2 Входной сигнал и отклик дешифратора в Waveform Editor (Altera Max+Plus II)</w:t>
      </w:r>
    </w:p>
    <w:p w:rsidR="00000000" w:rsidDel="00000000" w:rsidP="00000000" w:rsidRDefault="00000000" w:rsidRPr="00000000" w14:paraId="0000005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 помощью средств Waveform Editro производим замер временных задержек на каждом переключении с указанием кода переключения (см. рис. 1.3).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T(0xAFF – 0xB00) = 10 нс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T(0xB01 – 0xB02) = 10 нс</w:t>
      </w:r>
    </w:p>
    <w:p w:rsidR="00000000" w:rsidDel="00000000" w:rsidP="00000000" w:rsidRDefault="00000000" w:rsidRPr="00000000" w14:paraId="0000005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0000" cy="91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1.3 Измерение задержек переключения в Waveform Editor (Altera Max+Plus II)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Расположение входов и выходов на макетной плате показано с помощью Floorplan Editor на рис. 1.4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372975</wp:posOffset>
            </wp:positionH>
            <wp:positionV relativeFrom="paragraph">
              <wp:posOffset>735434</wp:posOffset>
            </wp:positionV>
            <wp:extent cx="5730267" cy="5152139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67" cy="5152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1.4 Расположение входов и выходов на макетной плате в Floorplan Editor (Altera Max+Plus II).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Результаты измерения задержек переключения элементов с помощью Timing Analyzer показаны на рис. 1.5. При использовании данного метода отпадает необходимость в ручном измерении задержек переключения, т.к. их все можно найти в сводной таблице задержек.</w:t>
      </w:r>
    </w:p>
    <w:p w:rsidR="00000000" w:rsidDel="00000000" w:rsidP="00000000" w:rsidRDefault="00000000" w:rsidRPr="00000000" w14:paraId="0000005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4250" cy="4143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 1.5 Timing Analyzer (Altera Max+Plus II)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9ifkcwx4ibb6" w:id="28"/>
      <w:bookmarkEnd w:id="28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 результате работы с помощью САПР Altera Max+Plus II синтезирована схема дешифратора адреса, а также произведено исследование временных параметров полученной схемы. Схема соответствует характеристикам, описанным в пункте постановки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708.6614173228347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